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Open Sans Condensed Light"/>
        </w:rPr>
        <w:id w:val="737679928"/>
        <w:docPartObj>
          <w:docPartGallery w:val="Cover Pages"/>
          <w:docPartUnique/>
        </w:docPartObj>
      </w:sdtPr>
      <w:sdtEndPr/>
      <w:sdtContent>
        <w:p w14:paraId="4DC994E2" w14:textId="71D03656" w:rsidR="00964E57" w:rsidRDefault="00D246B8">
          <w:pPr>
            <w:pStyle w:val="Frsttsblad-Logotyp-utanbild"/>
          </w:pPr>
          <w:r>
            <w:rPr>
              <w:noProof/>
              <w14:ligatures w14:val="standardContextual"/>
            </w:rPr>
            <mc:AlternateContent>
              <mc:Choice Requires="wps">
                <w:drawing>
                  <wp:anchor distT="0" distB="0" distL="114300" distR="114300" simplePos="0" relativeHeight="251659264" behindDoc="0" locked="0" layoutInCell="1" allowOverlap="1" wp14:anchorId="5BC1741C" wp14:editId="79DE5E6D">
                    <wp:simplePos x="0" y="0"/>
                    <wp:positionH relativeFrom="column">
                      <wp:posOffset>4987290</wp:posOffset>
                    </wp:positionH>
                    <wp:positionV relativeFrom="paragraph">
                      <wp:posOffset>-344805</wp:posOffset>
                    </wp:positionV>
                    <wp:extent cx="1531620" cy="289560"/>
                    <wp:effectExtent l="0" t="0" r="0" b="0"/>
                    <wp:wrapNone/>
                    <wp:docPr id="1531633061" name="Textruta 2"/>
                    <wp:cNvGraphicFramePr/>
                    <a:graphic xmlns:a="http://schemas.openxmlformats.org/drawingml/2006/main">
                      <a:graphicData uri="http://schemas.microsoft.com/office/word/2010/wordprocessingShape">
                        <wps:wsp>
                          <wps:cNvSpPr txBox="1"/>
                          <wps:spPr>
                            <a:xfrm>
                              <a:off x="0" y="0"/>
                              <a:ext cx="1531620" cy="289560"/>
                            </a:xfrm>
                            <a:prstGeom prst="rect">
                              <a:avLst/>
                            </a:prstGeom>
                            <a:noFill/>
                            <a:ln w="6350">
                              <a:noFill/>
                            </a:ln>
                          </wps:spPr>
                          <wps:txbx>
                            <w:txbxContent>
                              <w:p w14:paraId="3AB898D2" w14:textId="2734FD5C" w:rsidR="00B04AF1" w:rsidRDefault="00B04AF1" w:rsidP="00B04AF1">
                                <w:r>
                                  <w:t>Bilaga 8, M1-2026/2027</w:t>
                                </w:r>
                              </w:p>
                              <w:p w14:paraId="4A6D0B2B" w14:textId="53DAA984" w:rsidR="00D246B8" w:rsidRDefault="00D246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C1741C" id="_x0000_t202" coordsize="21600,21600" o:spt="202" path="m,l,21600r21600,l21600,xe">
                    <v:stroke joinstyle="miter"/>
                    <v:path gradientshapeok="t" o:connecttype="rect"/>
                  </v:shapetype>
                  <v:shape id="Textruta 2" o:spid="_x0000_s1026" type="#_x0000_t202" style="position:absolute;left:0;text-align:left;margin-left:392.7pt;margin-top:-27.15pt;width:120.6pt;height: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" filled="f" stroked="f" strokeweight=".5pt">
                    <v:textbox>
                      <w:txbxContent>
                        <w:p w14:paraId="3AB898D2" w14:textId="2734FD5C" w:rsidR="00B04AF1" w:rsidRDefault="00B04AF1" w:rsidP="00B04AF1">
                          <w:r>
                            <w:t xml:space="preserve">Bilaga </w:t>
                          </w:r>
                          <w:r>
                            <w:t>8</w:t>
                          </w:r>
                          <w:r>
                            <w:t>, M1-2026/2027</w:t>
                          </w:r>
                        </w:p>
                        <w:p w14:paraId="4A6D0B2B" w14:textId="53DAA984" w:rsidR="00D246B8" w:rsidRDefault="00D246B8"/>
                      </w:txbxContent>
                    </v:textbox>
                  </v:shape>
                </w:pict>
              </mc:Fallback>
            </mc:AlternateContent>
          </w:r>
          <w:r w:rsidR="00964E57">
            <w:rPr>
              <w:noProof/>
            </w:rPr>
            <w:drawing>
              <wp:anchor distT="0" distB="0" distL="114300" distR="114300" simplePos="0" relativeHeight="251658240" behindDoc="0" locked="0" layoutInCell="1" allowOverlap="1" wp14:anchorId="001B6986" wp14:editId="6F09959B">
                <wp:simplePos x="0" y="0"/>
                <wp:positionH relativeFrom="margin">
                  <wp:align>left</wp:align>
                </wp:positionH>
                <wp:positionV relativeFrom="paragraph">
                  <wp:posOffset>-13780</wp:posOffset>
                </wp:positionV>
                <wp:extent cx="2339975" cy="612140"/>
                <wp:effectExtent l="0" t="0" r="3175" b="0"/>
                <wp:wrapNone/>
                <wp:docPr id="45"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nds-landskapsregering-cmy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39975" cy="612140"/>
                        </a:xfrm>
                        <a:prstGeom prst="rect">
                          <a:avLst/>
                        </a:prstGeom>
                      </pic:spPr>
                    </pic:pic>
                  </a:graphicData>
                </a:graphic>
              </wp:anchor>
            </w:drawing>
          </w:r>
        </w:p>
        <w:p w14:paraId="49617AF7" w14:textId="65EF61D4" w:rsidR="00964E57" w:rsidRDefault="00964E57">
          <w:pPr>
            <w:pStyle w:val="Frsttsblad-Titelrutautanbild"/>
          </w:pPr>
          <w:r>
            <w:rPr>
              <w:noProof/>
            </w:rPr>
            <mc:AlternateContent>
              <mc:Choice Requires="wps">
                <w:drawing>
                  <wp:inline distT="0" distB="0" distL="0" distR="0" wp14:anchorId="7A3D85A7" wp14:editId="2B88E4C6">
                    <wp:extent cx="6768000" cy="3923818"/>
                    <wp:effectExtent l="0" t="0" r="0" b="635"/>
                    <wp:docPr id="43" name="Rektangel 27" descr="Innehåller tabell med Titel och undertitel"/>
                    <wp:cNvGraphicFramePr/>
                    <a:graphic xmlns:a="http://schemas.openxmlformats.org/drawingml/2006/main">
                      <a:graphicData uri="http://schemas.microsoft.com/office/word/2010/wordprocessingShape">
                        <wps:wsp>
                          <wps:cNvSpPr/>
                          <wps:spPr>
                            <a:xfrm>
                              <a:off x="0" y="0"/>
                              <a:ext cx="6768000" cy="392381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97"/>
                                  <w:gridCol w:w="8504"/>
                                </w:tblGrid>
                                <w:tr w:rsidR="00964E57" w14:paraId="02FD6932" w14:textId="77777777" w:rsidTr="00140B8E">
                                  <w:trPr>
                                    <w:trHeight w:val="2552"/>
                                  </w:trPr>
                                  <w:tc>
                                    <w:tcPr>
                                      <w:tcW w:w="797" w:type="dxa"/>
                                      <w:tcBorders>
                                        <w:bottom w:val="nil"/>
                                      </w:tcBorders>
                                      <w:shd w:val="clear" w:color="auto" w:fill="FFD300"/>
                                      <w:tcMar>
                                        <w:top w:w="0" w:type="dxa"/>
                                        <w:left w:w="0" w:type="dxa"/>
                                        <w:bottom w:w="0" w:type="dxa"/>
                                        <w:right w:w="0" w:type="dxa"/>
                                      </w:tcMar>
                                    </w:tcPr>
                                    <w:p w14:paraId="74FD5C6A" w14:textId="77777777" w:rsidR="00964E57" w:rsidRPr="00A0729F" w:rsidRDefault="00964E57"/>
                                  </w:tc>
                                  <w:tc>
                                    <w:tcPr>
                                      <w:tcW w:w="8504" w:type="dxa"/>
                                      <w:tcBorders>
                                        <w:bottom w:val="nil"/>
                                      </w:tcBorders>
                                      <w:tcMar>
                                        <w:top w:w="0" w:type="dxa"/>
                                        <w:left w:w="567" w:type="dxa"/>
                                        <w:bottom w:w="0" w:type="dxa"/>
                                        <w:right w:w="28" w:type="dxa"/>
                                      </w:tcMar>
                                    </w:tcPr>
                                    <w:p w14:paraId="36CF323D" w14:textId="6958210C" w:rsidR="00964E57" w:rsidRDefault="00E1452F">
                                      <w:pPr>
                                        <w:pStyle w:val="Dokumenttitel"/>
                                        <w:rPr>
                                          <w:rStyle w:val="Rubrik2Char"/>
                                          <w:caps/>
                                        </w:rPr>
                                      </w:pPr>
                                      <w:sdt>
                                        <w:sdtPr>
                                          <w:rPr>
                                            <w:rStyle w:val="DokumenttitelChar"/>
                                            <w:bCs/>
                                            <w:sz w:val="48"/>
                                            <w:szCs w:val="48"/>
                                          </w:rPr>
                                          <w:alias w:val="Dokumenttitel"/>
                                          <w:tag w:val=""/>
                                          <w:id w:val="-843863806"/>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964E57" w:rsidRPr="00140B8E">
                                            <w:rPr>
                                              <w:rStyle w:val="DokumenttitelChar"/>
                                              <w:sz w:val="48"/>
                                              <w:szCs w:val="48"/>
                                            </w:rPr>
                                            <w:t>Patientsäkerhet</w:t>
                                          </w:r>
                                        </w:sdtContent>
                                      </w:sdt>
                                    </w:p>
                                    <w:sdt>
                                      <w:sdtPr>
                                        <w:rPr>
                                          <w:rFonts w:asciiTheme="minorHAnsi" w:eastAsiaTheme="majorEastAsia" w:hAnsiTheme="minorHAnsi" w:cstheme="minorHAnsi"/>
                                          <w:color w:val="004A82" w:themeColor="accent1" w:themeShade="BF"/>
                                          <w:sz w:val="40"/>
                                          <w:szCs w:val="40"/>
                                        </w:rPr>
                                        <w:alias w:val="Undertitel"/>
                                        <w:tag w:val=""/>
                                        <w:id w:val="537097221"/>
                                        <w:dataBinding w:prefixMappings="xmlns:ns0='http://purl.org/dc/elements/1.1/' xmlns:ns1='http://schemas.openxmlformats.org/package/2006/metadata/core-properties' " w:xpath="/ns1:coreProperties[1]/ns0:subject[1]" w:storeItemID="{6C3C8BC8-F283-45AE-878A-BAB7291924A1}"/>
                                        <w:text w:multiLine="1"/>
                                      </w:sdtPr>
                                      <w:sdtEndPr/>
                                      <w:sdtContent>
                                        <w:p w14:paraId="45C71F02" w14:textId="43EFD527" w:rsidR="00964E57" w:rsidRPr="00073F0E" w:rsidRDefault="00140B8E">
                                          <w:pPr>
                                            <w:pStyle w:val="Undertitel"/>
                                          </w:pPr>
                                          <w:r>
                                            <w:rPr>
                                              <w:rFonts w:asciiTheme="minorHAnsi" w:eastAsiaTheme="majorEastAsia" w:hAnsiTheme="minorHAnsi" w:cstheme="minorHAnsi"/>
                                              <w:caps w:val="0"/>
                                              <w:color w:val="004A82" w:themeColor="accent1" w:themeShade="BF"/>
                                              <w:sz w:val="40"/>
                                              <w:szCs w:val="40"/>
                                            </w:rPr>
                                            <w:t>D</w:t>
                                          </w:r>
                                          <w:r w:rsidRPr="00140B8E">
                                            <w:rPr>
                                              <w:rFonts w:asciiTheme="minorHAnsi" w:eastAsiaTheme="majorEastAsia" w:hAnsiTheme="minorHAnsi" w:cstheme="minorHAnsi"/>
                                              <w:caps w:val="0"/>
                                              <w:color w:val="004A82" w:themeColor="accent1" w:themeShade="BF"/>
                                              <w:sz w:val="40"/>
                                              <w:szCs w:val="40"/>
                                            </w:rPr>
                                            <w:t>elanalys 7 för framtagande av hälso- och sjukvårdsstrategi till 2040</w:t>
                                          </w:r>
                                        </w:p>
                                      </w:sdtContent>
                                    </w:sdt>
                                  </w:tc>
                                </w:tr>
                              </w:tbl>
                              <w:p w14:paraId="4EB951FE" w14:textId="77777777" w:rsidR="00964E57" w:rsidRDefault="00964E57">
                                <w:pPr>
                                  <w:pStyle w:val="Frsttsblad-Titelrutautanbild"/>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inline>
                </w:drawing>
              </mc:Choice>
              <mc:Fallback>
                <w:pict>
                  <v:rect w14:anchorId="7A3D85A7" id="Rektangel 27" o:spid="_x0000_s1027" alt="Innehåller tabell med Titel och undertitel" style="width:532.9pt;height:30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" filled="f" stroked="f" strokeweight="1pt">
                    <v:textbox inset="0">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97"/>
                            <w:gridCol w:w="8504"/>
                          </w:tblGrid>
                          <w:tr w:rsidR="00964E57" w14:paraId="02FD6932" w14:textId="77777777" w:rsidTr="00140B8E">
                            <w:trPr>
                              <w:trHeight w:val="2552"/>
                            </w:trPr>
                            <w:tc>
                              <w:tcPr>
                                <w:tcW w:w="797" w:type="dxa"/>
                                <w:tcBorders>
                                  <w:bottom w:val="nil"/>
                                </w:tcBorders>
                                <w:shd w:val="clear" w:color="auto" w:fill="FFD300"/>
                                <w:tcMar>
                                  <w:top w:w="0" w:type="dxa"/>
                                  <w:left w:w="0" w:type="dxa"/>
                                  <w:bottom w:w="0" w:type="dxa"/>
                                  <w:right w:w="0" w:type="dxa"/>
                                </w:tcMar>
                              </w:tcPr>
                              <w:p w14:paraId="74FD5C6A" w14:textId="77777777" w:rsidR="00964E57" w:rsidRPr="00A0729F" w:rsidRDefault="00964E57"/>
                            </w:tc>
                            <w:tc>
                              <w:tcPr>
                                <w:tcW w:w="8504" w:type="dxa"/>
                                <w:tcBorders>
                                  <w:bottom w:val="nil"/>
                                </w:tcBorders>
                                <w:tcMar>
                                  <w:top w:w="0" w:type="dxa"/>
                                  <w:left w:w="567" w:type="dxa"/>
                                  <w:bottom w:w="0" w:type="dxa"/>
                                  <w:right w:w="28" w:type="dxa"/>
                                </w:tcMar>
                              </w:tcPr>
                              <w:p w14:paraId="36CF323D" w14:textId="6958210C" w:rsidR="00964E57" w:rsidRDefault="00E1452F">
                                <w:pPr>
                                  <w:pStyle w:val="Dokumenttitel"/>
                                  <w:rPr>
                                    <w:rStyle w:val="Rubrik2Char"/>
                                    <w:caps/>
                                  </w:rPr>
                                </w:pPr>
                                <w:sdt>
                                  <w:sdtPr>
                                    <w:rPr>
                                      <w:rStyle w:val="DokumenttitelChar"/>
                                      <w:bCs/>
                                      <w:sz w:val="48"/>
                                      <w:szCs w:val="48"/>
                                    </w:rPr>
                                    <w:alias w:val="Dokumenttitel"/>
                                    <w:tag w:val=""/>
                                    <w:id w:val="-843863806"/>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964E57" w:rsidRPr="00140B8E">
                                      <w:rPr>
                                        <w:rStyle w:val="DokumenttitelChar"/>
                                        <w:sz w:val="48"/>
                                        <w:szCs w:val="48"/>
                                      </w:rPr>
                                      <w:t>Patientsäkerhet</w:t>
                                    </w:r>
                                  </w:sdtContent>
                                </w:sdt>
                              </w:p>
                              <w:sdt>
                                <w:sdtPr>
                                  <w:rPr>
                                    <w:rFonts w:asciiTheme="minorHAnsi" w:eastAsiaTheme="majorEastAsia" w:hAnsiTheme="minorHAnsi" w:cstheme="minorHAnsi"/>
                                    <w:color w:val="004A82" w:themeColor="accent1" w:themeShade="BF"/>
                                    <w:sz w:val="40"/>
                                    <w:szCs w:val="40"/>
                                  </w:rPr>
                                  <w:alias w:val="Undertitel"/>
                                  <w:tag w:val=""/>
                                  <w:id w:val="537097221"/>
                                  <w:dataBinding w:prefixMappings="xmlns:ns0='http://purl.org/dc/elements/1.1/' xmlns:ns1='http://schemas.openxmlformats.org/package/2006/metadata/core-properties' " w:xpath="/ns1:coreProperties[1]/ns0:subject[1]" w:storeItemID="{6C3C8BC8-F283-45AE-878A-BAB7291924A1}"/>
                                  <w:text w:multiLine="1"/>
                                </w:sdtPr>
                                <w:sdtEndPr/>
                                <w:sdtContent>
                                  <w:p w14:paraId="45C71F02" w14:textId="43EFD527" w:rsidR="00964E57" w:rsidRPr="00073F0E" w:rsidRDefault="00140B8E">
                                    <w:pPr>
                                      <w:pStyle w:val="Undertitel"/>
                                    </w:pPr>
                                    <w:r>
                                      <w:rPr>
                                        <w:rFonts w:asciiTheme="minorHAnsi" w:eastAsiaTheme="majorEastAsia" w:hAnsiTheme="minorHAnsi" w:cstheme="minorHAnsi"/>
                                        <w:caps w:val="0"/>
                                        <w:color w:val="004A82" w:themeColor="accent1" w:themeShade="BF"/>
                                        <w:sz w:val="40"/>
                                        <w:szCs w:val="40"/>
                                      </w:rPr>
                                      <w:t>D</w:t>
                                    </w:r>
                                    <w:r w:rsidRPr="00140B8E">
                                      <w:rPr>
                                        <w:rFonts w:asciiTheme="minorHAnsi" w:eastAsiaTheme="majorEastAsia" w:hAnsiTheme="minorHAnsi" w:cstheme="minorHAnsi"/>
                                        <w:caps w:val="0"/>
                                        <w:color w:val="004A82" w:themeColor="accent1" w:themeShade="BF"/>
                                        <w:sz w:val="40"/>
                                        <w:szCs w:val="40"/>
                                      </w:rPr>
                                      <w:t>elanalys 7 för framtagande av hälso- och sjukvårdsstrategi till 2040</w:t>
                                    </w:r>
                                  </w:p>
                                </w:sdtContent>
                              </w:sdt>
                            </w:tc>
                          </w:tr>
                        </w:tbl>
                        <w:p w14:paraId="4EB951FE" w14:textId="77777777" w:rsidR="00964E57" w:rsidRDefault="00964E57">
                          <w:pPr>
                            <w:pStyle w:val="Frsttsblad-Titelrutautanbild"/>
                          </w:pPr>
                        </w:p>
                      </w:txbxContent>
                    </v:textbox>
                    <w10:anchorlock/>
                  </v:rect>
                </w:pict>
              </mc:Fallback>
            </mc:AlternateContent>
          </w:r>
        </w:p>
        <w:p w14:paraId="125543A3" w14:textId="5581C9F9" w:rsidR="00387C9D" w:rsidRDefault="00964E57" w:rsidP="00387C9D">
          <w:pPr>
            <w:pStyle w:val="Ingetavstnd"/>
          </w:pPr>
          <w:r>
            <w:br w:type="page"/>
          </w:r>
        </w:p>
      </w:sdtContent>
    </w:sdt>
    <w:sdt>
      <w:sdtPr>
        <w:rPr>
          <w:rFonts w:asciiTheme="minorHAnsi" w:eastAsiaTheme="minorEastAsia" w:hAnsiTheme="minorHAnsi" w:cs="Open Sans"/>
          <w:color w:val="000000"/>
          <w:sz w:val="20"/>
          <w:szCs w:val="20"/>
          <w:lang w:val="sv-SE" w:eastAsia="en-US"/>
        </w:rPr>
        <w:id w:val="324324556"/>
        <w:docPartObj>
          <w:docPartGallery w:val="Table of Contents"/>
          <w:docPartUnique/>
        </w:docPartObj>
      </w:sdtPr>
      <w:sdtEndPr>
        <w:rPr>
          <w:b/>
          <w:bCs/>
          <w:color w:val="auto"/>
        </w:rPr>
      </w:sdtEndPr>
      <w:sdtContent>
        <w:p w14:paraId="03BCC9FA" w14:textId="77777777" w:rsidR="00387C9D" w:rsidRDefault="00387C9D">
          <w:pPr>
            <w:pStyle w:val="Innehllsfrteckningsrubrik"/>
          </w:pPr>
          <w:r>
            <w:rPr>
              <w:lang w:val="sv-SE"/>
            </w:rPr>
            <w:t>Innehållsförteckning</w:t>
          </w:r>
        </w:p>
        <w:p w14:paraId="5609CC3C" w14:textId="32CB4B86" w:rsidR="006E2C95" w:rsidRDefault="00387C9D">
          <w:pPr>
            <w:pStyle w:val="Innehll2"/>
            <w:tabs>
              <w:tab w:val="left" w:pos="799"/>
            </w:tabs>
            <w:rPr>
              <w:rFonts w:eastAsiaTheme="minorEastAsia" w:cstheme="minorBidi"/>
              <w:kern w:val="2"/>
              <w:sz w:val="24"/>
              <w:szCs w:val="24"/>
              <w:lang w:val="sv-FI" w:eastAsia="sv-FI"/>
              <w14:ligatures w14:val="standardContextual"/>
            </w:rPr>
          </w:pPr>
          <w:r>
            <w:rPr>
              <w:rFonts w:ascii="Segoe UI" w:hAnsi="Segoe UI"/>
              <w:color w:val="000000"/>
            </w:rPr>
            <w:fldChar w:fldCharType="begin"/>
          </w:r>
          <w:r>
            <w:instrText xml:space="preserve"> TOC \o "1-5" \h \z \u </w:instrText>
          </w:r>
          <w:r>
            <w:rPr>
              <w:rFonts w:ascii="Segoe UI" w:hAnsi="Segoe UI"/>
              <w:color w:val="000000"/>
            </w:rPr>
            <w:fldChar w:fldCharType="separate"/>
          </w:r>
          <w:hyperlink w:anchor="_Toc242713892" w:history="1">
            <w:r w:rsidR="006E2C95" w:rsidRPr="00185DA6">
              <w:rPr>
                <w:rStyle w:val="Hyperlnk"/>
              </w:rPr>
              <w:t>1.</w:t>
            </w:r>
            <w:r w:rsidR="006E2C95">
              <w:rPr>
                <w:rFonts w:eastAsiaTheme="minorEastAsia" w:cstheme="minorBidi"/>
                <w:kern w:val="2"/>
                <w:sz w:val="24"/>
                <w:szCs w:val="24"/>
                <w:lang w:val="sv-FI" w:eastAsia="sv-FI"/>
                <w14:ligatures w14:val="standardContextual"/>
              </w:rPr>
              <w:tab/>
            </w:r>
            <w:r w:rsidR="006E2C95" w:rsidRPr="00185DA6">
              <w:rPr>
                <w:rStyle w:val="Hyperlnk"/>
              </w:rPr>
              <w:t>Inledning</w:t>
            </w:r>
            <w:r w:rsidR="006E2C95">
              <w:rPr>
                <w:webHidden/>
              </w:rPr>
              <w:tab/>
            </w:r>
            <w:r w:rsidR="006E2C95">
              <w:rPr>
                <w:webHidden/>
              </w:rPr>
              <w:fldChar w:fldCharType="begin"/>
            </w:r>
            <w:r w:rsidR="006E2C95">
              <w:rPr>
                <w:webHidden/>
              </w:rPr>
              <w:instrText xml:space="preserve"> PAGEREF _Toc242713892 \h </w:instrText>
            </w:r>
            <w:r w:rsidR="006E2C95">
              <w:rPr>
                <w:webHidden/>
              </w:rPr>
            </w:r>
            <w:r w:rsidR="006E2C95">
              <w:rPr>
                <w:webHidden/>
              </w:rPr>
              <w:fldChar w:fldCharType="separate"/>
            </w:r>
            <w:r w:rsidR="006E2C95">
              <w:rPr>
                <w:webHidden/>
              </w:rPr>
              <w:t>2</w:t>
            </w:r>
            <w:r w:rsidR="006E2C95">
              <w:rPr>
                <w:webHidden/>
              </w:rPr>
              <w:fldChar w:fldCharType="end"/>
            </w:r>
          </w:hyperlink>
        </w:p>
        <w:p w14:paraId="50ED0159" w14:textId="46487A69" w:rsidR="006E2C95" w:rsidRDefault="006E2C95">
          <w:pPr>
            <w:pStyle w:val="Innehll2"/>
            <w:tabs>
              <w:tab w:val="left" w:pos="799"/>
            </w:tabs>
            <w:rPr>
              <w:rFonts w:eastAsiaTheme="minorEastAsia" w:cstheme="minorBidi"/>
              <w:kern w:val="2"/>
              <w:sz w:val="24"/>
              <w:szCs w:val="24"/>
              <w:lang w:val="sv-FI" w:eastAsia="sv-FI"/>
              <w14:ligatures w14:val="standardContextual"/>
            </w:rPr>
          </w:pPr>
          <w:hyperlink w:anchor="_Toc242713893" w:history="1">
            <w:r w:rsidRPr="00185DA6">
              <w:rPr>
                <w:rStyle w:val="Hyperlnk"/>
              </w:rPr>
              <w:t>2.</w:t>
            </w:r>
            <w:r>
              <w:rPr>
                <w:rFonts w:eastAsiaTheme="minorEastAsia" w:cstheme="minorBidi"/>
                <w:kern w:val="2"/>
                <w:sz w:val="24"/>
                <w:szCs w:val="24"/>
                <w:lang w:val="sv-FI" w:eastAsia="sv-FI"/>
                <w14:ligatures w14:val="standardContextual"/>
              </w:rPr>
              <w:tab/>
            </w:r>
            <w:r w:rsidRPr="00185DA6">
              <w:rPr>
                <w:rStyle w:val="Hyperlnk"/>
              </w:rPr>
              <w:t>Behörighetsfördelning mellan Åland och riket</w:t>
            </w:r>
            <w:r>
              <w:rPr>
                <w:webHidden/>
              </w:rPr>
              <w:tab/>
            </w:r>
            <w:r>
              <w:rPr>
                <w:webHidden/>
              </w:rPr>
              <w:fldChar w:fldCharType="begin"/>
            </w:r>
            <w:r>
              <w:rPr>
                <w:webHidden/>
              </w:rPr>
              <w:instrText xml:space="preserve"> PAGEREF _Toc242713893 \h </w:instrText>
            </w:r>
            <w:r>
              <w:rPr>
                <w:webHidden/>
              </w:rPr>
            </w:r>
            <w:r>
              <w:rPr>
                <w:webHidden/>
              </w:rPr>
              <w:fldChar w:fldCharType="separate"/>
            </w:r>
            <w:r>
              <w:rPr>
                <w:webHidden/>
              </w:rPr>
              <w:t>3</w:t>
            </w:r>
            <w:r>
              <w:rPr>
                <w:webHidden/>
              </w:rPr>
              <w:fldChar w:fldCharType="end"/>
            </w:r>
          </w:hyperlink>
        </w:p>
        <w:p w14:paraId="2F598E39" w14:textId="6AA694F7" w:rsidR="006E2C95" w:rsidRDefault="006E2C95">
          <w:pPr>
            <w:pStyle w:val="Innehll2"/>
            <w:tabs>
              <w:tab w:val="left" w:pos="799"/>
            </w:tabs>
            <w:rPr>
              <w:rFonts w:eastAsiaTheme="minorEastAsia" w:cstheme="minorBidi"/>
              <w:kern w:val="2"/>
              <w:sz w:val="24"/>
              <w:szCs w:val="24"/>
              <w:lang w:val="sv-FI" w:eastAsia="sv-FI"/>
              <w14:ligatures w14:val="standardContextual"/>
            </w:rPr>
          </w:pPr>
          <w:hyperlink w:anchor="_Toc242713894" w:history="1">
            <w:r w:rsidRPr="00185DA6">
              <w:rPr>
                <w:rStyle w:val="Hyperlnk"/>
              </w:rPr>
              <w:t>3.</w:t>
            </w:r>
            <w:r>
              <w:rPr>
                <w:rFonts w:eastAsiaTheme="minorEastAsia" w:cstheme="minorBidi"/>
                <w:kern w:val="2"/>
                <w:sz w:val="24"/>
                <w:szCs w:val="24"/>
                <w:lang w:val="sv-FI" w:eastAsia="sv-FI"/>
                <w14:ligatures w14:val="standardContextual"/>
              </w:rPr>
              <w:tab/>
            </w:r>
            <w:r w:rsidRPr="00185DA6">
              <w:rPr>
                <w:rStyle w:val="Hyperlnk"/>
              </w:rPr>
              <w:t>Patientsäkerhetsstrategi för landskapet Åland</w:t>
            </w:r>
            <w:r>
              <w:rPr>
                <w:webHidden/>
              </w:rPr>
              <w:tab/>
            </w:r>
            <w:r>
              <w:rPr>
                <w:webHidden/>
              </w:rPr>
              <w:fldChar w:fldCharType="begin"/>
            </w:r>
            <w:r>
              <w:rPr>
                <w:webHidden/>
              </w:rPr>
              <w:instrText xml:space="preserve"> PAGEREF _Toc242713894 \h </w:instrText>
            </w:r>
            <w:r>
              <w:rPr>
                <w:webHidden/>
              </w:rPr>
            </w:r>
            <w:r>
              <w:rPr>
                <w:webHidden/>
              </w:rPr>
              <w:fldChar w:fldCharType="separate"/>
            </w:r>
            <w:r>
              <w:rPr>
                <w:webHidden/>
              </w:rPr>
              <w:t>3</w:t>
            </w:r>
            <w:r>
              <w:rPr>
                <w:webHidden/>
              </w:rPr>
              <w:fldChar w:fldCharType="end"/>
            </w:r>
          </w:hyperlink>
        </w:p>
        <w:p w14:paraId="19B1E0D9" w14:textId="0ACDE52B" w:rsidR="006E2C95" w:rsidRDefault="006E2C95">
          <w:pPr>
            <w:pStyle w:val="Innehll2"/>
            <w:tabs>
              <w:tab w:val="left" w:pos="799"/>
            </w:tabs>
            <w:rPr>
              <w:rFonts w:eastAsiaTheme="minorEastAsia" w:cstheme="minorBidi"/>
              <w:kern w:val="2"/>
              <w:sz w:val="24"/>
              <w:szCs w:val="24"/>
              <w:lang w:val="sv-FI" w:eastAsia="sv-FI"/>
              <w14:ligatures w14:val="standardContextual"/>
            </w:rPr>
          </w:pPr>
          <w:hyperlink w:anchor="_Toc242713895" w:history="1">
            <w:r w:rsidRPr="00185DA6">
              <w:rPr>
                <w:rStyle w:val="Hyperlnk"/>
              </w:rPr>
              <w:t>4.</w:t>
            </w:r>
            <w:r>
              <w:rPr>
                <w:rFonts w:eastAsiaTheme="minorEastAsia" w:cstheme="minorBidi"/>
                <w:kern w:val="2"/>
                <w:sz w:val="24"/>
                <w:szCs w:val="24"/>
                <w:lang w:val="sv-FI" w:eastAsia="sv-FI"/>
                <w14:ligatures w14:val="standardContextual"/>
              </w:rPr>
              <w:tab/>
            </w:r>
            <w:r w:rsidRPr="00185DA6">
              <w:rPr>
                <w:rStyle w:val="Hyperlnk"/>
              </w:rPr>
              <w:t>Patientens ställning och rättigheter och patientombudsmannens roll</w:t>
            </w:r>
            <w:r>
              <w:rPr>
                <w:webHidden/>
              </w:rPr>
              <w:tab/>
            </w:r>
            <w:r>
              <w:rPr>
                <w:webHidden/>
              </w:rPr>
              <w:fldChar w:fldCharType="begin"/>
            </w:r>
            <w:r>
              <w:rPr>
                <w:webHidden/>
              </w:rPr>
              <w:instrText xml:space="preserve"> PAGEREF _Toc242713895 \h </w:instrText>
            </w:r>
            <w:r>
              <w:rPr>
                <w:webHidden/>
              </w:rPr>
            </w:r>
            <w:r>
              <w:rPr>
                <w:webHidden/>
              </w:rPr>
              <w:fldChar w:fldCharType="separate"/>
            </w:r>
            <w:r>
              <w:rPr>
                <w:webHidden/>
              </w:rPr>
              <w:t>3</w:t>
            </w:r>
            <w:r>
              <w:rPr>
                <w:webHidden/>
              </w:rPr>
              <w:fldChar w:fldCharType="end"/>
            </w:r>
          </w:hyperlink>
        </w:p>
        <w:p w14:paraId="580BAAE4" w14:textId="1F34862A" w:rsidR="006E2C95" w:rsidRDefault="006E2C95">
          <w:pPr>
            <w:pStyle w:val="Innehll2"/>
            <w:tabs>
              <w:tab w:val="left" w:pos="799"/>
            </w:tabs>
            <w:rPr>
              <w:rFonts w:eastAsiaTheme="minorEastAsia" w:cstheme="minorBidi"/>
              <w:kern w:val="2"/>
              <w:sz w:val="24"/>
              <w:szCs w:val="24"/>
              <w:lang w:val="sv-FI" w:eastAsia="sv-FI"/>
              <w14:ligatures w14:val="standardContextual"/>
            </w:rPr>
          </w:pPr>
          <w:hyperlink w:anchor="_Toc242713896" w:history="1">
            <w:r w:rsidRPr="00185DA6">
              <w:rPr>
                <w:rStyle w:val="Hyperlnk"/>
              </w:rPr>
              <w:t>5.</w:t>
            </w:r>
            <w:r>
              <w:rPr>
                <w:rFonts w:eastAsiaTheme="minorEastAsia" w:cstheme="minorBidi"/>
                <w:kern w:val="2"/>
                <w:sz w:val="24"/>
                <w:szCs w:val="24"/>
                <w:lang w:val="sv-FI" w:eastAsia="sv-FI"/>
                <w14:ligatures w14:val="standardContextual"/>
              </w:rPr>
              <w:tab/>
            </w:r>
            <w:r w:rsidRPr="00185DA6">
              <w:rPr>
                <w:rStyle w:val="Hyperlnk"/>
              </w:rPr>
              <w:t>Internt patientsäkerhetsarbete inom ÅHS respektive privata tjänsteproducenter</w:t>
            </w:r>
            <w:r>
              <w:rPr>
                <w:webHidden/>
              </w:rPr>
              <w:tab/>
            </w:r>
            <w:r>
              <w:rPr>
                <w:webHidden/>
              </w:rPr>
              <w:fldChar w:fldCharType="begin"/>
            </w:r>
            <w:r>
              <w:rPr>
                <w:webHidden/>
              </w:rPr>
              <w:instrText xml:space="preserve"> PAGEREF _Toc242713896 \h </w:instrText>
            </w:r>
            <w:r>
              <w:rPr>
                <w:webHidden/>
              </w:rPr>
            </w:r>
            <w:r>
              <w:rPr>
                <w:webHidden/>
              </w:rPr>
              <w:fldChar w:fldCharType="separate"/>
            </w:r>
            <w:r>
              <w:rPr>
                <w:webHidden/>
              </w:rPr>
              <w:t>4</w:t>
            </w:r>
            <w:r>
              <w:rPr>
                <w:webHidden/>
              </w:rPr>
              <w:fldChar w:fldCharType="end"/>
            </w:r>
          </w:hyperlink>
        </w:p>
        <w:p w14:paraId="52A7C04C" w14:textId="0669BD64" w:rsidR="006E2C95" w:rsidRDefault="006E2C95">
          <w:pPr>
            <w:pStyle w:val="Innehll2"/>
            <w:tabs>
              <w:tab w:val="left" w:pos="799"/>
            </w:tabs>
            <w:rPr>
              <w:rFonts w:eastAsiaTheme="minorEastAsia" w:cstheme="minorBidi"/>
              <w:kern w:val="2"/>
              <w:sz w:val="24"/>
              <w:szCs w:val="24"/>
              <w:lang w:val="sv-FI" w:eastAsia="sv-FI"/>
              <w14:ligatures w14:val="standardContextual"/>
            </w:rPr>
          </w:pPr>
          <w:hyperlink w:anchor="_Toc242713897" w:history="1">
            <w:r w:rsidRPr="00185DA6">
              <w:rPr>
                <w:rStyle w:val="Hyperlnk"/>
              </w:rPr>
              <w:t>6.</w:t>
            </w:r>
            <w:r>
              <w:rPr>
                <w:rFonts w:eastAsiaTheme="minorEastAsia" w:cstheme="minorBidi"/>
                <w:kern w:val="2"/>
                <w:sz w:val="24"/>
                <w:szCs w:val="24"/>
                <w:lang w:val="sv-FI" w:eastAsia="sv-FI"/>
                <w14:ligatures w14:val="standardContextual"/>
              </w:rPr>
              <w:tab/>
            </w:r>
            <w:r w:rsidRPr="00185DA6">
              <w:rPr>
                <w:rStyle w:val="Hyperlnk"/>
              </w:rPr>
              <w:t>Tillstånd och extern tillsyn</w:t>
            </w:r>
            <w:r>
              <w:rPr>
                <w:webHidden/>
              </w:rPr>
              <w:tab/>
            </w:r>
            <w:r>
              <w:rPr>
                <w:webHidden/>
              </w:rPr>
              <w:fldChar w:fldCharType="begin"/>
            </w:r>
            <w:r>
              <w:rPr>
                <w:webHidden/>
              </w:rPr>
              <w:instrText xml:space="preserve"> PAGEREF _Toc242713897 \h </w:instrText>
            </w:r>
            <w:r>
              <w:rPr>
                <w:webHidden/>
              </w:rPr>
            </w:r>
            <w:r>
              <w:rPr>
                <w:webHidden/>
              </w:rPr>
              <w:fldChar w:fldCharType="separate"/>
            </w:r>
            <w:r>
              <w:rPr>
                <w:webHidden/>
              </w:rPr>
              <w:t>7</w:t>
            </w:r>
            <w:r>
              <w:rPr>
                <w:webHidden/>
              </w:rPr>
              <w:fldChar w:fldCharType="end"/>
            </w:r>
          </w:hyperlink>
        </w:p>
        <w:p w14:paraId="08890ACA" w14:textId="2E2FB816" w:rsidR="006E2C95" w:rsidRDefault="006E2C95">
          <w:pPr>
            <w:pStyle w:val="Innehll3"/>
            <w:tabs>
              <w:tab w:val="left" w:pos="998"/>
            </w:tabs>
            <w:rPr>
              <w:rFonts w:eastAsiaTheme="minorEastAsia" w:cstheme="minorBidi"/>
              <w:kern w:val="2"/>
              <w:sz w:val="24"/>
              <w:szCs w:val="24"/>
              <w:lang w:val="sv-FI" w:eastAsia="sv-FI"/>
              <w14:ligatures w14:val="standardContextual"/>
            </w:rPr>
          </w:pPr>
          <w:hyperlink w:anchor="_Toc242713898" w:history="1">
            <w:r w:rsidRPr="00185DA6">
              <w:rPr>
                <w:rStyle w:val="Hyperlnk"/>
              </w:rPr>
              <w:t>6.1.</w:t>
            </w:r>
            <w:r>
              <w:rPr>
                <w:rFonts w:eastAsiaTheme="minorEastAsia" w:cstheme="minorBidi"/>
                <w:kern w:val="2"/>
                <w:sz w:val="24"/>
                <w:szCs w:val="24"/>
                <w:lang w:val="sv-FI" w:eastAsia="sv-FI"/>
                <w14:ligatures w14:val="standardContextual"/>
              </w:rPr>
              <w:tab/>
            </w:r>
            <w:r w:rsidRPr="00185DA6">
              <w:rPr>
                <w:rStyle w:val="Hyperlnk"/>
              </w:rPr>
              <w:t>Tillstånd för yrkesutbildade inom hälso- och sjukvården</w:t>
            </w:r>
            <w:r>
              <w:rPr>
                <w:webHidden/>
              </w:rPr>
              <w:tab/>
            </w:r>
            <w:r>
              <w:rPr>
                <w:webHidden/>
              </w:rPr>
              <w:fldChar w:fldCharType="begin"/>
            </w:r>
            <w:r>
              <w:rPr>
                <w:webHidden/>
              </w:rPr>
              <w:instrText xml:space="preserve"> PAGEREF _Toc242713898 \h </w:instrText>
            </w:r>
            <w:r>
              <w:rPr>
                <w:webHidden/>
              </w:rPr>
            </w:r>
            <w:r>
              <w:rPr>
                <w:webHidden/>
              </w:rPr>
              <w:fldChar w:fldCharType="separate"/>
            </w:r>
            <w:r>
              <w:rPr>
                <w:webHidden/>
              </w:rPr>
              <w:t>7</w:t>
            </w:r>
            <w:r>
              <w:rPr>
                <w:webHidden/>
              </w:rPr>
              <w:fldChar w:fldCharType="end"/>
            </w:r>
          </w:hyperlink>
        </w:p>
        <w:p w14:paraId="0C6F9F6F" w14:textId="1814B161" w:rsidR="006E2C95" w:rsidRDefault="006E2C95">
          <w:pPr>
            <w:pStyle w:val="Innehll3"/>
            <w:tabs>
              <w:tab w:val="left" w:pos="998"/>
            </w:tabs>
            <w:rPr>
              <w:rFonts w:eastAsiaTheme="minorEastAsia" w:cstheme="minorBidi"/>
              <w:kern w:val="2"/>
              <w:sz w:val="24"/>
              <w:szCs w:val="24"/>
              <w:lang w:val="sv-FI" w:eastAsia="sv-FI"/>
              <w14:ligatures w14:val="standardContextual"/>
            </w:rPr>
          </w:pPr>
          <w:hyperlink w:anchor="_Toc242713899" w:history="1">
            <w:r w:rsidRPr="00185DA6">
              <w:rPr>
                <w:rStyle w:val="Hyperlnk"/>
              </w:rPr>
              <w:t>6.2.</w:t>
            </w:r>
            <w:r>
              <w:rPr>
                <w:rFonts w:eastAsiaTheme="minorEastAsia" w:cstheme="minorBidi"/>
                <w:kern w:val="2"/>
                <w:sz w:val="24"/>
                <w:szCs w:val="24"/>
                <w:lang w:val="sv-FI" w:eastAsia="sv-FI"/>
                <w14:ligatures w14:val="standardContextual"/>
              </w:rPr>
              <w:tab/>
            </w:r>
            <w:r w:rsidRPr="00185DA6">
              <w:rPr>
                <w:rStyle w:val="Hyperlnk"/>
              </w:rPr>
              <w:t>Tillsyn över yrkesutbildade personer inom hälso- och sjukvården</w:t>
            </w:r>
            <w:r>
              <w:rPr>
                <w:webHidden/>
              </w:rPr>
              <w:tab/>
            </w:r>
            <w:r>
              <w:rPr>
                <w:webHidden/>
              </w:rPr>
              <w:fldChar w:fldCharType="begin"/>
            </w:r>
            <w:r>
              <w:rPr>
                <w:webHidden/>
              </w:rPr>
              <w:instrText xml:space="preserve"> PAGEREF _Toc242713899 \h </w:instrText>
            </w:r>
            <w:r>
              <w:rPr>
                <w:webHidden/>
              </w:rPr>
            </w:r>
            <w:r>
              <w:rPr>
                <w:webHidden/>
              </w:rPr>
              <w:fldChar w:fldCharType="separate"/>
            </w:r>
            <w:r>
              <w:rPr>
                <w:webHidden/>
              </w:rPr>
              <w:t>7</w:t>
            </w:r>
            <w:r>
              <w:rPr>
                <w:webHidden/>
              </w:rPr>
              <w:fldChar w:fldCharType="end"/>
            </w:r>
          </w:hyperlink>
        </w:p>
        <w:p w14:paraId="314413B5" w14:textId="3CBE84B4" w:rsidR="006E2C95" w:rsidRDefault="006E2C95">
          <w:pPr>
            <w:pStyle w:val="Innehll3"/>
            <w:tabs>
              <w:tab w:val="left" w:pos="998"/>
            </w:tabs>
            <w:rPr>
              <w:rFonts w:eastAsiaTheme="minorEastAsia" w:cstheme="minorBidi"/>
              <w:kern w:val="2"/>
              <w:sz w:val="24"/>
              <w:szCs w:val="24"/>
              <w:lang w:val="sv-FI" w:eastAsia="sv-FI"/>
              <w14:ligatures w14:val="standardContextual"/>
            </w:rPr>
          </w:pPr>
          <w:hyperlink w:anchor="_Toc242713900" w:history="1">
            <w:r w:rsidRPr="00185DA6">
              <w:rPr>
                <w:rStyle w:val="Hyperlnk"/>
              </w:rPr>
              <w:t>6.3.</w:t>
            </w:r>
            <w:r>
              <w:rPr>
                <w:rFonts w:eastAsiaTheme="minorEastAsia" w:cstheme="minorBidi"/>
                <w:kern w:val="2"/>
                <w:sz w:val="24"/>
                <w:szCs w:val="24"/>
                <w:lang w:val="sv-FI" w:eastAsia="sv-FI"/>
                <w14:ligatures w14:val="standardContextual"/>
              </w:rPr>
              <w:tab/>
            </w:r>
            <w:r w:rsidRPr="00185DA6">
              <w:rPr>
                <w:rStyle w:val="Hyperlnk"/>
              </w:rPr>
              <w:t>Tillstånd för privata tjänsteproducenter på Åland</w:t>
            </w:r>
            <w:r>
              <w:rPr>
                <w:webHidden/>
              </w:rPr>
              <w:tab/>
            </w:r>
            <w:r>
              <w:rPr>
                <w:webHidden/>
              </w:rPr>
              <w:fldChar w:fldCharType="begin"/>
            </w:r>
            <w:r>
              <w:rPr>
                <w:webHidden/>
              </w:rPr>
              <w:instrText xml:space="preserve"> PAGEREF _Toc242713900 \h </w:instrText>
            </w:r>
            <w:r>
              <w:rPr>
                <w:webHidden/>
              </w:rPr>
            </w:r>
            <w:r>
              <w:rPr>
                <w:webHidden/>
              </w:rPr>
              <w:fldChar w:fldCharType="separate"/>
            </w:r>
            <w:r>
              <w:rPr>
                <w:webHidden/>
              </w:rPr>
              <w:t>8</w:t>
            </w:r>
            <w:r>
              <w:rPr>
                <w:webHidden/>
              </w:rPr>
              <w:fldChar w:fldCharType="end"/>
            </w:r>
          </w:hyperlink>
        </w:p>
        <w:p w14:paraId="1BB4CAF1" w14:textId="3886E17C" w:rsidR="006E2C95" w:rsidRDefault="006E2C95">
          <w:pPr>
            <w:pStyle w:val="Innehll3"/>
            <w:tabs>
              <w:tab w:val="left" w:pos="998"/>
            </w:tabs>
            <w:rPr>
              <w:rFonts w:eastAsiaTheme="minorEastAsia" w:cstheme="minorBidi"/>
              <w:kern w:val="2"/>
              <w:sz w:val="24"/>
              <w:szCs w:val="24"/>
              <w:lang w:val="sv-FI" w:eastAsia="sv-FI"/>
              <w14:ligatures w14:val="standardContextual"/>
            </w:rPr>
          </w:pPr>
          <w:hyperlink w:anchor="_Toc242713901" w:history="1">
            <w:r w:rsidRPr="00185DA6">
              <w:rPr>
                <w:rStyle w:val="Hyperlnk"/>
              </w:rPr>
              <w:t>6.4.</w:t>
            </w:r>
            <w:r>
              <w:rPr>
                <w:rFonts w:eastAsiaTheme="minorEastAsia" w:cstheme="minorBidi"/>
                <w:kern w:val="2"/>
                <w:sz w:val="24"/>
                <w:szCs w:val="24"/>
                <w:lang w:val="sv-FI" w:eastAsia="sv-FI"/>
                <w14:ligatures w14:val="standardContextual"/>
              </w:rPr>
              <w:tab/>
            </w:r>
            <w:r w:rsidRPr="00185DA6">
              <w:rPr>
                <w:rStyle w:val="Hyperlnk"/>
              </w:rPr>
              <w:t>Löpande tillsyn av ÅHS och privata tjänsteproducenter</w:t>
            </w:r>
            <w:r>
              <w:rPr>
                <w:webHidden/>
              </w:rPr>
              <w:tab/>
            </w:r>
            <w:r>
              <w:rPr>
                <w:webHidden/>
              </w:rPr>
              <w:fldChar w:fldCharType="begin"/>
            </w:r>
            <w:r>
              <w:rPr>
                <w:webHidden/>
              </w:rPr>
              <w:instrText xml:space="preserve"> PAGEREF _Toc242713901 \h </w:instrText>
            </w:r>
            <w:r>
              <w:rPr>
                <w:webHidden/>
              </w:rPr>
            </w:r>
            <w:r>
              <w:rPr>
                <w:webHidden/>
              </w:rPr>
              <w:fldChar w:fldCharType="separate"/>
            </w:r>
            <w:r>
              <w:rPr>
                <w:webHidden/>
              </w:rPr>
              <w:t>8</w:t>
            </w:r>
            <w:r>
              <w:rPr>
                <w:webHidden/>
              </w:rPr>
              <w:fldChar w:fldCharType="end"/>
            </w:r>
          </w:hyperlink>
        </w:p>
        <w:p w14:paraId="01DA3E45" w14:textId="723414B1" w:rsidR="006E2C95" w:rsidRDefault="006E2C95">
          <w:pPr>
            <w:pStyle w:val="Innehll2"/>
            <w:tabs>
              <w:tab w:val="left" w:pos="799"/>
            </w:tabs>
            <w:rPr>
              <w:rFonts w:eastAsiaTheme="minorEastAsia" w:cstheme="minorBidi"/>
              <w:kern w:val="2"/>
              <w:sz w:val="24"/>
              <w:szCs w:val="24"/>
              <w:lang w:val="sv-FI" w:eastAsia="sv-FI"/>
              <w14:ligatures w14:val="standardContextual"/>
            </w:rPr>
          </w:pPr>
          <w:hyperlink w:anchor="_Toc242713902" w:history="1">
            <w:r w:rsidRPr="00185DA6">
              <w:rPr>
                <w:rStyle w:val="Hyperlnk"/>
              </w:rPr>
              <w:t>7.</w:t>
            </w:r>
            <w:r>
              <w:rPr>
                <w:rFonts w:eastAsiaTheme="minorEastAsia" w:cstheme="minorBidi"/>
                <w:kern w:val="2"/>
                <w:sz w:val="24"/>
                <w:szCs w:val="24"/>
                <w:lang w:val="sv-FI" w:eastAsia="sv-FI"/>
                <w14:ligatures w14:val="standardContextual"/>
              </w:rPr>
              <w:tab/>
            </w:r>
            <w:r w:rsidRPr="00185DA6">
              <w:rPr>
                <w:rStyle w:val="Hyperlnk"/>
              </w:rPr>
              <w:t>Övriga områden kopplade till patientsäkerheten</w:t>
            </w:r>
            <w:r>
              <w:rPr>
                <w:webHidden/>
              </w:rPr>
              <w:tab/>
            </w:r>
            <w:r>
              <w:rPr>
                <w:webHidden/>
              </w:rPr>
              <w:fldChar w:fldCharType="begin"/>
            </w:r>
            <w:r>
              <w:rPr>
                <w:webHidden/>
              </w:rPr>
              <w:instrText xml:space="preserve"> PAGEREF _Toc242713902 \h </w:instrText>
            </w:r>
            <w:r>
              <w:rPr>
                <w:webHidden/>
              </w:rPr>
            </w:r>
            <w:r>
              <w:rPr>
                <w:webHidden/>
              </w:rPr>
              <w:fldChar w:fldCharType="separate"/>
            </w:r>
            <w:r>
              <w:rPr>
                <w:webHidden/>
              </w:rPr>
              <w:t>9</w:t>
            </w:r>
            <w:r>
              <w:rPr>
                <w:webHidden/>
              </w:rPr>
              <w:fldChar w:fldCharType="end"/>
            </w:r>
          </w:hyperlink>
        </w:p>
        <w:p w14:paraId="2C9391D1" w14:textId="5B6CFDA2" w:rsidR="006E2C95" w:rsidRDefault="006E2C95">
          <w:pPr>
            <w:pStyle w:val="Innehll3"/>
            <w:tabs>
              <w:tab w:val="left" w:pos="998"/>
            </w:tabs>
            <w:rPr>
              <w:rFonts w:eastAsiaTheme="minorEastAsia" w:cstheme="minorBidi"/>
              <w:kern w:val="2"/>
              <w:sz w:val="24"/>
              <w:szCs w:val="24"/>
              <w:lang w:val="sv-FI" w:eastAsia="sv-FI"/>
              <w14:ligatures w14:val="standardContextual"/>
            </w:rPr>
          </w:pPr>
          <w:hyperlink w:anchor="_Toc242713903" w:history="1">
            <w:r w:rsidRPr="00185DA6">
              <w:rPr>
                <w:rStyle w:val="Hyperlnk"/>
              </w:rPr>
              <w:t>7.1.</w:t>
            </w:r>
            <w:r>
              <w:rPr>
                <w:rFonts w:eastAsiaTheme="minorEastAsia" w:cstheme="minorBidi"/>
                <w:kern w:val="2"/>
                <w:sz w:val="24"/>
                <w:szCs w:val="24"/>
                <w:lang w:val="sv-FI" w:eastAsia="sv-FI"/>
                <w14:ligatures w14:val="standardContextual"/>
              </w:rPr>
              <w:tab/>
            </w:r>
            <w:r w:rsidRPr="00185DA6">
              <w:rPr>
                <w:rStyle w:val="Hyperlnk"/>
              </w:rPr>
              <w:t>Läkemedel och medicintekniska produkter</w:t>
            </w:r>
            <w:r>
              <w:rPr>
                <w:webHidden/>
              </w:rPr>
              <w:tab/>
            </w:r>
            <w:r>
              <w:rPr>
                <w:webHidden/>
              </w:rPr>
              <w:fldChar w:fldCharType="begin"/>
            </w:r>
            <w:r>
              <w:rPr>
                <w:webHidden/>
              </w:rPr>
              <w:instrText xml:space="preserve"> PAGEREF _Toc242713903 \h </w:instrText>
            </w:r>
            <w:r>
              <w:rPr>
                <w:webHidden/>
              </w:rPr>
            </w:r>
            <w:r>
              <w:rPr>
                <w:webHidden/>
              </w:rPr>
              <w:fldChar w:fldCharType="separate"/>
            </w:r>
            <w:r>
              <w:rPr>
                <w:webHidden/>
              </w:rPr>
              <w:t>9</w:t>
            </w:r>
            <w:r>
              <w:rPr>
                <w:webHidden/>
              </w:rPr>
              <w:fldChar w:fldCharType="end"/>
            </w:r>
          </w:hyperlink>
        </w:p>
        <w:p w14:paraId="344DD3F9" w14:textId="7DF8EEDF" w:rsidR="006E2C95" w:rsidRDefault="006E2C95">
          <w:pPr>
            <w:pStyle w:val="Innehll3"/>
            <w:tabs>
              <w:tab w:val="left" w:pos="998"/>
            </w:tabs>
            <w:rPr>
              <w:rFonts w:eastAsiaTheme="minorEastAsia" w:cstheme="minorBidi"/>
              <w:kern w:val="2"/>
              <w:sz w:val="24"/>
              <w:szCs w:val="24"/>
              <w:lang w:val="sv-FI" w:eastAsia="sv-FI"/>
              <w14:ligatures w14:val="standardContextual"/>
            </w:rPr>
          </w:pPr>
          <w:hyperlink w:anchor="_Toc242713904" w:history="1">
            <w:r w:rsidRPr="00185DA6">
              <w:rPr>
                <w:rStyle w:val="Hyperlnk"/>
              </w:rPr>
              <w:t>7.2.</w:t>
            </w:r>
            <w:r>
              <w:rPr>
                <w:rFonts w:eastAsiaTheme="minorEastAsia" w:cstheme="minorBidi"/>
                <w:kern w:val="2"/>
                <w:sz w:val="24"/>
                <w:szCs w:val="24"/>
                <w:lang w:val="sv-FI" w:eastAsia="sv-FI"/>
                <w14:ligatures w14:val="standardContextual"/>
              </w:rPr>
              <w:tab/>
            </w:r>
            <w:r w:rsidRPr="00185DA6">
              <w:rPr>
                <w:rStyle w:val="Hyperlnk"/>
              </w:rPr>
              <w:t>Patientförsäkring</w:t>
            </w:r>
            <w:r>
              <w:rPr>
                <w:webHidden/>
              </w:rPr>
              <w:tab/>
            </w:r>
            <w:r>
              <w:rPr>
                <w:webHidden/>
              </w:rPr>
              <w:fldChar w:fldCharType="begin"/>
            </w:r>
            <w:r>
              <w:rPr>
                <w:webHidden/>
              </w:rPr>
              <w:instrText xml:space="preserve"> PAGEREF _Toc242713904 \h </w:instrText>
            </w:r>
            <w:r>
              <w:rPr>
                <w:webHidden/>
              </w:rPr>
            </w:r>
            <w:r>
              <w:rPr>
                <w:webHidden/>
              </w:rPr>
              <w:fldChar w:fldCharType="separate"/>
            </w:r>
            <w:r>
              <w:rPr>
                <w:webHidden/>
              </w:rPr>
              <w:t>10</w:t>
            </w:r>
            <w:r>
              <w:rPr>
                <w:webHidden/>
              </w:rPr>
              <w:fldChar w:fldCharType="end"/>
            </w:r>
          </w:hyperlink>
        </w:p>
        <w:p w14:paraId="28C9C828" w14:textId="229ABA1B" w:rsidR="006E2C95" w:rsidRDefault="006E2C95">
          <w:pPr>
            <w:pStyle w:val="Innehll3"/>
            <w:tabs>
              <w:tab w:val="left" w:pos="998"/>
            </w:tabs>
            <w:rPr>
              <w:rFonts w:eastAsiaTheme="minorEastAsia" w:cstheme="minorBidi"/>
              <w:kern w:val="2"/>
              <w:sz w:val="24"/>
              <w:szCs w:val="24"/>
              <w:lang w:val="sv-FI" w:eastAsia="sv-FI"/>
              <w14:ligatures w14:val="standardContextual"/>
            </w:rPr>
          </w:pPr>
          <w:hyperlink w:anchor="_Toc242713905" w:history="1">
            <w:r w:rsidRPr="00185DA6">
              <w:rPr>
                <w:rStyle w:val="Hyperlnk"/>
              </w:rPr>
              <w:t>7.3.</w:t>
            </w:r>
            <w:r>
              <w:rPr>
                <w:rFonts w:eastAsiaTheme="minorEastAsia" w:cstheme="minorBidi"/>
                <w:kern w:val="2"/>
                <w:sz w:val="24"/>
                <w:szCs w:val="24"/>
                <w:lang w:val="sv-FI" w:eastAsia="sv-FI"/>
                <w14:ligatures w14:val="standardContextual"/>
              </w:rPr>
              <w:tab/>
            </w:r>
            <w:r w:rsidRPr="00185DA6">
              <w:rPr>
                <w:rStyle w:val="Hyperlnk"/>
              </w:rPr>
              <w:t>Säker hantering av personuppgifter</w:t>
            </w:r>
            <w:r>
              <w:rPr>
                <w:webHidden/>
              </w:rPr>
              <w:tab/>
            </w:r>
            <w:r>
              <w:rPr>
                <w:webHidden/>
              </w:rPr>
              <w:fldChar w:fldCharType="begin"/>
            </w:r>
            <w:r>
              <w:rPr>
                <w:webHidden/>
              </w:rPr>
              <w:instrText xml:space="preserve"> PAGEREF _Toc242713905 \h </w:instrText>
            </w:r>
            <w:r>
              <w:rPr>
                <w:webHidden/>
              </w:rPr>
            </w:r>
            <w:r>
              <w:rPr>
                <w:webHidden/>
              </w:rPr>
              <w:fldChar w:fldCharType="separate"/>
            </w:r>
            <w:r>
              <w:rPr>
                <w:webHidden/>
              </w:rPr>
              <w:t>10</w:t>
            </w:r>
            <w:r>
              <w:rPr>
                <w:webHidden/>
              </w:rPr>
              <w:fldChar w:fldCharType="end"/>
            </w:r>
          </w:hyperlink>
        </w:p>
        <w:p w14:paraId="639EEC02" w14:textId="6010720F" w:rsidR="00387C9D" w:rsidRDefault="00387C9D">
          <w:pPr>
            <w:rPr>
              <w:b/>
              <w:bCs/>
            </w:rPr>
          </w:pPr>
          <w:r>
            <w:rPr>
              <w:noProof/>
            </w:rPr>
            <w:fldChar w:fldCharType="end"/>
          </w:r>
        </w:p>
      </w:sdtContent>
    </w:sdt>
    <w:p w14:paraId="6DD5A91D" w14:textId="034DC406" w:rsidR="00387C9D" w:rsidRDefault="00387C9D">
      <w:pPr>
        <w:autoSpaceDE/>
        <w:autoSpaceDN/>
        <w:adjustRightInd/>
        <w:spacing w:after="160" w:line="259" w:lineRule="auto"/>
        <w:textAlignment w:val="auto"/>
        <w:rPr>
          <w:rFonts w:cs="Open Sans Condensed Light"/>
        </w:rPr>
      </w:pPr>
      <w:r>
        <w:br w:type="page"/>
      </w:r>
    </w:p>
    <w:p w14:paraId="4CB5E513" w14:textId="7CFB151F" w:rsidR="001B0E30" w:rsidRDefault="001B0E30" w:rsidP="003D2CC3">
      <w:pPr>
        <w:pStyle w:val="Rubrik2"/>
        <w:numPr>
          <w:ilvl w:val="0"/>
          <w:numId w:val="15"/>
        </w:numPr>
      </w:pPr>
      <w:bookmarkStart w:id="0" w:name="_Toc242713892"/>
      <w:r>
        <w:lastRenderedPageBreak/>
        <w:t>Inledning</w:t>
      </w:r>
      <w:bookmarkEnd w:id="0"/>
    </w:p>
    <w:p w14:paraId="25066E20" w14:textId="77777777" w:rsidR="00387C9D" w:rsidRDefault="00387C9D" w:rsidP="001B0E30"/>
    <w:p w14:paraId="24E916F4" w14:textId="70D7E203" w:rsidR="00C62CA3" w:rsidRDefault="001B0E30" w:rsidP="001B0E30">
      <w:r>
        <w:t xml:space="preserve">Hälso- och sjukvården ska vara högkvalitativ, </w:t>
      </w:r>
      <w:r w:rsidR="00C62CA3">
        <w:t>individanpassad</w:t>
      </w:r>
      <w:r>
        <w:t xml:space="preserve">, säker och bedrivas på behörigt sätt. </w:t>
      </w:r>
      <w:r w:rsidR="00C62CA3">
        <w:t>För att vara patientsäker måste h</w:t>
      </w:r>
      <w:r>
        <w:t>älso</w:t>
      </w:r>
      <w:r w:rsidR="00C62CA3">
        <w:t>- och sjuk</w:t>
      </w:r>
      <w:r>
        <w:t>vårdens verksamhet utgå från evidens och god vård- och verksamhetspraxis.</w:t>
      </w:r>
      <w:r w:rsidR="00C62CA3">
        <w:t xml:space="preserve"> </w:t>
      </w:r>
    </w:p>
    <w:p w14:paraId="4A3D5D4E" w14:textId="77777777" w:rsidR="00C62CA3" w:rsidRDefault="00C62CA3" w:rsidP="001B0E30"/>
    <w:p w14:paraId="04C2B271" w14:textId="445045B9" w:rsidR="001B0E30" w:rsidRDefault="001B0E30" w:rsidP="001B0E30">
      <w:r>
        <w:t>Med patientsäkerhet</w:t>
      </w:r>
      <w:r w:rsidR="00C62CA3">
        <w:t>sarbete</w:t>
      </w:r>
      <w:r>
        <w:t xml:space="preserve"> avses </w:t>
      </w:r>
      <w:r w:rsidR="00C62CA3">
        <w:t xml:space="preserve">regleringar, </w:t>
      </w:r>
      <w:r>
        <w:t xml:space="preserve">principer och </w:t>
      </w:r>
      <w:r w:rsidR="00C62CA3">
        <w:t xml:space="preserve">arbetssätt </w:t>
      </w:r>
      <w:r>
        <w:t xml:space="preserve">med vilka säkerställs att vården och tjänsterna är säkra </w:t>
      </w:r>
      <w:r w:rsidR="00C62CA3">
        <w:t xml:space="preserve">och </w:t>
      </w:r>
      <w:r>
        <w:t>skyddar patienter mot skador.</w:t>
      </w:r>
      <w:r w:rsidR="00C62CA3">
        <w:t xml:space="preserve"> Här ingår även att </w:t>
      </w:r>
      <w:r>
        <w:t>se till att lokaler, utrustning och läkemedel används korrekt och säkert</w:t>
      </w:r>
      <w:r w:rsidR="00C62CA3">
        <w:t>,</w:t>
      </w:r>
      <w:r>
        <w:t xml:space="preserve"> samt att man har ett välfungerande </w:t>
      </w:r>
      <w:r w:rsidR="00CD0486">
        <w:t xml:space="preserve">och säkert </w:t>
      </w:r>
      <w:r w:rsidR="002B07BB">
        <w:t>vårdinformationssystem</w:t>
      </w:r>
      <w:r w:rsidR="00945034">
        <w:t xml:space="preserve"> (</w:t>
      </w:r>
      <w:r w:rsidR="00945034" w:rsidRPr="00945034">
        <w:t xml:space="preserve">tillgänglighet till </w:t>
      </w:r>
      <w:r w:rsidR="00945034">
        <w:t xml:space="preserve">korrekt </w:t>
      </w:r>
      <w:r w:rsidR="00945034" w:rsidRPr="00945034">
        <w:t>patientdata</w:t>
      </w:r>
      <w:r w:rsidR="00BA1B3E">
        <w:t xml:space="preserve">, </w:t>
      </w:r>
      <w:r w:rsidR="00945034" w:rsidRPr="00945034">
        <w:t xml:space="preserve">säker hantering av </w:t>
      </w:r>
      <w:r w:rsidR="00945034">
        <w:t xml:space="preserve">vårdinformation och </w:t>
      </w:r>
      <w:r w:rsidR="00945034" w:rsidRPr="00945034">
        <w:t>personuppgifter</w:t>
      </w:r>
      <w:r w:rsidR="00BA1B3E">
        <w:t>, mm</w:t>
      </w:r>
      <w:r w:rsidR="00945034">
        <w:t>)</w:t>
      </w:r>
      <w:r>
        <w:t>.</w:t>
      </w:r>
      <w:r w:rsidR="00C62CA3">
        <w:t xml:space="preserve"> S</w:t>
      </w:r>
      <w:r>
        <w:t xml:space="preserve">äkerheten </w:t>
      </w:r>
      <w:r w:rsidR="00C62CA3">
        <w:t xml:space="preserve">ökas också genom att </w:t>
      </w:r>
      <w:r w:rsidR="002B07BB">
        <w:t xml:space="preserve">utrangera </w:t>
      </w:r>
      <w:r w:rsidR="00C62CA3">
        <w:t>onödig vård</w:t>
      </w:r>
      <w:r w:rsidR="002B07BB">
        <w:t xml:space="preserve">, så att </w:t>
      </w:r>
      <w:r>
        <w:t xml:space="preserve">patienten </w:t>
      </w:r>
      <w:r w:rsidR="002B07BB">
        <w:t xml:space="preserve">inte </w:t>
      </w:r>
      <w:r>
        <w:t>utsätts för ineffektiva behandlingars nackdelar utan att någon nytta är att vänta.</w:t>
      </w:r>
    </w:p>
    <w:p w14:paraId="620B53C1" w14:textId="77777777" w:rsidR="001B0E30" w:rsidRDefault="001B0E30" w:rsidP="001B0E30"/>
    <w:p w14:paraId="3C445EE2" w14:textId="7D2A110E" w:rsidR="001B0E30" w:rsidRDefault="001B0E30" w:rsidP="001B0E30">
      <w:r>
        <w:t xml:space="preserve">Patientsäkerhetsarbetets </w:t>
      </w:r>
      <w:r w:rsidR="002B07BB">
        <w:t xml:space="preserve">mål </w:t>
      </w:r>
      <w:r>
        <w:t xml:space="preserve">är att främja säkerheten i all hälso- och sjukvårdsverksamhet så att </w:t>
      </w:r>
      <w:r w:rsidR="00C62CA3">
        <w:t xml:space="preserve">man </w:t>
      </w:r>
      <w:r>
        <w:t xml:space="preserve">kan undvika så mycket som möjligt av den skada som kan undvikas. Genom att minska antalet farliga och skadliga händelser samt missförhållanden så mycket som möjligt minskar </w:t>
      </w:r>
      <w:r w:rsidR="002B07BB">
        <w:t>man</w:t>
      </w:r>
      <w:r>
        <w:t xml:space="preserve"> också det mänskliga lidande och de kostnader som de orsakar.</w:t>
      </w:r>
      <w:r w:rsidR="00C8177C">
        <w:t xml:space="preserve"> </w:t>
      </w:r>
      <w:r w:rsidR="007B0E24" w:rsidRPr="007B0E24">
        <w:t xml:space="preserve">Det är </w:t>
      </w:r>
      <w:r w:rsidR="007B0E24">
        <w:t xml:space="preserve">därför </w:t>
      </w:r>
      <w:r w:rsidR="007B0E24" w:rsidRPr="007B0E24">
        <w:t>mycket viktigt att kvaliteten på vården och patientsäkerheten följs upp kontinuerligt. Patientsäkerheten kan förbättras genom riskanalys, förbättrade vårdprocesser och strukturer för verksamheten samt genom att man tar lärdom av avvikelser.</w:t>
      </w:r>
    </w:p>
    <w:p w14:paraId="6FB36301" w14:textId="77777777" w:rsidR="001B0E30" w:rsidRDefault="001B0E30" w:rsidP="001B0E30"/>
    <w:p w14:paraId="40329EB3" w14:textId="602D1A97" w:rsidR="002B07BB" w:rsidRDefault="002B07BB" w:rsidP="001B0E30">
      <w:r>
        <w:t>Ett effektivt patientsäkerhetsarbete kräver både adekvat lagstiftning och gynnsamma strukturer som främjar medarbetarnas och patienterna</w:t>
      </w:r>
      <w:r w:rsidR="00311E29">
        <w:t>s</w:t>
      </w:r>
      <w:r>
        <w:t xml:space="preserve"> bidrag till förbättringsarbetet inom alla delar av vårdorganisationerna. Kunskap, effektiva informationskanaler, öppen dialog, en positiv förändringskultur och aktivt ledarskap är hörnstenar.</w:t>
      </w:r>
    </w:p>
    <w:p w14:paraId="03CE8879" w14:textId="77777777" w:rsidR="002B07BB" w:rsidRDefault="002B07BB" w:rsidP="001B0E30"/>
    <w:p w14:paraId="369C3828" w14:textId="68CFD92F" w:rsidR="001B0E30" w:rsidRDefault="001B0E30" w:rsidP="001B0E30">
      <w:r>
        <w:t>I riket finns en k</w:t>
      </w:r>
      <w:r w:rsidRPr="001B0E30">
        <w:t>lient- och patientsäkerhetsstrategi.</w:t>
      </w:r>
      <w:r w:rsidR="00C62CA3">
        <w:rPr>
          <w:rStyle w:val="Fotnotsreferens"/>
        </w:rPr>
        <w:footnoteReference w:id="1"/>
      </w:r>
      <w:r w:rsidRPr="001B0E30">
        <w:t xml:space="preserve"> </w:t>
      </w:r>
      <w:r>
        <w:t>Internationell</w:t>
      </w:r>
      <w:r w:rsidR="00C62CA3">
        <w:t>t finns vissa regleringar på EU</w:t>
      </w:r>
      <w:r w:rsidR="00F52441">
        <w:t>-</w:t>
      </w:r>
      <w:r w:rsidR="00C62CA3">
        <w:t xml:space="preserve">nivå som främjar patientsäkerhet (bland annat på läkemedelsområdet) och </w:t>
      </w:r>
      <w:r>
        <w:t>Världshälsoorganisationen har publicerat ett globalt målprogram för patientsäkerhet för åren 2021–2030.</w:t>
      </w:r>
      <w:r w:rsidR="00C62CA3">
        <w:rPr>
          <w:rStyle w:val="Fotnotsreferens"/>
        </w:rPr>
        <w:footnoteReference w:id="2"/>
      </w:r>
      <w:r>
        <w:t xml:space="preserve"> Målet med detta målprogram är att minska skador som kan undvikas inom hälso- och sjukvården i betydande grad, stärka strukturerna för förbättring av säkerheten, öka patienternas och de anhörigas delaktighet samt förbättra den säkerhetsfrämjande ledningen genom information.</w:t>
      </w:r>
    </w:p>
    <w:p w14:paraId="77C769BD" w14:textId="77777777" w:rsidR="00C62CA3" w:rsidRDefault="00C62CA3" w:rsidP="001B0E30"/>
    <w:p w14:paraId="3323311C" w14:textId="0704B4EB" w:rsidR="00C62CA3" w:rsidRDefault="00C62CA3" w:rsidP="001B0E30">
      <w:r>
        <w:t>I denna rapport analyseras nuläget på Åland gällande lagstiftning, strukturer och praxis för patientsäkerhetsarbetet. Strategiska frågor för framtiden identifieras och diskuteras. Rapporten är en del av arbetet att ta fram en strategi för framtidens hälso- och sjukvård på Åland till år 2040.</w:t>
      </w:r>
      <w:r w:rsidR="00D96B5A">
        <w:t xml:space="preserve"> </w:t>
      </w:r>
      <w:r w:rsidR="00D96B5A" w:rsidRPr="00D96B5A">
        <w:t>Liksom i processen att ta fram övriga delanalyser har utkast och preliminära slutsatser redovisats för den parlamentariska referensgruppen och ÅHS styrelse. Dessutom har konsultationer hållits med ÅMHM, ombudsmannamyndigheten, en hälso- och sjukvårdsexpertgrupp där även privata vårdgivare ingick, samt ÅHS personalrepresentanter, klinikchefer och vårdchefer.</w:t>
      </w:r>
    </w:p>
    <w:p w14:paraId="377FC6AA" w14:textId="77777777" w:rsidR="001B0E30" w:rsidRDefault="001B0E30" w:rsidP="001B0E30"/>
    <w:p w14:paraId="4CCEC3EE" w14:textId="2574EC84" w:rsidR="003C5F15" w:rsidRDefault="009D46B2" w:rsidP="003D2CC3">
      <w:pPr>
        <w:pStyle w:val="Rubrik2"/>
        <w:numPr>
          <w:ilvl w:val="0"/>
          <w:numId w:val="15"/>
        </w:numPr>
      </w:pPr>
      <w:bookmarkStart w:id="1" w:name="_Toc242713893"/>
      <w:r>
        <w:lastRenderedPageBreak/>
        <w:t>Behörighetsfördelning</w:t>
      </w:r>
      <w:r w:rsidR="005906BE">
        <w:t xml:space="preserve"> mellan Åland och riket</w:t>
      </w:r>
      <w:bookmarkEnd w:id="1"/>
    </w:p>
    <w:p w14:paraId="2B12B809" w14:textId="77777777" w:rsidR="002659A9" w:rsidRDefault="002659A9" w:rsidP="00062E0C"/>
    <w:p w14:paraId="7158A691" w14:textId="0CBE62BB" w:rsidR="009D46B2" w:rsidRDefault="002659A9" w:rsidP="009D46B2">
      <w:r w:rsidRPr="002659A9">
        <w:t>Hälso- och sjukvård är åländsk lagstiftningsbehörighetbehörighet</w:t>
      </w:r>
      <w:r w:rsidR="009C3EC4">
        <w:t>,</w:t>
      </w:r>
      <w:r w:rsidRPr="002659A9">
        <w:t xml:space="preserve"> </w:t>
      </w:r>
      <w:r w:rsidR="009C3EC4">
        <w:t xml:space="preserve">med vissa undantag, </w:t>
      </w:r>
      <w:r w:rsidRPr="002659A9">
        <w:t>enligt 18 § 12 punkten i självstyrelselagen (1991:71)</w:t>
      </w:r>
      <w:r w:rsidR="005A622C">
        <w:t xml:space="preserve"> för Åland</w:t>
      </w:r>
      <w:r w:rsidR="009C3EC4">
        <w:t xml:space="preserve">. Därmed är regleringen av patientsäkerhetsarbetet i huvudsak åländsk behörighet. </w:t>
      </w:r>
      <w:r w:rsidR="009D46B2">
        <w:t>Lagstiftning som berör patientsäkerhet i</w:t>
      </w:r>
      <w:r w:rsidR="009C3EC4">
        <w:t>nom</w:t>
      </w:r>
      <w:r w:rsidR="009D46B2">
        <w:t xml:space="preserve"> </w:t>
      </w:r>
      <w:r>
        <w:t xml:space="preserve">flera </w:t>
      </w:r>
      <w:r w:rsidR="009C3EC4">
        <w:t xml:space="preserve">specialområden tillhör emellertid </w:t>
      </w:r>
      <w:r w:rsidR="009D46B2">
        <w:t xml:space="preserve">rikets </w:t>
      </w:r>
      <w:r w:rsidR="009C3EC4">
        <w:t>l</w:t>
      </w:r>
      <w:r w:rsidR="009D46B2">
        <w:t>agstiftningsbehörighet</w:t>
      </w:r>
      <w:r w:rsidR="009C3EC4">
        <w:t>. På dessa specialområden har Åland som regel förvaltningsbehörigheten, alltså ansvaret att verkställa lagarna på Åland</w:t>
      </w:r>
      <w:r w:rsidR="003D2CC3">
        <w:t xml:space="preserve"> bland annat gällande tillsyn</w:t>
      </w:r>
      <w:r w:rsidR="009D46B2">
        <w:t>.</w:t>
      </w:r>
      <w:r w:rsidR="00161663">
        <w:rPr>
          <w:rStyle w:val="Fotnotsreferens"/>
        </w:rPr>
        <w:footnoteReference w:id="3"/>
      </w:r>
      <w:r w:rsidR="009D46B2">
        <w:t xml:space="preserve"> Även EU förordningar styr i viss mån patientsäkerhetsarbetet.</w:t>
      </w:r>
      <w:r w:rsidR="009C3EC4">
        <w:t xml:space="preserve"> Behörighetsfördelningen diskuteras i respektive avsnitt nedan.</w:t>
      </w:r>
    </w:p>
    <w:p w14:paraId="054A0940" w14:textId="77777777" w:rsidR="000D43F7" w:rsidRDefault="000D43F7" w:rsidP="009D46B2"/>
    <w:p w14:paraId="17534E1C" w14:textId="77777777" w:rsidR="000D43F7" w:rsidRDefault="000D43F7" w:rsidP="009D46B2"/>
    <w:p w14:paraId="4ACC842B" w14:textId="6FFB3B0F" w:rsidR="000D43F7" w:rsidRDefault="000D43F7" w:rsidP="003D2CC3">
      <w:pPr>
        <w:pStyle w:val="Rubrik2"/>
        <w:numPr>
          <w:ilvl w:val="0"/>
          <w:numId w:val="15"/>
        </w:numPr>
      </w:pPr>
      <w:bookmarkStart w:id="2" w:name="_Toc242713894"/>
      <w:r>
        <w:t>Patientsäkerhetsstrategi för landskapet Åland</w:t>
      </w:r>
      <w:bookmarkEnd w:id="2"/>
    </w:p>
    <w:p w14:paraId="69FBA11D" w14:textId="77777777" w:rsidR="00870B82" w:rsidRDefault="00870B82" w:rsidP="00870B82"/>
    <w:p w14:paraId="0CB7A56B" w14:textId="70D31DBD" w:rsidR="000D43F7" w:rsidRDefault="000D43F7" w:rsidP="00870B82">
      <w:r>
        <w:t xml:space="preserve">Inledningsvis kan det konstateras att Åland aldrig har haft en övergripande patientsäkerhetsstrategi. I riket har det funnits en patientsäkerhetsstrategi sedan </w:t>
      </w:r>
      <w:r w:rsidRPr="000D43F7">
        <w:t xml:space="preserve">2009, </w:t>
      </w:r>
      <w:r>
        <w:t>vilken uppdaterades i omgångar, senast år 2021 för perioden 2022-2026.</w:t>
      </w:r>
      <w:r>
        <w:rPr>
          <w:rStyle w:val="Fotnotsreferens"/>
        </w:rPr>
        <w:footnoteReference w:id="4"/>
      </w:r>
      <w:r>
        <w:t xml:space="preserve"> Den här föreliggande delanalysen är inte i sig en patientsäkerhetsstrategi för Åland, utan en analys av vilka utvecklingsområden som finns och vilka strategiska frågor som behöver besvaras vid planeringen av framtidens hälso- oh sjukvård</w:t>
      </w:r>
      <w:r w:rsidR="00FD297D">
        <w:t xml:space="preserve"> på Åland</w:t>
      </w:r>
      <w:r>
        <w:t xml:space="preserve">. </w:t>
      </w:r>
    </w:p>
    <w:p w14:paraId="024AA0DD" w14:textId="77777777" w:rsidR="000F7E45" w:rsidRDefault="000F7E45" w:rsidP="00870B82"/>
    <w:p w14:paraId="702974CC" w14:textId="6A5F4C94" w:rsidR="000F7E45" w:rsidRDefault="003F7BAF" w:rsidP="00870B82">
      <w:r>
        <w:t xml:space="preserve">På Åland ansvarar flera aktörer för patientsäkerhetsarbetet, inklusive </w:t>
      </w:r>
      <w:r w:rsidR="007C6540">
        <w:t xml:space="preserve">de enskilda </w:t>
      </w:r>
      <w:r w:rsidR="004806E7">
        <w:t xml:space="preserve">yrkesutbildade personerna inom hälso- och sjukvården, </w:t>
      </w:r>
      <w:r w:rsidR="00EE4963">
        <w:t xml:space="preserve">varje </w:t>
      </w:r>
      <w:r w:rsidR="0005260E">
        <w:t>offentlig och privat tjänsteproducent, tillsynsmyndigheterna</w:t>
      </w:r>
      <w:r w:rsidR="004806E7">
        <w:t>,</w:t>
      </w:r>
      <w:r w:rsidR="0005260E">
        <w:t xml:space="preserve"> </w:t>
      </w:r>
      <w:r>
        <w:t>ombudsmannamyndigheten</w:t>
      </w:r>
      <w:r w:rsidR="003E0475">
        <w:t>, landskapsregeringen</w:t>
      </w:r>
      <w:r w:rsidR="00AD3728">
        <w:t xml:space="preserve"> genom styrning av den offentlig</w:t>
      </w:r>
      <w:r w:rsidR="00704E63">
        <w:t>a</w:t>
      </w:r>
      <w:r w:rsidR="00AD3728">
        <w:t xml:space="preserve"> vården</w:t>
      </w:r>
      <w:r w:rsidR="003E0475">
        <w:t xml:space="preserve">, </w:t>
      </w:r>
      <w:r w:rsidR="00AD3728">
        <w:t xml:space="preserve">samt </w:t>
      </w:r>
      <w:r w:rsidR="00F54CEA">
        <w:t>yt</w:t>
      </w:r>
      <w:r w:rsidR="00704E63">
        <w:t>t</w:t>
      </w:r>
      <w:r w:rsidR="00F54CEA">
        <w:t xml:space="preserve">erst </w:t>
      </w:r>
      <w:r w:rsidR="00AD3728">
        <w:t xml:space="preserve">lagstiftarna inom </w:t>
      </w:r>
      <w:r w:rsidR="003E0475">
        <w:t>lagtinget och Finlands riksdag</w:t>
      </w:r>
      <w:r w:rsidR="00AD3728">
        <w:t xml:space="preserve">. </w:t>
      </w:r>
      <w:r w:rsidR="00F54CEA">
        <w:t xml:space="preserve">En fördel med en övergripande patientsäkerhetstrategi skulle vara att </w:t>
      </w:r>
      <w:r w:rsidR="00704E63">
        <w:t>ansvarsfördelningen</w:t>
      </w:r>
      <w:r w:rsidR="00F54CEA">
        <w:t xml:space="preserve"> </w:t>
      </w:r>
      <w:r w:rsidR="00DA7D67">
        <w:t xml:space="preserve">mellan dessa </w:t>
      </w:r>
      <w:r w:rsidR="00704E63">
        <w:t xml:space="preserve">aktörer </w:t>
      </w:r>
      <w:r w:rsidR="00F54CEA">
        <w:t xml:space="preserve">kunde förtydligas </w:t>
      </w:r>
      <w:r w:rsidR="00DA7D67">
        <w:t>ytterligare</w:t>
      </w:r>
      <w:r w:rsidR="00704E63">
        <w:t>,</w:t>
      </w:r>
      <w:r w:rsidR="00DA7D67">
        <w:t xml:space="preserve"> samt </w:t>
      </w:r>
      <w:r w:rsidR="00F54CEA">
        <w:t>att samordn</w:t>
      </w:r>
      <w:r w:rsidR="00BF6432">
        <w:t>ing</w:t>
      </w:r>
      <w:r w:rsidR="00704E63">
        <w:t>en</w:t>
      </w:r>
      <w:r w:rsidR="00BF6432">
        <w:t xml:space="preserve"> </w:t>
      </w:r>
      <w:r w:rsidR="00F54CEA">
        <w:t xml:space="preserve">och </w:t>
      </w:r>
      <w:r w:rsidR="00704E63">
        <w:t xml:space="preserve">det </w:t>
      </w:r>
      <w:r w:rsidR="00F54CEA">
        <w:t>löpande samarbete</w:t>
      </w:r>
      <w:r w:rsidR="00704E63">
        <w:t xml:space="preserve">t mellan dem </w:t>
      </w:r>
      <w:r w:rsidR="00BF6432">
        <w:t xml:space="preserve">kunde optimeras gällande </w:t>
      </w:r>
      <w:r w:rsidR="00F54CEA">
        <w:t>patientsäkerhetsarbetet.</w:t>
      </w:r>
    </w:p>
    <w:p w14:paraId="2075A67B" w14:textId="77777777" w:rsidR="000D43F7" w:rsidRDefault="000D43F7" w:rsidP="00870B82"/>
    <w:p w14:paraId="49190703" w14:textId="4B10D64B" w:rsidR="000D43F7" w:rsidRPr="00795005" w:rsidRDefault="000D43F7" w:rsidP="00870B82">
      <w:r w:rsidRPr="00795005">
        <w:t xml:space="preserve">Det är en strategisk fråga om en patientsäkerhetsstrategi behövs för hela Åland, eller om det är mer ändamålsenligt </w:t>
      </w:r>
      <w:r w:rsidR="004E664E" w:rsidRPr="00795005">
        <w:t xml:space="preserve">och tillfyllest </w:t>
      </w:r>
      <w:r w:rsidRPr="00795005">
        <w:t xml:space="preserve">att Ålands hälso- och sjukvård (ÅHS) </w:t>
      </w:r>
      <w:r w:rsidR="003D2CC3" w:rsidRPr="00795005">
        <w:t xml:space="preserve">respektive </w:t>
      </w:r>
      <w:r w:rsidRPr="00795005">
        <w:t>varje privat tjänsteproducent har en plan för patientsäkerhetsarbetet.</w:t>
      </w:r>
      <w:r w:rsidR="004E664E" w:rsidRPr="00795005">
        <w:t xml:space="preserve"> </w:t>
      </w:r>
      <w:r w:rsidR="002C73BD" w:rsidRPr="00795005">
        <w:t xml:space="preserve">Vid valet av alternativ bör man väga in resurserna för att upprätthålla och implementera </w:t>
      </w:r>
      <w:r w:rsidR="00C11A80" w:rsidRPr="00795005">
        <w:t>planen</w:t>
      </w:r>
      <w:r w:rsidR="00326CFF" w:rsidRPr="00795005">
        <w:t>.</w:t>
      </w:r>
    </w:p>
    <w:p w14:paraId="7D638E99" w14:textId="77777777" w:rsidR="009C3EC4" w:rsidRDefault="009C3EC4" w:rsidP="00870B82"/>
    <w:p w14:paraId="066BD9DE" w14:textId="77777777" w:rsidR="000D43F7" w:rsidRDefault="000D43F7" w:rsidP="00870B82"/>
    <w:p w14:paraId="55314D85" w14:textId="4EC486AE" w:rsidR="00D10A7D" w:rsidRDefault="00D10A7D" w:rsidP="003D2CC3">
      <w:pPr>
        <w:pStyle w:val="Rubrik2"/>
        <w:numPr>
          <w:ilvl w:val="0"/>
          <w:numId w:val="15"/>
        </w:numPr>
      </w:pPr>
      <w:bookmarkStart w:id="3" w:name="_Toc242713895"/>
      <w:r>
        <w:t>Patientens ställning och rättigheter</w:t>
      </w:r>
      <w:r w:rsidR="00BA43EB">
        <w:t xml:space="preserve"> och patientombudsmannens roll</w:t>
      </w:r>
      <w:bookmarkEnd w:id="3"/>
    </w:p>
    <w:p w14:paraId="363CA855" w14:textId="77777777" w:rsidR="00D10A7D" w:rsidRDefault="00D10A7D" w:rsidP="00D10A7D"/>
    <w:p w14:paraId="5F77D1A3" w14:textId="6B8B57D6" w:rsidR="00D10A7D" w:rsidRDefault="00D10A7D" w:rsidP="00D10A7D">
      <w:r w:rsidRPr="003E614F">
        <w:t>Patientens ställning och rättigheter</w:t>
      </w:r>
      <w:r>
        <w:t xml:space="preserve"> tillhör den åländska lagstiftningsbehörigheten gällande hälso- och sjukvård</w:t>
      </w:r>
      <w:r w:rsidR="001B0E30">
        <w:t xml:space="preserve"> och </w:t>
      </w:r>
      <w:r>
        <w:t xml:space="preserve">regleras genom så kallas blankettlagstiftning. Med de avvikelser som anges i Landskapslag </w:t>
      </w:r>
      <w:r>
        <w:lastRenderedPageBreak/>
        <w:t xml:space="preserve">(1993:61) om tillämpning i landskapet Åland av lagen om patientens ställning och rättigheter ska </w:t>
      </w:r>
      <w:r w:rsidR="00A85389">
        <w:t xml:space="preserve">den finska </w:t>
      </w:r>
      <w:r>
        <w:t>lagen om patientens ställning och rättigheter (FFS 785/1992) (patientlagen) tillämpas på Åland.</w:t>
      </w:r>
    </w:p>
    <w:p w14:paraId="12B250C1" w14:textId="77777777" w:rsidR="00D10A7D" w:rsidRDefault="00D10A7D" w:rsidP="00D10A7D"/>
    <w:p w14:paraId="75BB3F49" w14:textId="1161BE05" w:rsidR="00D10A7D" w:rsidRDefault="00D10A7D" w:rsidP="00D10A7D">
      <w:bookmarkStart w:id="4" w:name="_Hlk221006081"/>
      <w:r>
        <w:t xml:space="preserve">Patientlagen </w:t>
      </w:r>
      <w:r w:rsidRPr="003E614F">
        <w:t>fastställer grundläggande rättigheter för patienter inom hälso- och sjukvård, inklusive rätten till god vård, självbestämmanderätt, jämlikt bemötande</w:t>
      </w:r>
      <w:r>
        <w:t xml:space="preserve">, </w:t>
      </w:r>
      <w:r w:rsidRPr="003E614F">
        <w:t>konfidentialitet</w:t>
      </w:r>
      <w:r>
        <w:t xml:space="preserve">, </w:t>
      </w:r>
      <w:r w:rsidR="003D2CC3">
        <w:t xml:space="preserve">samt </w:t>
      </w:r>
      <w:r w:rsidRPr="003E614F">
        <w:t>rätten till information.</w:t>
      </w:r>
      <w:bookmarkEnd w:id="4"/>
      <w:r>
        <w:t xml:space="preserve"> Samtliga dessa utgör viktiga delar av patientsäkerheten. </w:t>
      </w:r>
    </w:p>
    <w:p w14:paraId="2B72FB07" w14:textId="77777777" w:rsidR="00D10A7D" w:rsidRDefault="00D10A7D" w:rsidP="00D10A7D"/>
    <w:p w14:paraId="5DD0BD39" w14:textId="384A4A86" w:rsidR="00D10A7D" w:rsidRDefault="00D10A7D" w:rsidP="00D10A7D">
      <w:r>
        <w:t xml:space="preserve">Patienter vid såväl ÅHS som privata tjänsteproducenter har </w:t>
      </w:r>
      <w:r w:rsidR="00BA43EB">
        <w:t xml:space="preserve">enligt patientlagen </w:t>
      </w:r>
      <w:r>
        <w:t>rätt att vid missnöje med vården göra en anmärkning</w:t>
      </w:r>
      <w:r w:rsidR="001B0E30">
        <w:t xml:space="preserve"> riktad till vårdgivaren</w:t>
      </w:r>
      <w:r>
        <w:t>. V</w:t>
      </w:r>
      <w:r w:rsidR="00BA43EB">
        <w:t xml:space="preserve">årdgivaren ska </w:t>
      </w:r>
      <w:r>
        <w:t xml:space="preserve">lämna tillräcklig information </w:t>
      </w:r>
      <w:r w:rsidR="00BA43EB">
        <w:t xml:space="preserve">till sina patienter </w:t>
      </w:r>
      <w:r>
        <w:t>om deras rätt att framställa anmärkning och göra det så enkelt för dem som möjligt att framställa anmärkning.</w:t>
      </w:r>
      <w:r w:rsidR="00BA43EB">
        <w:t xml:space="preserve"> A</w:t>
      </w:r>
      <w:r>
        <w:t xml:space="preserve">nmärkningen </w:t>
      </w:r>
      <w:r w:rsidR="00BA43EB">
        <w:t xml:space="preserve">ska </w:t>
      </w:r>
      <w:r>
        <w:t>besvara</w:t>
      </w:r>
      <w:r w:rsidR="00BA43EB">
        <w:t xml:space="preserve">s </w:t>
      </w:r>
      <w:r>
        <w:t>skriftligen inom skälig tid</w:t>
      </w:r>
      <w:r w:rsidR="00975574">
        <w:t xml:space="preserve"> (1-2 m</w:t>
      </w:r>
      <w:r w:rsidR="000B13F3">
        <w:t>å</w:t>
      </w:r>
      <w:r w:rsidR="00975574">
        <w:t>nader)</w:t>
      </w:r>
      <w:r>
        <w:t xml:space="preserve">. </w:t>
      </w:r>
      <w:r w:rsidR="001B0E30">
        <w:t xml:space="preserve">En anmärkning kan bidra till förbättrad patientsäkerhet för patienten som gjort anmärkningen och för framtida patienter om den leder till nya och förbättrade rutiner hos vårdgivaren, vilket diskuteras mer i avsnitt </w:t>
      </w:r>
      <w:r w:rsidR="001258E3">
        <w:t>5</w:t>
      </w:r>
      <w:r w:rsidR="001B0E30">
        <w:t xml:space="preserve">.  </w:t>
      </w:r>
      <w:r>
        <w:t xml:space="preserve">    </w:t>
      </w:r>
    </w:p>
    <w:p w14:paraId="2BF82DFE" w14:textId="77777777" w:rsidR="00D10A7D" w:rsidRDefault="00D10A7D" w:rsidP="00D10A7D"/>
    <w:p w14:paraId="6B092D88" w14:textId="6598E790" w:rsidR="00D10A7D" w:rsidRDefault="00D10A7D" w:rsidP="00D10A7D">
      <w:r>
        <w:t>O</w:t>
      </w:r>
      <w:r w:rsidRPr="003E614F">
        <w:t>mbudsmannamyndighet</w:t>
      </w:r>
      <w:r>
        <w:t xml:space="preserve"> på Åland finns som ett stöd för patienter för att säkerställa att deras ställning och rättigheter </w:t>
      </w:r>
      <w:r w:rsidR="00AA12BD">
        <w:t>upprätthålls</w:t>
      </w:r>
      <w:r>
        <w:t>. Ombudsmannen regleras inte som i riket genom patientlagen, utan genom en särskild l</w:t>
      </w:r>
      <w:r w:rsidRPr="003E614F">
        <w:t>andskapslag (2014:33) om Ålands ombudsmannamyndighet</w:t>
      </w:r>
      <w:r>
        <w:t xml:space="preserve">. Enligt denna ska </w:t>
      </w:r>
      <w:r w:rsidRPr="003E614F">
        <w:t xml:space="preserve">Ålands ombudsmannamyndighet </w:t>
      </w:r>
      <w:r>
        <w:t xml:space="preserve">vara </w:t>
      </w:r>
      <w:r w:rsidRPr="003E614F">
        <w:t>en oberoende myndighet som är administrativt underställd landskapsregeringen.</w:t>
      </w:r>
      <w:r>
        <w:t xml:space="preserve"> M</w:t>
      </w:r>
      <w:r w:rsidRPr="003E614F">
        <w:t>yndighet</w:t>
      </w:r>
      <w:r w:rsidR="00870394">
        <w:t>en</w:t>
      </w:r>
      <w:r w:rsidRPr="003E614F">
        <w:t xml:space="preserve"> jobbar </w:t>
      </w:r>
      <w:r>
        <w:t xml:space="preserve">bland annat </w:t>
      </w:r>
      <w:r w:rsidRPr="003E614F">
        <w:t>med frågor som gäller rättigheter för patienter i hälso- och sjukvården</w:t>
      </w:r>
      <w:r>
        <w:t xml:space="preserve"> och har även </w:t>
      </w:r>
      <w:r w:rsidRPr="003E614F">
        <w:t>som uppgift att främja och trygga jämlikhet och förhindra diskriminering</w:t>
      </w:r>
      <w:r>
        <w:t xml:space="preserve">. Vid myndigheten finns en patientombudsman som ska ta emot </w:t>
      </w:r>
      <w:r w:rsidRPr="00123C83">
        <w:t xml:space="preserve">synpunkter </w:t>
      </w:r>
      <w:r>
        <w:t xml:space="preserve">om </w:t>
      </w:r>
      <w:r w:rsidR="001258E3">
        <w:t xml:space="preserve">hälso- och </w:t>
      </w:r>
      <w:r>
        <w:t xml:space="preserve">sjukvården. </w:t>
      </w:r>
    </w:p>
    <w:p w14:paraId="5A24A674" w14:textId="77777777" w:rsidR="00D10A7D" w:rsidRDefault="00D10A7D" w:rsidP="00D10A7D"/>
    <w:p w14:paraId="4B128748" w14:textId="35DC3C78" w:rsidR="00D10A7D" w:rsidRDefault="00D10A7D" w:rsidP="00D10A7D">
      <w:r>
        <w:t xml:space="preserve">Patientombudsmannen ska främja patientens rättigheter, till exempel genom att vidarebefordra synpunkter och erfarenheter från patient till vårdpersonal, samt årligen </w:t>
      </w:r>
      <w:r w:rsidR="00153769" w:rsidRPr="00153769">
        <w:t>följa upp hur patienters rättigheter utvecklas på Åland</w:t>
      </w:r>
      <w:r>
        <w:t>. Patientombudsmannen ska också informera och ge råd i frågor som gäller patientens ställning och rättigheter.</w:t>
      </w:r>
    </w:p>
    <w:p w14:paraId="20DCB883" w14:textId="77777777" w:rsidR="00D10A7D" w:rsidRDefault="00D10A7D" w:rsidP="00D10A7D"/>
    <w:p w14:paraId="4E9F4DE2" w14:textId="453AFBCA" w:rsidR="00D10A7D" w:rsidRDefault="00D10A7D" w:rsidP="00D10A7D">
      <w:r>
        <w:t xml:space="preserve">Patientombudsmannen tar inte ställning till medicinska vårdbeslut, fel eller försummelser, men kan vägleda hur man vid missnöje med vården kan rikta en anmärkning eller klagomål mot hälso- och sjukvården. Ombudsmannen kan även hjälpa till att formulera en sådan. Patientombudsmannen kan också </w:t>
      </w:r>
      <w:r w:rsidR="001B5E75">
        <w:t>bistå</w:t>
      </w:r>
      <w:r>
        <w:t xml:space="preserve"> med att skriva en patientskadeanmälan</w:t>
      </w:r>
      <w:r w:rsidR="005473CB">
        <w:t>.</w:t>
      </w:r>
    </w:p>
    <w:p w14:paraId="6294DABC" w14:textId="77777777" w:rsidR="00D10A7D" w:rsidRDefault="00D10A7D" w:rsidP="00870B82"/>
    <w:p w14:paraId="02A2BD66" w14:textId="77777777" w:rsidR="00D10A7D" w:rsidRDefault="00D10A7D" w:rsidP="00870B82"/>
    <w:p w14:paraId="12C07D36" w14:textId="16D85690" w:rsidR="00E145B3" w:rsidRDefault="005B2298" w:rsidP="003D2CC3">
      <w:pPr>
        <w:pStyle w:val="Rubrik2"/>
        <w:numPr>
          <w:ilvl w:val="0"/>
          <w:numId w:val="15"/>
        </w:numPr>
      </w:pPr>
      <w:bookmarkStart w:id="5" w:name="_Toc242713896"/>
      <w:r>
        <w:t>I</w:t>
      </w:r>
      <w:r w:rsidR="002659A9">
        <w:t xml:space="preserve">nternt </w:t>
      </w:r>
      <w:r w:rsidR="003342E4">
        <w:t>patientsäkerhetsarbete</w:t>
      </w:r>
      <w:r w:rsidR="000D43F7">
        <w:t xml:space="preserve"> </w:t>
      </w:r>
      <w:r w:rsidR="00964E57">
        <w:t xml:space="preserve">inom </w:t>
      </w:r>
      <w:r w:rsidR="000D43F7">
        <w:t>ÅHS respektive privata tjänsteproducenter</w:t>
      </w:r>
      <w:bookmarkEnd w:id="5"/>
    </w:p>
    <w:p w14:paraId="18FFEA4C" w14:textId="77777777" w:rsidR="009C3EC4" w:rsidRPr="009C3EC4" w:rsidRDefault="009C3EC4" w:rsidP="009C3EC4"/>
    <w:p w14:paraId="467D68D0" w14:textId="77777777" w:rsidR="00964E57" w:rsidRDefault="00870B82" w:rsidP="00870B82">
      <w:r>
        <w:t xml:space="preserve">Reglering </w:t>
      </w:r>
      <w:r w:rsidR="00B54CF5">
        <w:t xml:space="preserve">för att säkerställa </w:t>
      </w:r>
      <w:r>
        <w:t xml:space="preserve">patientsäkerheten är en del av landskapslagen (2011:114) om hälso- och sjukvård (hälso- och sjukvårdslagen) </w:t>
      </w:r>
      <w:r w:rsidR="00361807">
        <w:t xml:space="preserve">respektive </w:t>
      </w:r>
      <w:r>
        <w:t xml:space="preserve">landskapslagen (2024:29) om privat hälso- och sjukvård. </w:t>
      </w:r>
    </w:p>
    <w:p w14:paraId="06A41649" w14:textId="77777777" w:rsidR="00964E57" w:rsidRDefault="00964E57" w:rsidP="00870B82"/>
    <w:p w14:paraId="634221E6" w14:textId="3ECC9A72" w:rsidR="00BA43EB" w:rsidRDefault="00446BA0" w:rsidP="00870B82">
      <w:r>
        <w:t xml:space="preserve">Hälso- och sjukvårdslagen </w:t>
      </w:r>
      <w:r w:rsidR="003342E4">
        <w:t xml:space="preserve">stadgar att patientsäkerheten vid </w:t>
      </w:r>
      <w:r w:rsidR="003342E4" w:rsidRPr="00446BA0">
        <w:t>ÅHS</w:t>
      </w:r>
      <w:r w:rsidR="009C3EC4">
        <w:t xml:space="preserve"> ska säkras g</w:t>
      </w:r>
      <w:r w:rsidR="003342E4">
        <w:t xml:space="preserve">enom att verksamheten </w:t>
      </w:r>
      <w:r w:rsidR="00E40D67">
        <w:t xml:space="preserve">ska baseras </w:t>
      </w:r>
      <w:r w:rsidR="003342E4">
        <w:t>på vetenskap och beprövad erfarenhet</w:t>
      </w:r>
      <w:r w:rsidR="009C3EC4">
        <w:t>,</w:t>
      </w:r>
      <w:r w:rsidR="003342E4">
        <w:t xml:space="preserve"> god vårdpraxis och goda rutiner</w:t>
      </w:r>
      <w:r w:rsidR="00A036EE">
        <w:t xml:space="preserve"> (15 §)</w:t>
      </w:r>
      <w:r w:rsidR="003342E4">
        <w:t xml:space="preserve">. </w:t>
      </w:r>
      <w:r w:rsidR="008D442F">
        <w:t>Behovet att förbättra st</w:t>
      </w:r>
      <w:r w:rsidR="00361807">
        <w:t>yrning</w:t>
      </w:r>
      <w:r w:rsidR="008D442F">
        <w:t>en</w:t>
      </w:r>
      <w:r w:rsidR="00361807">
        <w:t xml:space="preserve"> </w:t>
      </w:r>
      <w:r w:rsidR="008D442F">
        <w:t xml:space="preserve">för att säkra att verksamheten </w:t>
      </w:r>
      <w:r w:rsidR="00361807">
        <w:t xml:space="preserve">är baserad på vetenskap och beprövad erfarenhet </w:t>
      </w:r>
      <w:r w:rsidR="005B2298">
        <w:t xml:space="preserve">och god </w:t>
      </w:r>
      <w:r w:rsidR="005B2298">
        <w:lastRenderedPageBreak/>
        <w:t xml:space="preserve">vårdpraxis </w:t>
      </w:r>
      <w:r w:rsidR="00361807">
        <w:t xml:space="preserve">diskuteras i delanalys 6 om styrning. </w:t>
      </w:r>
      <w:r w:rsidR="00A036EE">
        <w:t xml:space="preserve">Det stadgas </w:t>
      </w:r>
      <w:r w:rsidR="00361807">
        <w:t xml:space="preserve">i </w:t>
      </w:r>
      <w:r w:rsidR="008D442F">
        <w:t>hälso- och sjukvårds</w:t>
      </w:r>
      <w:r w:rsidR="00361807">
        <w:t xml:space="preserve">lagen </w:t>
      </w:r>
      <w:r w:rsidR="00A036EE">
        <w:t xml:space="preserve">även </w:t>
      </w:r>
      <w:r w:rsidR="00361807">
        <w:t xml:space="preserve">om </w:t>
      </w:r>
      <w:r w:rsidR="008D442F">
        <w:t xml:space="preserve">den externa </w:t>
      </w:r>
      <w:r w:rsidR="00A036EE">
        <w:t>tillsynens roll i patientsäkerhetsarbetet</w:t>
      </w:r>
      <w:r w:rsidR="005B2298">
        <w:t xml:space="preserve">, vilket diskuteras i </w:t>
      </w:r>
      <w:r w:rsidR="008D442F">
        <w:t xml:space="preserve">avsnitt </w:t>
      </w:r>
      <w:r w:rsidR="001258E3">
        <w:t>6</w:t>
      </w:r>
      <w:r w:rsidR="00EF57B8">
        <w:t xml:space="preserve"> nedan i denna rapport</w:t>
      </w:r>
      <w:r w:rsidR="00A036EE">
        <w:t xml:space="preserve">. </w:t>
      </w:r>
    </w:p>
    <w:p w14:paraId="62F9FA95" w14:textId="77777777" w:rsidR="00BA43EB" w:rsidRDefault="00BA43EB" w:rsidP="00870B82"/>
    <w:p w14:paraId="1AC69B1B" w14:textId="7925281E" w:rsidR="008D442F" w:rsidRDefault="00BA43EB" w:rsidP="00870B82">
      <w:r>
        <w:t xml:space="preserve">Som diskuterats i avsnitt </w:t>
      </w:r>
      <w:r w:rsidR="001258E3">
        <w:t>4</w:t>
      </w:r>
      <w:r>
        <w:t xml:space="preserve"> är såväl ÅHS som privata tjänsteproducenter enligt patientlagen skyldiga att säkerställa p</w:t>
      </w:r>
      <w:r w:rsidRPr="00BA43EB">
        <w:t>atient</w:t>
      </w:r>
      <w:r>
        <w:t xml:space="preserve">ens </w:t>
      </w:r>
      <w:r w:rsidRPr="00BA43EB">
        <w:t>grundläggande rättigheter</w:t>
      </w:r>
      <w:r>
        <w:t xml:space="preserve">, inklusive en patientsäker vård. Vårdgivaren är </w:t>
      </w:r>
      <w:r w:rsidR="00922E65">
        <w:t xml:space="preserve">också </w:t>
      </w:r>
      <w:r>
        <w:t xml:space="preserve">skyldig att bemöta </w:t>
      </w:r>
      <w:r w:rsidRPr="00BA43EB">
        <w:t>anmärkning</w:t>
      </w:r>
      <w:r>
        <w:t>ar mot vården.</w:t>
      </w:r>
      <w:r w:rsidR="00922E65">
        <w:t xml:space="preserve"> Behandlingen av en anmärkning kan leda till ändringar av pågående vård för patienten, eller genom fortsatt process hos andra myndigheter till patientskadeansvar enligt patientskadelagen, skadeståndsansvar enligt skadeståndslagen (412/1974), åtal, återkallande eller begränsning av rätten att utöva yrke eller disciplinärt förfarande </w:t>
      </w:r>
      <w:r w:rsidR="002E6BB3">
        <w:t xml:space="preserve">enligt </w:t>
      </w:r>
      <w:r w:rsidR="00922E65">
        <w:t>lagen om yrkesutbildade inom hälso- och sjukvården</w:t>
      </w:r>
      <w:r w:rsidR="001258E3">
        <w:t xml:space="preserve"> </w:t>
      </w:r>
      <w:r w:rsidR="002E6BB3">
        <w:t xml:space="preserve">(se avsnitt </w:t>
      </w:r>
      <w:r w:rsidR="001258E3">
        <w:t>6.2.</w:t>
      </w:r>
      <w:r w:rsidR="002E6BB3">
        <w:t xml:space="preserve">). Enligt </w:t>
      </w:r>
      <w:r w:rsidR="001258E3">
        <w:t>patient</w:t>
      </w:r>
      <w:r w:rsidR="002E6BB3">
        <w:t>lagen</w:t>
      </w:r>
      <w:r w:rsidR="001258E3">
        <w:t>s</w:t>
      </w:r>
      <w:r w:rsidR="002E6BB3">
        <w:t xml:space="preserve"> förarbeten ska i beslutet gällande en anmärkning konstateras vilka eventuella åtgärder som har vidtagits med anledning av anmärkningen.</w:t>
      </w:r>
      <w:r w:rsidR="00922E65">
        <w:rPr>
          <w:rStyle w:val="Fotnotsreferens"/>
        </w:rPr>
        <w:footnoteReference w:id="5"/>
      </w:r>
      <w:r w:rsidR="002E6BB3">
        <w:t xml:space="preserve"> </w:t>
      </w:r>
      <w:r>
        <w:t xml:space="preserve">Det kan anses vara underförstått att analyser av anmärkningar från patienter </w:t>
      </w:r>
      <w:r w:rsidR="002E6BB3">
        <w:t xml:space="preserve">således förväntas </w:t>
      </w:r>
      <w:r>
        <w:t>bidra till förbättringsprocesser och höjd patientsäkerhet</w:t>
      </w:r>
      <w:r w:rsidR="002E6BB3">
        <w:t xml:space="preserve"> på en allmän nivå, inte endast för den patient som skickat anmärkningen. Detta framgår emellertid inte tydligt i patientlagen, utan behöver </w:t>
      </w:r>
      <w:r w:rsidR="00433639">
        <w:t xml:space="preserve">även </w:t>
      </w:r>
      <w:r w:rsidR="002E6BB3">
        <w:t xml:space="preserve">regleras i hälso- och sjukvårdslagen. </w:t>
      </w:r>
    </w:p>
    <w:p w14:paraId="6C323C1D" w14:textId="77777777" w:rsidR="00D10A7D" w:rsidRDefault="00D10A7D" w:rsidP="00870B82"/>
    <w:p w14:paraId="2AFA512A" w14:textId="63B46E7F" w:rsidR="008115FB" w:rsidRPr="008115FB" w:rsidRDefault="008115FB" w:rsidP="008115FB">
      <w:pPr>
        <w:rPr>
          <w:lang w:val="sv-FI"/>
        </w:rPr>
      </w:pPr>
      <w:r w:rsidRPr="008115FB">
        <w:rPr>
          <w:lang w:val="sv-FI"/>
        </w:rPr>
        <w:t xml:space="preserve">Vid ÅHS finns rutiner för hantering av anmärkningar mot vården från patienterna samt ett </w:t>
      </w:r>
      <w:r w:rsidR="00434099">
        <w:rPr>
          <w:lang w:val="sv-FI"/>
        </w:rPr>
        <w:t>a</w:t>
      </w:r>
      <w:r w:rsidRPr="008115FB">
        <w:rPr>
          <w:lang w:val="sv-FI"/>
        </w:rPr>
        <w:t>vvikelserapporteringssystem där vårdpersonalen kan rapportera avvikelser i form av risker, tillbud och vårdrelaterade skador.</w:t>
      </w:r>
      <w:r w:rsidR="00434099">
        <w:rPr>
          <w:lang w:val="sv-FI"/>
        </w:rPr>
        <w:t xml:space="preserve"> </w:t>
      </w:r>
      <w:r w:rsidRPr="008115FB">
        <w:rPr>
          <w:lang w:val="sv-FI"/>
        </w:rPr>
        <w:t xml:space="preserve">På </w:t>
      </w:r>
      <w:r w:rsidR="00325C22">
        <w:rPr>
          <w:lang w:val="sv-FI"/>
        </w:rPr>
        <w:t xml:space="preserve">ÅHS </w:t>
      </w:r>
      <w:r w:rsidRPr="008115FB">
        <w:rPr>
          <w:lang w:val="sv-FI"/>
        </w:rPr>
        <w:t>intranätet finns instruktioner och manualer för hur detta görs i praktiken.</w:t>
      </w:r>
    </w:p>
    <w:p w14:paraId="600888A7" w14:textId="035E5180" w:rsidR="008115FB" w:rsidRPr="008115FB" w:rsidRDefault="008115FB" w:rsidP="008115FB">
      <w:pPr>
        <w:rPr>
          <w:lang w:val="sv-FI"/>
        </w:rPr>
      </w:pPr>
      <w:r w:rsidRPr="7AE188D9">
        <w:rPr>
          <w:lang w:val="sv-FI"/>
        </w:rPr>
        <w:t>Avvikelserna hanteras på flera nivåer inom ÅHS beroende på innehållet i avvikelserapporteringen. Hanteringen sker av förmän, klinikvis via klinikledning, kvartalsvis i kvalitetsutvecklingskommittén och i vissa fall av förvaltningsöverläkare/chefsöverläkare.</w:t>
      </w:r>
      <w:r w:rsidR="005D4B71" w:rsidRPr="7AE188D9">
        <w:rPr>
          <w:lang w:val="sv-FI"/>
        </w:rPr>
        <w:t xml:space="preserve"> I ÅHS reglemente står att cheföverläkaren och klinik/enhetschefer ansvarar för patientsäkerheten, men inte hur arbetet ska gå till. </w:t>
      </w:r>
    </w:p>
    <w:p w14:paraId="7AC14F03" w14:textId="64E99BA4" w:rsidR="7650F014" w:rsidRDefault="7650F014" w:rsidP="7AE188D9">
      <w:pPr>
        <w:rPr>
          <w:lang w:val="sv-FI"/>
        </w:rPr>
      </w:pPr>
      <w:r w:rsidRPr="7AE188D9">
        <w:rPr>
          <w:lang w:val="sv-FI"/>
        </w:rPr>
        <w:t>Alla yrkesutbildade</w:t>
      </w:r>
      <w:r w:rsidR="260A33AE" w:rsidRPr="7AE188D9">
        <w:rPr>
          <w:lang w:val="sv-FI"/>
        </w:rPr>
        <w:t xml:space="preserve"> i patientarbete</w:t>
      </w:r>
      <w:r w:rsidR="40EA6A63" w:rsidRPr="7AE188D9">
        <w:rPr>
          <w:lang w:val="sv-FI"/>
        </w:rPr>
        <w:t xml:space="preserve"> på ÅHS</w:t>
      </w:r>
      <w:r w:rsidRPr="7AE188D9">
        <w:rPr>
          <w:lang w:val="sv-FI"/>
        </w:rPr>
        <w:t xml:space="preserve"> har</w:t>
      </w:r>
      <w:r w:rsidR="67A588F8" w:rsidRPr="7AE188D9">
        <w:rPr>
          <w:lang w:val="sv-FI"/>
        </w:rPr>
        <w:t xml:space="preserve"> tillgång</w:t>
      </w:r>
      <w:r w:rsidRPr="7AE188D9">
        <w:rPr>
          <w:lang w:val="sv-FI"/>
        </w:rPr>
        <w:t xml:space="preserve"> till patientsäkerhetsutbildning i</w:t>
      </w:r>
      <w:r w:rsidR="4129E224" w:rsidRPr="7AE188D9">
        <w:rPr>
          <w:lang w:val="sv-FI"/>
        </w:rPr>
        <w:t xml:space="preserve"> form av </w:t>
      </w:r>
      <w:r w:rsidR="3A7F7B01" w:rsidRPr="7AE188D9">
        <w:rPr>
          <w:lang w:val="sv-FI"/>
        </w:rPr>
        <w:t xml:space="preserve">utbildningspaket via </w:t>
      </w:r>
      <w:r w:rsidR="18C80184" w:rsidRPr="7AE188D9">
        <w:rPr>
          <w:lang w:val="sv-FI"/>
        </w:rPr>
        <w:t xml:space="preserve">patientsäkerhetsporten på </w:t>
      </w:r>
      <w:r w:rsidR="3A7F7B01" w:rsidRPr="7AE188D9">
        <w:rPr>
          <w:lang w:val="sv-FI"/>
        </w:rPr>
        <w:t>intranätet.</w:t>
      </w:r>
      <w:r w:rsidR="6983BBCE" w:rsidRPr="7AE188D9">
        <w:rPr>
          <w:lang w:val="sv-FI"/>
        </w:rPr>
        <w:t xml:space="preserve"> </w:t>
      </w:r>
      <w:r w:rsidRPr="7AE188D9">
        <w:rPr>
          <w:lang w:val="sv-FI"/>
        </w:rPr>
        <w:t xml:space="preserve"> </w:t>
      </w:r>
      <w:r w:rsidR="324280DE" w:rsidRPr="7AE188D9">
        <w:rPr>
          <w:lang w:val="sv-FI"/>
        </w:rPr>
        <w:t xml:space="preserve">Kursen ger grundläggande kunskaper och praktiska arbetsrutiner för att främja </w:t>
      </w:r>
      <w:r w:rsidR="5937305A" w:rsidRPr="7AE188D9">
        <w:rPr>
          <w:lang w:val="sv-FI"/>
        </w:rPr>
        <w:t>patient</w:t>
      </w:r>
      <w:r w:rsidR="324280DE" w:rsidRPr="7AE188D9">
        <w:rPr>
          <w:lang w:val="sv-FI"/>
        </w:rPr>
        <w:t>säkerheten inom ÅHS.</w:t>
      </w:r>
    </w:p>
    <w:p w14:paraId="12B7E979" w14:textId="77777777" w:rsidR="008115FB" w:rsidRDefault="008115FB" w:rsidP="00870B82"/>
    <w:p w14:paraId="6D7042CD" w14:textId="77777777" w:rsidR="008F3A29" w:rsidRDefault="00A036EE" w:rsidP="00870B82">
      <w:r>
        <w:t xml:space="preserve">Hälso- och sjukvårdslagen </w:t>
      </w:r>
      <w:r w:rsidR="00446BA0">
        <w:t>saknar</w:t>
      </w:r>
      <w:r w:rsidR="008D442F">
        <w:t xml:space="preserve"> </w:t>
      </w:r>
      <w:r w:rsidR="00446BA0">
        <w:t xml:space="preserve">i dagsläget en tydlig skrivning om att </w:t>
      </w:r>
      <w:r w:rsidR="003342E4">
        <w:t xml:space="preserve">ÅHS </w:t>
      </w:r>
      <w:r w:rsidR="00446BA0" w:rsidRPr="00446BA0">
        <w:t xml:space="preserve">ska utveckla </w:t>
      </w:r>
      <w:r w:rsidR="002B1D2C">
        <w:t xml:space="preserve">en </w:t>
      </w:r>
      <w:r w:rsidR="00446BA0" w:rsidRPr="00446BA0">
        <w:t>intern patientsäkerhetsstrategi</w:t>
      </w:r>
      <w:r w:rsidR="00361807">
        <w:t xml:space="preserve"> som ska ses över </w:t>
      </w:r>
      <w:r w:rsidR="00361807" w:rsidRPr="00446BA0">
        <w:t>regelbundet</w:t>
      </w:r>
      <w:r w:rsidR="00446BA0" w:rsidRPr="00446BA0">
        <w:t xml:space="preserve">, </w:t>
      </w:r>
      <w:r w:rsidR="00361807">
        <w:t xml:space="preserve">samt </w:t>
      </w:r>
      <w:r w:rsidR="00446BA0" w:rsidRPr="00446BA0">
        <w:t xml:space="preserve">ha en plan för egenkontroller </w:t>
      </w:r>
      <w:r w:rsidR="00361807">
        <w:t xml:space="preserve">med </w:t>
      </w:r>
      <w:r w:rsidR="00446BA0" w:rsidRPr="00446BA0">
        <w:t xml:space="preserve">ett system för att </w:t>
      </w:r>
      <w:r w:rsidR="00361807">
        <w:t xml:space="preserve">själv </w:t>
      </w:r>
      <w:r w:rsidR="00446BA0" w:rsidRPr="00446BA0">
        <w:t>rapportera och utreda hot mot patientsäkerheten</w:t>
      </w:r>
      <w:r w:rsidR="00446BA0">
        <w:t xml:space="preserve"> eller inträffade incidenter där patientskada har uppstått</w:t>
      </w:r>
      <w:r w:rsidR="00F77869">
        <w:t xml:space="preserve">, </w:t>
      </w:r>
      <w:r w:rsidR="00361807">
        <w:t>det som sedan länge kalla</w:t>
      </w:r>
      <w:r w:rsidR="00E40D67">
        <w:t>t</w:t>
      </w:r>
      <w:r w:rsidR="00361807">
        <w:t>s ”Lex Maria” i Sverige och som nu också finns tydligt formulerat</w:t>
      </w:r>
      <w:r w:rsidR="00E40D67">
        <w:t xml:space="preserve"> </w:t>
      </w:r>
      <w:r w:rsidR="00361807">
        <w:t>i rikets tillsynslagstiftning</w:t>
      </w:r>
      <w:r w:rsidR="00446BA0">
        <w:t>.</w:t>
      </w:r>
      <w:r w:rsidR="00F77869">
        <w:t xml:space="preserve"> </w:t>
      </w:r>
      <w:r w:rsidR="008F3A29">
        <w:t xml:space="preserve">Denna ordning är föråldrad och inte tillfyllest för att säkerställa patientsäkerheten. </w:t>
      </w:r>
    </w:p>
    <w:p w14:paraId="03C34230" w14:textId="77777777" w:rsidR="008F3A29" w:rsidRDefault="008F3A29" w:rsidP="00870B82"/>
    <w:p w14:paraId="67990F20" w14:textId="77777777" w:rsidR="008E4B1D" w:rsidRDefault="003342E4" w:rsidP="003342E4">
      <w:r>
        <w:t xml:space="preserve">I den nya </w:t>
      </w:r>
      <w:r w:rsidR="005B2298">
        <w:t>landskaps</w:t>
      </w:r>
      <w:r>
        <w:t xml:space="preserve">lagen om privat hälso- och sjukvård (år 2024) infördes bestämmelser om att </w:t>
      </w:r>
      <w:r w:rsidR="00E40D67">
        <w:t xml:space="preserve">privata tjänsteproducenter </w:t>
      </w:r>
      <w:r>
        <w:t xml:space="preserve">måste </w:t>
      </w:r>
      <w:r w:rsidRPr="003342E4">
        <w:t>utarbeta en plan för egenkontroll som omfattar alla de tjänster som produceras vid verksamhetsenheten</w:t>
      </w:r>
      <w:r>
        <w:t xml:space="preserve"> och som </w:t>
      </w:r>
      <w:r w:rsidRPr="003342E4">
        <w:t>beskriv</w:t>
      </w:r>
      <w:r>
        <w:t>er</w:t>
      </w:r>
      <w:r w:rsidRPr="003342E4">
        <w:t xml:space="preserve"> förfarandet för </w:t>
      </w:r>
      <w:r w:rsidR="002B1D2C">
        <w:t>egen</w:t>
      </w:r>
      <w:r w:rsidRPr="003342E4">
        <w:t>anmälan av farliga situationer.</w:t>
      </w:r>
      <w:r>
        <w:t xml:space="preserve"> </w:t>
      </w:r>
      <w:r w:rsidR="002B1D2C">
        <w:t>De privata t</w:t>
      </w:r>
      <w:r>
        <w:t>jänsteproducente</w:t>
      </w:r>
      <w:r w:rsidR="002B1D2C">
        <w:t>rna</w:t>
      </w:r>
      <w:r>
        <w:t xml:space="preserve"> ska hålla egenkontrollplanen offentligt framlagd. Egenkontrollplanen ska hållas uppdaterad och en uppdaterad version lämnas till tillsynsmyndigheten på dess begäran. Närmare bestämmelser om innehållet i egenkontrollplanen kan utfärdas genom landskapsförordning. Lagen innehåller dessutom anmälningsskyldighet för tjänsteproducenten och dess personal samt </w:t>
      </w:r>
      <w:r w:rsidRPr="003342E4">
        <w:t>skyldighet</w:t>
      </w:r>
      <w:r>
        <w:t>en</w:t>
      </w:r>
      <w:r w:rsidRPr="003342E4">
        <w:t xml:space="preserve"> att informera </w:t>
      </w:r>
      <w:r w:rsidRPr="003342E4">
        <w:lastRenderedPageBreak/>
        <w:t>om personalens anmälningsskyldighet</w:t>
      </w:r>
      <w:r>
        <w:t xml:space="preserve">. </w:t>
      </w:r>
      <w:r w:rsidR="00A036EE">
        <w:t xml:space="preserve">Denna lagstiftning motsvarar vad som föreskrivs i </w:t>
      </w:r>
      <w:r w:rsidR="001258E3">
        <w:t>riks</w:t>
      </w:r>
      <w:r w:rsidR="005B2298">
        <w:t>l</w:t>
      </w:r>
      <w:r w:rsidR="005B2298" w:rsidRPr="005B2298">
        <w:t>ag</w:t>
      </w:r>
      <w:r w:rsidR="005B2298">
        <w:t xml:space="preserve">en (FFS </w:t>
      </w:r>
      <w:r w:rsidR="005B2298" w:rsidRPr="005B2298">
        <w:t>741/2023</w:t>
      </w:r>
      <w:r w:rsidR="005B2298">
        <w:t>)</w:t>
      </w:r>
      <w:r w:rsidR="005B2298" w:rsidRPr="005B2298">
        <w:t xml:space="preserve"> om tillsynen över social- och hälsovården</w:t>
      </w:r>
      <w:r w:rsidR="00A036EE">
        <w:t>.</w:t>
      </w:r>
      <w:r w:rsidR="008E4B1D">
        <w:t xml:space="preserve"> </w:t>
      </w:r>
    </w:p>
    <w:p w14:paraId="1B3371A4" w14:textId="77777777" w:rsidR="008E4B1D" w:rsidRDefault="008E4B1D" w:rsidP="003342E4"/>
    <w:p w14:paraId="1F9B630B" w14:textId="5653D073" w:rsidR="008E4B1D" w:rsidRDefault="008E4B1D" w:rsidP="008E4B1D">
      <w:r w:rsidRPr="00F77869">
        <w:t xml:space="preserve">Motsvarande (en </w:t>
      </w:r>
      <w:r w:rsidR="00BD1B95">
        <w:t xml:space="preserve">variant av den så kallade </w:t>
      </w:r>
      <w:r w:rsidRPr="00F77869">
        <w:t>Lex Sarah</w:t>
      </w:r>
      <w:r w:rsidR="00BD1B95">
        <w:t xml:space="preserve"> lagen i Sverige</w:t>
      </w:r>
      <w:r w:rsidRPr="00F77869">
        <w:t>) finns också inom socialvården på Åland (48-49 §§ i socialvårdslagen).</w:t>
      </w:r>
      <w:r>
        <w:t xml:space="preserve"> </w:t>
      </w:r>
    </w:p>
    <w:p w14:paraId="2DA7AC86" w14:textId="77777777" w:rsidR="008E4B1D" w:rsidRDefault="008E4B1D" w:rsidP="00870B82"/>
    <w:p w14:paraId="58743815" w14:textId="01F0C98F" w:rsidR="008D442F" w:rsidRDefault="00A036EE" w:rsidP="00870B82">
      <w:r>
        <w:t>De</w:t>
      </w:r>
      <w:r w:rsidR="002B1D2C">
        <w:t>t</w:t>
      </w:r>
      <w:r>
        <w:t xml:space="preserve"> ska noteras att syftet med att lagstadga </w:t>
      </w:r>
      <w:r w:rsidR="002B1D2C">
        <w:t xml:space="preserve">om </w:t>
      </w:r>
      <w:r>
        <w:t>egenkontrollplanering och intern</w:t>
      </w:r>
      <w:r w:rsidR="002B1D2C">
        <w:t>t</w:t>
      </w:r>
      <w:r>
        <w:t xml:space="preserve"> patientsäkerhetsarbete </w:t>
      </w:r>
      <w:r w:rsidR="002659A9">
        <w:t>bland annat</w:t>
      </w:r>
      <w:r>
        <w:t xml:space="preserve"> är att understryka att det </w:t>
      </w:r>
      <w:r w:rsidR="002659A9">
        <w:t xml:space="preserve">är </w:t>
      </w:r>
      <w:r>
        <w:t xml:space="preserve">varje hälso- och sjukvårdsproducents ansvar att arbeta proaktivt med patientsäkerheten som en del av det övergripande och löpande kvalitetsarbetet. Extern tillsyn ska i idealsituationen vara mycket begränsad, under antagandet att stärkta interna processer </w:t>
      </w:r>
      <w:r w:rsidR="002659A9">
        <w:t xml:space="preserve">leder till god patientsäkerhet. Man talar idag ofta om ”tillitsbaserad tillsyn”, vilket innebär att tillsynsmyndigheten ska kunna lita på att serviceproducenterna tar patientsäkerhetsarbetet på stort allvar och själva kontaktar tillsynsmyndighet vid behov för extern granskning och vägledning. </w:t>
      </w:r>
      <w:r w:rsidR="00506FAF">
        <w:t xml:space="preserve">Patientsäkerhetsarbetet ska </w:t>
      </w:r>
      <w:r w:rsidR="001258E3">
        <w:t xml:space="preserve">således </w:t>
      </w:r>
      <w:r w:rsidR="00506FAF">
        <w:t xml:space="preserve">främst drivas internt. </w:t>
      </w:r>
      <w:r w:rsidR="002659A9">
        <w:t>Detta betyder förstås inte att behov</w:t>
      </w:r>
      <w:r w:rsidR="00506FAF">
        <w:t>et</w:t>
      </w:r>
      <w:r w:rsidR="002659A9">
        <w:t xml:space="preserve"> för extern tillsyn</w:t>
      </w:r>
      <w:r w:rsidR="00506FAF">
        <w:t xml:space="preserve"> försvinner</w:t>
      </w:r>
      <w:r w:rsidR="002659A9">
        <w:t xml:space="preserve">. Erfarenheter visar dock att en stor del av behovet för </w:t>
      </w:r>
      <w:r w:rsidR="00506FAF">
        <w:t xml:space="preserve">reaktiv </w:t>
      </w:r>
      <w:r w:rsidR="002659A9">
        <w:t xml:space="preserve">extern tillsyn beror på att </w:t>
      </w:r>
      <w:r w:rsidR="00E40D67">
        <w:t xml:space="preserve">ansvaret för </w:t>
      </w:r>
      <w:r w:rsidR="002659A9">
        <w:t xml:space="preserve">interna </w:t>
      </w:r>
      <w:r w:rsidR="00506FAF">
        <w:t>egenkontroller</w:t>
      </w:r>
      <w:r w:rsidR="00E40D67">
        <w:t xml:space="preserve"> </w:t>
      </w:r>
      <w:r w:rsidR="002659A9">
        <w:t>inte varit tillräcklig</w:t>
      </w:r>
      <w:r w:rsidR="00E40D67">
        <w:t>t tydligt formulerat</w:t>
      </w:r>
      <w:r w:rsidR="00125A28">
        <w:t xml:space="preserve"> och att förutsättningarna för proaktivt patientsäkerhetsarbete inte varit optimalt inom organisationen.</w:t>
      </w:r>
      <w:r w:rsidR="002659A9">
        <w:t xml:space="preserve"> </w:t>
      </w:r>
      <w:r w:rsidR="00125A28">
        <w:t xml:space="preserve">Förutsättningar för </w:t>
      </w:r>
      <w:r w:rsidR="00433639">
        <w:t xml:space="preserve">att </w:t>
      </w:r>
      <w:r w:rsidR="00125A28">
        <w:t>personal och patienter ska kunna bidra till patientsäkerhetsarbete</w:t>
      </w:r>
      <w:r w:rsidR="00433639">
        <w:t>t</w:t>
      </w:r>
      <w:r w:rsidR="00125A28">
        <w:t xml:space="preserve"> behöver skapas inom alla delar </w:t>
      </w:r>
      <w:r w:rsidR="008214A3">
        <w:t xml:space="preserve">av </w:t>
      </w:r>
      <w:r w:rsidR="00125A28">
        <w:t xml:space="preserve">vårdorganisationen. Det handlar </w:t>
      </w:r>
      <w:r w:rsidR="005B2298">
        <w:t xml:space="preserve">bland annat </w:t>
      </w:r>
      <w:r w:rsidR="00125A28">
        <w:t>om u</w:t>
      </w:r>
      <w:r w:rsidR="00964E57">
        <w:t xml:space="preserve">tbildning, </w:t>
      </w:r>
      <w:r w:rsidR="008D442F">
        <w:t xml:space="preserve">informationsutbyte, öppen dialog, </w:t>
      </w:r>
      <w:r w:rsidR="00125A28">
        <w:t>positiv förändrings</w:t>
      </w:r>
      <w:r w:rsidR="00964E57">
        <w:t>kultur, anställningsförhållanden, stödstrukturer</w:t>
      </w:r>
      <w:r w:rsidR="008D442F">
        <w:t>, aktivt ledarskap, involvering</w:t>
      </w:r>
      <w:r w:rsidR="00125A28">
        <w:t xml:space="preserve"> av brukare, mm. </w:t>
      </w:r>
      <w:r w:rsidR="005B2298">
        <w:t>Hur d</w:t>
      </w:r>
      <w:r w:rsidR="00125A28">
        <w:t>e</w:t>
      </w:r>
      <w:r w:rsidR="00636C2F">
        <w:t>ss</w:t>
      </w:r>
      <w:r w:rsidR="00125A28">
        <w:t xml:space="preserve">a </w:t>
      </w:r>
      <w:r w:rsidR="005B2298">
        <w:t xml:space="preserve">delar kan stärkas </w:t>
      </w:r>
      <w:r w:rsidR="00125A28">
        <w:t xml:space="preserve">diskuteras ingående i </w:t>
      </w:r>
      <w:r w:rsidR="00125A28" w:rsidRPr="00125A28">
        <w:t>Social- och hälsovårdsministeriets patientsäkerhetsstrategi</w:t>
      </w:r>
      <w:r w:rsidR="005B2298">
        <w:rPr>
          <w:rStyle w:val="Fotnotsreferens"/>
        </w:rPr>
        <w:footnoteReference w:id="6"/>
      </w:r>
      <w:r w:rsidR="005B2298">
        <w:t xml:space="preserve">, vilken kan vara en </w:t>
      </w:r>
      <w:r w:rsidR="005271CD">
        <w:t>inspirations</w:t>
      </w:r>
      <w:r w:rsidR="005B2298">
        <w:t>källa för en detaljerad patientsäkerhetsstrategi för ÅHS</w:t>
      </w:r>
      <w:r w:rsidR="00374229">
        <w:t xml:space="preserve"> och andra </w:t>
      </w:r>
      <w:r w:rsidR="002A7E1B">
        <w:t>sjuk</w:t>
      </w:r>
      <w:r w:rsidR="00374229">
        <w:t>vård</w:t>
      </w:r>
      <w:r w:rsidR="002A7E1B">
        <w:t>s</w:t>
      </w:r>
      <w:r w:rsidR="00374229">
        <w:t>producenter</w:t>
      </w:r>
      <w:r w:rsidR="005B2298">
        <w:t>.</w:t>
      </w:r>
    </w:p>
    <w:p w14:paraId="5AFB4A43" w14:textId="77777777" w:rsidR="008D442F" w:rsidRDefault="008D442F" w:rsidP="00870B82"/>
    <w:p w14:paraId="0A10237E" w14:textId="0A05568A" w:rsidR="00A036EE" w:rsidRDefault="006C0205" w:rsidP="00870B82">
      <w:r>
        <w:t>Sedan 2022 finns ett p</w:t>
      </w:r>
      <w:r w:rsidR="008D442F">
        <w:t xml:space="preserve">atientråd </w:t>
      </w:r>
      <w:r>
        <w:t xml:space="preserve">vid </w:t>
      </w:r>
      <w:r w:rsidR="008D442F">
        <w:t>ÅHS</w:t>
      </w:r>
      <w:r>
        <w:t xml:space="preserve"> </w:t>
      </w:r>
      <w:r w:rsidR="00125A28">
        <w:t xml:space="preserve">där </w:t>
      </w:r>
      <w:r w:rsidRPr="006C0205">
        <w:t xml:space="preserve">patienter och närstående ska </w:t>
      </w:r>
      <w:r w:rsidR="00125A28">
        <w:t xml:space="preserve">kunna </w:t>
      </w:r>
      <w:r w:rsidRPr="006C0205">
        <w:t>få ett större inflytande i utvecklingen av verksamhet</w:t>
      </w:r>
      <w:r w:rsidR="00125A28">
        <w:t>en</w:t>
      </w:r>
      <w:r w:rsidRPr="006C0205">
        <w:t xml:space="preserve">. </w:t>
      </w:r>
      <w:r w:rsidR="002A7E1B">
        <w:t>r</w:t>
      </w:r>
      <w:r w:rsidRPr="006C0205">
        <w:t xml:space="preserve">ådets arbete </w:t>
      </w:r>
      <w:r w:rsidR="002A7E1B">
        <w:t xml:space="preserve">ska </w:t>
      </w:r>
      <w:r w:rsidRPr="006C0205">
        <w:t xml:space="preserve">bidra till att förbättra </w:t>
      </w:r>
      <w:r w:rsidR="00125A28">
        <w:t xml:space="preserve">ÅHS </w:t>
      </w:r>
      <w:r w:rsidRPr="006C0205">
        <w:t>hälso- och sjukvårdstjänster, till exempel genom att öka förutsättningarna för personcentrerad vård, delat beslutfattande och stöd till egenvård.</w:t>
      </w:r>
      <w:r>
        <w:t xml:space="preserve"> </w:t>
      </w:r>
      <w:r w:rsidRPr="006C0205">
        <w:t>ÅHS ledningsgrupp tillsätter patientrådet för en mandatperiod på två år.</w:t>
      </w:r>
      <w:r w:rsidR="00125A28">
        <w:t xml:space="preserve"> Det är inte ett uttryckligt mål att patientrådet ska bidra till patientsäkerhetsarbetet vid Å</w:t>
      </w:r>
      <w:r w:rsidR="005B2298">
        <w:t>HS, men ändå en naturlig del av det förbättringsarbete som rådet ska bidra till.</w:t>
      </w:r>
      <w:r w:rsidR="00125A28">
        <w:t xml:space="preserve"> Det är inte heller inskrivet i vare sig ÅHS reglemente eller i hälso- och sjukvårdslagen att det ska finnas patientinflytande genom denna eller andra kanaler</w:t>
      </w:r>
      <w:r w:rsidR="005B2298">
        <w:t xml:space="preserve">. Förtydliganden på dessa punkter skulle </w:t>
      </w:r>
      <w:r w:rsidR="00125A28">
        <w:t xml:space="preserve">kunna göras i en övergripande patientsäkerhetsstrategi för ÅHS.   </w:t>
      </w:r>
      <w:r w:rsidR="00A036EE">
        <w:t xml:space="preserve"> </w:t>
      </w:r>
    </w:p>
    <w:p w14:paraId="11195CFB" w14:textId="77777777" w:rsidR="00A036EE" w:rsidRDefault="00A036EE" w:rsidP="00870B82"/>
    <w:p w14:paraId="5560D669" w14:textId="43E01038" w:rsidR="00125A28" w:rsidRDefault="00125A28" w:rsidP="00870B82">
      <w:r>
        <w:t>Gällande de privata tjänsteproducenterna så finns som nämn</w:t>
      </w:r>
      <w:r w:rsidR="00433639">
        <w:t>t</w:t>
      </w:r>
      <w:r>
        <w:t xml:space="preserve"> redan lagstadgade krav på egenkontrol</w:t>
      </w:r>
      <w:r w:rsidR="00C110A4">
        <w:t>l</w:t>
      </w:r>
      <w:r>
        <w:t>plan och egen</w:t>
      </w:r>
      <w:r w:rsidRPr="003342E4">
        <w:t>anmälan</w:t>
      </w:r>
      <w:r>
        <w:t>. Detta är i sig inte en garanti för att det interna patientsäkerhetsarbetet är fullgott</w:t>
      </w:r>
      <w:r w:rsidR="00253A73">
        <w:t>. Till skillnad från ÅH</w:t>
      </w:r>
      <w:r w:rsidR="005B2298">
        <w:t>S</w:t>
      </w:r>
      <w:r w:rsidR="00253A73">
        <w:t xml:space="preserve"> som är en offentlig vårdgivare finns ingen möjlighet till </w:t>
      </w:r>
      <w:r w:rsidR="004A587C">
        <w:t xml:space="preserve">direkt </w:t>
      </w:r>
      <w:r w:rsidR="00253A73">
        <w:t xml:space="preserve">politisk styrning av den privata hälso- och sjukvården. </w:t>
      </w:r>
      <w:r w:rsidR="00167E94">
        <w:t>Tillståndsprocesser och e</w:t>
      </w:r>
      <w:r w:rsidR="00253A73">
        <w:t xml:space="preserve">xtern tillsyn spelar därför en relativt större roll i patientsäkerhetsarbetet bland privata tjänsteproducenter, men även för dessa bör ”tillitsbaseras tillsyn” vara </w:t>
      </w:r>
      <w:r w:rsidR="005B2298">
        <w:t xml:space="preserve">ett </w:t>
      </w:r>
      <w:r w:rsidR="00253A73">
        <w:t>led</w:t>
      </w:r>
      <w:r w:rsidR="005B2298">
        <w:t>ord</w:t>
      </w:r>
      <w:r w:rsidR="00253A73">
        <w:t xml:space="preserve">.   </w:t>
      </w:r>
    </w:p>
    <w:p w14:paraId="63A1BD40" w14:textId="77777777" w:rsidR="00125A28" w:rsidRDefault="00125A28" w:rsidP="00870B82"/>
    <w:p w14:paraId="20DE6EFA" w14:textId="5DF6A3F4" w:rsidR="005B2298" w:rsidRPr="00454809" w:rsidRDefault="00454809" w:rsidP="00506FAF">
      <w:r>
        <w:t>Sammanfattningsvis behöver h</w:t>
      </w:r>
      <w:r w:rsidR="00870B82" w:rsidRPr="00795005">
        <w:t xml:space="preserve">älso- och sjukvårdslagen </w:t>
      </w:r>
      <w:r w:rsidR="00E145B3" w:rsidRPr="00795005">
        <w:t>k</w:t>
      </w:r>
      <w:r w:rsidR="00870B82" w:rsidRPr="00795005">
        <w:t xml:space="preserve">ompletteras med tydliga skrivningar om att ÅHS ska utveckla och regelbundet se över </w:t>
      </w:r>
      <w:r w:rsidR="00E145B3" w:rsidRPr="00795005">
        <w:t xml:space="preserve">en intern </w:t>
      </w:r>
      <w:r w:rsidR="00870B82" w:rsidRPr="00795005">
        <w:t xml:space="preserve">patientsäkerhetsstrategi, ha en plan för egenkontroller och ett </w:t>
      </w:r>
      <w:r w:rsidR="00870B82" w:rsidRPr="00795005">
        <w:lastRenderedPageBreak/>
        <w:t xml:space="preserve">system för att utreda </w:t>
      </w:r>
      <w:r w:rsidR="003342E4" w:rsidRPr="00795005">
        <w:t xml:space="preserve">och anmäla </w:t>
      </w:r>
      <w:r w:rsidR="00E145B3" w:rsidRPr="00795005">
        <w:t>hot mot patientsäkerheten, på motsvarande sätt som infördes i den nya landskapslagen om privat hälso- och sjukvård år 2024.</w:t>
      </w:r>
      <w:r w:rsidR="00E145B3" w:rsidRPr="00454809">
        <w:t xml:space="preserve"> </w:t>
      </w:r>
      <w:r w:rsidR="00A036EE" w:rsidRPr="00795005">
        <w:t>Till</w:t>
      </w:r>
      <w:r w:rsidR="00506FAF" w:rsidRPr="00795005">
        <w:t xml:space="preserve"> des</w:t>
      </w:r>
      <w:r w:rsidR="00A036EE" w:rsidRPr="00795005">
        <w:t xml:space="preserve">s </w:t>
      </w:r>
      <w:r w:rsidR="00506FAF" w:rsidRPr="00795005">
        <w:t xml:space="preserve">att </w:t>
      </w:r>
      <w:r w:rsidR="00A036EE" w:rsidRPr="00795005">
        <w:t xml:space="preserve">hälso- och sjukvårdslagen har reviderats </w:t>
      </w:r>
      <w:r w:rsidR="00BC6E9A" w:rsidRPr="00795005">
        <w:t xml:space="preserve">kan </w:t>
      </w:r>
      <w:r w:rsidR="00A036EE" w:rsidRPr="00795005">
        <w:t xml:space="preserve">ÅHS </w:t>
      </w:r>
      <w:r w:rsidR="005271CD" w:rsidRPr="00795005">
        <w:t xml:space="preserve">frivilligt </w:t>
      </w:r>
      <w:r w:rsidR="00A036EE" w:rsidRPr="00795005">
        <w:t>utveckla en patientsäkerhetsstrategi inklusive plan för egenkontroll</w:t>
      </w:r>
      <w:r w:rsidR="00BC6E9A" w:rsidRPr="00795005">
        <w:t xml:space="preserve">, </w:t>
      </w:r>
      <w:r w:rsidR="00964E57" w:rsidRPr="00795005">
        <w:t>metoder för att säkerställa att patientsäkerhetsarbetet genomsyrar hela vårdorganisationen</w:t>
      </w:r>
      <w:r w:rsidR="00BC6E9A" w:rsidRPr="00795005">
        <w:t xml:space="preserve">, och komplettering av </w:t>
      </w:r>
      <w:r w:rsidR="00EE646D" w:rsidRPr="00795005">
        <w:t xml:space="preserve">ÅHS reglemente </w:t>
      </w:r>
      <w:r w:rsidR="00BC6E9A" w:rsidRPr="00795005">
        <w:t xml:space="preserve">gällande </w:t>
      </w:r>
      <w:r w:rsidR="00DB0388" w:rsidRPr="00795005">
        <w:t xml:space="preserve">anmärkningar </w:t>
      </w:r>
      <w:r w:rsidR="00BC6E9A" w:rsidRPr="00795005">
        <w:t xml:space="preserve">och </w:t>
      </w:r>
      <w:r w:rsidR="00DB0388" w:rsidRPr="00795005">
        <w:t>avvikelserapportering</w:t>
      </w:r>
      <w:r w:rsidR="00BC6E9A" w:rsidRPr="00795005">
        <w:t>.</w:t>
      </w:r>
    </w:p>
    <w:p w14:paraId="2F25BC88" w14:textId="77777777" w:rsidR="009F6367" w:rsidRDefault="009F6367" w:rsidP="009F6367"/>
    <w:p w14:paraId="4AD67D9A" w14:textId="77777777" w:rsidR="001D0E0F" w:rsidRDefault="001D0E0F" w:rsidP="009F6367"/>
    <w:p w14:paraId="55BE76C3" w14:textId="2AC74F71" w:rsidR="009F6367" w:rsidRDefault="00EA10C7" w:rsidP="003D2CC3">
      <w:pPr>
        <w:pStyle w:val="Rubrik2"/>
        <w:numPr>
          <w:ilvl w:val="0"/>
          <w:numId w:val="15"/>
        </w:numPr>
      </w:pPr>
      <w:bookmarkStart w:id="6" w:name="_Toc242713897"/>
      <w:r>
        <w:t xml:space="preserve">Tillstånd och extern </w:t>
      </w:r>
      <w:r w:rsidR="009F6367">
        <w:t>tillsyn</w:t>
      </w:r>
      <w:bookmarkEnd w:id="6"/>
    </w:p>
    <w:p w14:paraId="38A02067" w14:textId="77777777" w:rsidR="009F6367" w:rsidRDefault="009F6367" w:rsidP="009F6367"/>
    <w:p w14:paraId="3666025A" w14:textId="4C044649" w:rsidR="00EA10C7" w:rsidRDefault="00EA10C7" w:rsidP="003D2CC3">
      <w:pPr>
        <w:pStyle w:val="Rubrik3"/>
        <w:numPr>
          <w:ilvl w:val="1"/>
          <w:numId w:val="15"/>
        </w:numPr>
      </w:pPr>
      <w:bookmarkStart w:id="7" w:name="_Toc242713898"/>
      <w:r>
        <w:t>Tillstånd för yrkesutbildade inom hälso- och sjukvården</w:t>
      </w:r>
      <w:bookmarkEnd w:id="7"/>
    </w:p>
    <w:p w14:paraId="5DDD459D" w14:textId="266F6E88" w:rsidR="00EA10C7" w:rsidRDefault="00EA10C7" w:rsidP="00EA10C7">
      <w:r>
        <w:t>En central del av patientsäkerhetsarbetet är att säkerställa att hälso- och sjukvårdspersonalen har den kompetens som krävs för att kunna genomföra säker och effektiv vård. B</w:t>
      </w:r>
      <w:r w:rsidRPr="009D46B2">
        <w:t>ehörigheten att vara verksam inom hälso- och sjukvården</w:t>
      </w:r>
      <w:r>
        <w:t xml:space="preserve"> är rikets lagstiftningsbehörighet enligt 27 § 30 punkten i </w:t>
      </w:r>
      <w:r w:rsidRPr="00306BE7">
        <w:t>Självstyrelselag</w:t>
      </w:r>
      <w:r>
        <w:t xml:space="preserve">en. Detta regleras i lagen om yrkesutbildade personer inom hälso- och sjukvården (FFS 559/1994). </w:t>
      </w:r>
      <w:r w:rsidRPr="00795005">
        <w:t>Denna lag kommer revideras med start år 2026</w:t>
      </w:r>
      <w:r w:rsidR="00EB524B" w:rsidRPr="00795005">
        <w:t xml:space="preserve"> eller 2027</w:t>
      </w:r>
      <w:r w:rsidRPr="00795005">
        <w:t>. Landskapsregeringen har blivit konsulterad i inledningen av lagrevideringen och förutsätter att kunna vara en del av den fortsatta processen med att ta fram ett lagförslag. Det finns flera strategiskt viktiga frågar för Åland i denna process, vilka diskuteras mer i delanalys 5 om kompetensförsörjning.</w:t>
      </w:r>
      <w:r w:rsidRPr="00795005">
        <w:rPr>
          <w:rStyle w:val="Fotnotsreferens"/>
        </w:rPr>
        <w:footnoteReference w:id="7"/>
      </w:r>
      <w:r w:rsidRPr="00795005">
        <w:t xml:space="preserve"> En lagändring med direkt patientsäkerhetseffekt skulle vara att personer som begått allvarliga brott utanför tjänsten ska kunna bli av med sin legitimation.</w:t>
      </w:r>
      <w:r>
        <w:rPr>
          <w:b/>
          <w:bCs/>
          <w:i/>
          <w:iCs/>
        </w:rPr>
        <w:t xml:space="preserve"> </w:t>
      </w:r>
    </w:p>
    <w:p w14:paraId="0CC4885B" w14:textId="77777777" w:rsidR="00EA10C7" w:rsidRDefault="00EA10C7" w:rsidP="00EA10C7"/>
    <w:p w14:paraId="242EDCE5" w14:textId="022A0259" w:rsidR="00EA10C7" w:rsidRDefault="00EA10C7" w:rsidP="003D2CC3">
      <w:pPr>
        <w:pStyle w:val="Rubrik3"/>
        <w:numPr>
          <w:ilvl w:val="1"/>
          <w:numId w:val="15"/>
        </w:numPr>
      </w:pPr>
      <w:bookmarkStart w:id="8" w:name="_Toc242713899"/>
      <w:r>
        <w:t>T</w:t>
      </w:r>
      <w:r w:rsidRPr="00EA10C7">
        <w:t xml:space="preserve">illsyn </w:t>
      </w:r>
      <w:r>
        <w:t xml:space="preserve">över </w:t>
      </w:r>
      <w:r w:rsidRPr="00EA10C7">
        <w:t>yrkesutbildade personer inom hälso- och sjukvården</w:t>
      </w:r>
      <w:bookmarkEnd w:id="8"/>
    </w:p>
    <w:p w14:paraId="6AAFC93F" w14:textId="78FED636" w:rsidR="00EA10C7" w:rsidRDefault="00EA10C7" w:rsidP="00EA10C7">
      <w:r>
        <w:t>Den tillsyn som sker enligt lagen om yrkesutbildade personer inom hälso- och sjukvården ska ytterst skötas av Tillstånds- och tillsynsverket. Vissa delar av tillsynen sköts emellertid av Ålands landskapsregering enligt Republikens presidents förordning om vissa förvaltningsuppgifter inom hälso- och sjukvården i landskapet Åland.</w:t>
      </w:r>
      <w:r w:rsidR="00E91E01">
        <w:rPr>
          <w:rStyle w:val="Fotnotsreferens"/>
        </w:rPr>
        <w:footnoteReference w:id="8"/>
      </w:r>
      <w:r>
        <w:t xml:space="preserve"> Landskapsregeringen kan vid tillsyn rikta en anmärkning mot en specifik yrkesutbildad person inom hälso- och sjukvården, om patientskada uppstått, om patientsäkerheten är hotad, eller om handläggning på annat sätt inte varit ändamålsenlig och lagenlig. Landskapsregeringen kan emellertid inte ge en varning, förelägga förbättringsåtgärder eller begränsa eller dra in den yrkesutbildades rätt att </w:t>
      </w:r>
      <w:r w:rsidR="56D218F1">
        <w:t>ut</w:t>
      </w:r>
      <w:r>
        <w:t xml:space="preserve">öva yrket. Vid allvarliga situationer eller vid upprepade fall av handläggning som inte varit ändamålsenlig behöver ärendet föras över till Tillstånds- och tillsynsverket, som vid behov kan vidta </w:t>
      </w:r>
      <w:r w:rsidR="00944564">
        <w:t xml:space="preserve">sådana </w:t>
      </w:r>
      <w:r>
        <w:t xml:space="preserve">disciplinära åtgärder eller begränsa rättigheter att utöva yrket. Denna ordning är ändamålsenlig, då det är av stor vikt att likabehandling säkerställs i de fall då allvarliga konsekvenser kan komma ifråga för berörd vårdpersonal med stöd i rikslagstiftningen om yrkesutbildade inom hälso- och sjukvården. </w:t>
      </w:r>
    </w:p>
    <w:p w14:paraId="74C86CF2" w14:textId="77777777" w:rsidR="00EA10C7" w:rsidRDefault="00EA10C7" w:rsidP="00EA10C7"/>
    <w:p w14:paraId="480871CE" w14:textId="32B5CE33" w:rsidR="00EA10C7" w:rsidRPr="00CF023A" w:rsidRDefault="00EA10C7" w:rsidP="00EA10C7">
      <w:r>
        <w:t>I nuläget görs således delar av tillsynen av yrkesutbildade på Åland av landskapsregeringen, samtidigt som den övergripande tillsynen av ÅHS och de privata tjänsteproducenterna görs av</w:t>
      </w:r>
      <w:r w:rsidR="00667BEA">
        <w:t xml:space="preserve"> </w:t>
      </w:r>
      <w:r w:rsidR="00667BEA" w:rsidRPr="009F6367">
        <w:t>Ålands miljö</w:t>
      </w:r>
      <w:r w:rsidR="00667BEA">
        <w:t>- och hälsoskyddsmyndighet (</w:t>
      </w:r>
      <w:r w:rsidR="00667BEA" w:rsidRPr="00506FAF">
        <w:t>ÅMHM</w:t>
      </w:r>
      <w:r w:rsidR="00667BEA">
        <w:t>)</w:t>
      </w:r>
      <w:r w:rsidR="005271CD">
        <w:t xml:space="preserve"> (se avsnitt 6.3. och 6.4.)</w:t>
      </w:r>
      <w:r w:rsidR="00667BEA">
        <w:t>.</w:t>
      </w:r>
      <w:r>
        <w:t xml:space="preserve"> Denna uppdelning skapar problem. Vid tillsyn av en enskild yrkesutbildad person inom hälso- och sjukvården är det snarare regel än undantag att även serviceproducents riktlinjer, organisation, rutiner och praxis behöver granskas</w:t>
      </w:r>
      <w:r w:rsidR="005271CD">
        <w:t>, eftersom individens agerande ofta hänger nära samman med de förutsättningar som vårdorganisationen skapar</w:t>
      </w:r>
      <w:r>
        <w:t xml:space="preserve">. Detta innebär att tillsynsärenden ofta behöver hanteras av både landskapsregeringen och ÅMHM. Gränsdragningar för vilken myndighet som ska handlägga vad och i vilken ordning uppstår regelbundet. Motsvarande uppdelning finns varken i riket eller för yrkesutbildade inom socialvården på Åland. Om ÅMHM skulle ta över tillsynen även över yrkesutbildade skulle tillsynen av hälso- och sjukvården bli effektivare, snabbare och mer sammanhållen. </w:t>
      </w:r>
      <w:r w:rsidRPr="00795005">
        <w:t xml:space="preserve">En strategisk fråga för framtiden är </w:t>
      </w:r>
      <w:r w:rsidR="00CF023A" w:rsidRPr="00795005">
        <w:t xml:space="preserve">därför </w:t>
      </w:r>
      <w:r w:rsidRPr="00795005">
        <w:t>huruvida och i så fall när den tillsyn över yrkesutbildade inom hälso- och sjukvården som idag görs av landskapsregering ska överföras till ÅMHM för att säkerställa att alla delar tillsynen av hälso- och sjukvården och dess personal sköts av en och samma myndighet.</w:t>
      </w:r>
      <w:r w:rsidRPr="00CF023A">
        <w:t xml:space="preserve"> </w:t>
      </w:r>
    </w:p>
    <w:p w14:paraId="305BB633" w14:textId="77777777" w:rsidR="006B18CB" w:rsidRDefault="006B18CB" w:rsidP="009F6367"/>
    <w:p w14:paraId="7789004B" w14:textId="00DF333D" w:rsidR="00EA10C7" w:rsidRDefault="00667BEA" w:rsidP="003D2CC3">
      <w:pPr>
        <w:pStyle w:val="Rubrik3"/>
        <w:numPr>
          <w:ilvl w:val="1"/>
          <w:numId w:val="15"/>
        </w:numPr>
      </w:pPr>
      <w:bookmarkStart w:id="9" w:name="_Toc242713900"/>
      <w:r>
        <w:t>Tillstånd för privata tjänsteproducenter på Åland</w:t>
      </w:r>
      <w:bookmarkEnd w:id="9"/>
    </w:p>
    <w:p w14:paraId="757FCFF0" w14:textId="1AF8FB74" w:rsidR="00667BEA" w:rsidRDefault="00667BEA" w:rsidP="009F6367">
      <w:r>
        <w:t xml:space="preserve">ÅMHM ansvarar för tillstånd för </w:t>
      </w:r>
      <w:r w:rsidRPr="00B54CF5">
        <w:t>privat</w:t>
      </w:r>
      <w:r>
        <w:t>a</w:t>
      </w:r>
      <w:r w:rsidRPr="00B54CF5">
        <w:t xml:space="preserve"> hälso- och sjukvård</w:t>
      </w:r>
      <w:r>
        <w:t xml:space="preserve"> på Åland. Vem som kan få tillstånd regleras i detalj i lagen om privat hälso- och sjukvård och ett tydligt syfte med denna reglering är att </w:t>
      </w:r>
      <w:r w:rsidR="005271CD">
        <w:t xml:space="preserve">optimera </w:t>
      </w:r>
      <w:r>
        <w:t xml:space="preserve">patientsäkerheten genom att tillse att endast seriösa och kompetenta tjänsteproducenter levererar hälso- och sjukvård på Åland. </w:t>
      </w:r>
    </w:p>
    <w:p w14:paraId="01426B2D" w14:textId="77777777" w:rsidR="00667BEA" w:rsidRDefault="00667BEA" w:rsidP="009F6367"/>
    <w:p w14:paraId="2CA39D4C" w14:textId="568242D9" w:rsidR="00667BEA" w:rsidRDefault="00667BEA" w:rsidP="009F6367">
      <w:r>
        <w:t>Det finns i dagsläget vissa utmaningar med att granska bakgrund för individer och företag som vill etablera sig som privat tjänsteproducent på Åland</w:t>
      </w:r>
      <w:r w:rsidR="005271CD">
        <w:t>, särskilt då de har tidigare arbetat i ett annat land, t.ex. i Sverige</w:t>
      </w:r>
      <w:r>
        <w:t xml:space="preserve">. </w:t>
      </w:r>
      <w:r w:rsidRPr="00795005">
        <w:t xml:space="preserve">En strategisk fråga för framtiden är hur ÅMHM kan utveckla processer för att få tillräcklig information vid bedömning av ansökningar. </w:t>
      </w:r>
    </w:p>
    <w:p w14:paraId="4F93A673" w14:textId="77777777" w:rsidR="00667BEA" w:rsidRDefault="00667BEA" w:rsidP="009F6367"/>
    <w:p w14:paraId="445D828B" w14:textId="774E2DA9" w:rsidR="00667BEA" w:rsidRDefault="00667BEA" w:rsidP="003D2CC3">
      <w:pPr>
        <w:pStyle w:val="Rubrik3"/>
        <w:numPr>
          <w:ilvl w:val="1"/>
          <w:numId w:val="15"/>
        </w:numPr>
      </w:pPr>
      <w:bookmarkStart w:id="10" w:name="_Toc242713901"/>
      <w:r>
        <w:t xml:space="preserve">Löpande tillsyn </w:t>
      </w:r>
      <w:r w:rsidR="0047296C">
        <w:t>a</w:t>
      </w:r>
      <w:r>
        <w:t>v ÅHS och privata tjänsteproducenter</w:t>
      </w:r>
      <w:bookmarkEnd w:id="10"/>
    </w:p>
    <w:p w14:paraId="73E72B38" w14:textId="07D9CE8B" w:rsidR="009F6367" w:rsidRDefault="0047296C" w:rsidP="009F6367">
      <w:r>
        <w:t xml:space="preserve">ÅMHM sköter </w:t>
      </w:r>
      <w:r w:rsidR="005271CD">
        <w:t xml:space="preserve">den löpande </w:t>
      </w:r>
      <w:r>
        <w:t>t</w:t>
      </w:r>
      <w:r w:rsidR="009F6367">
        <w:t xml:space="preserve">illsynen </w:t>
      </w:r>
      <w:r>
        <w:t xml:space="preserve">av ÅHS enligt </w:t>
      </w:r>
      <w:r w:rsidR="009F6367" w:rsidRPr="00B54CF5">
        <w:t>hälso- och sjukvårdslagen</w:t>
      </w:r>
      <w:r w:rsidR="009F6367">
        <w:t xml:space="preserve"> </w:t>
      </w:r>
      <w:r>
        <w:t xml:space="preserve">och tillsynen av privata tjänsteproducenter enligt </w:t>
      </w:r>
      <w:r w:rsidR="009F6367" w:rsidRPr="00B54CF5">
        <w:t>lagen om privat hälso- och sjukvård</w:t>
      </w:r>
      <w:r w:rsidR="009F6367">
        <w:t xml:space="preserve">. </w:t>
      </w:r>
      <w:r>
        <w:t xml:space="preserve">Förbättrad patientsäkerhet är ett övergripande tema för denna tillsyn. </w:t>
      </w:r>
    </w:p>
    <w:p w14:paraId="0671FCF5" w14:textId="77777777" w:rsidR="009F6367" w:rsidRDefault="009F6367" w:rsidP="009F6367"/>
    <w:p w14:paraId="5E01EEFC" w14:textId="01B45971" w:rsidR="009F6367" w:rsidRPr="00795005" w:rsidRDefault="0047296C" w:rsidP="009F6367">
      <w:r>
        <w:t>Patientsäkerhet är också ett centralt område för t</w:t>
      </w:r>
      <w:r w:rsidR="00EA10C7">
        <w:t>illsynen gällande vissa specialområden inom hälso- och sjukvården som tillhör r</w:t>
      </w:r>
      <w:r w:rsidR="009F6367">
        <w:t>iket</w:t>
      </w:r>
      <w:r w:rsidR="00EA10C7">
        <w:t xml:space="preserve">s </w:t>
      </w:r>
      <w:r w:rsidR="009F6367">
        <w:t>lagstiftningsbehörighet</w:t>
      </w:r>
      <w:r w:rsidR="00EA10C7">
        <w:t xml:space="preserve"> enligt 27 § 24, 29 och 30 punkten i självstyrelselagen. Det gäller bland annat</w:t>
      </w:r>
      <w:r w:rsidR="009F6367">
        <w:t xml:space="preserve"> </w:t>
      </w:r>
      <w:r w:rsidR="00EA10C7">
        <w:t xml:space="preserve">lagstiftning </w:t>
      </w:r>
      <w:r w:rsidR="009F6367">
        <w:t xml:space="preserve">på följande områden; </w:t>
      </w:r>
      <w:r>
        <w:t>a</w:t>
      </w:r>
      <w:r w:rsidR="009F6367">
        <w:t xml:space="preserve">dministrativa ingrepp i den personliga friheten (bland annat Mentalvårdslagen, FFS 1116/1990), </w:t>
      </w:r>
      <w:r>
        <w:t>s</w:t>
      </w:r>
      <w:r w:rsidR="009F6367">
        <w:t xml:space="preserve">mittsamma sjukdomar hos människor (Lag om smittsamma sjukdomar, FFS 1227/2016), </w:t>
      </w:r>
      <w:r>
        <w:t>k</w:t>
      </w:r>
      <w:r w:rsidR="009F6367">
        <w:t xml:space="preserve">astrering och sterilisering (Steriliseringslagen, FFS 283/1970), </w:t>
      </w:r>
      <w:r>
        <w:t>a</w:t>
      </w:r>
      <w:r w:rsidR="009F6367">
        <w:t xml:space="preserve">vbrytande av havandeskap (Lagen om avbrytande av havandeskap, FFS 239/1970), </w:t>
      </w:r>
      <w:r>
        <w:t>k</w:t>
      </w:r>
      <w:r w:rsidR="009F6367">
        <w:t>onstbefruktning (Lagen om assisterad befruktning. FFS 1237/2006</w:t>
      </w:r>
      <w:r>
        <w:t>)</w:t>
      </w:r>
      <w:r w:rsidR="009F6367">
        <w:t xml:space="preserve">. Liksom för yrkesutbildade </w:t>
      </w:r>
      <w:r>
        <w:t xml:space="preserve">inom hälso- och sjukvården </w:t>
      </w:r>
      <w:r w:rsidR="009F6367">
        <w:t xml:space="preserve">sköts vissa delar av tillsynen även på dessa områden av Ålands landskapsregering enligt </w:t>
      </w:r>
      <w:r w:rsidR="009F6367" w:rsidRPr="00306BE7">
        <w:t xml:space="preserve">Republikens presidents förordning </w:t>
      </w:r>
      <w:r w:rsidR="009F6367">
        <w:t xml:space="preserve"> </w:t>
      </w:r>
      <w:r w:rsidR="009F6367" w:rsidRPr="00306BE7">
        <w:t>om vissa förvaltningsuppgifter inom hälso- och sjukvården i landskapet Åland</w:t>
      </w:r>
      <w:r w:rsidR="009F6367">
        <w:t>.</w:t>
      </w:r>
      <w:r w:rsidR="00602F54">
        <w:rPr>
          <w:rStyle w:val="Fotnotsreferens"/>
        </w:rPr>
        <w:footnoteReference w:id="9"/>
      </w:r>
      <w:r w:rsidR="009F6367">
        <w:t xml:space="preserve"> </w:t>
      </w:r>
      <w:r w:rsidR="009F6367" w:rsidRPr="00795005">
        <w:t>Samma</w:t>
      </w:r>
      <w:r w:rsidRPr="00795005">
        <w:t xml:space="preserve"> </w:t>
      </w:r>
      <w:r w:rsidR="009F6367" w:rsidRPr="00795005">
        <w:t xml:space="preserve">strategiska frågeställning som diskuterades i avsnitt </w:t>
      </w:r>
      <w:r w:rsidR="00036EA9" w:rsidRPr="00795005">
        <w:t>6.2.</w:t>
      </w:r>
      <w:r w:rsidR="009F6367" w:rsidRPr="00795005">
        <w:t xml:space="preserve"> finns gällande överföring av denna tillsyn från landskapsregering till ÅMHM.  </w:t>
      </w:r>
    </w:p>
    <w:p w14:paraId="7013FACF" w14:textId="77777777" w:rsidR="009F6367" w:rsidRDefault="009F6367" w:rsidP="009F6367"/>
    <w:p w14:paraId="14256C1A" w14:textId="3F024428" w:rsidR="007D572E" w:rsidRDefault="00746169" w:rsidP="00746169">
      <w:pPr>
        <w:rPr>
          <w:b/>
          <w:bCs/>
          <w:i/>
          <w:iCs/>
        </w:rPr>
      </w:pPr>
      <w:r>
        <w:t xml:space="preserve">Den externa tillsynen är i dagsläget i huvudsak reaktiv och initieras vanligen genom ett klagomål från en patient eller anhörig. Proaktiv planerad tillsyn där stöd till ÅHS och de privata tjänsteproducenterna för att stärka deras interna </w:t>
      </w:r>
      <w:r w:rsidRPr="0047296C">
        <w:t>patientsäkerhets</w:t>
      </w:r>
      <w:r>
        <w:t>strukturer och processer är en betydligt mindre del av tillsynsarbetet.</w:t>
      </w:r>
      <w:r w:rsidR="005271CD">
        <w:t xml:space="preserve"> </w:t>
      </w:r>
    </w:p>
    <w:p w14:paraId="23AFFCD1" w14:textId="77777777" w:rsidR="00E43FAE" w:rsidRDefault="00E43FAE" w:rsidP="009F6367">
      <w:pPr>
        <w:rPr>
          <w:b/>
          <w:bCs/>
          <w:i/>
          <w:iCs/>
        </w:rPr>
      </w:pPr>
    </w:p>
    <w:p w14:paraId="1E6B752D" w14:textId="6658C305" w:rsidR="000C3208" w:rsidRPr="002F4633" w:rsidRDefault="00746169" w:rsidP="009F6367">
      <w:r w:rsidRPr="00795005">
        <w:t xml:space="preserve">En strategisk fråga för framtiden är </w:t>
      </w:r>
      <w:r w:rsidR="002A38EF" w:rsidRPr="00795005">
        <w:t>grad</w:t>
      </w:r>
      <w:r w:rsidR="00F0140E" w:rsidRPr="00795005">
        <w:t>en</w:t>
      </w:r>
      <w:r w:rsidR="002A38EF" w:rsidRPr="00795005">
        <w:t xml:space="preserve"> av </w:t>
      </w:r>
      <w:r w:rsidRPr="00795005">
        <w:t xml:space="preserve">proaktiv tillsyn med stöd till tjänsteproducenterna för att stärka deras patientsäkerhetsarbete. Även </w:t>
      </w:r>
      <w:r w:rsidR="007E58F2" w:rsidRPr="00795005">
        <w:t xml:space="preserve">här </w:t>
      </w:r>
      <w:r w:rsidRPr="00795005">
        <w:t>är frågan om konsolidering av samtliga delar av tillsynen över hälso- och sjukvården till en myndighet</w:t>
      </w:r>
      <w:r w:rsidR="005167C3" w:rsidRPr="00795005">
        <w:t xml:space="preserve"> </w:t>
      </w:r>
      <w:r w:rsidR="005271CD" w:rsidRPr="00795005">
        <w:t>relevant</w:t>
      </w:r>
      <w:r w:rsidRPr="00795005">
        <w:t xml:space="preserve">. </w:t>
      </w:r>
      <w:r w:rsidR="001345B8" w:rsidRPr="00795005">
        <w:t xml:space="preserve">Samverkan mellan ÅMHM och landskapsregeringen </w:t>
      </w:r>
      <w:r w:rsidR="005306BC" w:rsidRPr="00795005">
        <w:t xml:space="preserve">behöver </w:t>
      </w:r>
      <w:r w:rsidR="00B71BED" w:rsidRPr="00795005">
        <w:t xml:space="preserve">anpassas så att landskapsregeringen hålls underrättad </w:t>
      </w:r>
      <w:r w:rsidR="00BB307E" w:rsidRPr="00795005">
        <w:t xml:space="preserve">om </w:t>
      </w:r>
      <w:r w:rsidR="00AE31DE" w:rsidRPr="00795005">
        <w:t>hot mot patientsäkerheten</w:t>
      </w:r>
      <w:r w:rsidR="00395532" w:rsidRPr="00795005">
        <w:t xml:space="preserve"> som ident</w:t>
      </w:r>
      <w:r w:rsidR="00AA71F3" w:rsidRPr="00795005">
        <w:t>ifieras vid ÅMHMs tillsyn</w:t>
      </w:r>
      <w:r w:rsidR="00777BC1" w:rsidRPr="00795005">
        <w:t xml:space="preserve"> och som är relevant för den övergripande styrningen av hälso- och sjukvården</w:t>
      </w:r>
      <w:r w:rsidR="00AA71F3" w:rsidRPr="00795005">
        <w:t>.</w:t>
      </w:r>
    </w:p>
    <w:p w14:paraId="0529E770" w14:textId="77777777" w:rsidR="000C3208" w:rsidRDefault="000C3208" w:rsidP="009F6367"/>
    <w:p w14:paraId="6F6FC1DF" w14:textId="77777777" w:rsidR="001A1CA9" w:rsidRDefault="001A1CA9" w:rsidP="009F6367"/>
    <w:p w14:paraId="69CC396A" w14:textId="1124AC2B" w:rsidR="003D2CC3" w:rsidRDefault="003D2CC3" w:rsidP="00387C9D">
      <w:pPr>
        <w:pStyle w:val="Rubrik2"/>
        <w:numPr>
          <w:ilvl w:val="0"/>
          <w:numId w:val="15"/>
        </w:numPr>
      </w:pPr>
      <w:bookmarkStart w:id="11" w:name="_Toc242713902"/>
      <w:r>
        <w:t>Övriga områden kopplade till patientsäkerheten</w:t>
      </w:r>
      <w:bookmarkEnd w:id="11"/>
    </w:p>
    <w:p w14:paraId="2E6623F3" w14:textId="77777777" w:rsidR="00506FAF" w:rsidRDefault="00506FAF" w:rsidP="00506FAF"/>
    <w:p w14:paraId="2E15CBCA" w14:textId="368784E1" w:rsidR="009D46B2" w:rsidRPr="00A97A6D" w:rsidRDefault="008112D4" w:rsidP="009A636C">
      <w:pPr>
        <w:pStyle w:val="Rubrik3"/>
        <w:numPr>
          <w:ilvl w:val="1"/>
          <w:numId w:val="15"/>
        </w:numPr>
      </w:pPr>
      <w:bookmarkStart w:id="12" w:name="_Toc242713903"/>
      <w:r w:rsidRPr="00A97A6D">
        <w:t>Läkemedel och medicintekniska produkter</w:t>
      </w:r>
      <w:bookmarkEnd w:id="12"/>
    </w:p>
    <w:p w14:paraId="1AA88A24" w14:textId="73922823" w:rsidR="009D46B2" w:rsidRPr="00A97A6D" w:rsidRDefault="009D46B2" w:rsidP="009D46B2">
      <w:r w:rsidRPr="00A97A6D">
        <w:t xml:space="preserve">Enligt </w:t>
      </w:r>
      <w:r w:rsidR="008112D4" w:rsidRPr="00A97A6D">
        <w:t xml:space="preserve">27 § 30 punkten i Självstyrelselag </w:t>
      </w:r>
      <w:r w:rsidRPr="00A97A6D">
        <w:t xml:space="preserve">har riket lagstiftningsbehörighet gällande apoteksväsendet, mediciner och produkter av läkemedelstyp, narkotiska ämnen samt framställning av gifter och fastställande av deras användningsändamål. </w:t>
      </w:r>
    </w:p>
    <w:p w14:paraId="0EB6C5AD" w14:textId="77777777" w:rsidR="009D46B2" w:rsidRPr="00A97A6D" w:rsidRDefault="009D46B2" w:rsidP="009D46B2"/>
    <w:p w14:paraId="2A282CB3" w14:textId="6D62F7D8" w:rsidR="008112D4" w:rsidRPr="00A97A6D" w:rsidRDefault="008112D4" w:rsidP="008112D4">
      <w:r w:rsidRPr="00A97A6D">
        <w:t xml:space="preserve">Säkerheten hos läkemedel och medicintekniska produkter och användning av dem regleras bland annat av läkemedelslagen (FFS 395/1987), lagen om medicintekniska produkter (FFS 719/2021) och lagen om vissa medicintekniska produkter enligt EU-direktiv (FFS 629/2010). EU:s förordningar om medicintekniska produkter (EU) 2017/745 (MDR) och medicintekniska produkter för in vitro-diagnostik (EU) 2017/745 (IVDR) tillämpas i Finland. </w:t>
      </w:r>
    </w:p>
    <w:p w14:paraId="3E5E7495" w14:textId="77777777" w:rsidR="008112D4" w:rsidRPr="00A97A6D" w:rsidRDefault="008112D4" w:rsidP="009D46B2"/>
    <w:p w14:paraId="02F95ACD" w14:textId="4AB4133A" w:rsidR="00136FA1" w:rsidRPr="00136FA1" w:rsidRDefault="001447A4" w:rsidP="00136FA1">
      <w:pPr>
        <w:rPr>
          <w:lang w:val="sv-FI"/>
        </w:rPr>
      </w:pPr>
      <w:r w:rsidRPr="00D679F7">
        <w:rPr>
          <w:rStyle w:val="cf01"/>
          <w:rFonts w:asciiTheme="minorHAnsi" w:hAnsiTheme="minorHAnsi" w:cstheme="minorHAnsi"/>
          <w:sz w:val="20"/>
          <w:szCs w:val="20"/>
        </w:rPr>
        <w:t xml:space="preserve">Säkerhets- och utvecklingscentret för läkemedelsområdet </w:t>
      </w:r>
      <w:r w:rsidR="00746169" w:rsidRPr="00D679F7">
        <w:rPr>
          <w:rFonts w:cstheme="minorHAnsi"/>
        </w:rPr>
        <w:t>Fimea är tillsynsmyndighet</w:t>
      </w:r>
      <w:r w:rsidR="00746169" w:rsidRPr="00A97A6D">
        <w:t xml:space="preserve"> även på Åland</w:t>
      </w:r>
      <w:r w:rsidR="00D679F7">
        <w:t xml:space="preserve">. </w:t>
      </w:r>
      <w:r w:rsidR="00136FA1" w:rsidRPr="00136FA1">
        <w:rPr>
          <w:lang w:val="sv-FI"/>
        </w:rPr>
        <w:t>Fimea övervakar att apotekens verksamhet är lagenlig. Tillsynen består bland annat av vägledning, tillstånds- och anmälningsförfaranden, utredningsbegäran, apoteksinspektioner och disciplinåtgärder.</w:t>
      </w:r>
    </w:p>
    <w:p w14:paraId="1AFD904D" w14:textId="77777777" w:rsidR="00136FA1" w:rsidRDefault="00136FA1" w:rsidP="009D46B2"/>
    <w:p w14:paraId="2F28103C" w14:textId="29E2B9C4" w:rsidR="00E02CFA" w:rsidRPr="00E02CFA" w:rsidRDefault="000B209A" w:rsidP="00E02CFA">
      <w:pPr>
        <w:rPr>
          <w:lang w:val="sv-FI"/>
        </w:rPr>
      </w:pPr>
      <w:r>
        <w:rPr>
          <w:lang w:val="sv-FI"/>
        </w:rPr>
        <w:t>M</w:t>
      </w:r>
      <w:r w:rsidR="00E02CFA" w:rsidRPr="00E02CFA">
        <w:rPr>
          <w:lang w:val="sv-FI"/>
        </w:rPr>
        <w:t>edicinteknisk produkt</w:t>
      </w:r>
      <w:r>
        <w:rPr>
          <w:lang w:val="sv-FI"/>
        </w:rPr>
        <w:t>er</w:t>
      </w:r>
      <w:r w:rsidR="00E02CFA" w:rsidRPr="00E02CFA">
        <w:rPr>
          <w:lang w:val="sv-FI"/>
        </w:rPr>
        <w:t xml:space="preserve"> är instrument, apparat</w:t>
      </w:r>
      <w:r>
        <w:rPr>
          <w:lang w:val="sv-FI"/>
        </w:rPr>
        <w:t>er</w:t>
      </w:r>
      <w:r w:rsidR="00E02CFA" w:rsidRPr="00E02CFA">
        <w:rPr>
          <w:lang w:val="sv-FI"/>
        </w:rPr>
        <w:t>, anordning</w:t>
      </w:r>
      <w:r>
        <w:rPr>
          <w:lang w:val="sv-FI"/>
        </w:rPr>
        <w:t>ar</w:t>
      </w:r>
      <w:r w:rsidR="00E02CFA" w:rsidRPr="00E02CFA">
        <w:rPr>
          <w:lang w:val="sv-FI"/>
        </w:rPr>
        <w:t>, programvar</w:t>
      </w:r>
      <w:r>
        <w:rPr>
          <w:lang w:val="sv-FI"/>
        </w:rPr>
        <w:t>or</w:t>
      </w:r>
      <w:r w:rsidR="00E02CFA" w:rsidRPr="00E02CFA">
        <w:rPr>
          <w:lang w:val="sv-FI"/>
        </w:rPr>
        <w:t>, implantat, reagens</w:t>
      </w:r>
      <w:r>
        <w:rPr>
          <w:lang w:val="sv-FI"/>
        </w:rPr>
        <w:t>er</w:t>
      </w:r>
      <w:r w:rsidR="00E02CFA" w:rsidRPr="00E02CFA">
        <w:rPr>
          <w:lang w:val="sv-FI"/>
        </w:rPr>
        <w:t>, material eller an</w:t>
      </w:r>
      <w:r>
        <w:rPr>
          <w:lang w:val="sv-FI"/>
        </w:rPr>
        <w:t xml:space="preserve">dra </w:t>
      </w:r>
      <w:r w:rsidR="00E02CFA" w:rsidRPr="00E02CFA">
        <w:rPr>
          <w:lang w:val="sv-FI"/>
        </w:rPr>
        <w:t>artikl</w:t>
      </w:r>
      <w:r>
        <w:rPr>
          <w:lang w:val="sv-FI"/>
        </w:rPr>
        <w:t>ar</w:t>
      </w:r>
      <w:r w:rsidR="00E02CFA" w:rsidRPr="00E02CFA">
        <w:rPr>
          <w:lang w:val="sv-FI"/>
        </w:rPr>
        <w:t xml:space="preserve"> som enligt tillverkaren är avsedd</w:t>
      </w:r>
      <w:r w:rsidR="00DA6241">
        <w:rPr>
          <w:lang w:val="sv-FI"/>
        </w:rPr>
        <w:t>a</w:t>
      </w:r>
      <w:r w:rsidR="00E02CFA" w:rsidRPr="00E02CFA">
        <w:rPr>
          <w:lang w:val="sv-FI"/>
        </w:rPr>
        <w:t xml:space="preserve"> att, antingen separat eller i kombination, användas på människor för ett eller flera av följande medicinska ändamål, nämligen</w:t>
      </w:r>
    </w:p>
    <w:p w14:paraId="2F0389D1" w14:textId="77777777" w:rsidR="00E02CFA" w:rsidRPr="00E02CFA" w:rsidRDefault="00E02CFA" w:rsidP="00E02CFA">
      <w:pPr>
        <w:numPr>
          <w:ilvl w:val="0"/>
          <w:numId w:val="25"/>
        </w:numPr>
        <w:rPr>
          <w:lang w:val="sv-FI"/>
        </w:rPr>
      </w:pPr>
      <w:r w:rsidRPr="00E02CFA">
        <w:rPr>
          <w:lang w:val="sv-FI"/>
        </w:rPr>
        <w:t>diagnos, profylax, övervakning, prediktion, prognos, behandling eller lindring av sjukdom,</w:t>
      </w:r>
    </w:p>
    <w:p w14:paraId="35CADD5C" w14:textId="77777777" w:rsidR="00E02CFA" w:rsidRPr="00E02CFA" w:rsidRDefault="00E02CFA" w:rsidP="00E02CFA">
      <w:pPr>
        <w:numPr>
          <w:ilvl w:val="0"/>
          <w:numId w:val="25"/>
        </w:numPr>
        <w:rPr>
          <w:lang w:val="sv-FI"/>
        </w:rPr>
      </w:pPr>
      <w:r w:rsidRPr="00E02CFA">
        <w:rPr>
          <w:lang w:val="sv-FI"/>
        </w:rPr>
        <w:t>diagnos, övervakning, behandling, lindring av eller kompensation för en skada eller funktionsnedsättning,</w:t>
      </w:r>
    </w:p>
    <w:p w14:paraId="429AE25F" w14:textId="77777777" w:rsidR="00E02CFA" w:rsidRPr="00E02CFA" w:rsidRDefault="00E02CFA" w:rsidP="00E02CFA">
      <w:pPr>
        <w:numPr>
          <w:ilvl w:val="0"/>
          <w:numId w:val="25"/>
        </w:numPr>
        <w:rPr>
          <w:lang w:val="sv-FI"/>
        </w:rPr>
      </w:pPr>
      <w:r w:rsidRPr="00E02CFA">
        <w:rPr>
          <w:lang w:val="sv-FI"/>
        </w:rPr>
        <w:t>undersökning, ersättning eller ändring av anatomin eller av en fysiologisk eller patologisk process eller ett fysiologiskt eller patologiskt tillstånd,</w:t>
      </w:r>
    </w:p>
    <w:p w14:paraId="4AEB2915" w14:textId="77777777" w:rsidR="00E02CFA" w:rsidRPr="00E02CFA" w:rsidRDefault="00E02CFA" w:rsidP="00E02CFA">
      <w:pPr>
        <w:numPr>
          <w:ilvl w:val="0"/>
          <w:numId w:val="25"/>
        </w:numPr>
        <w:rPr>
          <w:lang w:val="sv-FI"/>
        </w:rPr>
      </w:pPr>
      <w:r w:rsidRPr="00E02CFA">
        <w:rPr>
          <w:lang w:val="sv-FI"/>
        </w:rPr>
        <w:t>tillhandahållande av information genom undersökning in vitro av prover från människokroppen, inklusive donationer av organ, blod och vävnad,</w:t>
      </w:r>
    </w:p>
    <w:p w14:paraId="3A93EAEA" w14:textId="77777777" w:rsidR="00E02CFA" w:rsidRDefault="00E02CFA" w:rsidP="00E02CFA">
      <w:pPr>
        <w:rPr>
          <w:lang w:val="sv-FI"/>
        </w:rPr>
      </w:pPr>
      <w:r w:rsidRPr="00E02CFA">
        <w:rPr>
          <w:lang w:val="sv-FI"/>
        </w:rPr>
        <w:t>och som inte uppnår sin huvudsakliga, avsedda verkan i eller på människokroppen med hjälp av farmakologiska, immunologiska eller metaboliska medel, men som kan understödjas i sin funktion av sådana medel.</w:t>
      </w:r>
    </w:p>
    <w:p w14:paraId="7E2A0908" w14:textId="77777777" w:rsidR="000C3208" w:rsidRPr="00E02CFA" w:rsidRDefault="000C3208" w:rsidP="00E02CFA">
      <w:pPr>
        <w:rPr>
          <w:lang w:val="sv-FI"/>
        </w:rPr>
      </w:pPr>
    </w:p>
    <w:p w14:paraId="57A7D624" w14:textId="77777777" w:rsidR="00E02CFA" w:rsidRPr="00E02CFA" w:rsidRDefault="00E02CFA" w:rsidP="00E02CFA">
      <w:pPr>
        <w:rPr>
          <w:lang w:val="sv-FI"/>
        </w:rPr>
      </w:pPr>
      <w:r w:rsidRPr="00E02CFA">
        <w:rPr>
          <w:lang w:val="sv-FI"/>
        </w:rPr>
        <w:lastRenderedPageBreak/>
        <w:t>Följande artiklar ska också anses vara medicintekniska produkter:</w:t>
      </w:r>
    </w:p>
    <w:p w14:paraId="5CCF19B0" w14:textId="77777777" w:rsidR="00E02CFA" w:rsidRPr="00E02CFA" w:rsidRDefault="00E02CFA" w:rsidP="00E02CFA">
      <w:pPr>
        <w:numPr>
          <w:ilvl w:val="0"/>
          <w:numId w:val="26"/>
        </w:numPr>
        <w:rPr>
          <w:lang w:val="sv-FI"/>
        </w:rPr>
      </w:pPr>
      <w:r w:rsidRPr="00E02CFA">
        <w:rPr>
          <w:lang w:val="sv-FI"/>
        </w:rPr>
        <w:t>Produkter avsedda för befruktningskontroll eller fertilitetsstöd.</w:t>
      </w:r>
    </w:p>
    <w:p w14:paraId="10196363" w14:textId="77777777" w:rsidR="00E02CFA" w:rsidRPr="00E02CFA" w:rsidRDefault="00E02CFA" w:rsidP="00E02CFA">
      <w:pPr>
        <w:numPr>
          <w:ilvl w:val="0"/>
          <w:numId w:val="26"/>
        </w:numPr>
        <w:rPr>
          <w:lang w:val="sv-FI"/>
        </w:rPr>
      </w:pPr>
      <w:r w:rsidRPr="00E02CFA">
        <w:rPr>
          <w:lang w:val="sv-FI"/>
        </w:rPr>
        <w:t>Artiklar särskilt avsedda för rengöring, desinficering eller sterilisering av de produkter som avses i artikel 1.4 och sådana som avses i första stycket i detta led.</w:t>
      </w:r>
    </w:p>
    <w:p w14:paraId="0612601C" w14:textId="77777777" w:rsidR="00DA6241" w:rsidRDefault="00DA6241" w:rsidP="00E02CFA">
      <w:pPr>
        <w:rPr>
          <w:lang w:val="sv-FI"/>
        </w:rPr>
      </w:pPr>
    </w:p>
    <w:p w14:paraId="39067667" w14:textId="79FD50D1" w:rsidR="00E02CFA" w:rsidRPr="00E02CFA" w:rsidRDefault="00E02CFA" w:rsidP="00E02CFA">
      <w:pPr>
        <w:rPr>
          <w:lang w:val="sv-FI"/>
        </w:rPr>
      </w:pPr>
      <w:r w:rsidRPr="00E02CFA">
        <w:rPr>
          <w:lang w:val="sv-FI"/>
        </w:rPr>
        <w:t xml:space="preserve">Fimea övervakar medicintekniska produkters överensstämmelse med kraven och aktörerna inom branschen i Finland. Tillsynen över produkternas överensstämmelse med kraven gäller medicintekniska produkter som släppts ut på marknaden och deras professionella användning och underhåll. Tillsynen sker i samarbete med andra EU-myndigheter. Dessutom övervakar Fimea marknadsföringen av medicintekniska produkter </w:t>
      </w:r>
    </w:p>
    <w:p w14:paraId="5EF46581" w14:textId="77777777" w:rsidR="00E02CFA" w:rsidRPr="00A97A6D" w:rsidRDefault="00E02CFA" w:rsidP="009D46B2"/>
    <w:p w14:paraId="6CA09CC8" w14:textId="249CE470" w:rsidR="009A636C" w:rsidRPr="009A636C" w:rsidRDefault="009A636C" w:rsidP="009A636C">
      <w:pPr>
        <w:rPr>
          <w:lang w:val="sv-FI"/>
        </w:rPr>
      </w:pPr>
      <w:r w:rsidRPr="009A636C">
        <w:rPr>
          <w:lang w:val="sv-FI"/>
        </w:rPr>
        <w:t>Läkemedelsskadeförsäkringen är en frivillig försäkring som erbjuder skydd för läkemedelsanvändare. Läkemedelsskadeförsäkringen har tecknats av Finska andelslaget för ersättning av läkemedelsskador, vars medlemmar utgörs av läkemedelstillverkare, -importörer, -distributörer och -försäljare med verksamhet i Finland. Alla i Finland införskaffade eller erhållna, i läkemedelslagens 3 § avsedda läkemedel för människor omfattas av läkemedelsskadeförsäkringen, under förutsättning att tillverkaren av läkemedlet, importören, marknadsföraren eller försäljaren är medlem i Finska andelslaget för ersättning av läkemedelsskador. Så gott som alla i Finland saluförda läkemedel omfattas av försäkringen. Också alla sådana läkemedel som ges till patienter vid någon av vårdenheterna i Finland omfattas av försäkringen. Dessutom omfattar försäkringen som regel alla prövningsläkemedel vid kliniska prövningar samt i blodtjänstlagen avsett transfusionsblod och andra blodprodukter</w:t>
      </w:r>
    </w:p>
    <w:p w14:paraId="6C34ADDD" w14:textId="77777777" w:rsidR="009A636C" w:rsidRDefault="009A636C" w:rsidP="009D46B2"/>
    <w:p w14:paraId="50E06AB5" w14:textId="19567881" w:rsidR="00057C54" w:rsidRDefault="00057C54" w:rsidP="009D46B2">
      <w:r>
        <w:t xml:space="preserve">Även reglering och tillsyn av användning av </w:t>
      </w:r>
      <w:r w:rsidR="00905D5C">
        <w:t xml:space="preserve">produkter </w:t>
      </w:r>
      <w:r w:rsidR="00E12734">
        <w:t xml:space="preserve">med strålningsrisker </w:t>
      </w:r>
      <w:r w:rsidR="00751BD1">
        <w:t xml:space="preserve">eller exponering för kemikalier är viktig för patientsäkerheten. </w:t>
      </w:r>
    </w:p>
    <w:p w14:paraId="235B574E" w14:textId="77777777" w:rsidR="00D13750" w:rsidRDefault="00D13750" w:rsidP="009D46B2"/>
    <w:p w14:paraId="6C7D5B25" w14:textId="77777777" w:rsidR="00D13750" w:rsidRPr="00A24A12" w:rsidRDefault="00D13750" w:rsidP="00D13750">
      <w:pPr>
        <w:pStyle w:val="Rubrik3"/>
        <w:numPr>
          <w:ilvl w:val="1"/>
          <w:numId w:val="15"/>
        </w:numPr>
      </w:pPr>
      <w:bookmarkStart w:id="13" w:name="_Toc242713904"/>
      <w:r w:rsidRPr="00A24A12">
        <w:t>Patientförsäkring</w:t>
      </w:r>
      <w:bookmarkEnd w:id="13"/>
    </w:p>
    <w:p w14:paraId="201E787B" w14:textId="77777777" w:rsidR="00D13750" w:rsidRDefault="00D13750" w:rsidP="00D13750">
      <w:r w:rsidRPr="00A24A12">
        <w:t xml:space="preserve">Patientförsäkring är rikets behörighet enligt 27 § 11 p i självstyrelselagen, och regleras i patientförsäkringslagen (FFS 948/2019). Lagen innehåller bestämmelser om ersättning för personskador som orsakats en patient i samband med hälso- och sjukvård </w:t>
      </w:r>
    </w:p>
    <w:p w14:paraId="77668C9B" w14:textId="77777777" w:rsidR="00E145B3" w:rsidRDefault="00E145B3" w:rsidP="009D46B2"/>
    <w:p w14:paraId="48200B14" w14:textId="4A4E9076" w:rsidR="00CE4DE0" w:rsidRPr="002B377C" w:rsidRDefault="00CE4DE0" w:rsidP="005142F0">
      <w:pPr>
        <w:pStyle w:val="Rubrik3"/>
        <w:numPr>
          <w:ilvl w:val="1"/>
          <w:numId w:val="15"/>
        </w:numPr>
      </w:pPr>
      <w:bookmarkStart w:id="14" w:name="_Toc242713905"/>
      <w:r w:rsidRPr="002B377C">
        <w:t>Säker hantering av personuppgifter</w:t>
      </w:r>
      <w:bookmarkEnd w:id="14"/>
    </w:p>
    <w:p w14:paraId="4A447EFA" w14:textId="32D415BD" w:rsidR="00CE4DE0" w:rsidRDefault="0045267B" w:rsidP="002B377C">
      <w:r w:rsidRPr="002B377C">
        <w:t xml:space="preserve">Säker hantering av personuppgifter regleras i landskapslagen </w:t>
      </w:r>
      <w:r w:rsidR="002B377C" w:rsidRPr="002B377C">
        <w:t>(2025:</w:t>
      </w:r>
      <w:r w:rsidR="00441786">
        <w:t>84</w:t>
      </w:r>
      <w:r w:rsidR="002B377C" w:rsidRPr="002B377C">
        <w:t>) </w:t>
      </w:r>
      <w:r w:rsidR="00CE4DE0" w:rsidRPr="002B377C">
        <w:t>om tillämpning på Åland av lagen om behandling av kunduppgifter inom social- och hälsovården</w:t>
      </w:r>
      <w:r w:rsidR="00CA1A59">
        <w:t>.</w:t>
      </w:r>
    </w:p>
    <w:p w14:paraId="40C8220C" w14:textId="77777777" w:rsidR="00CE4DE0" w:rsidRDefault="00CE4DE0" w:rsidP="00CE4DE0"/>
    <w:p w14:paraId="016D8898" w14:textId="584BCF08" w:rsidR="00350CE9" w:rsidRDefault="00350CE9" w:rsidP="0047296C">
      <w:pPr>
        <w:pStyle w:val="Rubrik3"/>
      </w:pPr>
    </w:p>
    <w:sectPr w:rsidR="00350CE9" w:rsidSect="00964E57">
      <w:headerReference w:type="even" r:id="rId13"/>
      <w:headerReference w:type="default" r:id="rId14"/>
      <w:footerReference w:type="even" r:id="rId15"/>
      <w:footerReference w:type="default" r:id="rId16"/>
      <w:headerReference w:type="first" r:id="rId17"/>
      <w:footerReference w:type="first" r:id="rId18"/>
      <w:pgSz w:w="11906" w:h="16838" w:code="9"/>
      <w:pgMar w:top="1134" w:right="1134" w:bottom="1134" w:left="1134" w:header="850" w:footer="51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4F455" w14:textId="77777777" w:rsidR="00E1452F" w:rsidRDefault="00E1452F" w:rsidP="00B3473A">
      <w:r>
        <w:separator/>
      </w:r>
    </w:p>
  </w:endnote>
  <w:endnote w:type="continuationSeparator" w:id="0">
    <w:p w14:paraId="37A0DD00" w14:textId="77777777" w:rsidR="00E1452F" w:rsidRDefault="00E1452F" w:rsidP="00B3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Condensed Light">
    <w:altName w:val="Segoe UI"/>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Segoe UI Light">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8DDC" w14:textId="77777777" w:rsidR="00B83E41" w:rsidRDefault="00B83E4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sv-SE"/>
      </w:rPr>
      <w:id w:val="849377894"/>
      <w:docPartObj>
        <w:docPartGallery w:val="Page Numbers (Bottom of Page)"/>
        <w:docPartUnique/>
      </w:docPartObj>
    </w:sdtPr>
    <w:sdtEndPr/>
    <w:sdtContent>
      <w:p w14:paraId="7E1DCA54" w14:textId="2E51DF08" w:rsidR="00E3159F" w:rsidRPr="007D281B" w:rsidRDefault="00506FAF" w:rsidP="007D281B">
        <w:pPr>
          <w:pStyle w:val="Sidfot"/>
          <w:rPr>
            <w:lang w:val="sv-SE"/>
          </w:rPr>
        </w:pPr>
        <w:r w:rsidRPr="00506FAF">
          <w:rPr>
            <w:lang w:val="sv-SE"/>
          </w:rPr>
          <w:fldChar w:fldCharType="begin"/>
        </w:r>
        <w:r w:rsidRPr="00506FAF">
          <w:rPr>
            <w:lang w:val="sv-SE"/>
          </w:rPr>
          <w:instrText xml:space="preserve"> PAGE   \* MERGEFORMAT </w:instrText>
        </w:r>
        <w:r w:rsidRPr="00506FAF">
          <w:rPr>
            <w:lang w:val="sv-SE"/>
          </w:rPr>
          <w:fldChar w:fldCharType="separate"/>
        </w:r>
        <w:r w:rsidRPr="00506FAF">
          <w:rPr>
            <w:lang w:val="sv-SE"/>
          </w:rPr>
          <w:t>2</w:t>
        </w:r>
        <w:r w:rsidRPr="00506FAF">
          <w:rPr>
            <w:lang w:val="sv-SE"/>
          </w:rPr>
          <w:fldChar w:fldCharType="end"/>
        </w:r>
        <w:r w:rsidRPr="00506FAF">
          <w:rPr>
            <w:lang w:val="sv-SE"/>
          </w:rPr>
          <w:t xml:space="preserve"> (</w:t>
        </w:r>
        <w:r w:rsidRPr="00506FAF">
          <w:rPr>
            <w:lang w:val="sv-SE"/>
          </w:rPr>
          <w:fldChar w:fldCharType="begin"/>
        </w:r>
        <w:r w:rsidRPr="00506FAF">
          <w:rPr>
            <w:lang w:val="sv-SE"/>
          </w:rPr>
          <w:instrText xml:space="preserve"> NUMPAGES   \* MERGEFORMAT </w:instrText>
        </w:r>
        <w:r w:rsidRPr="00506FAF">
          <w:rPr>
            <w:lang w:val="sv-SE"/>
          </w:rPr>
          <w:fldChar w:fldCharType="separate"/>
        </w:r>
        <w:r w:rsidRPr="00506FAF">
          <w:rPr>
            <w:lang w:val="sv-SE"/>
          </w:rPr>
          <w:t>4</w:t>
        </w:r>
        <w:r w:rsidRPr="00506FAF">
          <w:rPr>
            <w:lang w:val="sv-SE"/>
          </w:rPr>
          <w:fldChar w:fldCharType="end"/>
        </w:r>
        <w:r w:rsidRPr="00506FAF">
          <w:rPr>
            <w:lang w:val="sv-SE"/>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5F5D" w14:textId="77777777" w:rsidR="00E3159F" w:rsidRPr="00C61CDC" w:rsidRDefault="00E3159F" w:rsidP="007D281B">
    <w:pPr>
      <w:pStyle w:val="Sidfot"/>
    </w:pPr>
    <w:r>
      <w:rPr>
        <w:lang w:val="sv-S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7A0EB" w14:textId="77777777" w:rsidR="00E1452F" w:rsidRDefault="00E1452F" w:rsidP="00B3473A">
      <w:r>
        <w:separator/>
      </w:r>
    </w:p>
  </w:footnote>
  <w:footnote w:type="continuationSeparator" w:id="0">
    <w:p w14:paraId="4379402D" w14:textId="77777777" w:rsidR="00E1452F" w:rsidRDefault="00E1452F" w:rsidP="00B3473A">
      <w:r>
        <w:continuationSeparator/>
      </w:r>
    </w:p>
  </w:footnote>
  <w:footnote w:id="1">
    <w:p w14:paraId="07025DBA" w14:textId="77777777" w:rsidR="00C62CA3" w:rsidRPr="00513137" w:rsidRDefault="00C62CA3" w:rsidP="00C62CA3">
      <w:pPr>
        <w:pStyle w:val="Fotnotstext"/>
        <w:rPr>
          <w:sz w:val="18"/>
          <w:szCs w:val="18"/>
          <w:lang w:val="sv-FI"/>
        </w:rPr>
      </w:pPr>
      <w:r w:rsidRPr="00513137">
        <w:rPr>
          <w:rStyle w:val="Fotnotsreferens"/>
          <w:sz w:val="18"/>
          <w:szCs w:val="18"/>
        </w:rPr>
        <w:footnoteRef/>
      </w:r>
      <w:r w:rsidRPr="00513137">
        <w:rPr>
          <w:sz w:val="18"/>
          <w:szCs w:val="18"/>
        </w:rPr>
        <w:t xml:space="preserve"> Klient- och patientsäkerhetsstrategi och genomförandeplan 2022–2026. Social- och hälsovårdsministeriets publikationer 2022:3. </w:t>
      </w:r>
    </w:p>
  </w:footnote>
  <w:footnote w:id="2">
    <w:p w14:paraId="64510EF9" w14:textId="6FF939FD" w:rsidR="00C62CA3" w:rsidRPr="00C62CA3" w:rsidRDefault="00C62CA3">
      <w:pPr>
        <w:pStyle w:val="Fotnotstext"/>
        <w:rPr>
          <w:lang w:val="sv-FI"/>
        </w:rPr>
      </w:pPr>
      <w:r w:rsidRPr="00513137">
        <w:rPr>
          <w:rStyle w:val="Fotnotsreferens"/>
          <w:sz w:val="18"/>
          <w:szCs w:val="18"/>
        </w:rPr>
        <w:footnoteRef/>
      </w:r>
      <w:r w:rsidRPr="00513137">
        <w:rPr>
          <w:sz w:val="18"/>
          <w:szCs w:val="18"/>
        </w:rPr>
        <w:t xml:space="preserve"> WHO Global Patient Safety Action Plan 2021–2030</w:t>
      </w:r>
    </w:p>
  </w:footnote>
  <w:footnote w:id="3">
    <w:p w14:paraId="7EDE5727" w14:textId="29F98884" w:rsidR="00161663" w:rsidRPr="00161663" w:rsidRDefault="00161663">
      <w:pPr>
        <w:pStyle w:val="Fotnotstext"/>
        <w:rPr>
          <w:sz w:val="18"/>
          <w:szCs w:val="18"/>
          <w:lang w:val="sv-FI"/>
        </w:rPr>
      </w:pPr>
      <w:r w:rsidRPr="00161663">
        <w:rPr>
          <w:rStyle w:val="Fotnotsreferens"/>
          <w:sz w:val="18"/>
          <w:szCs w:val="18"/>
        </w:rPr>
        <w:footnoteRef/>
      </w:r>
      <w:r w:rsidRPr="00161663">
        <w:rPr>
          <w:sz w:val="18"/>
          <w:szCs w:val="18"/>
        </w:rPr>
        <w:t xml:space="preserve"> Se även delanalys 6 om styrning av hälso-och sjukvården gällande lagstiftning- och förvaltningsbehörighetsfördelning mellan Åland och riket.</w:t>
      </w:r>
    </w:p>
  </w:footnote>
  <w:footnote w:id="4">
    <w:p w14:paraId="60429EB2" w14:textId="404274E7" w:rsidR="000D43F7" w:rsidRPr="000D43F7" w:rsidRDefault="000D43F7">
      <w:pPr>
        <w:pStyle w:val="Fotnotstext"/>
        <w:rPr>
          <w:lang w:val="sv-FI"/>
        </w:rPr>
      </w:pPr>
      <w:r w:rsidRPr="00161663">
        <w:rPr>
          <w:rStyle w:val="Fotnotsreferens"/>
          <w:sz w:val="18"/>
          <w:szCs w:val="18"/>
        </w:rPr>
        <w:footnoteRef/>
      </w:r>
      <w:r w:rsidRPr="00161663">
        <w:rPr>
          <w:sz w:val="18"/>
          <w:szCs w:val="18"/>
        </w:rPr>
        <w:t xml:space="preserve"> Klient- och patientsäkerhetsstrategi och genomförandeplan 2022–2026. Social- och hälsovårdsministeriets publikationer 2022:3.</w:t>
      </w:r>
      <w:r>
        <w:t xml:space="preserve"> </w:t>
      </w:r>
    </w:p>
  </w:footnote>
  <w:footnote w:id="5">
    <w:p w14:paraId="09CA698C" w14:textId="4B62CDA2" w:rsidR="00922E65" w:rsidRPr="00922E65" w:rsidRDefault="00922E65" w:rsidP="00922E65">
      <w:pPr>
        <w:pStyle w:val="Fotnotstext"/>
        <w:rPr>
          <w:lang w:val="sv-FI"/>
        </w:rPr>
      </w:pPr>
      <w:r w:rsidRPr="00724D92">
        <w:rPr>
          <w:rStyle w:val="Fotnotsreferens"/>
          <w:sz w:val="18"/>
          <w:szCs w:val="18"/>
        </w:rPr>
        <w:footnoteRef/>
      </w:r>
      <w:r w:rsidRPr="00724D92">
        <w:rPr>
          <w:sz w:val="18"/>
          <w:szCs w:val="18"/>
        </w:rPr>
        <w:t xml:space="preserve"> RP 185/2014 rd. Regeringens proposition till riksdagen med förslag till lagar om ändring av lagen om klientens ställning och rättigheter inom socialvården och lagen om patientens ställning</w:t>
      </w:r>
      <w:r w:rsidR="00724D92">
        <w:rPr>
          <w:sz w:val="18"/>
          <w:szCs w:val="18"/>
        </w:rPr>
        <w:t xml:space="preserve"> </w:t>
      </w:r>
      <w:r w:rsidRPr="00724D92">
        <w:rPr>
          <w:sz w:val="18"/>
          <w:szCs w:val="18"/>
        </w:rPr>
        <w:t>och rättigheter samt till vissa lagar som har samband med dem</w:t>
      </w:r>
      <w:r w:rsidR="00724D92">
        <w:rPr>
          <w:sz w:val="18"/>
          <w:szCs w:val="18"/>
        </w:rPr>
        <w:t>.</w:t>
      </w:r>
    </w:p>
  </w:footnote>
  <w:footnote w:id="6">
    <w:p w14:paraId="4A40F95A" w14:textId="77777777" w:rsidR="005B2298" w:rsidRPr="00795005" w:rsidRDefault="005B2298" w:rsidP="005B2298">
      <w:pPr>
        <w:pStyle w:val="Fotnotstext"/>
        <w:rPr>
          <w:sz w:val="18"/>
          <w:szCs w:val="18"/>
          <w:lang w:val="sv-FI"/>
        </w:rPr>
      </w:pPr>
      <w:r w:rsidRPr="00795005">
        <w:rPr>
          <w:rStyle w:val="Fotnotsreferens"/>
          <w:sz w:val="18"/>
          <w:szCs w:val="18"/>
        </w:rPr>
        <w:footnoteRef/>
      </w:r>
      <w:r w:rsidRPr="00795005">
        <w:rPr>
          <w:sz w:val="18"/>
          <w:szCs w:val="18"/>
        </w:rPr>
        <w:t xml:space="preserve"> Klient- och patientsäkerhetsstrategi och genomförandeplan 2022–2026. Social- och hälsovårdsministeriets publikationer 2022:3. </w:t>
      </w:r>
    </w:p>
  </w:footnote>
  <w:footnote w:id="7">
    <w:p w14:paraId="0702C946" w14:textId="77777777" w:rsidR="00EA10C7" w:rsidRPr="00795005" w:rsidRDefault="00EA10C7" w:rsidP="00EA10C7">
      <w:pPr>
        <w:pStyle w:val="Fotnotstext"/>
        <w:rPr>
          <w:sz w:val="18"/>
          <w:szCs w:val="18"/>
          <w:lang w:val="sv-FI"/>
        </w:rPr>
      </w:pPr>
      <w:r w:rsidRPr="00795005">
        <w:rPr>
          <w:rStyle w:val="Fotnotsreferens"/>
          <w:sz w:val="18"/>
          <w:szCs w:val="18"/>
        </w:rPr>
        <w:footnoteRef/>
      </w:r>
      <w:r w:rsidRPr="00795005">
        <w:rPr>
          <w:sz w:val="18"/>
          <w:szCs w:val="18"/>
        </w:rPr>
        <w:t xml:space="preserve"> Bland annat hur lagen kan förenkla legitimeringsprocessen för personer med utländsk utbildning, särskilt för dem som har otillräcklig kunskap i finska för att tillfredsställa kompletteringskrav där utbildningar eller placeringar endast finns för finskspråkiga. Detta har endast indirekt koppling till patientsäkerhetsprocessen, via positiva effekter på bemanningssituationen.</w:t>
      </w:r>
    </w:p>
  </w:footnote>
  <w:footnote w:id="8">
    <w:p w14:paraId="217BE34C" w14:textId="3E0E7952" w:rsidR="00E91E01" w:rsidRPr="00795005" w:rsidRDefault="00E91E01">
      <w:pPr>
        <w:pStyle w:val="Fotnotstext"/>
        <w:rPr>
          <w:lang w:val="sv-FI"/>
        </w:rPr>
      </w:pPr>
      <w:r>
        <w:rPr>
          <w:rStyle w:val="Fotnotsreferens"/>
        </w:rPr>
        <w:footnoteRef/>
      </w:r>
      <w:r>
        <w:t xml:space="preserve"> </w:t>
      </w:r>
      <w:r w:rsidRPr="00795005">
        <w:rPr>
          <w:sz w:val="18"/>
          <w:szCs w:val="18"/>
        </w:rPr>
        <w:t xml:space="preserve">Den tidigare Republikens presidents förordning om vissa förvaltningsuppgifter inom hälso- och sjukvården i landskapet Åland (1179/2009) upphävdes 1 januari 2026 med anledning av reformen av statens regionförvaltning, genom vilken det inrättas ett nytt riksomfattande Tillstånds- och tillsynsverk, vilket även handhar de uppgifter som tidigare sköttes av Tillstånds- och tillsynsverket för social- och hälsovården (Valvira). Ett utkast till ny förordning finns och landskapsregeringen och social- och hälsovårdsministeriet är överens om dess innehåll, men processen att anta förordningen har fördröjts, med konsekvensen att dessa förvaltningsuppgifter i skrivandets stund inte sköts av landskapsregeringen. </w:t>
      </w:r>
      <w:r w:rsidR="001A3E6F">
        <w:rPr>
          <w:sz w:val="18"/>
          <w:szCs w:val="18"/>
        </w:rPr>
        <w:t>Detta kommer att åtgärdas så snart som möjligt.</w:t>
      </w:r>
    </w:p>
  </w:footnote>
  <w:footnote w:id="9">
    <w:p w14:paraId="26A3445F" w14:textId="0974B528" w:rsidR="00602F54" w:rsidRPr="00795005" w:rsidRDefault="00602F54">
      <w:pPr>
        <w:pStyle w:val="Fotnotstext"/>
        <w:rPr>
          <w:sz w:val="18"/>
          <w:szCs w:val="18"/>
          <w:lang w:val="sv-FI"/>
        </w:rPr>
      </w:pPr>
      <w:r w:rsidRPr="00795005">
        <w:rPr>
          <w:rStyle w:val="Fotnotsreferens"/>
          <w:sz w:val="18"/>
          <w:szCs w:val="18"/>
        </w:rPr>
        <w:footnoteRef/>
      </w:r>
      <w:r w:rsidRPr="00795005">
        <w:rPr>
          <w:sz w:val="18"/>
          <w:szCs w:val="18"/>
        </w:rPr>
        <w:t xml:space="preserve"> </w:t>
      </w:r>
      <w:r w:rsidRPr="00795005">
        <w:rPr>
          <w:sz w:val="18"/>
          <w:szCs w:val="18"/>
          <w:lang w:val="sv-FI"/>
        </w:rPr>
        <w:t xml:space="preserve">Se fotnot </w:t>
      </w:r>
      <w:r w:rsidR="00F96839" w:rsidRPr="00795005">
        <w:rPr>
          <w:sz w:val="18"/>
          <w:szCs w:val="18"/>
          <w:lang w:val="sv-FI"/>
        </w:rPr>
        <w:t xml:space="preserve">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8B96D" w14:textId="77777777" w:rsidR="00B83E41" w:rsidRDefault="00B83E4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A6A0" w14:textId="5A409FAE" w:rsidR="00E3159F" w:rsidRDefault="00E3159F">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206A" w14:textId="338A6A71" w:rsidR="00E3159F" w:rsidRPr="00816005" w:rsidRDefault="00E3159F" w:rsidP="00C21358">
    <w:pPr>
      <w:pStyle w:val="Sidhuvud"/>
      <w:rPr>
        <w:sz w:val="2"/>
        <w:szCs w:val="2"/>
      </w:rPr>
    </w:pPr>
  </w:p>
  <w:p w14:paraId="48EA6E41" w14:textId="77777777" w:rsidR="00E3159F" w:rsidRDefault="00E3159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95.25pt" o:bullet="t">
        <v:imagedata r:id="rId1" o:title="Gul ruta"/>
      </v:shape>
    </w:pict>
  </w:numPicBullet>
  <w:abstractNum w:abstractNumId="0" w15:restartNumberingAfterBreak="0">
    <w:nsid w:val="FFFFFF7C"/>
    <w:multiLevelType w:val="singleLevel"/>
    <w:tmpl w:val="3AEE05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66B6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762C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12C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001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0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BCAC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DADA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8E83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623E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2809"/>
    <w:multiLevelType w:val="hybridMultilevel"/>
    <w:tmpl w:val="14E02FC2"/>
    <w:lvl w:ilvl="0" w:tplc="B5AE6F16">
      <w:start w:val="1"/>
      <w:numFmt w:val="bullet"/>
      <w:lvlText w:val=""/>
      <w:lvlJc w:val="left"/>
      <w:pPr>
        <w:ind w:left="1680" w:hanging="360"/>
      </w:pPr>
      <w:rPr>
        <w:rFonts w:ascii="Symbol" w:hAnsi="Symbol"/>
      </w:rPr>
    </w:lvl>
    <w:lvl w:ilvl="1" w:tplc="3A1EFEBE">
      <w:start w:val="1"/>
      <w:numFmt w:val="bullet"/>
      <w:lvlText w:val=""/>
      <w:lvlJc w:val="left"/>
      <w:pPr>
        <w:ind w:left="1680" w:hanging="360"/>
      </w:pPr>
      <w:rPr>
        <w:rFonts w:ascii="Symbol" w:hAnsi="Symbol"/>
      </w:rPr>
    </w:lvl>
    <w:lvl w:ilvl="2" w:tplc="4C76A14E">
      <w:start w:val="1"/>
      <w:numFmt w:val="bullet"/>
      <w:lvlText w:val=""/>
      <w:lvlJc w:val="left"/>
      <w:pPr>
        <w:ind w:left="1680" w:hanging="360"/>
      </w:pPr>
      <w:rPr>
        <w:rFonts w:ascii="Symbol" w:hAnsi="Symbol"/>
      </w:rPr>
    </w:lvl>
    <w:lvl w:ilvl="3" w:tplc="CBACFE96">
      <w:start w:val="1"/>
      <w:numFmt w:val="bullet"/>
      <w:lvlText w:val=""/>
      <w:lvlJc w:val="left"/>
      <w:pPr>
        <w:ind w:left="1680" w:hanging="360"/>
      </w:pPr>
      <w:rPr>
        <w:rFonts w:ascii="Symbol" w:hAnsi="Symbol"/>
      </w:rPr>
    </w:lvl>
    <w:lvl w:ilvl="4" w:tplc="4364D618">
      <w:start w:val="1"/>
      <w:numFmt w:val="bullet"/>
      <w:lvlText w:val=""/>
      <w:lvlJc w:val="left"/>
      <w:pPr>
        <w:ind w:left="1680" w:hanging="360"/>
      </w:pPr>
      <w:rPr>
        <w:rFonts w:ascii="Symbol" w:hAnsi="Symbol"/>
      </w:rPr>
    </w:lvl>
    <w:lvl w:ilvl="5" w:tplc="EB1E77B0">
      <w:start w:val="1"/>
      <w:numFmt w:val="bullet"/>
      <w:lvlText w:val=""/>
      <w:lvlJc w:val="left"/>
      <w:pPr>
        <w:ind w:left="1680" w:hanging="360"/>
      </w:pPr>
      <w:rPr>
        <w:rFonts w:ascii="Symbol" w:hAnsi="Symbol"/>
      </w:rPr>
    </w:lvl>
    <w:lvl w:ilvl="6" w:tplc="2F96D988">
      <w:start w:val="1"/>
      <w:numFmt w:val="bullet"/>
      <w:lvlText w:val=""/>
      <w:lvlJc w:val="left"/>
      <w:pPr>
        <w:ind w:left="1680" w:hanging="360"/>
      </w:pPr>
      <w:rPr>
        <w:rFonts w:ascii="Symbol" w:hAnsi="Symbol"/>
      </w:rPr>
    </w:lvl>
    <w:lvl w:ilvl="7" w:tplc="C2BA125A">
      <w:start w:val="1"/>
      <w:numFmt w:val="bullet"/>
      <w:lvlText w:val=""/>
      <w:lvlJc w:val="left"/>
      <w:pPr>
        <w:ind w:left="1680" w:hanging="360"/>
      </w:pPr>
      <w:rPr>
        <w:rFonts w:ascii="Symbol" w:hAnsi="Symbol"/>
      </w:rPr>
    </w:lvl>
    <w:lvl w:ilvl="8" w:tplc="56D0CA28">
      <w:start w:val="1"/>
      <w:numFmt w:val="bullet"/>
      <w:lvlText w:val=""/>
      <w:lvlJc w:val="left"/>
      <w:pPr>
        <w:ind w:left="1680" w:hanging="360"/>
      </w:pPr>
      <w:rPr>
        <w:rFonts w:ascii="Symbol" w:hAnsi="Symbol"/>
      </w:rPr>
    </w:lvl>
  </w:abstractNum>
  <w:abstractNum w:abstractNumId="11" w15:restartNumberingAfterBreak="0">
    <w:nsid w:val="13A00555"/>
    <w:multiLevelType w:val="hybridMultilevel"/>
    <w:tmpl w:val="91AA9222"/>
    <w:lvl w:ilvl="0" w:tplc="ABBCDBB6">
      <w:start w:val="1"/>
      <w:numFmt w:val="bullet"/>
      <w:lvlText w:val=""/>
      <w:lvlJc w:val="left"/>
      <w:pPr>
        <w:ind w:left="1680" w:hanging="360"/>
      </w:pPr>
      <w:rPr>
        <w:rFonts w:ascii="Symbol" w:hAnsi="Symbol"/>
      </w:rPr>
    </w:lvl>
    <w:lvl w:ilvl="1" w:tplc="5F4EB37E">
      <w:start w:val="1"/>
      <w:numFmt w:val="bullet"/>
      <w:lvlText w:val=""/>
      <w:lvlJc w:val="left"/>
      <w:pPr>
        <w:ind w:left="1680" w:hanging="360"/>
      </w:pPr>
      <w:rPr>
        <w:rFonts w:ascii="Symbol" w:hAnsi="Symbol"/>
      </w:rPr>
    </w:lvl>
    <w:lvl w:ilvl="2" w:tplc="8CE81D94">
      <w:start w:val="1"/>
      <w:numFmt w:val="bullet"/>
      <w:lvlText w:val=""/>
      <w:lvlJc w:val="left"/>
      <w:pPr>
        <w:ind w:left="1680" w:hanging="360"/>
      </w:pPr>
      <w:rPr>
        <w:rFonts w:ascii="Symbol" w:hAnsi="Symbol"/>
      </w:rPr>
    </w:lvl>
    <w:lvl w:ilvl="3" w:tplc="FD9AA56E">
      <w:start w:val="1"/>
      <w:numFmt w:val="bullet"/>
      <w:lvlText w:val=""/>
      <w:lvlJc w:val="left"/>
      <w:pPr>
        <w:ind w:left="1680" w:hanging="360"/>
      </w:pPr>
      <w:rPr>
        <w:rFonts w:ascii="Symbol" w:hAnsi="Symbol"/>
      </w:rPr>
    </w:lvl>
    <w:lvl w:ilvl="4" w:tplc="E2F0D76A">
      <w:start w:val="1"/>
      <w:numFmt w:val="bullet"/>
      <w:lvlText w:val=""/>
      <w:lvlJc w:val="left"/>
      <w:pPr>
        <w:ind w:left="1680" w:hanging="360"/>
      </w:pPr>
      <w:rPr>
        <w:rFonts w:ascii="Symbol" w:hAnsi="Symbol"/>
      </w:rPr>
    </w:lvl>
    <w:lvl w:ilvl="5" w:tplc="8A869C78">
      <w:start w:val="1"/>
      <w:numFmt w:val="bullet"/>
      <w:lvlText w:val=""/>
      <w:lvlJc w:val="left"/>
      <w:pPr>
        <w:ind w:left="1680" w:hanging="360"/>
      </w:pPr>
      <w:rPr>
        <w:rFonts w:ascii="Symbol" w:hAnsi="Symbol"/>
      </w:rPr>
    </w:lvl>
    <w:lvl w:ilvl="6" w:tplc="1E54C0B0">
      <w:start w:val="1"/>
      <w:numFmt w:val="bullet"/>
      <w:lvlText w:val=""/>
      <w:lvlJc w:val="left"/>
      <w:pPr>
        <w:ind w:left="1680" w:hanging="360"/>
      </w:pPr>
      <w:rPr>
        <w:rFonts w:ascii="Symbol" w:hAnsi="Symbol"/>
      </w:rPr>
    </w:lvl>
    <w:lvl w:ilvl="7" w:tplc="B6DA58DA">
      <w:start w:val="1"/>
      <w:numFmt w:val="bullet"/>
      <w:lvlText w:val=""/>
      <w:lvlJc w:val="left"/>
      <w:pPr>
        <w:ind w:left="1680" w:hanging="360"/>
      </w:pPr>
      <w:rPr>
        <w:rFonts w:ascii="Symbol" w:hAnsi="Symbol"/>
      </w:rPr>
    </w:lvl>
    <w:lvl w:ilvl="8" w:tplc="215AF56A">
      <w:start w:val="1"/>
      <w:numFmt w:val="bullet"/>
      <w:lvlText w:val=""/>
      <w:lvlJc w:val="left"/>
      <w:pPr>
        <w:ind w:left="1680" w:hanging="360"/>
      </w:pPr>
      <w:rPr>
        <w:rFonts w:ascii="Symbol" w:hAnsi="Symbol"/>
      </w:rPr>
    </w:lvl>
  </w:abstractNum>
  <w:abstractNum w:abstractNumId="12" w15:restartNumberingAfterBreak="0">
    <w:nsid w:val="1B1479FD"/>
    <w:multiLevelType w:val="hybridMultilevel"/>
    <w:tmpl w:val="656097A8"/>
    <w:lvl w:ilvl="0" w:tplc="9184047A">
      <w:start w:val="1"/>
      <w:numFmt w:val="bullet"/>
      <w:lvlText w:val=""/>
      <w:lvlJc w:val="left"/>
      <w:pPr>
        <w:ind w:left="1680" w:hanging="360"/>
      </w:pPr>
      <w:rPr>
        <w:rFonts w:ascii="Symbol" w:hAnsi="Symbol"/>
      </w:rPr>
    </w:lvl>
    <w:lvl w:ilvl="1" w:tplc="267488C2">
      <w:start w:val="1"/>
      <w:numFmt w:val="bullet"/>
      <w:lvlText w:val=""/>
      <w:lvlJc w:val="left"/>
      <w:pPr>
        <w:ind w:left="1680" w:hanging="360"/>
      </w:pPr>
      <w:rPr>
        <w:rFonts w:ascii="Symbol" w:hAnsi="Symbol"/>
      </w:rPr>
    </w:lvl>
    <w:lvl w:ilvl="2" w:tplc="03A08B48">
      <w:start w:val="1"/>
      <w:numFmt w:val="bullet"/>
      <w:lvlText w:val=""/>
      <w:lvlJc w:val="left"/>
      <w:pPr>
        <w:ind w:left="1680" w:hanging="360"/>
      </w:pPr>
      <w:rPr>
        <w:rFonts w:ascii="Symbol" w:hAnsi="Symbol"/>
      </w:rPr>
    </w:lvl>
    <w:lvl w:ilvl="3" w:tplc="F274E23A">
      <w:start w:val="1"/>
      <w:numFmt w:val="bullet"/>
      <w:lvlText w:val=""/>
      <w:lvlJc w:val="left"/>
      <w:pPr>
        <w:ind w:left="1680" w:hanging="360"/>
      </w:pPr>
      <w:rPr>
        <w:rFonts w:ascii="Symbol" w:hAnsi="Symbol"/>
      </w:rPr>
    </w:lvl>
    <w:lvl w:ilvl="4" w:tplc="607E2900">
      <w:start w:val="1"/>
      <w:numFmt w:val="bullet"/>
      <w:lvlText w:val=""/>
      <w:lvlJc w:val="left"/>
      <w:pPr>
        <w:ind w:left="1680" w:hanging="360"/>
      </w:pPr>
      <w:rPr>
        <w:rFonts w:ascii="Symbol" w:hAnsi="Symbol"/>
      </w:rPr>
    </w:lvl>
    <w:lvl w:ilvl="5" w:tplc="5F50F138">
      <w:start w:val="1"/>
      <w:numFmt w:val="bullet"/>
      <w:lvlText w:val=""/>
      <w:lvlJc w:val="left"/>
      <w:pPr>
        <w:ind w:left="1680" w:hanging="360"/>
      </w:pPr>
      <w:rPr>
        <w:rFonts w:ascii="Symbol" w:hAnsi="Symbol"/>
      </w:rPr>
    </w:lvl>
    <w:lvl w:ilvl="6" w:tplc="73B8BDDA">
      <w:start w:val="1"/>
      <w:numFmt w:val="bullet"/>
      <w:lvlText w:val=""/>
      <w:lvlJc w:val="left"/>
      <w:pPr>
        <w:ind w:left="1680" w:hanging="360"/>
      </w:pPr>
      <w:rPr>
        <w:rFonts w:ascii="Symbol" w:hAnsi="Symbol"/>
      </w:rPr>
    </w:lvl>
    <w:lvl w:ilvl="7" w:tplc="C8B2EB78">
      <w:start w:val="1"/>
      <w:numFmt w:val="bullet"/>
      <w:lvlText w:val=""/>
      <w:lvlJc w:val="left"/>
      <w:pPr>
        <w:ind w:left="1680" w:hanging="360"/>
      </w:pPr>
      <w:rPr>
        <w:rFonts w:ascii="Symbol" w:hAnsi="Symbol"/>
      </w:rPr>
    </w:lvl>
    <w:lvl w:ilvl="8" w:tplc="06AC4494">
      <w:start w:val="1"/>
      <w:numFmt w:val="bullet"/>
      <w:lvlText w:val=""/>
      <w:lvlJc w:val="left"/>
      <w:pPr>
        <w:ind w:left="1680" w:hanging="360"/>
      </w:pPr>
      <w:rPr>
        <w:rFonts w:ascii="Symbol" w:hAnsi="Symbol"/>
      </w:rPr>
    </w:lvl>
  </w:abstractNum>
  <w:abstractNum w:abstractNumId="13" w15:restartNumberingAfterBreak="0">
    <w:nsid w:val="2714661A"/>
    <w:multiLevelType w:val="hybridMultilevel"/>
    <w:tmpl w:val="A094ED46"/>
    <w:lvl w:ilvl="0" w:tplc="13B0AD9E">
      <w:start w:val="1"/>
      <w:numFmt w:val="bullet"/>
      <w:lvlText w:val=""/>
      <w:lvlJc w:val="left"/>
      <w:pPr>
        <w:ind w:left="1680" w:hanging="360"/>
      </w:pPr>
      <w:rPr>
        <w:rFonts w:ascii="Symbol" w:hAnsi="Symbol"/>
      </w:rPr>
    </w:lvl>
    <w:lvl w:ilvl="1" w:tplc="31DAC040">
      <w:start w:val="1"/>
      <w:numFmt w:val="bullet"/>
      <w:lvlText w:val=""/>
      <w:lvlJc w:val="left"/>
      <w:pPr>
        <w:ind w:left="1680" w:hanging="360"/>
      </w:pPr>
      <w:rPr>
        <w:rFonts w:ascii="Symbol" w:hAnsi="Symbol"/>
      </w:rPr>
    </w:lvl>
    <w:lvl w:ilvl="2" w:tplc="E6340420">
      <w:start w:val="1"/>
      <w:numFmt w:val="bullet"/>
      <w:lvlText w:val=""/>
      <w:lvlJc w:val="left"/>
      <w:pPr>
        <w:ind w:left="1680" w:hanging="360"/>
      </w:pPr>
      <w:rPr>
        <w:rFonts w:ascii="Symbol" w:hAnsi="Symbol"/>
      </w:rPr>
    </w:lvl>
    <w:lvl w:ilvl="3" w:tplc="7E060EAE">
      <w:start w:val="1"/>
      <w:numFmt w:val="bullet"/>
      <w:lvlText w:val=""/>
      <w:lvlJc w:val="left"/>
      <w:pPr>
        <w:ind w:left="1680" w:hanging="360"/>
      </w:pPr>
      <w:rPr>
        <w:rFonts w:ascii="Symbol" w:hAnsi="Symbol"/>
      </w:rPr>
    </w:lvl>
    <w:lvl w:ilvl="4" w:tplc="6786F40A">
      <w:start w:val="1"/>
      <w:numFmt w:val="bullet"/>
      <w:lvlText w:val=""/>
      <w:lvlJc w:val="left"/>
      <w:pPr>
        <w:ind w:left="1680" w:hanging="360"/>
      </w:pPr>
      <w:rPr>
        <w:rFonts w:ascii="Symbol" w:hAnsi="Symbol"/>
      </w:rPr>
    </w:lvl>
    <w:lvl w:ilvl="5" w:tplc="AB86CEC0">
      <w:start w:val="1"/>
      <w:numFmt w:val="bullet"/>
      <w:lvlText w:val=""/>
      <w:lvlJc w:val="left"/>
      <w:pPr>
        <w:ind w:left="1680" w:hanging="360"/>
      </w:pPr>
      <w:rPr>
        <w:rFonts w:ascii="Symbol" w:hAnsi="Symbol"/>
      </w:rPr>
    </w:lvl>
    <w:lvl w:ilvl="6" w:tplc="469E88F0">
      <w:start w:val="1"/>
      <w:numFmt w:val="bullet"/>
      <w:lvlText w:val=""/>
      <w:lvlJc w:val="left"/>
      <w:pPr>
        <w:ind w:left="1680" w:hanging="360"/>
      </w:pPr>
      <w:rPr>
        <w:rFonts w:ascii="Symbol" w:hAnsi="Symbol"/>
      </w:rPr>
    </w:lvl>
    <w:lvl w:ilvl="7" w:tplc="CFF43D48">
      <w:start w:val="1"/>
      <w:numFmt w:val="bullet"/>
      <w:lvlText w:val=""/>
      <w:lvlJc w:val="left"/>
      <w:pPr>
        <w:ind w:left="1680" w:hanging="360"/>
      </w:pPr>
      <w:rPr>
        <w:rFonts w:ascii="Symbol" w:hAnsi="Symbol"/>
      </w:rPr>
    </w:lvl>
    <w:lvl w:ilvl="8" w:tplc="4D4A71EC">
      <w:start w:val="1"/>
      <w:numFmt w:val="bullet"/>
      <w:lvlText w:val=""/>
      <w:lvlJc w:val="left"/>
      <w:pPr>
        <w:ind w:left="1680" w:hanging="360"/>
      </w:pPr>
      <w:rPr>
        <w:rFonts w:ascii="Symbol" w:hAnsi="Symbol"/>
      </w:rPr>
    </w:lvl>
  </w:abstractNum>
  <w:abstractNum w:abstractNumId="14" w15:restartNumberingAfterBreak="0">
    <w:nsid w:val="29D80632"/>
    <w:multiLevelType w:val="multilevel"/>
    <w:tmpl w:val="B25A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532D85"/>
    <w:multiLevelType w:val="hybridMultilevel"/>
    <w:tmpl w:val="1D28E9FA"/>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6" w15:restartNumberingAfterBreak="0">
    <w:nsid w:val="3395A052"/>
    <w:multiLevelType w:val="hybridMultilevel"/>
    <w:tmpl w:val="FFFFFFFF"/>
    <w:lvl w:ilvl="0" w:tplc="A8B25A8E">
      <w:start w:val="1"/>
      <w:numFmt w:val="bullet"/>
      <w:lvlText w:val=""/>
      <w:lvlJc w:val="left"/>
      <w:pPr>
        <w:ind w:left="720" w:hanging="360"/>
      </w:pPr>
      <w:rPr>
        <w:rFonts w:ascii="Symbol" w:hAnsi="Symbol" w:hint="default"/>
      </w:rPr>
    </w:lvl>
    <w:lvl w:ilvl="1" w:tplc="7AC2FCEE">
      <w:start w:val="1"/>
      <w:numFmt w:val="bullet"/>
      <w:lvlText w:val="o"/>
      <w:lvlJc w:val="left"/>
      <w:pPr>
        <w:ind w:left="1440" w:hanging="360"/>
      </w:pPr>
      <w:rPr>
        <w:rFonts w:ascii="Courier New" w:hAnsi="Courier New" w:hint="default"/>
      </w:rPr>
    </w:lvl>
    <w:lvl w:ilvl="2" w:tplc="BDFAD0C2">
      <w:start w:val="1"/>
      <w:numFmt w:val="bullet"/>
      <w:lvlText w:val=""/>
      <w:lvlJc w:val="left"/>
      <w:pPr>
        <w:ind w:left="2160" w:hanging="360"/>
      </w:pPr>
      <w:rPr>
        <w:rFonts w:ascii="Wingdings" w:hAnsi="Wingdings" w:hint="default"/>
      </w:rPr>
    </w:lvl>
    <w:lvl w:ilvl="3" w:tplc="5F08269C">
      <w:start w:val="1"/>
      <w:numFmt w:val="bullet"/>
      <w:lvlText w:val=""/>
      <w:lvlJc w:val="left"/>
      <w:pPr>
        <w:ind w:left="2880" w:hanging="360"/>
      </w:pPr>
      <w:rPr>
        <w:rFonts w:ascii="Symbol" w:hAnsi="Symbol" w:hint="default"/>
      </w:rPr>
    </w:lvl>
    <w:lvl w:ilvl="4" w:tplc="8E361C78">
      <w:start w:val="1"/>
      <w:numFmt w:val="bullet"/>
      <w:lvlText w:val="o"/>
      <w:lvlJc w:val="left"/>
      <w:pPr>
        <w:ind w:left="3600" w:hanging="360"/>
      </w:pPr>
      <w:rPr>
        <w:rFonts w:ascii="Courier New" w:hAnsi="Courier New" w:hint="default"/>
      </w:rPr>
    </w:lvl>
    <w:lvl w:ilvl="5" w:tplc="ACDE2C98">
      <w:start w:val="1"/>
      <w:numFmt w:val="bullet"/>
      <w:lvlText w:val=""/>
      <w:lvlJc w:val="left"/>
      <w:pPr>
        <w:ind w:left="4320" w:hanging="360"/>
      </w:pPr>
      <w:rPr>
        <w:rFonts w:ascii="Wingdings" w:hAnsi="Wingdings" w:hint="default"/>
      </w:rPr>
    </w:lvl>
    <w:lvl w:ilvl="6" w:tplc="0F92C7B4">
      <w:start w:val="1"/>
      <w:numFmt w:val="bullet"/>
      <w:lvlText w:val=""/>
      <w:lvlJc w:val="left"/>
      <w:pPr>
        <w:ind w:left="5040" w:hanging="360"/>
      </w:pPr>
      <w:rPr>
        <w:rFonts w:ascii="Symbol" w:hAnsi="Symbol" w:hint="default"/>
      </w:rPr>
    </w:lvl>
    <w:lvl w:ilvl="7" w:tplc="EB20BF8A">
      <w:start w:val="1"/>
      <w:numFmt w:val="bullet"/>
      <w:lvlText w:val="o"/>
      <w:lvlJc w:val="left"/>
      <w:pPr>
        <w:ind w:left="5760" w:hanging="360"/>
      </w:pPr>
      <w:rPr>
        <w:rFonts w:ascii="Courier New" w:hAnsi="Courier New" w:hint="default"/>
      </w:rPr>
    </w:lvl>
    <w:lvl w:ilvl="8" w:tplc="B4F82170">
      <w:start w:val="1"/>
      <w:numFmt w:val="bullet"/>
      <w:lvlText w:val=""/>
      <w:lvlJc w:val="left"/>
      <w:pPr>
        <w:ind w:left="6480" w:hanging="360"/>
      </w:pPr>
      <w:rPr>
        <w:rFonts w:ascii="Wingdings" w:hAnsi="Wingdings" w:hint="default"/>
      </w:rPr>
    </w:lvl>
  </w:abstractNum>
  <w:abstractNum w:abstractNumId="17" w15:restartNumberingAfterBreak="0">
    <w:nsid w:val="3B420C06"/>
    <w:multiLevelType w:val="hybridMultilevel"/>
    <w:tmpl w:val="EEA24AE0"/>
    <w:lvl w:ilvl="0" w:tplc="04A21DE8">
      <w:start w:val="1"/>
      <w:numFmt w:val="bullet"/>
      <w:lvlText w:val=""/>
      <w:lvlJc w:val="left"/>
      <w:pPr>
        <w:ind w:left="1680" w:hanging="360"/>
      </w:pPr>
      <w:rPr>
        <w:rFonts w:ascii="Symbol" w:hAnsi="Symbol"/>
      </w:rPr>
    </w:lvl>
    <w:lvl w:ilvl="1" w:tplc="91D2AADC">
      <w:start w:val="1"/>
      <w:numFmt w:val="bullet"/>
      <w:lvlText w:val=""/>
      <w:lvlJc w:val="left"/>
      <w:pPr>
        <w:ind w:left="1680" w:hanging="360"/>
      </w:pPr>
      <w:rPr>
        <w:rFonts w:ascii="Symbol" w:hAnsi="Symbol"/>
      </w:rPr>
    </w:lvl>
    <w:lvl w:ilvl="2" w:tplc="65107F34">
      <w:start w:val="1"/>
      <w:numFmt w:val="bullet"/>
      <w:lvlText w:val=""/>
      <w:lvlJc w:val="left"/>
      <w:pPr>
        <w:ind w:left="1680" w:hanging="360"/>
      </w:pPr>
      <w:rPr>
        <w:rFonts w:ascii="Symbol" w:hAnsi="Symbol"/>
      </w:rPr>
    </w:lvl>
    <w:lvl w:ilvl="3" w:tplc="94D07984">
      <w:start w:val="1"/>
      <w:numFmt w:val="bullet"/>
      <w:lvlText w:val=""/>
      <w:lvlJc w:val="left"/>
      <w:pPr>
        <w:ind w:left="1680" w:hanging="360"/>
      </w:pPr>
      <w:rPr>
        <w:rFonts w:ascii="Symbol" w:hAnsi="Symbol"/>
      </w:rPr>
    </w:lvl>
    <w:lvl w:ilvl="4" w:tplc="19A8A8FA">
      <w:start w:val="1"/>
      <w:numFmt w:val="bullet"/>
      <w:lvlText w:val=""/>
      <w:lvlJc w:val="left"/>
      <w:pPr>
        <w:ind w:left="1680" w:hanging="360"/>
      </w:pPr>
      <w:rPr>
        <w:rFonts w:ascii="Symbol" w:hAnsi="Symbol"/>
      </w:rPr>
    </w:lvl>
    <w:lvl w:ilvl="5" w:tplc="0158FA60">
      <w:start w:val="1"/>
      <w:numFmt w:val="bullet"/>
      <w:lvlText w:val=""/>
      <w:lvlJc w:val="left"/>
      <w:pPr>
        <w:ind w:left="1680" w:hanging="360"/>
      </w:pPr>
      <w:rPr>
        <w:rFonts w:ascii="Symbol" w:hAnsi="Symbol"/>
      </w:rPr>
    </w:lvl>
    <w:lvl w:ilvl="6" w:tplc="BC1AB1BA">
      <w:start w:val="1"/>
      <w:numFmt w:val="bullet"/>
      <w:lvlText w:val=""/>
      <w:lvlJc w:val="left"/>
      <w:pPr>
        <w:ind w:left="1680" w:hanging="360"/>
      </w:pPr>
      <w:rPr>
        <w:rFonts w:ascii="Symbol" w:hAnsi="Symbol"/>
      </w:rPr>
    </w:lvl>
    <w:lvl w:ilvl="7" w:tplc="CC72AD28">
      <w:start w:val="1"/>
      <w:numFmt w:val="bullet"/>
      <w:lvlText w:val=""/>
      <w:lvlJc w:val="left"/>
      <w:pPr>
        <w:ind w:left="1680" w:hanging="360"/>
      </w:pPr>
      <w:rPr>
        <w:rFonts w:ascii="Symbol" w:hAnsi="Symbol"/>
      </w:rPr>
    </w:lvl>
    <w:lvl w:ilvl="8" w:tplc="7A9C5356">
      <w:start w:val="1"/>
      <w:numFmt w:val="bullet"/>
      <w:lvlText w:val=""/>
      <w:lvlJc w:val="left"/>
      <w:pPr>
        <w:ind w:left="1680" w:hanging="360"/>
      </w:pPr>
      <w:rPr>
        <w:rFonts w:ascii="Symbol" w:hAnsi="Symbol"/>
      </w:rPr>
    </w:lvl>
  </w:abstractNum>
  <w:abstractNum w:abstractNumId="18" w15:restartNumberingAfterBreak="0">
    <w:nsid w:val="3C2A5D8A"/>
    <w:multiLevelType w:val="hybridMultilevel"/>
    <w:tmpl w:val="5EE03428"/>
    <w:lvl w:ilvl="0" w:tplc="5F20CD68">
      <w:start w:val="1"/>
      <w:numFmt w:val="bullet"/>
      <w:lvlText w:val=""/>
      <w:lvlJc w:val="left"/>
      <w:pPr>
        <w:ind w:left="1680" w:hanging="360"/>
      </w:pPr>
      <w:rPr>
        <w:rFonts w:ascii="Symbol" w:hAnsi="Symbol"/>
      </w:rPr>
    </w:lvl>
    <w:lvl w:ilvl="1" w:tplc="8D8A5A24">
      <w:start w:val="1"/>
      <w:numFmt w:val="bullet"/>
      <w:lvlText w:val=""/>
      <w:lvlJc w:val="left"/>
      <w:pPr>
        <w:ind w:left="1680" w:hanging="360"/>
      </w:pPr>
      <w:rPr>
        <w:rFonts w:ascii="Symbol" w:hAnsi="Symbol"/>
      </w:rPr>
    </w:lvl>
    <w:lvl w:ilvl="2" w:tplc="8F40FB30">
      <w:start w:val="1"/>
      <w:numFmt w:val="bullet"/>
      <w:lvlText w:val=""/>
      <w:lvlJc w:val="left"/>
      <w:pPr>
        <w:ind w:left="1680" w:hanging="360"/>
      </w:pPr>
      <w:rPr>
        <w:rFonts w:ascii="Symbol" w:hAnsi="Symbol"/>
      </w:rPr>
    </w:lvl>
    <w:lvl w:ilvl="3" w:tplc="16CCED18">
      <w:start w:val="1"/>
      <w:numFmt w:val="bullet"/>
      <w:lvlText w:val=""/>
      <w:lvlJc w:val="left"/>
      <w:pPr>
        <w:ind w:left="1680" w:hanging="360"/>
      </w:pPr>
      <w:rPr>
        <w:rFonts w:ascii="Symbol" w:hAnsi="Symbol"/>
      </w:rPr>
    </w:lvl>
    <w:lvl w:ilvl="4" w:tplc="308CD682">
      <w:start w:val="1"/>
      <w:numFmt w:val="bullet"/>
      <w:lvlText w:val=""/>
      <w:lvlJc w:val="left"/>
      <w:pPr>
        <w:ind w:left="1680" w:hanging="360"/>
      </w:pPr>
      <w:rPr>
        <w:rFonts w:ascii="Symbol" w:hAnsi="Symbol"/>
      </w:rPr>
    </w:lvl>
    <w:lvl w:ilvl="5" w:tplc="F5124082">
      <w:start w:val="1"/>
      <w:numFmt w:val="bullet"/>
      <w:lvlText w:val=""/>
      <w:lvlJc w:val="left"/>
      <w:pPr>
        <w:ind w:left="1680" w:hanging="360"/>
      </w:pPr>
      <w:rPr>
        <w:rFonts w:ascii="Symbol" w:hAnsi="Symbol"/>
      </w:rPr>
    </w:lvl>
    <w:lvl w:ilvl="6" w:tplc="156C2992">
      <w:start w:val="1"/>
      <w:numFmt w:val="bullet"/>
      <w:lvlText w:val=""/>
      <w:lvlJc w:val="left"/>
      <w:pPr>
        <w:ind w:left="1680" w:hanging="360"/>
      </w:pPr>
      <w:rPr>
        <w:rFonts w:ascii="Symbol" w:hAnsi="Symbol"/>
      </w:rPr>
    </w:lvl>
    <w:lvl w:ilvl="7" w:tplc="0D2A4342">
      <w:start w:val="1"/>
      <w:numFmt w:val="bullet"/>
      <w:lvlText w:val=""/>
      <w:lvlJc w:val="left"/>
      <w:pPr>
        <w:ind w:left="1680" w:hanging="360"/>
      </w:pPr>
      <w:rPr>
        <w:rFonts w:ascii="Symbol" w:hAnsi="Symbol"/>
      </w:rPr>
    </w:lvl>
    <w:lvl w:ilvl="8" w:tplc="A8380926">
      <w:start w:val="1"/>
      <w:numFmt w:val="bullet"/>
      <w:lvlText w:val=""/>
      <w:lvlJc w:val="left"/>
      <w:pPr>
        <w:ind w:left="1680" w:hanging="360"/>
      </w:pPr>
      <w:rPr>
        <w:rFonts w:ascii="Symbol" w:hAnsi="Symbol"/>
      </w:rPr>
    </w:lvl>
  </w:abstractNum>
  <w:abstractNum w:abstractNumId="19" w15:restartNumberingAfterBreak="0">
    <w:nsid w:val="42CA0CC7"/>
    <w:multiLevelType w:val="hybridMultilevel"/>
    <w:tmpl w:val="AC6C43A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0" w15:restartNumberingAfterBreak="0">
    <w:nsid w:val="500509CF"/>
    <w:multiLevelType w:val="multilevel"/>
    <w:tmpl w:val="BF5CBFD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1" w15:restartNumberingAfterBreak="0">
    <w:nsid w:val="535E1695"/>
    <w:multiLevelType w:val="hybridMultilevel"/>
    <w:tmpl w:val="313E882A"/>
    <w:lvl w:ilvl="0" w:tplc="53007838">
      <w:start w:val="1"/>
      <w:numFmt w:val="bullet"/>
      <w:lvlText w:val=""/>
      <w:lvlJc w:val="left"/>
      <w:pPr>
        <w:ind w:left="1680" w:hanging="360"/>
      </w:pPr>
      <w:rPr>
        <w:rFonts w:ascii="Symbol" w:hAnsi="Symbol"/>
      </w:rPr>
    </w:lvl>
    <w:lvl w:ilvl="1" w:tplc="699C173A">
      <w:start w:val="1"/>
      <w:numFmt w:val="bullet"/>
      <w:lvlText w:val=""/>
      <w:lvlJc w:val="left"/>
      <w:pPr>
        <w:ind w:left="1680" w:hanging="360"/>
      </w:pPr>
      <w:rPr>
        <w:rFonts w:ascii="Symbol" w:hAnsi="Symbol"/>
      </w:rPr>
    </w:lvl>
    <w:lvl w:ilvl="2" w:tplc="7626348E">
      <w:start w:val="1"/>
      <w:numFmt w:val="bullet"/>
      <w:lvlText w:val=""/>
      <w:lvlJc w:val="left"/>
      <w:pPr>
        <w:ind w:left="1680" w:hanging="360"/>
      </w:pPr>
      <w:rPr>
        <w:rFonts w:ascii="Symbol" w:hAnsi="Symbol"/>
      </w:rPr>
    </w:lvl>
    <w:lvl w:ilvl="3" w:tplc="BDE23198">
      <w:start w:val="1"/>
      <w:numFmt w:val="bullet"/>
      <w:lvlText w:val=""/>
      <w:lvlJc w:val="left"/>
      <w:pPr>
        <w:ind w:left="1680" w:hanging="360"/>
      </w:pPr>
      <w:rPr>
        <w:rFonts w:ascii="Symbol" w:hAnsi="Symbol"/>
      </w:rPr>
    </w:lvl>
    <w:lvl w:ilvl="4" w:tplc="E8EADF60">
      <w:start w:val="1"/>
      <w:numFmt w:val="bullet"/>
      <w:lvlText w:val=""/>
      <w:lvlJc w:val="left"/>
      <w:pPr>
        <w:ind w:left="1680" w:hanging="360"/>
      </w:pPr>
      <w:rPr>
        <w:rFonts w:ascii="Symbol" w:hAnsi="Symbol"/>
      </w:rPr>
    </w:lvl>
    <w:lvl w:ilvl="5" w:tplc="0A060BE4">
      <w:start w:val="1"/>
      <w:numFmt w:val="bullet"/>
      <w:lvlText w:val=""/>
      <w:lvlJc w:val="left"/>
      <w:pPr>
        <w:ind w:left="1680" w:hanging="360"/>
      </w:pPr>
      <w:rPr>
        <w:rFonts w:ascii="Symbol" w:hAnsi="Symbol"/>
      </w:rPr>
    </w:lvl>
    <w:lvl w:ilvl="6" w:tplc="9940B1D0">
      <w:start w:val="1"/>
      <w:numFmt w:val="bullet"/>
      <w:lvlText w:val=""/>
      <w:lvlJc w:val="left"/>
      <w:pPr>
        <w:ind w:left="1680" w:hanging="360"/>
      </w:pPr>
      <w:rPr>
        <w:rFonts w:ascii="Symbol" w:hAnsi="Symbol"/>
      </w:rPr>
    </w:lvl>
    <w:lvl w:ilvl="7" w:tplc="27507536">
      <w:start w:val="1"/>
      <w:numFmt w:val="bullet"/>
      <w:lvlText w:val=""/>
      <w:lvlJc w:val="left"/>
      <w:pPr>
        <w:ind w:left="1680" w:hanging="360"/>
      </w:pPr>
      <w:rPr>
        <w:rFonts w:ascii="Symbol" w:hAnsi="Symbol"/>
      </w:rPr>
    </w:lvl>
    <w:lvl w:ilvl="8" w:tplc="026886F2">
      <w:start w:val="1"/>
      <w:numFmt w:val="bullet"/>
      <w:lvlText w:val=""/>
      <w:lvlJc w:val="left"/>
      <w:pPr>
        <w:ind w:left="1680" w:hanging="360"/>
      </w:pPr>
      <w:rPr>
        <w:rFonts w:ascii="Symbol" w:hAnsi="Symbol"/>
      </w:rPr>
    </w:lvl>
  </w:abstractNum>
  <w:abstractNum w:abstractNumId="22" w15:restartNumberingAfterBreak="0">
    <w:nsid w:val="56705704"/>
    <w:multiLevelType w:val="multilevel"/>
    <w:tmpl w:val="F41C98BA"/>
    <w:styleLink w:val="Formatmall2"/>
    <w:lvl w:ilvl="0">
      <w:start w:val="1"/>
      <w:numFmt w:val="bullet"/>
      <w:lvlText w:val=""/>
      <w:lvlJc w:val="left"/>
      <w:pPr>
        <w:ind w:left="360" w:hanging="360"/>
      </w:pPr>
      <w:rPr>
        <w:rFonts w:ascii="Wingdings 2" w:hAnsi="Wingdings 2"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04B757C"/>
    <w:multiLevelType w:val="multilevel"/>
    <w:tmpl w:val="E7322D30"/>
    <w:styleLink w:val="Formatmall1"/>
    <w:lvl w:ilvl="0">
      <w:start w:val="1"/>
      <w:numFmt w:val="bullet"/>
      <w:lvlText w:val=""/>
      <w:lvlPicBulletId w:val="0"/>
      <w:lvlJc w:val="left"/>
      <w:pPr>
        <w:ind w:left="360" w:hanging="360"/>
      </w:pPr>
      <w:rPr>
        <w:rFonts w:ascii="Symbol" w:hAnsi="Symbol" w:hint="default"/>
        <w:color w:val="auto"/>
        <w:sz w:val="4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17A2B39"/>
    <w:multiLevelType w:val="multilevel"/>
    <w:tmpl w:val="E16C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3425AC"/>
    <w:multiLevelType w:val="hybridMultilevel"/>
    <w:tmpl w:val="CD7A5320"/>
    <w:lvl w:ilvl="0" w:tplc="4B6A7C02">
      <w:start w:val="1"/>
      <w:numFmt w:val="bullet"/>
      <w:lvlText w:val=""/>
      <w:lvlJc w:val="left"/>
      <w:pPr>
        <w:ind w:left="960" w:hanging="360"/>
      </w:pPr>
      <w:rPr>
        <w:rFonts w:ascii="Symbol" w:hAnsi="Symbol"/>
      </w:rPr>
    </w:lvl>
    <w:lvl w:ilvl="1" w:tplc="D1EE58E2">
      <w:start w:val="1"/>
      <w:numFmt w:val="bullet"/>
      <w:lvlText w:val=""/>
      <w:lvlJc w:val="left"/>
      <w:pPr>
        <w:ind w:left="960" w:hanging="360"/>
      </w:pPr>
      <w:rPr>
        <w:rFonts w:ascii="Symbol" w:hAnsi="Symbol"/>
      </w:rPr>
    </w:lvl>
    <w:lvl w:ilvl="2" w:tplc="64CEA7DC">
      <w:start w:val="1"/>
      <w:numFmt w:val="bullet"/>
      <w:lvlText w:val=""/>
      <w:lvlJc w:val="left"/>
      <w:pPr>
        <w:ind w:left="960" w:hanging="360"/>
      </w:pPr>
      <w:rPr>
        <w:rFonts w:ascii="Symbol" w:hAnsi="Symbol"/>
      </w:rPr>
    </w:lvl>
    <w:lvl w:ilvl="3" w:tplc="0D8894CE">
      <w:start w:val="1"/>
      <w:numFmt w:val="bullet"/>
      <w:lvlText w:val=""/>
      <w:lvlJc w:val="left"/>
      <w:pPr>
        <w:ind w:left="960" w:hanging="360"/>
      </w:pPr>
      <w:rPr>
        <w:rFonts w:ascii="Symbol" w:hAnsi="Symbol"/>
      </w:rPr>
    </w:lvl>
    <w:lvl w:ilvl="4" w:tplc="4540236A">
      <w:start w:val="1"/>
      <w:numFmt w:val="bullet"/>
      <w:lvlText w:val=""/>
      <w:lvlJc w:val="left"/>
      <w:pPr>
        <w:ind w:left="960" w:hanging="360"/>
      </w:pPr>
      <w:rPr>
        <w:rFonts w:ascii="Symbol" w:hAnsi="Symbol"/>
      </w:rPr>
    </w:lvl>
    <w:lvl w:ilvl="5" w:tplc="EB3CF7FC">
      <w:start w:val="1"/>
      <w:numFmt w:val="bullet"/>
      <w:lvlText w:val=""/>
      <w:lvlJc w:val="left"/>
      <w:pPr>
        <w:ind w:left="960" w:hanging="360"/>
      </w:pPr>
      <w:rPr>
        <w:rFonts w:ascii="Symbol" w:hAnsi="Symbol"/>
      </w:rPr>
    </w:lvl>
    <w:lvl w:ilvl="6" w:tplc="256020E2">
      <w:start w:val="1"/>
      <w:numFmt w:val="bullet"/>
      <w:lvlText w:val=""/>
      <w:lvlJc w:val="left"/>
      <w:pPr>
        <w:ind w:left="960" w:hanging="360"/>
      </w:pPr>
      <w:rPr>
        <w:rFonts w:ascii="Symbol" w:hAnsi="Symbol"/>
      </w:rPr>
    </w:lvl>
    <w:lvl w:ilvl="7" w:tplc="EAC6453A">
      <w:start w:val="1"/>
      <w:numFmt w:val="bullet"/>
      <w:lvlText w:val=""/>
      <w:lvlJc w:val="left"/>
      <w:pPr>
        <w:ind w:left="960" w:hanging="360"/>
      </w:pPr>
      <w:rPr>
        <w:rFonts w:ascii="Symbol" w:hAnsi="Symbol"/>
      </w:rPr>
    </w:lvl>
    <w:lvl w:ilvl="8" w:tplc="1C8A5822">
      <w:start w:val="1"/>
      <w:numFmt w:val="bullet"/>
      <w:lvlText w:val=""/>
      <w:lvlJc w:val="left"/>
      <w:pPr>
        <w:ind w:left="960" w:hanging="360"/>
      </w:pPr>
      <w:rPr>
        <w:rFonts w:ascii="Symbol" w:hAnsi="Symbol"/>
      </w:rPr>
    </w:lvl>
  </w:abstractNum>
  <w:abstractNum w:abstractNumId="26" w15:restartNumberingAfterBreak="0">
    <w:nsid w:val="7A2F293D"/>
    <w:multiLevelType w:val="hybridMultilevel"/>
    <w:tmpl w:val="87C079E0"/>
    <w:lvl w:ilvl="0" w:tplc="FE3CFABC">
      <w:start w:val="1"/>
      <w:numFmt w:val="bullet"/>
      <w:lvlText w:val=""/>
      <w:lvlJc w:val="left"/>
      <w:pPr>
        <w:ind w:left="1680" w:hanging="360"/>
      </w:pPr>
      <w:rPr>
        <w:rFonts w:ascii="Symbol" w:hAnsi="Symbol"/>
      </w:rPr>
    </w:lvl>
    <w:lvl w:ilvl="1" w:tplc="A864733A">
      <w:start w:val="1"/>
      <w:numFmt w:val="bullet"/>
      <w:lvlText w:val=""/>
      <w:lvlJc w:val="left"/>
      <w:pPr>
        <w:ind w:left="1680" w:hanging="360"/>
      </w:pPr>
      <w:rPr>
        <w:rFonts w:ascii="Symbol" w:hAnsi="Symbol"/>
      </w:rPr>
    </w:lvl>
    <w:lvl w:ilvl="2" w:tplc="D338A4AC">
      <w:start w:val="1"/>
      <w:numFmt w:val="bullet"/>
      <w:lvlText w:val=""/>
      <w:lvlJc w:val="left"/>
      <w:pPr>
        <w:ind w:left="1680" w:hanging="360"/>
      </w:pPr>
      <w:rPr>
        <w:rFonts w:ascii="Symbol" w:hAnsi="Symbol"/>
      </w:rPr>
    </w:lvl>
    <w:lvl w:ilvl="3" w:tplc="D0B436B4">
      <w:start w:val="1"/>
      <w:numFmt w:val="bullet"/>
      <w:lvlText w:val=""/>
      <w:lvlJc w:val="left"/>
      <w:pPr>
        <w:ind w:left="1680" w:hanging="360"/>
      </w:pPr>
      <w:rPr>
        <w:rFonts w:ascii="Symbol" w:hAnsi="Symbol"/>
      </w:rPr>
    </w:lvl>
    <w:lvl w:ilvl="4" w:tplc="F8A46288">
      <w:start w:val="1"/>
      <w:numFmt w:val="bullet"/>
      <w:lvlText w:val=""/>
      <w:lvlJc w:val="left"/>
      <w:pPr>
        <w:ind w:left="1680" w:hanging="360"/>
      </w:pPr>
      <w:rPr>
        <w:rFonts w:ascii="Symbol" w:hAnsi="Symbol"/>
      </w:rPr>
    </w:lvl>
    <w:lvl w:ilvl="5" w:tplc="64AE0682">
      <w:start w:val="1"/>
      <w:numFmt w:val="bullet"/>
      <w:lvlText w:val=""/>
      <w:lvlJc w:val="left"/>
      <w:pPr>
        <w:ind w:left="1680" w:hanging="360"/>
      </w:pPr>
      <w:rPr>
        <w:rFonts w:ascii="Symbol" w:hAnsi="Symbol"/>
      </w:rPr>
    </w:lvl>
    <w:lvl w:ilvl="6" w:tplc="F0BE5780">
      <w:start w:val="1"/>
      <w:numFmt w:val="bullet"/>
      <w:lvlText w:val=""/>
      <w:lvlJc w:val="left"/>
      <w:pPr>
        <w:ind w:left="1680" w:hanging="360"/>
      </w:pPr>
      <w:rPr>
        <w:rFonts w:ascii="Symbol" w:hAnsi="Symbol"/>
      </w:rPr>
    </w:lvl>
    <w:lvl w:ilvl="7" w:tplc="325693F4">
      <w:start w:val="1"/>
      <w:numFmt w:val="bullet"/>
      <w:lvlText w:val=""/>
      <w:lvlJc w:val="left"/>
      <w:pPr>
        <w:ind w:left="1680" w:hanging="360"/>
      </w:pPr>
      <w:rPr>
        <w:rFonts w:ascii="Symbol" w:hAnsi="Symbol"/>
      </w:rPr>
    </w:lvl>
    <w:lvl w:ilvl="8" w:tplc="9BE40B3E">
      <w:start w:val="1"/>
      <w:numFmt w:val="bullet"/>
      <w:lvlText w:val=""/>
      <w:lvlJc w:val="left"/>
      <w:pPr>
        <w:ind w:left="1680" w:hanging="360"/>
      </w:pPr>
      <w:rPr>
        <w:rFonts w:ascii="Symbol" w:hAnsi="Symbol"/>
      </w:rPr>
    </w:lvl>
  </w:abstractNum>
  <w:num w:numId="1" w16cid:durableId="807012123">
    <w:abstractNumId w:val="16"/>
  </w:num>
  <w:num w:numId="2" w16cid:durableId="1229732491">
    <w:abstractNumId w:val="8"/>
  </w:num>
  <w:num w:numId="3" w16cid:durableId="1082605475">
    <w:abstractNumId w:val="3"/>
  </w:num>
  <w:num w:numId="4" w16cid:durableId="8651447">
    <w:abstractNumId w:val="2"/>
  </w:num>
  <w:num w:numId="5" w16cid:durableId="719593579">
    <w:abstractNumId w:val="1"/>
  </w:num>
  <w:num w:numId="6" w16cid:durableId="258805374">
    <w:abstractNumId w:val="0"/>
  </w:num>
  <w:num w:numId="7" w16cid:durableId="1230771394">
    <w:abstractNumId w:val="9"/>
  </w:num>
  <w:num w:numId="8" w16cid:durableId="1423180924">
    <w:abstractNumId w:val="7"/>
  </w:num>
  <w:num w:numId="9" w16cid:durableId="900558551">
    <w:abstractNumId w:val="6"/>
  </w:num>
  <w:num w:numId="10" w16cid:durableId="656809274">
    <w:abstractNumId w:val="5"/>
  </w:num>
  <w:num w:numId="11" w16cid:durableId="1401709331">
    <w:abstractNumId w:val="4"/>
  </w:num>
  <w:num w:numId="12" w16cid:durableId="291601286">
    <w:abstractNumId w:val="23"/>
  </w:num>
  <w:num w:numId="13" w16cid:durableId="590044911">
    <w:abstractNumId w:val="22"/>
  </w:num>
  <w:num w:numId="14" w16cid:durableId="1503204084">
    <w:abstractNumId w:val="19"/>
  </w:num>
  <w:num w:numId="15" w16cid:durableId="1801914932">
    <w:abstractNumId w:val="20"/>
  </w:num>
  <w:num w:numId="16" w16cid:durableId="1158687636">
    <w:abstractNumId w:val="21"/>
  </w:num>
  <w:num w:numId="17" w16cid:durableId="1966277167">
    <w:abstractNumId w:val="13"/>
  </w:num>
  <w:num w:numId="18" w16cid:durableId="938872836">
    <w:abstractNumId w:val="12"/>
  </w:num>
  <w:num w:numId="19" w16cid:durableId="1886212294">
    <w:abstractNumId w:val="10"/>
  </w:num>
  <w:num w:numId="20" w16cid:durableId="1384058639">
    <w:abstractNumId w:val="11"/>
  </w:num>
  <w:num w:numId="21" w16cid:durableId="1553693502">
    <w:abstractNumId w:val="26"/>
  </w:num>
  <w:num w:numId="22" w16cid:durableId="978614202">
    <w:abstractNumId w:val="17"/>
  </w:num>
  <w:num w:numId="23" w16cid:durableId="1387147900">
    <w:abstractNumId w:val="25"/>
  </w:num>
  <w:num w:numId="24" w16cid:durableId="523134386">
    <w:abstractNumId w:val="18"/>
  </w:num>
  <w:num w:numId="25" w16cid:durableId="1300695963">
    <w:abstractNumId w:val="14"/>
  </w:num>
  <w:num w:numId="26" w16cid:durableId="1997107605">
    <w:abstractNumId w:val="24"/>
  </w:num>
  <w:num w:numId="27" w16cid:durableId="15489085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124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6B2"/>
    <w:rsid w:val="000002F2"/>
    <w:rsid w:val="00002A2B"/>
    <w:rsid w:val="00003A95"/>
    <w:rsid w:val="0000410A"/>
    <w:rsid w:val="00004127"/>
    <w:rsid w:val="00004E41"/>
    <w:rsid w:val="00007A66"/>
    <w:rsid w:val="00017A6C"/>
    <w:rsid w:val="000213ED"/>
    <w:rsid w:val="00024CE2"/>
    <w:rsid w:val="00025B54"/>
    <w:rsid w:val="00032492"/>
    <w:rsid w:val="00034E91"/>
    <w:rsid w:val="00036C28"/>
    <w:rsid w:val="00036EA9"/>
    <w:rsid w:val="00037BF8"/>
    <w:rsid w:val="00040292"/>
    <w:rsid w:val="0005260E"/>
    <w:rsid w:val="00057C54"/>
    <w:rsid w:val="00062819"/>
    <w:rsid w:val="00062E0C"/>
    <w:rsid w:val="00062F0E"/>
    <w:rsid w:val="00073F0E"/>
    <w:rsid w:val="000757BA"/>
    <w:rsid w:val="000836FA"/>
    <w:rsid w:val="000838BB"/>
    <w:rsid w:val="000914E4"/>
    <w:rsid w:val="0009512C"/>
    <w:rsid w:val="000A12D3"/>
    <w:rsid w:val="000A2EC8"/>
    <w:rsid w:val="000A4CA2"/>
    <w:rsid w:val="000A7820"/>
    <w:rsid w:val="000B13F3"/>
    <w:rsid w:val="000B209A"/>
    <w:rsid w:val="000B24EF"/>
    <w:rsid w:val="000B62B9"/>
    <w:rsid w:val="000C2779"/>
    <w:rsid w:val="000C3208"/>
    <w:rsid w:val="000C4F23"/>
    <w:rsid w:val="000D1FC3"/>
    <w:rsid w:val="000D409C"/>
    <w:rsid w:val="000D43F7"/>
    <w:rsid w:val="000E5C6A"/>
    <w:rsid w:val="000F24F9"/>
    <w:rsid w:val="000F38BC"/>
    <w:rsid w:val="000F4626"/>
    <w:rsid w:val="000F4AF8"/>
    <w:rsid w:val="000F6AF1"/>
    <w:rsid w:val="000F71F6"/>
    <w:rsid w:val="000F7E45"/>
    <w:rsid w:val="00101F15"/>
    <w:rsid w:val="001023E9"/>
    <w:rsid w:val="001079FA"/>
    <w:rsid w:val="00107CD4"/>
    <w:rsid w:val="00107CEC"/>
    <w:rsid w:val="001124B0"/>
    <w:rsid w:val="0011273E"/>
    <w:rsid w:val="00114FC7"/>
    <w:rsid w:val="001200AB"/>
    <w:rsid w:val="00121EDA"/>
    <w:rsid w:val="0012364E"/>
    <w:rsid w:val="00123C83"/>
    <w:rsid w:val="001258E3"/>
    <w:rsid w:val="00125A28"/>
    <w:rsid w:val="00131ADF"/>
    <w:rsid w:val="00132F44"/>
    <w:rsid w:val="00133E3F"/>
    <w:rsid w:val="00134207"/>
    <w:rsid w:val="001345B8"/>
    <w:rsid w:val="0013495A"/>
    <w:rsid w:val="00136FA1"/>
    <w:rsid w:val="00137379"/>
    <w:rsid w:val="00140B8E"/>
    <w:rsid w:val="001447A4"/>
    <w:rsid w:val="00151558"/>
    <w:rsid w:val="00153769"/>
    <w:rsid w:val="0015457D"/>
    <w:rsid w:val="0015465C"/>
    <w:rsid w:val="00156828"/>
    <w:rsid w:val="00161663"/>
    <w:rsid w:val="00166085"/>
    <w:rsid w:val="00167D90"/>
    <w:rsid w:val="00167E94"/>
    <w:rsid w:val="00172C7A"/>
    <w:rsid w:val="001761E3"/>
    <w:rsid w:val="00183893"/>
    <w:rsid w:val="001966B9"/>
    <w:rsid w:val="001A1CA9"/>
    <w:rsid w:val="001A3E6F"/>
    <w:rsid w:val="001A6503"/>
    <w:rsid w:val="001A74B1"/>
    <w:rsid w:val="001B0E30"/>
    <w:rsid w:val="001B30CB"/>
    <w:rsid w:val="001B5E75"/>
    <w:rsid w:val="001C4F70"/>
    <w:rsid w:val="001C6639"/>
    <w:rsid w:val="001C69E3"/>
    <w:rsid w:val="001D0E0F"/>
    <w:rsid w:val="001E032B"/>
    <w:rsid w:val="001E0D55"/>
    <w:rsid w:val="001E3B4B"/>
    <w:rsid w:val="002021D8"/>
    <w:rsid w:val="00206F66"/>
    <w:rsid w:val="00221A54"/>
    <w:rsid w:val="00224B17"/>
    <w:rsid w:val="00240005"/>
    <w:rsid w:val="002458D2"/>
    <w:rsid w:val="002462D1"/>
    <w:rsid w:val="00246600"/>
    <w:rsid w:val="0024707D"/>
    <w:rsid w:val="002511F1"/>
    <w:rsid w:val="00253A73"/>
    <w:rsid w:val="002659A9"/>
    <w:rsid w:val="00265EE4"/>
    <w:rsid w:val="00270E39"/>
    <w:rsid w:val="00272395"/>
    <w:rsid w:val="00273C58"/>
    <w:rsid w:val="00274639"/>
    <w:rsid w:val="00274D69"/>
    <w:rsid w:val="00275374"/>
    <w:rsid w:val="002811C6"/>
    <w:rsid w:val="00281D1E"/>
    <w:rsid w:val="002835A2"/>
    <w:rsid w:val="002A0944"/>
    <w:rsid w:val="002A38EF"/>
    <w:rsid w:val="002A7E1B"/>
    <w:rsid w:val="002B07BB"/>
    <w:rsid w:val="002B1D2C"/>
    <w:rsid w:val="002B1E10"/>
    <w:rsid w:val="002B377C"/>
    <w:rsid w:val="002B6AA0"/>
    <w:rsid w:val="002C3113"/>
    <w:rsid w:val="002C39AA"/>
    <w:rsid w:val="002C5134"/>
    <w:rsid w:val="002C58C4"/>
    <w:rsid w:val="002C73BD"/>
    <w:rsid w:val="002D42D8"/>
    <w:rsid w:val="002E63CA"/>
    <w:rsid w:val="002E6BB3"/>
    <w:rsid w:val="002F4633"/>
    <w:rsid w:val="002F571C"/>
    <w:rsid w:val="0030156D"/>
    <w:rsid w:val="00306BE7"/>
    <w:rsid w:val="003078A9"/>
    <w:rsid w:val="00311E29"/>
    <w:rsid w:val="003136BD"/>
    <w:rsid w:val="00316753"/>
    <w:rsid w:val="00317CFB"/>
    <w:rsid w:val="00320F7F"/>
    <w:rsid w:val="00323B2E"/>
    <w:rsid w:val="00325C22"/>
    <w:rsid w:val="00326CFF"/>
    <w:rsid w:val="00330F38"/>
    <w:rsid w:val="00333143"/>
    <w:rsid w:val="003342E4"/>
    <w:rsid w:val="00334A68"/>
    <w:rsid w:val="0034151C"/>
    <w:rsid w:val="00346785"/>
    <w:rsid w:val="003509F0"/>
    <w:rsid w:val="00350CE9"/>
    <w:rsid w:val="003529E8"/>
    <w:rsid w:val="00354BDE"/>
    <w:rsid w:val="00361807"/>
    <w:rsid w:val="00363340"/>
    <w:rsid w:val="0036516E"/>
    <w:rsid w:val="00371242"/>
    <w:rsid w:val="00374229"/>
    <w:rsid w:val="00374D74"/>
    <w:rsid w:val="00377FCD"/>
    <w:rsid w:val="00385D63"/>
    <w:rsid w:val="00387780"/>
    <w:rsid w:val="00387C9D"/>
    <w:rsid w:val="00391363"/>
    <w:rsid w:val="00395532"/>
    <w:rsid w:val="00397FB5"/>
    <w:rsid w:val="003A23F8"/>
    <w:rsid w:val="003A4FE3"/>
    <w:rsid w:val="003B1DF3"/>
    <w:rsid w:val="003B6954"/>
    <w:rsid w:val="003C01C1"/>
    <w:rsid w:val="003C079B"/>
    <w:rsid w:val="003C3C27"/>
    <w:rsid w:val="003C5F15"/>
    <w:rsid w:val="003C6A11"/>
    <w:rsid w:val="003C7797"/>
    <w:rsid w:val="003D2CC3"/>
    <w:rsid w:val="003D451C"/>
    <w:rsid w:val="003E0475"/>
    <w:rsid w:val="003E2127"/>
    <w:rsid w:val="003E614F"/>
    <w:rsid w:val="003F0CDC"/>
    <w:rsid w:val="003F5C74"/>
    <w:rsid w:val="003F73DE"/>
    <w:rsid w:val="003F79A4"/>
    <w:rsid w:val="003F7BAF"/>
    <w:rsid w:val="0040173E"/>
    <w:rsid w:val="00407000"/>
    <w:rsid w:val="00410FE5"/>
    <w:rsid w:val="004116F8"/>
    <w:rsid w:val="00412468"/>
    <w:rsid w:val="004150A3"/>
    <w:rsid w:val="004155EB"/>
    <w:rsid w:val="00424156"/>
    <w:rsid w:val="00426B24"/>
    <w:rsid w:val="004270F7"/>
    <w:rsid w:val="00433639"/>
    <w:rsid w:val="0043385F"/>
    <w:rsid w:val="00434099"/>
    <w:rsid w:val="00436881"/>
    <w:rsid w:val="00441786"/>
    <w:rsid w:val="0044235B"/>
    <w:rsid w:val="004451EA"/>
    <w:rsid w:val="00446AB6"/>
    <w:rsid w:val="00446BA0"/>
    <w:rsid w:val="0045267B"/>
    <w:rsid w:val="004527C5"/>
    <w:rsid w:val="004547CE"/>
    <w:rsid w:val="00454809"/>
    <w:rsid w:val="00455D68"/>
    <w:rsid w:val="00470D8C"/>
    <w:rsid w:val="0047296C"/>
    <w:rsid w:val="00473A06"/>
    <w:rsid w:val="00473BDF"/>
    <w:rsid w:val="00475D68"/>
    <w:rsid w:val="00475EE7"/>
    <w:rsid w:val="0048038E"/>
    <w:rsid w:val="004806E7"/>
    <w:rsid w:val="00482458"/>
    <w:rsid w:val="00483AF0"/>
    <w:rsid w:val="004906B0"/>
    <w:rsid w:val="00493067"/>
    <w:rsid w:val="004A0FE6"/>
    <w:rsid w:val="004A11CA"/>
    <w:rsid w:val="004A3B50"/>
    <w:rsid w:val="004A51F6"/>
    <w:rsid w:val="004A56A5"/>
    <w:rsid w:val="004A587C"/>
    <w:rsid w:val="004A7C8D"/>
    <w:rsid w:val="004B087A"/>
    <w:rsid w:val="004B35E9"/>
    <w:rsid w:val="004C1D7F"/>
    <w:rsid w:val="004C1E37"/>
    <w:rsid w:val="004C390C"/>
    <w:rsid w:val="004C4178"/>
    <w:rsid w:val="004D1098"/>
    <w:rsid w:val="004D590D"/>
    <w:rsid w:val="004D6BC9"/>
    <w:rsid w:val="004D78A4"/>
    <w:rsid w:val="004D7E25"/>
    <w:rsid w:val="004E1808"/>
    <w:rsid w:val="004E664E"/>
    <w:rsid w:val="004F4713"/>
    <w:rsid w:val="00501325"/>
    <w:rsid w:val="00505C56"/>
    <w:rsid w:val="00506FAF"/>
    <w:rsid w:val="00512CE1"/>
    <w:rsid w:val="00513137"/>
    <w:rsid w:val="005142F0"/>
    <w:rsid w:val="005167C3"/>
    <w:rsid w:val="005256D0"/>
    <w:rsid w:val="005271CD"/>
    <w:rsid w:val="005306BC"/>
    <w:rsid w:val="00531898"/>
    <w:rsid w:val="00536366"/>
    <w:rsid w:val="00537ADB"/>
    <w:rsid w:val="005463F9"/>
    <w:rsid w:val="00547098"/>
    <w:rsid w:val="005473CB"/>
    <w:rsid w:val="005509FE"/>
    <w:rsid w:val="005512D3"/>
    <w:rsid w:val="00554F93"/>
    <w:rsid w:val="005733CF"/>
    <w:rsid w:val="00573790"/>
    <w:rsid w:val="0057416A"/>
    <w:rsid w:val="00574888"/>
    <w:rsid w:val="005749E9"/>
    <w:rsid w:val="00575351"/>
    <w:rsid w:val="00580CA3"/>
    <w:rsid w:val="005842AC"/>
    <w:rsid w:val="00585F54"/>
    <w:rsid w:val="00586C29"/>
    <w:rsid w:val="005906BE"/>
    <w:rsid w:val="005921F8"/>
    <w:rsid w:val="005925AE"/>
    <w:rsid w:val="0059308E"/>
    <w:rsid w:val="005956A2"/>
    <w:rsid w:val="0059675B"/>
    <w:rsid w:val="005969DC"/>
    <w:rsid w:val="005A1E31"/>
    <w:rsid w:val="005A622C"/>
    <w:rsid w:val="005A69C7"/>
    <w:rsid w:val="005B2298"/>
    <w:rsid w:val="005B3413"/>
    <w:rsid w:val="005B607E"/>
    <w:rsid w:val="005B6D6C"/>
    <w:rsid w:val="005B7545"/>
    <w:rsid w:val="005C2190"/>
    <w:rsid w:val="005C24C3"/>
    <w:rsid w:val="005C2C8C"/>
    <w:rsid w:val="005D2128"/>
    <w:rsid w:val="005D4B71"/>
    <w:rsid w:val="005D79CE"/>
    <w:rsid w:val="005E211F"/>
    <w:rsid w:val="005E2B1A"/>
    <w:rsid w:val="005E354B"/>
    <w:rsid w:val="005E69E4"/>
    <w:rsid w:val="005F00DC"/>
    <w:rsid w:val="005F5E74"/>
    <w:rsid w:val="005F6ACA"/>
    <w:rsid w:val="00600E62"/>
    <w:rsid w:val="00602F54"/>
    <w:rsid w:val="00606CB9"/>
    <w:rsid w:val="00613AF4"/>
    <w:rsid w:val="00616B2D"/>
    <w:rsid w:val="00620A0E"/>
    <w:rsid w:val="006303BA"/>
    <w:rsid w:val="00630B91"/>
    <w:rsid w:val="00631FDA"/>
    <w:rsid w:val="00636C29"/>
    <w:rsid w:val="00636C2F"/>
    <w:rsid w:val="006406FE"/>
    <w:rsid w:val="0064189D"/>
    <w:rsid w:val="00644161"/>
    <w:rsid w:val="00650250"/>
    <w:rsid w:val="006502B3"/>
    <w:rsid w:val="006559D4"/>
    <w:rsid w:val="00661125"/>
    <w:rsid w:val="00661183"/>
    <w:rsid w:val="00662B6D"/>
    <w:rsid w:val="00664F80"/>
    <w:rsid w:val="00667BEA"/>
    <w:rsid w:val="00667C1C"/>
    <w:rsid w:val="00674143"/>
    <w:rsid w:val="006759AA"/>
    <w:rsid w:val="00683114"/>
    <w:rsid w:val="00684DAB"/>
    <w:rsid w:val="006907DA"/>
    <w:rsid w:val="00691E39"/>
    <w:rsid w:val="006A5853"/>
    <w:rsid w:val="006B18CB"/>
    <w:rsid w:val="006B1CC0"/>
    <w:rsid w:val="006B3483"/>
    <w:rsid w:val="006B6373"/>
    <w:rsid w:val="006C0205"/>
    <w:rsid w:val="006C0F52"/>
    <w:rsid w:val="006C1142"/>
    <w:rsid w:val="006C3C82"/>
    <w:rsid w:val="006C6958"/>
    <w:rsid w:val="006D06C3"/>
    <w:rsid w:val="006D1763"/>
    <w:rsid w:val="006D43BB"/>
    <w:rsid w:val="006D6DEA"/>
    <w:rsid w:val="006E232E"/>
    <w:rsid w:val="006E2C95"/>
    <w:rsid w:val="006E2C9C"/>
    <w:rsid w:val="006E2D26"/>
    <w:rsid w:val="006E3E1C"/>
    <w:rsid w:val="006F7684"/>
    <w:rsid w:val="0070124A"/>
    <w:rsid w:val="00704E63"/>
    <w:rsid w:val="0070766A"/>
    <w:rsid w:val="007108EB"/>
    <w:rsid w:val="00711D38"/>
    <w:rsid w:val="00716641"/>
    <w:rsid w:val="00720AF5"/>
    <w:rsid w:val="00722D95"/>
    <w:rsid w:val="007240FD"/>
    <w:rsid w:val="00724B6D"/>
    <w:rsid w:val="00724D92"/>
    <w:rsid w:val="00724F7C"/>
    <w:rsid w:val="00727134"/>
    <w:rsid w:val="00733E3A"/>
    <w:rsid w:val="0073504B"/>
    <w:rsid w:val="00740701"/>
    <w:rsid w:val="00740BD1"/>
    <w:rsid w:val="00746169"/>
    <w:rsid w:val="0074660B"/>
    <w:rsid w:val="00751BD1"/>
    <w:rsid w:val="00751E06"/>
    <w:rsid w:val="00763255"/>
    <w:rsid w:val="0076671E"/>
    <w:rsid w:val="00766B6A"/>
    <w:rsid w:val="007705F5"/>
    <w:rsid w:val="00777BC1"/>
    <w:rsid w:val="00783D68"/>
    <w:rsid w:val="007876A0"/>
    <w:rsid w:val="00793459"/>
    <w:rsid w:val="00795005"/>
    <w:rsid w:val="00797544"/>
    <w:rsid w:val="007977F3"/>
    <w:rsid w:val="007A1A23"/>
    <w:rsid w:val="007A4CD8"/>
    <w:rsid w:val="007A782D"/>
    <w:rsid w:val="007B05D1"/>
    <w:rsid w:val="007B0E24"/>
    <w:rsid w:val="007B2031"/>
    <w:rsid w:val="007B516A"/>
    <w:rsid w:val="007C19B5"/>
    <w:rsid w:val="007C6540"/>
    <w:rsid w:val="007D07F9"/>
    <w:rsid w:val="007D281B"/>
    <w:rsid w:val="007D3790"/>
    <w:rsid w:val="007D380D"/>
    <w:rsid w:val="007D572E"/>
    <w:rsid w:val="007E58F2"/>
    <w:rsid w:val="007E6E5D"/>
    <w:rsid w:val="007F1595"/>
    <w:rsid w:val="007F2297"/>
    <w:rsid w:val="007F5486"/>
    <w:rsid w:val="0080288E"/>
    <w:rsid w:val="008038F1"/>
    <w:rsid w:val="00804CEB"/>
    <w:rsid w:val="00806607"/>
    <w:rsid w:val="008075F5"/>
    <w:rsid w:val="008112D4"/>
    <w:rsid w:val="008115FB"/>
    <w:rsid w:val="00816005"/>
    <w:rsid w:val="00820434"/>
    <w:rsid w:val="008214A3"/>
    <w:rsid w:val="00821D76"/>
    <w:rsid w:val="008231D0"/>
    <w:rsid w:val="0083027A"/>
    <w:rsid w:val="00832479"/>
    <w:rsid w:val="008328F7"/>
    <w:rsid w:val="00834709"/>
    <w:rsid w:val="00842DA5"/>
    <w:rsid w:val="00853612"/>
    <w:rsid w:val="008573F8"/>
    <w:rsid w:val="00860EE9"/>
    <w:rsid w:val="008616D9"/>
    <w:rsid w:val="00864677"/>
    <w:rsid w:val="00867A54"/>
    <w:rsid w:val="00870394"/>
    <w:rsid w:val="00870B82"/>
    <w:rsid w:val="00870B9F"/>
    <w:rsid w:val="00872CF7"/>
    <w:rsid w:val="00884076"/>
    <w:rsid w:val="00885A01"/>
    <w:rsid w:val="0088717B"/>
    <w:rsid w:val="0089045C"/>
    <w:rsid w:val="00891289"/>
    <w:rsid w:val="00892C48"/>
    <w:rsid w:val="00892E3C"/>
    <w:rsid w:val="00893720"/>
    <w:rsid w:val="008937C5"/>
    <w:rsid w:val="00894554"/>
    <w:rsid w:val="00895771"/>
    <w:rsid w:val="008A09A6"/>
    <w:rsid w:val="008A4E07"/>
    <w:rsid w:val="008B0805"/>
    <w:rsid w:val="008B53D6"/>
    <w:rsid w:val="008B5DD1"/>
    <w:rsid w:val="008C3F0E"/>
    <w:rsid w:val="008C46D6"/>
    <w:rsid w:val="008C4E3A"/>
    <w:rsid w:val="008D1C4F"/>
    <w:rsid w:val="008D2A94"/>
    <w:rsid w:val="008D442F"/>
    <w:rsid w:val="008D54CC"/>
    <w:rsid w:val="008D701C"/>
    <w:rsid w:val="008E4B1D"/>
    <w:rsid w:val="008F1D13"/>
    <w:rsid w:val="008F3A29"/>
    <w:rsid w:val="008F78BB"/>
    <w:rsid w:val="00904402"/>
    <w:rsid w:val="00905D5C"/>
    <w:rsid w:val="009103E1"/>
    <w:rsid w:val="009220CD"/>
    <w:rsid w:val="00922A91"/>
    <w:rsid w:val="00922E65"/>
    <w:rsid w:val="00923447"/>
    <w:rsid w:val="0093513E"/>
    <w:rsid w:val="00935D87"/>
    <w:rsid w:val="009372FF"/>
    <w:rsid w:val="00940A13"/>
    <w:rsid w:val="00940E26"/>
    <w:rsid w:val="0094287E"/>
    <w:rsid w:val="00943888"/>
    <w:rsid w:val="00943EC9"/>
    <w:rsid w:val="00944564"/>
    <w:rsid w:val="00945034"/>
    <w:rsid w:val="00945947"/>
    <w:rsid w:val="0096246E"/>
    <w:rsid w:val="00964E57"/>
    <w:rsid w:val="009662A9"/>
    <w:rsid w:val="00970994"/>
    <w:rsid w:val="009736BF"/>
    <w:rsid w:val="00975574"/>
    <w:rsid w:val="00976FED"/>
    <w:rsid w:val="00980C42"/>
    <w:rsid w:val="00983FBE"/>
    <w:rsid w:val="00984F4F"/>
    <w:rsid w:val="009902EA"/>
    <w:rsid w:val="0099059E"/>
    <w:rsid w:val="009906BF"/>
    <w:rsid w:val="00994D7E"/>
    <w:rsid w:val="00994F75"/>
    <w:rsid w:val="009A2047"/>
    <w:rsid w:val="009A636C"/>
    <w:rsid w:val="009A6D3E"/>
    <w:rsid w:val="009A7FA3"/>
    <w:rsid w:val="009B02C9"/>
    <w:rsid w:val="009B26EE"/>
    <w:rsid w:val="009B35AA"/>
    <w:rsid w:val="009B6C91"/>
    <w:rsid w:val="009B76CF"/>
    <w:rsid w:val="009C3EC4"/>
    <w:rsid w:val="009C4973"/>
    <w:rsid w:val="009C6188"/>
    <w:rsid w:val="009D46B2"/>
    <w:rsid w:val="009E0E1C"/>
    <w:rsid w:val="009E505E"/>
    <w:rsid w:val="009F5FC7"/>
    <w:rsid w:val="009F6367"/>
    <w:rsid w:val="00A036EE"/>
    <w:rsid w:val="00A15C95"/>
    <w:rsid w:val="00A1776E"/>
    <w:rsid w:val="00A210F7"/>
    <w:rsid w:val="00A226F1"/>
    <w:rsid w:val="00A24A12"/>
    <w:rsid w:val="00A26051"/>
    <w:rsid w:val="00A33C03"/>
    <w:rsid w:val="00A34CCA"/>
    <w:rsid w:val="00A373AD"/>
    <w:rsid w:val="00A44E45"/>
    <w:rsid w:val="00A4534E"/>
    <w:rsid w:val="00A46EA8"/>
    <w:rsid w:val="00A54E56"/>
    <w:rsid w:val="00A56937"/>
    <w:rsid w:val="00A63D4D"/>
    <w:rsid w:val="00A73FC4"/>
    <w:rsid w:val="00A7505A"/>
    <w:rsid w:val="00A75970"/>
    <w:rsid w:val="00A76748"/>
    <w:rsid w:val="00A76A11"/>
    <w:rsid w:val="00A81F77"/>
    <w:rsid w:val="00A84619"/>
    <w:rsid w:val="00A84BD9"/>
    <w:rsid w:val="00A85389"/>
    <w:rsid w:val="00A92243"/>
    <w:rsid w:val="00A92ED7"/>
    <w:rsid w:val="00A966ED"/>
    <w:rsid w:val="00A96BC3"/>
    <w:rsid w:val="00A97A6D"/>
    <w:rsid w:val="00AA12BD"/>
    <w:rsid w:val="00AA32B6"/>
    <w:rsid w:val="00AA45D5"/>
    <w:rsid w:val="00AA5F59"/>
    <w:rsid w:val="00AA6739"/>
    <w:rsid w:val="00AA6AFD"/>
    <w:rsid w:val="00AA6BC9"/>
    <w:rsid w:val="00AA71F3"/>
    <w:rsid w:val="00AB02F3"/>
    <w:rsid w:val="00AB1D74"/>
    <w:rsid w:val="00AB3716"/>
    <w:rsid w:val="00AC4990"/>
    <w:rsid w:val="00AC6889"/>
    <w:rsid w:val="00AD11A8"/>
    <w:rsid w:val="00AD3728"/>
    <w:rsid w:val="00AE31DE"/>
    <w:rsid w:val="00AF200B"/>
    <w:rsid w:val="00AF3093"/>
    <w:rsid w:val="00AF39BA"/>
    <w:rsid w:val="00AF639C"/>
    <w:rsid w:val="00AF68F8"/>
    <w:rsid w:val="00B0358B"/>
    <w:rsid w:val="00B0460F"/>
    <w:rsid w:val="00B04AF1"/>
    <w:rsid w:val="00B05548"/>
    <w:rsid w:val="00B13A5E"/>
    <w:rsid w:val="00B16D72"/>
    <w:rsid w:val="00B2366E"/>
    <w:rsid w:val="00B24266"/>
    <w:rsid w:val="00B244EA"/>
    <w:rsid w:val="00B25D75"/>
    <w:rsid w:val="00B274ED"/>
    <w:rsid w:val="00B315E9"/>
    <w:rsid w:val="00B3473A"/>
    <w:rsid w:val="00B42BD4"/>
    <w:rsid w:val="00B436A6"/>
    <w:rsid w:val="00B45E86"/>
    <w:rsid w:val="00B50EDF"/>
    <w:rsid w:val="00B5430D"/>
    <w:rsid w:val="00B54CF5"/>
    <w:rsid w:val="00B56C25"/>
    <w:rsid w:val="00B71BED"/>
    <w:rsid w:val="00B73CE1"/>
    <w:rsid w:val="00B81248"/>
    <w:rsid w:val="00B83E41"/>
    <w:rsid w:val="00BA1B3E"/>
    <w:rsid w:val="00BA3D6C"/>
    <w:rsid w:val="00BA43EB"/>
    <w:rsid w:val="00BA5CCE"/>
    <w:rsid w:val="00BA73C9"/>
    <w:rsid w:val="00BB1DF9"/>
    <w:rsid w:val="00BB2440"/>
    <w:rsid w:val="00BB25F0"/>
    <w:rsid w:val="00BB265B"/>
    <w:rsid w:val="00BB2BF6"/>
    <w:rsid w:val="00BB307E"/>
    <w:rsid w:val="00BB6A47"/>
    <w:rsid w:val="00BC53F5"/>
    <w:rsid w:val="00BC6E9A"/>
    <w:rsid w:val="00BD04D7"/>
    <w:rsid w:val="00BD1B95"/>
    <w:rsid w:val="00BD4C5C"/>
    <w:rsid w:val="00BF231A"/>
    <w:rsid w:val="00BF6432"/>
    <w:rsid w:val="00C04A94"/>
    <w:rsid w:val="00C051DA"/>
    <w:rsid w:val="00C05EE3"/>
    <w:rsid w:val="00C110A4"/>
    <w:rsid w:val="00C11A80"/>
    <w:rsid w:val="00C12E9B"/>
    <w:rsid w:val="00C1683D"/>
    <w:rsid w:val="00C17451"/>
    <w:rsid w:val="00C21358"/>
    <w:rsid w:val="00C26091"/>
    <w:rsid w:val="00C26C1C"/>
    <w:rsid w:val="00C32078"/>
    <w:rsid w:val="00C45468"/>
    <w:rsid w:val="00C45B9D"/>
    <w:rsid w:val="00C60820"/>
    <w:rsid w:val="00C61CDC"/>
    <w:rsid w:val="00C62CA3"/>
    <w:rsid w:val="00C6372F"/>
    <w:rsid w:val="00C65D97"/>
    <w:rsid w:val="00C80DA4"/>
    <w:rsid w:val="00C8177C"/>
    <w:rsid w:val="00C86FE9"/>
    <w:rsid w:val="00C964D7"/>
    <w:rsid w:val="00C96F6A"/>
    <w:rsid w:val="00CA1884"/>
    <w:rsid w:val="00CA1A59"/>
    <w:rsid w:val="00CA4B1A"/>
    <w:rsid w:val="00CB0ABE"/>
    <w:rsid w:val="00CB1350"/>
    <w:rsid w:val="00CB5A09"/>
    <w:rsid w:val="00CB6640"/>
    <w:rsid w:val="00CC0EB0"/>
    <w:rsid w:val="00CD0486"/>
    <w:rsid w:val="00CD225A"/>
    <w:rsid w:val="00CD26AA"/>
    <w:rsid w:val="00CE4DE0"/>
    <w:rsid w:val="00CE7169"/>
    <w:rsid w:val="00CF023A"/>
    <w:rsid w:val="00D0178B"/>
    <w:rsid w:val="00D02E74"/>
    <w:rsid w:val="00D058DB"/>
    <w:rsid w:val="00D10A7D"/>
    <w:rsid w:val="00D11A39"/>
    <w:rsid w:val="00D130BC"/>
    <w:rsid w:val="00D13750"/>
    <w:rsid w:val="00D13C13"/>
    <w:rsid w:val="00D13FE9"/>
    <w:rsid w:val="00D151DA"/>
    <w:rsid w:val="00D20FE5"/>
    <w:rsid w:val="00D246B8"/>
    <w:rsid w:val="00D27D1E"/>
    <w:rsid w:val="00D34D2B"/>
    <w:rsid w:val="00D41323"/>
    <w:rsid w:val="00D47FA8"/>
    <w:rsid w:val="00D50216"/>
    <w:rsid w:val="00D52A56"/>
    <w:rsid w:val="00D52CFA"/>
    <w:rsid w:val="00D549D0"/>
    <w:rsid w:val="00D618FF"/>
    <w:rsid w:val="00D65F81"/>
    <w:rsid w:val="00D67607"/>
    <w:rsid w:val="00D679F7"/>
    <w:rsid w:val="00D854FD"/>
    <w:rsid w:val="00D92006"/>
    <w:rsid w:val="00D93059"/>
    <w:rsid w:val="00D96B5A"/>
    <w:rsid w:val="00DA1DB4"/>
    <w:rsid w:val="00DA2411"/>
    <w:rsid w:val="00DA6241"/>
    <w:rsid w:val="00DA7D67"/>
    <w:rsid w:val="00DB0388"/>
    <w:rsid w:val="00DB2711"/>
    <w:rsid w:val="00DB539F"/>
    <w:rsid w:val="00DC338B"/>
    <w:rsid w:val="00DC3CF5"/>
    <w:rsid w:val="00DC46BF"/>
    <w:rsid w:val="00DC55A8"/>
    <w:rsid w:val="00DD3F6E"/>
    <w:rsid w:val="00DF586B"/>
    <w:rsid w:val="00E00D0F"/>
    <w:rsid w:val="00E02CFA"/>
    <w:rsid w:val="00E05574"/>
    <w:rsid w:val="00E12734"/>
    <w:rsid w:val="00E1448C"/>
    <w:rsid w:val="00E1452F"/>
    <w:rsid w:val="00E1455C"/>
    <w:rsid w:val="00E145B3"/>
    <w:rsid w:val="00E20499"/>
    <w:rsid w:val="00E22EA7"/>
    <w:rsid w:val="00E23459"/>
    <w:rsid w:val="00E3159F"/>
    <w:rsid w:val="00E360B2"/>
    <w:rsid w:val="00E362E4"/>
    <w:rsid w:val="00E37F56"/>
    <w:rsid w:val="00E40D67"/>
    <w:rsid w:val="00E4267E"/>
    <w:rsid w:val="00E43FAE"/>
    <w:rsid w:val="00E5115A"/>
    <w:rsid w:val="00E55012"/>
    <w:rsid w:val="00E61E61"/>
    <w:rsid w:val="00E6283C"/>
    <w:rsid w:val="00E67CD6"/>
    <w:rsid w:val="00E67CF1"/>
    <w:rsid w:val="00E70509"/>
    <w:rsid w:val="00E81CCC"/>
    <w:rsid w:val="00E841B3"/>
    <w:rsid w:val="00E91E01"/>
    <w:rsid w:val="00E9203C"/>
    <w:rsid w:val="00E92D0F"/>
    <w:rsid w:val="00E9679C"/>
    <w:rsid w:val="00EA0DAC"/>
    <w:rsid w:val="00EA10C7"/>
    <w:rsid w:val="00EA1491"/>
    <w:rsid w:val="00EA1C52"/>
    <w:rsid w:val="00EB524B"/>
    <w:rsid w:val="00EC4A88"/>
    <w:rsid w:val="00ED1395"/>
    <w:rsid w:val="00ED36D5"/>
    <w:rsid w:val="00EE4963"/>
    <w:rsid w:val="00EE4FB9"/>
    <w:rsid w:val="00EE646D"/>
    <w:rsid w:val="00EE6CBC"/>
    <w:rsid w:val="00EF1BDE"/>
    <w:rsid w:val="00EF2708"/>
    <w:rsid w:val="00EF432A"/>
    <w:rsid w:val="00EF57B8"/>
    <w:rsid w:val="00EF6907"/>
    <w:rsid w:val="00EF6EC3"/>
    <w:rsid w:val="00EF7D2F"/>
    <w:rsid w:val="00F0140E"/>
    <w:rsid w:val="00F02958"/>
    <w:rsid w:val="00F02E10"/>
    <w:rsid w:val="00F15934"/>
    <w:rsid w:val="00F20D25"/>
    <w:rsid w:val="00F22F50"/>
    <w:rsid w:val="00F26C55"/>
    <w:rsid w:val="00F30473"/>
    <w:rsid w:val="00F33418"/>
    <w:rsid w:val="00F34DAC"/>
    <w:rsid w:val="00F40FAA"/>
    <w:rsid w:val="00F468B1"/>
    <w:rsid w:val="00F468C6"/>
    <w:rsid w:val="00F51C39"/>
    <w:rsid w:val="00F52441"/>
    <w:rsid w:val="00F54CEA"/>
    <w:rsid w:val="00F555D1"/>
    <w:rsid w:val="00F60C2E"/>
    <w:rsid w:val="00F631FC"/>
    <w:rsid w:val="00F63F15"/>
    <w:rsid w:val="00F77869"/>
    <w:rsid w:val="00F838DC"/>
    <w:rsid w:val="00F84038"/>
    <w:rsid w:val="00F922ED"/>
    <w:rsid w:val="00F93FA8"/>
    <w:rsid w:val="00F96839"/>
    <w:rsid w:val="00FA0279"/>
    <w:rsid w:val="00FA0A92"/>
    <w:rsid w:val="00FA6632"/>
    <w:rsid w:val="00FB06A6"/>
    <w:rsid w:val="00FB09C7"/>
    <w:rsid w:val="00FB24F5"/>
    <w:rsid w:val="00FB5FC8"/>
    <w:rsid w:val="00FC11D0"/>
    <w:rsid w:val="00FC3216"/>
    <w:rsid w:val="00FC380E"/>
    <w:rsid w:val="00FD183A"/>
    <w:rsid w:val="00FD297D"/>
    <w:rsid w:val="00FE0968"/>
    <w:rsid w:val="00FE5117"/>
    <w:rsid w:val="00FE5EA2"/>
    <w:rsid w:val="00FF21FE"/>
    <w:rsid w:val="00FF3B8E"/>
    <w:rsid w:val="00FF5348"/>
    <w:rsid w:val="00FF63C8"/>
    <w:rsid w:val="00FF6B99"/>
    <w:rsid w:val="00FF711B"/>
    <w:rsid w:val="00FF7280"/>
    <w:rsid w:val="08E52014"/>
    <w:rsid w:val="18C80184"/>
    <w:rsid w:val="24541829"/>
    <w:rsid w:val="260A33AE"/>
    <w:rsid w:val="324280DE"/>
    <w:rsid w:val="39D547A6"/>
    <w:rsid w:val="3A7F7B01"/>
    <w:rsid w:val="40EA6A63"/>
    <w:rsid w:val="4129E224"/>
    <w:rsid w:val="4A162131"/>
    <w:rsid w:val="4B9EE277"/>
    <w:rsid w:val="56D218F1"/>
    <w:rsid w:val="5937305A"/>
    <w:rsid w:val="67A588F8"/>
    <w:rsid w:val="6983BBCE"/>
    <w:rsid w:val="7650F014"/>
    <w:rsid w:val="7AE188D9"/>
  </w:rsids>
  <m:mathPr>
    <m:mathFont m:val="Cambria Math"/>
    <m:brkBin m:val="before"/>
    <m:brkBinSub m:val="--"/>
    <m:smallFrac m:val="0"/>
    <m:dispDef/>
    <m:lMargin m:val="0"/>
    <m:rMargin m:val="0"/>
    <m:defJc m:val="centerGroup"/>
    <m:wrapIndent m:val="1440"/>
    <m:intLim m:val="subSup"/>
    <m:naryLim m:val="undOvr"/>
  </m:mathPr>
  <w:themeFontLang w:val="sv-FI"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747AB"/>
  <w15:chartTrackingRefBased/>
  <w15:docId w15:val="{A51F58B1-BA37-40FB-BDFF-2097FABCE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6BF"/>
    <w:pPr>
      <w:autoSpaceDE w:val="0"/>
      <w:autoSpaceDN w:val="0"/>
      <w:adjustRightInd w:val="0"/>
      <w:spacing w:after="0" w:line="300" w:lineRule="auto"/>
      <w:textAlignment w:val="center"/>
    </w:pPr>
    <w:rPr>
      <w:rFonts w:cs="Open Sans"/>
      <w:kern w:val="0"/>
      <w:sz w:val="20"/>
      <w:szCs w:val="20"/>
      <w:lang w:val="sv-SE"/>
      <w14:ligatures w14:val="none"/>
    </w:rPr>
  </w:style>
  <w:style w:type="paragraph" w:styleId="Rubrik1">
    <w:name w:val="heading 1"/>
    <w:basedOn w:val="Normal"/>
    <w:next w:val="Normal"/>
    <w:link w:val="Rubrik1Char"/>
    <w:uiPriority w:val="9"/>
    <w:qFormat/>
    <w:rsid w:val="00DC46BF"/>
    <w:pPr>
      <w:outlineLvl w:val="0"/>
    </w:pPr>
    <w:rPr>
      <w:rFonts w:asciiTheme="majorHAnsi" w:hAnsiTheme="majorHAnsi"/>
      <w:b/>
      <w:bCs/>
      <w:sz w:val="40"/>
      <w:szCs w:val="40"/>
    </w:rPr>
  </w:style>
  <w:style w:type="paragraph" w:styleId="Rubrik2">
    <w:name w:val="heading 2"/>
    <w:basedOn w:val="Rubrik3"/>
    <w:next w:val="Normal"/>
    <w:link w:val="Rubrik2Char"/>
    <w:uiPriority w:val="9"/>
    <w:unhideWhenUsed/>
    <w:qFormat/>
    <w:rsid w:val="00B81248"/>
    <w:pPr>
      <w:outlineLvl w:val="1"/>
    </w:pPr>
    <w:rPr>
      <w:rFonts w:ascii="Segoe UI" w:hAnsi="Segoe UI"/>
      <w:b/>
      <w:bCs/>
      <w:sz w:val="32"/>
      <w:szCs w:val="32"/>
    </w:rPr>
  </w:style>
  <w:style w:type="paragraph" w:styleId="Rubrik3">
    <w:name w:val="heading 3"/>
    <w:basedOn w:val="Normal"/>
    <w:next w:val="Normal"/>
    <w:link w:val="Rubrik3Char"/>
    <w:uiPriority w:val="9"/>
    <w:unhideWhenUsed/>
    <w:qFormat/>
    <w:rsid w:val="00B81248"/>
    <w:pPr>
      <w:spacing w:line="288" w:lineRule="auto"/>
      <w:outlineLvl w:val="2"/>
    </w:pPr>
    <w:rPr>
      <w:rFonts w:ascii="Segoe UI Semibold" w:hAnsi="Segoe UI Semibold" w:cs="Open Sans Semibold"/>
      <w:sz w:val="28"/>
      <w:szCs w:val="28"/>
    </w:rPr>
  </w:style>
  <w:style w:type="paragraph" w:styleId="Rubrik4">
    <w:name w:val="heading 4"/>
    <w:next w:val="Normal"/>
    <w:link w:val="Rubrik4Char"/>
    <w:uiPriority w:val="9"/>
    <w:unhideWhenUsed/>
    <w:qFormat/>
    <w:rsid w:val="004155EB"/>
    <w:pPr>
      <w:keepNext/>
      <w:spacing w:before="40" w:after="0" w:line="288" w:lineRule="auto"/>
      <w:outlineLvl w:val="3"/>
    </w:pPr>
    <w:rPr>
      <w:rFonts w:ascii="Segoe UI Semibold" w:eastAsiaTheme="majorEastAsia" w:hAnsi="Segoe UI Semibold" w:cs="Open Sans Semibold"/>
      <w:i/>
      <w:iCs/>
      <w:sz w:val="24"/>
      <w:szCs w:val="24"/>
      <w:lang w:val="sv-SE"/>
    </w:rPr>
  </w:style>
  <w:style w:type="paragraph" w:styleId="Rubrik5">
    <w:name w:val="heading 5"/>
    <w:basedOn w:val="Normal"/>
    <w:next w:val="Normal"/>
    <w:link w:val="Rubrik5Char"/>
    <w:uiPriority w:val="9"/>
    <w:unhideWhenUsed/>
    <w:qFormat/>
    <w:rsid w:val="004155EB"/>
    <w:pPr>
      <w:keepNext/>
      <w:keepLines/>
      <w:spacing w:before="40" w:line="288" w:lineRule="auto"/>
      <w:ind w:left="425"/>
      <w:outlineLvl w:val="4"/>
    </w:pPr>
    <w:rPr>
      <w:rFonts w:ascii="Segoe UI Semibold" w:eastAsiaTheme="majorEastAsia" w:hAnsi="Segoe UI Semibold" w:cstheme="majorBidi"/>
      <w:i/>
      <w:sz w:val="24"/>
    </w:rPr>
  </w:style>
  <w:style w:type="paragraph" w:styleId="Rubrik6">
    <w:name w:val="heading 6"/>
    <w:basedOn w:val="Normal"/>
    <w:next w:val="Normal"/>
    <w:link w:val="Rubrik6Char"/>
    <w:uiPriority w:val="9"/>
    <w:unhideWhenUsed/>
    <w:rsid w:val="00B81248"/>
    <w:pPr>
      <w:keepNext/>
      <w:keepLines/>
      <w:spacing w:before="40"/>
      <w:outlineLvl w:val="5"/>
    </w:pPr>
    <w:rPr>
      <w:rFonts w:asciiTheme="majorHAnsi" w:eastAsiaTheme="majorEastAsia" w:hAnsiTheme="majorHAnsi" w:cstheme="majorBidi"/>
      <w:color w:val="003156" w:themeColor="accent1" w:themeShade="7F"/>
    </w:rPr>
  </w:style>
  <w:style w:type="paragraph" w:styleId="Rubrik7">
    <w:name w:val="heading 7"/>
    <w:basedOn w:val="Normal"/>
    <w:next w:val="Normal"/>
    <w:link w:val="Rubrik7Char"/>
    <w:uiPriority w:val="9"/>
    <w:semiHidden/>
    <w:unhideWhenUsed/>
    <w:rsid w:val="009D46B2"/>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rsid w:val="009D46B2"/>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rsid w:val="009D46B2"/>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81248"/>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B81248"/>
    <w:rPr>
      <w:rFonts w:ascii="Segoe UI" w:hAnsi="Segoe UI" w:cs="Open Sans"/>
      <w:color w:val="000000"/>
      <w:sz w:val="20"/>
      <w:szCs w:val="20"/>
      <w:lang w:val="sv-SE"/>
    </w:rPr>
  </w:style>
  <w:style w:type="paragraph" w:styleId="Sidfot">
    <w:name w:val="footer"/>
    <w:basedOn w:val="Normal"/>
    <w:link w:val="SidfotChar"/>
    <w:uiPriority w:val="99"/>
    <w:unhideWhenUsed/>
    <w:rsid w:val="00B81248"/>
    <w:pPr>
      <w:tabs>
        <w:tab w:val="center" w:pos="4536"/>
        <w:tab w:val="right" w:pos="9072"/>
      </w:tabs>
      <w:spacing w:line="276" w:lineRule="auto"/>
      <w:jc w:val="center"/>
    </w:pPr>
    <w:rPr>
      <w:sz w:val="18"/>
      <w:szCs w:val="18"/>
      <w:lang w:val="sv-FI"/>
    </w:rPr>
  </w:style>
  <w:style w:type="character" w:customStyle="1" w:styleId="SidfotChar">
    <w:name w:val="Sidfot Char"/>
    <w:basedOn w:val="Standardstycketeckensnitt"/>
    <w:link w:val="Sidfot"/>
    <w:uiPriority w:val="99"/>
    <w:rsid w:val="00B81248"/>
    <w:rPr>
      <w:rFonts w:ascii="Segoe UI" w:hAnsi="Segoe UI" w:cs="Open Sans"/>
      <w:color w:val="000000"/>
      <w:sz w:val="18"/>
      <w:szCs w:val="18"/>
    </w:rPr>
  </w:style>
  <w:style w:type="paragraph" w:styleId="Ingetavstnd">
    <w:name w:val="No Spacing"/>
    <w:aliases w:val="Mindre radavstånd"/>
    <w:basedOn w:val="Normal"/>
    <w:link w:val="IngetavstndChar"/>
    <w:uiPriority w:val="1"/>
    <w:qFormat/>
    <w:rsid w:val="00B81248"/>
    <w:pPr>
      <w:spacing w:line="288" w:lineRule="auto"/>
    </w:pPr>
    <w:rPr>
      <w:rFonts w:cs="Open Sans Condensed Light"/>
    </w:rPr>
  </w:style>
  <w:style w:type="character" w:customStyle="1" w:styleId="IngetavstndChar">
    <w:name w:val="Inget avstånd Char"/>
    <w:aliases w:val="Mindre radavstånd Char"/>
    <w:basedOn w:val="Standardstycketeckensnitt"/>
    <w:link w:val="Ingetavstnd"/>
    <w:uiPriority w:val="1"/>
    <w:rsid w:val="00B81248"/>
    <w:rPr>
      <w:rFonts w:ascii="Segoe UI" w:hAnsi="Segoe UI" w:cs="Open Sans Condensed Light"/>
      <w:color w:val="000000"/>
      <w:sz w:val="20"/>
      <w:szCs w:val="20"/>
      <w:lang w:val="sv-SE"/>
    </w:rPr>
  </w:style>
  <w:style w:type="paragraph" w:styleId="Rubrik">
    <w:name w:val="Title"/>
    <w:aliases w:val="Titel"/>
    <w:basedOn w:val="Rubrik1"/>
    <w:next w:val="Normal"/>
    <w:link w:val="RubrikChar"/>
    <w:uiPriority w:val="10"/>
    <w:rsid w:val="00B81248"/>
    <w:pPr>
      <w:spacing w:line="204" w:lineRule="auto"/>
      <w:outlineLvl w:val="9"/>
    </w:pPr>
    <w:rPr>
      <w:b w:val="0"/>
      <w:sz w:val="68"/>
      <w:szCs w:val="68"/>
    </w:rPr>
  </w:style>
  <w:style w:type="character" w:customStyle="1" w:styleId="RubrikChar">
    <w:name w:val="Rubrik Char"/>
    <w:aliases w:val="Titel Char"/>
    <w:basedOn w:val="Standardstycketeckensnitt"/>
    <w:link w:val="Rubrik"/>
    <w:uiPriority w:val="10"/>
    <w:rsid w:val="00B81248"/>
    <w:rPr>
      <w:rFonts w:ascii="Segoe UI" w:hAnsi="Segoe UI" w:cs="Open Sans"/>
      <w:bCs/>
      <w:color w:val="000000"/>
      <w:sz w:val="68"/>
      <w:szCs w:val="68"/>
      <w:lang w:val="sv-SE"/>
    </w:rPr>
  </w:style>
  <w:style w:type="character" w:styleId="Betoning">
    <w:name w:val="Emphasis"/>
    <w:aliases w:val="Stark betoning - Titel"/>
    <w:uiPriority w:val="20"/>
    <w:rsid w:val="00B81248"/>
    <w:rPr>
      <w:rFonts w:ascii="Segoe UI" w:hAnsi="Segoe UI"/>
      <w:b/>
      <w:bCs/>
    </w:rPr>
  </w:style>
  <w:style w:type="paragraph" w:customStyle="1" w:styleId="Allmntstyckeformat">
    <w:name w:val="[Allmänt styckeformat]"/>
    <w:basedOn w:val="Normal"/>
    <w:uiPriority w:val="99"/>
    <w:semiHidden/>
    <w:rsid w:val="00CB1350"/>
    <w:pPr>
      <w:spacing w:line="288" w:lineRule="auto"/>
    </w:pPr>
    <w:rPr>
      <w:rFonts w:ascii="MinionPro-Regular" w:hAnsi="MinionPro-Regular" w:cs="MinionPro-Regular"/>
      <w:sz w:val="24"/>
      <w:szCs w:val="24"/>
    </w:rPr>
  </w:style>
  <w:style w:type="character" w:styleId="Hyperlnk">
    <w:name w:val="Hyperlink"/>
    <w:basedOn w:val="Standardstycketeckensnitt"/>
    <w:uiPriority w:val="99"/>
    <w:qFormat/>
    <w:rsid w:val="00C05EE3"/>
    <w:rPr>
      <w:color w:val="0064AE" w:themeColor="hyperlink"/>
      <w:u w:val="single"/>
    </w:rPr>
  </w:style>
  <w:style w:type="character" w:styleId="Olstomnmnande">
    <w:name w:val="Unresolved Mention"/>
    <w:basedOn w:val="Standardstycketeckensnitt"/>
    <w:uiPriority w:val="99"/>
    <w:semiHidden/>
    <w:unhideWhenUsed/>
    <w:rsid w:val="00B81248"/>
    <w:rPr>
      <w:color w:val="605E5C"/>
      <w:shd w:val="clear" w:color="auto" w:fill="E1DFDD"/>
    </w:rPr>
  </w:style>
  <w:style w:type="character" w:customStyle="1" w:styleId="Rubrik1Char">
    <w:name w:val="Rubrik 1 Char"/>
    <w:basedOn w:val="Standardstycketeckensnitt"/>
    <w:link w:val="Rubrik1"/>
    <w:uiPriority w:val="9"/>
    <w:rsid w:val="00DC46BF"/>
    <w:rPr>
      <w:rFonts w:asciiTheme="majorHAnsi" w:hAnsiTheme="majorHAnsi" w:cs="Open Sans"/>
      <w:b/>
      <w:bCs/>
      <w:sz w:val="40"/>
      <w:szCs w:val="40"/>
      <w:lang w:val="sv-SE"/>
    </w:rPr>
  </w:style>
  <w:style w:type="character" w:customStyle="1" w:styleId="Rubrik2Char">
    <w:name w:val="Rubrik 2 Char"/>
    <w:basedOn w:val="Standardstycketeckensnitt"/>
    <w:link w:val="Rubrik2"/>
    <w:uiPriority w:val="9"/>
    <w:rsid w:val="00B81248"/>
    <w:rPr>
      <w:rFonts w:ascii="Segoe UI" w:hAnsi="Segoe UI" w:cs="Open Sans Semibold"/>
      <w:b/>
      <w:bCs/>
      <w:color w:val="000000"/>
      <w:sz w:val="32"/>
      <w:szCs w:val="32"/>
      <w:lang w:val="sv-SE"/>
    </w:rPr>
  </w:style>
  <w:style w:type="character" w:customStyle="1" w:styleId="Rubrik3Char">
    <w:name w:val="Rubrik 3 Char"/>
    <w:basedOn w:val="Standardstycketeckensnitt"/>
    <w:link w:val="Rubrik3"/>
    <w:uiPriority w:val="9"/>
    <w:rsid w:val="00B81248"/>
    <w:rPr>
      <w:rFonts w:ascii="Segoe UI Semibold" w:hAnsi="Segoe UI Semibold" w:cs="Open Sans Semibold"/>
      <w:color w:val="000000"/>
      <w:sz w:val="28"/>
      <w:szCs w:val="28"/>
      <w:lang w:val="sv-SE"/>
    </w:rPr>
  </w:style>
  <w:style w:type="paragraph" w:customStyle="1" w:styleId="mnesraddokumenttyp">
    <w:name w:val="Ämnesrad/dokumenttyp"/>
    <w:basedOn w:val="Normal"/>
    <w:next w:val="Normal"/>
    <w:uiPriority w:val="14"/>
    <w:qFormat/>
    <w:rsid w:val="00B81248"/>
    <w:pPr>
      <w:spacing w:line="240" w:lineRule="auto"/>
    </w:pPr>
    <w:rPr>
      <w:rFonts w:ascii="Segoe UI Black" w:hAnsi="Segoe UI Black"/>
      <w:b/>
      <w:caps/>
      <w:noProof/>
    </w:rPr>
  </w:style>
  <w:style w:type="paragraph" w:styleId="Starktcitat">
    <w:name w:val="Intense Quote"/>
    <w:basedOn w:val="Normal"/>
    <w:next w:val="Normal"/>
    <w:link w:val="StarktcitatChar"/>
    <w:uiPriority w:val="30"/>
    <w:qFormat/>
    <w:rsid w:val="001023E9"/>
    <w:pPr>
      <w:pBdr>
        <w:left w:val="single" w:sz="48" w:space="16" w:color="9EC1C6" w:themeColor="accent2"/>
      </w:pBdr>
      <w:spacing w:line="288" w:lineRule="auto"/>
      <w:ind w:left="454"/>
    </w:pPr>
    <w:rPr>
      <w:i/>
      <w:iCs/>
    </w:rPr>
  </w:style>
  <w:style w:type="character" w:customStyle="1" w:styleId="StarktcitatChar">
    <w:name w:val="Starkt citat Char"/>
    <w:basedOn w:val="Standardstycketeckensnitt"/>
    <w:link w:val="Starktcitat"/>
    <w:uiPriority w:val="30"/>
    <w:rsid w:val="001023E9"/>
    <w:rPr>
      <w:rFonts w:ascii="Segoe UI" w:hAnsi="Segoe UI" w:cs="Open Sans"/>
      <w:i/>
      <w:iCs/>
      <w:color w:val="000000"/>
      <w:sz w:val="20"/>
      <w:szCs w:val="20"/>
      <w:lang w:val="sv-SE"/>
    </w:rPr>
  </w:style>
  <w:style w:type="character" w:customStyle="1" w:styleId="Rubrik4Char">
    <w:name w:val="Rubrik 4 Char"/>
    <w:basedOn w:val="Standardstycketeckensnitt"/>
    <w:link w:val="Rubrik4"/>
    <w:uiPriority w:val="9"/>
    <w:rsid w:val="004155EB"/>
    <w:rPr>
      <w:rFonts w:ascii="Segoe UI Semibold" w:eastAsiaTheme="majorEastAsia" w:hAnsi="Segoe UI Semibold" w:cs="Open Sans Semibold"/>
      <w:i/>
      <w:iCs/>
      <w:sz w:val="24"/>
      <w:szCs w:val="24"/>
      <w:lang w:val="sv-SE"/>
    </w:rPr>
  </w:style>
  <w:style w:type="paragraph" w:customStyle="1" w:styleId="Frsttblad-Sidfot">
    <w:name w:val="Försättblad-Sidfot"/>
    <w:basedOn w:val="Normal"/>
    <w:uiPriority w:val="59"/>
    <w:rsid w:val="00333143"/>
    <w:pPr>
      <w:spacing w:after="120" w:line="240" w:lineRule="auto"/>
      <w:ind w:left="142"/>
    </w:pPr>
    <w:rPr>
      <w:szCs w:val="18"/>
    </w:rPr>
  </w:style>
  <w:style w:type="table" w:styleId="Tabellrutnt">
    <w:name w:val="Table Grid"/>
    <w:basedOn w:val="Normaltabell"/>
    <w:uiPriority w:val="39"/>
    <w:rsid w:val="00B81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qFormat/>
    <w:rsid w:val="00B81248"/>
    <w:rPr>
      <w:i/>
      <w:iCs/>
    </w:rPr>
  </w:style>
  <w:style w:type="character" w:customStyle="1" w:styleId="CitatChar">
    <w:name w:val="Citat Char"/>
    <w:basedOn w:val="Standardstycketeckensnitt"/>
    <w:link w:val="Citat"/>
    <w:uiPriority w:val="29"/>
    <w:rsid w:val="00B81248"/>
    <w:rPr>
      <w:rFonts w:ascii="Segoe UI" w:hAnsi="Segoe UI" w:cs="Open Sans"/>
      <w:i/>
      <w:iCs/>
      <w:color w:val="000000"/>
      <w:sz w:val="20"/>
      <w:szCs w:val="20"/>
      <w:lang w:val="sv-SE"/>
    </w:rPr>
  </w:style>
  <w:style w:type="character" w:styleId="Diskretbetoning">
    <w:name w:val="Subtle Emphasis"/>
    <w:uiPriority w:val="19"/>
    <w:qFormat/>
    <w:rsid w:val="00B81248"/>
    <w:rPr>
      <w:rFonts w:ascii="Segoe UI Light" w:hAnsi="Segoe UI Light" w:cs="Open Sans Light"/>
    </w:rPr>
  </w:style>
  <w:style w:type="character" w:styleId="Starkbetoning">
    <w:name w:val="Intense Emphasis"/>
    <w:basedOn w:val="Betoning"/>
    <w:uiPriority w:val="21"/>
    <w:qFormat/>
    <w:rsid w:val="00B81248"/>
    <w:rPr>
      <w:rFonts w:ascii="Segoe UI" w:hAnsi="Segoe UI"/>
      <w:b/>
      <w:bCs/>
    </w:rPr>
  </w:style>
  <w:style w:type="character" w:customStyle="1" w:styleId="Rubrik5Char">
    <w:name w:val="Rubrik 5 Char"/>
    <w:basedOn w:val="Standardstycketeckensnitt"/>
    <w:link w:val="Rubrik5"/>
    <w:uiPriority w:val="9"/>
    <w:rsid w:val="004155EB"/>
    <w:rPr>
      <w:rFonts w:ascii="Segoe UI Semibold" w:eastAsiaTheme="majorEastAsia" w:hAnsi="Segoe UI Semibold" w:cstheme="majorBidi"/>
      <w:i/>
      <w:sz w:val="24"/>
      <w:szCs w:val="20"/>
      <w:lang w:val="sv-SE"/>
    </w:rPr>
  </w:style>
  <w:style w:type="table" w:styleId="Tabellrutntljust">
    <w:name w:val="Grid Table Light"/>
    <w:basedOn w:val="Normaltabell"/>
    <w:uiPriority w:val="40"/>
    <w:rsid w:val="00B81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formateradtabell1">
    <w:name w:val="Plain Table 1"/>
    <w:basedOn w:val="Normaltabell"/>
    <w:uiPriority w:val="41"/>
    <w:rsid w:val="00B812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4dekorfrg3">
    <w:name w:val="Grid Table 4 Accent 3"/>
    <w:basedOn w:val="Normaltabell"/>
    <w:uiPriority w:val="49"/>
    <w:rsid w:val="00B81248"/>
    <w:pPr>
      <w:spacing w:after="0" w:line="240" w:lineRule="auto"/>
    </w:pPr>
    <w:tblPr>
      <w:tblStyleRowBandSize w:val="1"/>
      <w:tblStyleColBandSize w:val="1"/>
      <w:tblBorders>
        <w:top w:val="single" w:sz="4" w:space="0" w:color="DFD682" w:themeColor="accent3" w:themeTint="99"/>
        <w:left w:val="single" w:sz="4" w:space="0" w:color="DFD682" w:themeColor="accent3" w:themeTint="99"/>
        <w:bottom w:val="single" w:sz="4" w:space="0" w:color="DFD682" w:themeColor="accent3" w:themeTint="99"/>
        <w:right w:val="single" w:sz="4" w:space="0" w:color="DFD682" w:themeColor="accent3" w:themeTint="99"/>
        <w:insideH w:val="single" w:sz="4" w:space="0" w:color="DFD682" w:themeColor="accent3" w:themeTint="99"/>
        <w:insideV w:val="single" w:sz="4" w:space="0" w:color="DFD682" w:themeColor="accent3" w:themeTint="99"/>
      </w:tblBorders>
    </w:tblPr>
    <w:tblStylePr w:type="firstRow">
      <w:rPr>
        <w:b/>
        <w:bCs/>
        <w:color w:val="FFFFFF" w:themeColor="background1"/>
      </w:rPr>
      <w:tblPr/>
      <w:tcPr>
        <w:tcBorders>
          <w:top w:val="single" w:sz="4" w:space="0" w:color="C8B933" w:themeColor="accent3"/>
          <w:left w:val="single" w:sz="4" w:space="0" w:color="C8B933" w:themeColor="accent3"/>
          <w:bottom w:val="single" w:sz="4" w:space="0" w:color="C8B933" w:themeColor="accent3"/>
          <w:right w:val="single" w:sz="4" w:space="0" w:color="C8B933" w:themeColor="accent3"/>
          <w:insideH w:val="nil"/>
          <w:insideV w:val="nil"/>
        </w:tcBorders>
        <w:shd w:val="clear" w:color="auto" w:fill="C8B933" w:themeFill="accent3"/>
      </w:tcPr>
    </w:tblStylePr>
    <w:tblStylePr w:type="lastRow">
      <w:rPr>
        <w:b/>
        <w:bCs/>
      </w:rPr>
      <w:tblPr/>
      <w:tcPr>
        <w:tcBorders>
          <w:top w:val="double" w:sz="4" w:space="0" w:color="C8B933" w:themeColor="accent3"/>
        </w:tcBorders>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3">
    <w:name w:val="Grid Table 2 Accent 3"/>
    <w:basedOn w:val="Normaltabell"/>
    <w:uiPriority w:val="47"/>
    <w:rsid w:val="00B81248"/>
    <w:pPr>
      <w:spacing w:after="0" w:line="240" w:lineRule="auto"/>
    </w:pPr>
    <w:tblPr>
      <w:tblStyleRowBandSize w:val="1"/>
      <w:tblStyleColBandSize w:val="1"/>
      <w:tblBorders>
        <w:top w:val="single" w:sz="2" w:space="0" w:color="DFD682" w:themeColor="accent3" w:themeTint="99"/>
        <w:bottom w:val="single" w:sz="2" w:space="0" w:color="DFD682" w:themeColor="accent3" w:themeTint="99"/>
        <w:insideH w:val="single" w:sz="2" w:space="0" w:color="DFD682" w:themeColor="accent3" w:themeTint="99"/>
        <w:insideV w:val="single" w:sz="2" w:space="0" w:color="DFD682" w:themeColor="accent3" w:themeTint="99"/>
      </w:tblBorders>
    </w:tblPr>
    <w:tblStylePr w:type="firstRow">
      <w:rPr>
        <w:b/>
        <w:bCs/>
      </w:rPr>
      <w:tblPr/>
      <w:tcPr>
        <w:tcBorders>
          <w:top w:val="nil"/>
          <w:bottom w:val="single" w:sz="12" w:space="0" w:color="DFD682" w:themeColor="accent3" w:themeTint="99"/>
          <w:insideH w:val="nil"/>
          <w:insideV w:val="nil"/>
        </w:tcBorders>
        <w:shd w:val="clear" w:color="auto" w:fill="FFFFFF" w:themeFill="background1"/>
      </w:tcPr>
    </w:tblStylePr>
    <w:tblStylePr w:type="lastRow">
      <w:rPr>
        <w:b/>
        <w:bCs/>
      </w:rPr>
      <w:tblPr/>
      <w:tcPr>
        <w:tcBorders>
          <w:top w:val="double" w:sz="2" w:space="0" w:color="DFD68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5">
    <w:name w:val="Grid Table 2 Accent 5"/>
    <w:basedOn w:val="Normaltabell"/>
    <w:uiPriority w:val="47"/>
    <w:rsid w:val="00B81248"/>
    <w:pPr>
      <w:spacing w:after="0" w:line="240" w:lineRule="auto"/>
    </w:pPr>
    <w:tblPr>
      <w:tblStyleRowBandSize w:val="1"/>
      <w:tblStyleColBandSize w:val="1"/>
      <w:tblBorders>
        <w:top w:val="single" w:sz="2" w:space="0" w:color="FFE466" w:themeColor="accent5" w:themeTint="99"/>
        <w:bottom w:val="single" w:sz="2" w:space="0" w:color="FFE466" w:themeColor="accent5" w:themeTint="99"/>
        <w:insideH w:val="single" w:sz="2" w:space="0" w:color="FFE466" w:themeColor="accent5" w:themeTint="99"/>
        <w:insideV w:val="single" w:sz="2" w:space="0" w:color="FFE466" w:themeColor="accent5" w:themeTint="99"/>
      </w:tblBorders>
    </w:tblPr>
    <w:tblStylePr w:type="firstRow">
      <w:rPr>
        <w:b/>
        <w:bCs/>
      </w:rPr>
      <w:tblPr/>
      <w:tcPr>
        <w:tcBorders>
          <w:top w:val="nil"/>
          <w:bottom w:val="single" w:sz="12" w:space="0" w:color="FFE466" w:themeColor="accent5" w:themeTint="99"/>
          <w:insideH w:val="nil"/>
          <w:insideV w:val="nil"/>
        </w:tcBorders>
        <w:shd w:val="clear" w:color="auto" w:fill="FFFFFF" w:themeFill="background1"/>
      </w:tcPr>
    </w:tblStylePr>
    <w:tblStylePr w:type="lastRow">
      <w:rPr>
        <w:b/>
        <w:bCs/>
      </w:rPr>
      <w:tblPr/>
      <w:tcPr>
        <w:tcBorders>
          <w:top w:val="double" w:sz="2" w:space="0" w:color="FFE4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CC" w:themeFill="accent5" w:themeFillTint="33"/>
      </w:tcPr>
    </w:tblStylePr>
    <w:tblStylePr w:type="band1Horz">
      <w:tblPr/>
      <w:tcPr>
        <w:shd w:val="clear" w:color="auto" w:fill="FFF6CC" w:themeFill="accent5" w:themeFillTint="33"/>
      </w:tcPr>
    </w:tblStylePr>
  </w:style>
  <w:style w:type="table" w:styleId="Rutntstabell1ljusdekorfrg5">
    <w:name w:val="Grid Table 1 Light Accent 5"/>
    <w:basedOn w:val="Normaltabell"/>
    <w:uiPriority w:val="46"/>
    <w:rsid w:val="00B81248"/>
    <w:pPr>
      <w:spacing w:after="0" w:line="240" w:lineRule="auto"/>
    </w:pPr>
    <w:tblPr>
      <w:tblStyleRowBandSize w:val="1"/>
      <w:tblStyleColBandSize w:val="1"/>
      <w:tblBorders>
        <w:top w:val="single" w:sz="4" w:space="0" w:color="FFED99" w:themeColor="accent5" w:themeTint="66"/>
        <w:left w:val="single" w:sz="4" w:space="0" w:color="FFED99" w:themeColor="accent5" w:themeTint="66"/>
        <w:bottom w:val="single" w:sz="4" w:space="0" w:color="FFED99" w:themeColor="accent5" w:themeTint="66"/>
        <w:right w:val="single" w:sz="4" w:space="0" w:color="FFED99" w:themeColor="accent5" w:themeTint="66"/>
        <w:insideH w:val="single" w:sz="4" w:space="0" w:color="FFED99" w:themeColor="accent5" w:themeTint="66"/>
        <w:insideV w:val="single" w:sz="4" w:space="0" w:color="FFED99" w:themeColor="accent5" w:themeTint="66"/>
      </w:tblBorders>
    </w:tblPr>
    <w:tblStylePr w:type="firstRow">
      <w:rPr>
        <w:b/>
        <w:bCs/>
      </w:rPr>
      <w:tblPr/>
      <w:tcPr>
        <w:tcBorders>
          <w:bottom w:val="single" w:sz="12" w:space="0" w:color="FFE466" w:themeColor="accent5" w:themeTint="99"/>
        </w:tcBorders>
      </w:tcPr>
    </w:tblStylePr>
    <w:tblStylePr w:type="lastRow">
      <w:rPr>
        <w:b/>
        <w:bCs/>
      </w:rPr>
      <w:tblPr/>
      <w:tcPr>
        <w:tcBorders>
          <w:top w:val="double" w:sz="2" w:space="0" w:color="FFE466" w:themeColor="accent5" w:themeTint="99"/>
        </w:tcBorders>
      </w:tcPr>
    </w:tblStylePr>
    <w:tblStylePr w:type="firstCol">
      <w:rPr>
        <w:b/>
        <w:bCs/>
      </w:rPr>
    </w:tblStylePr>
    <w:tblStylePr w:type="lastCol">
      <w:rPr>
        <w:b/>
        <w:bCs/>
      </w:rPr>
    </w:tblStylePr>
  </w:style>
  <w:style w:type="table" w:styleId="Listtabell5mrkdekorfrg2">
    <w:name w:val="List Table 5 Dark Accent 2"/>
    <w:basedOn w:val="Normaltabell"/>
    <w:uiPriority w:val="50"/>
    <w:rsid w:val="00B81248"/>
    <w:pPr>
      <w:spacing w:after="0" w:line="240" w:lineRule="auto"/>
    </w:pPr>
    <w:rPr>
      <w:color w:val="FFFFFF" w:themeColor="background1"/>
    </w:rPr>
    <w:tblPr>
      <w:tblStyleRowBandSize w:val="1"/>
      <w:tblStyleColBandSize w:val="1"/>
      <w:tblBorders>
        <w:top w:val="single" w:sz="24" w:space="0" w:color="9EC1C6" w:themeColor="accent2"/>
        <w:left w:val="single" w:sz="24" w:space="0" w:color="9EC1C6" w:themeColor="accent2"/>
        <w:bottom w:val="single" w:sz="24" w:space="0" w:color="9EC1C6" w:themeColor="accent2"/>
        <w:right w:val="single" w:sz="24" w:space="0" w:color="9EC1C6" w:themeColor="accent2"/>
      </w:tblBorders>
    </w:tblPr>
    <w:tcPr>
      <w:shd w:val="clear" w:color="auto" w:fill="9EC1C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B81248"/>
    <w:pPr>
      <w:spacing w:after="0" w:line="240" w:lineRule="auto"/>
    </w:pPr>
    <w:rPr>
      <w:color w:val="FFFFFF" w:themeColor="background1"/>
    </w:rPr>
    <w:tblPr>
      <w:tblStyleRowBandSize w:val="1"/>
      <w:tblStyleColBandSize w:val="1"/>
      <w:tblBorders>
        <w:top w:val="single" w:sz="24" w:space="0" w:color="0064AE" w:themeColor="accent1"/>
        <w:left w:val="single" w:sz="24" w:space="0" w:color="0064AE" w:themeColor="accent1"/>
        <w:bottom w:val="single" w:sz="24" w:space="0" w:color="0064AE" w:themeColor="accent1"/>
        <w:right w:val="single" w:sz="24" w:space="0" w:color="0064AE" w:themeColor="accent1"/>
      </w:tblBorders>
    </w:tblPr>
    <w:tcPr>
      <w:shd w:val="clear" w:color="auto" w:fill="0064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7frgstarkdekorfrg5">
    <w:name w:val="List Table 7 Colorful Accent 5"/>
    <w:basedOn w:val="Normaltabell"/>
    <w:uiPriority w:val="52"/>
    <w:rsid w:val="00B81248"/>
    <w:pPr>
      <w:spacing w:after="0" w:line="240" w:lineRule="auto"/>
    </w:pPr>
    <w:rPr>
      <w:color w:val="BF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300" w:themeColor="accent5"/>
        </w:tcBorders>
        <w:shd w:val="clear" w:color="auto" w:fill="FFFFFF" w:themeFill="background1"/>
      </w:tcPr>
    </w:tblStylePr>
    <w:tblStylePr w:type="band1Vert">
      <w:tblPr/>
      <w:tcPr>
        <w:shd w:val="clear" w:color="auto" w:fill="FFF6CC" w:themeFill="accent5" w:themeFillTint="33"/>
      </w:tcPr>
    </w:tblStylePr>
    <w:tblStylePr w:type="band1Horz">
      <w:tblPr/>
      <w:tcPr>
        <w:shd w:val="clear" w:color="auto" w:fill="FFF6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B8124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1ljusdekorfrg1">
    <w:name w:val="Grid Table 1 Light Accent 1"/>
    <w:basedOn w:val="Normaltabell"/>
    <w:uiPriority w:val="46"/>
    <w:rsid w:val="00B81248"/>
    <w:pPr>
      <w:spacing w:after="0" w:line="240" w:lineRule="auto"/>
    </w:pPr>
    <w:tblPr>
      <w:tblStyleRowBandSize w:val="1"/>
      <w:tblStyleColBandSize w:val="1"/>
      <w:tblBorders>
        <w:top w:val="single" w:sz="4" w:space="0" w:color="78C5FF" w:themeColor="accent1" w:themeTint="66"/>
        <w:left w:val="single" w:sz="4" w:space="0" w:color="78C5FF" w:themeColor="accent1" w:themeTint="66"/>
        <w:bottom w:val="single" w:sz="4" w:space="0" w:color="78C5FF" w:themeColor="accent1" w:themeTint="66"/>
        <w:right w:val="single" w:sz="4" w:space="0" w:color="78C5FF" w:themeColor="accent1" w:themeTint="66"/>
        <w:insideH w:val="single" w:sz="4" w:space="0" w:color="78C5FF" w:themeColor="accent1" w:themeTint="66"/>
        <w:insideV w:val="single" w:sz="4" w:space="0" w:color="78C5FF" w:themeColor="accent1" w:themeTint="66"/>
      </w:tblBorders>
    </w:tblPr>
    <w:tblStylePr w:type="firstRow">
      <w:rPr>
        <w:b/>
        <w:bCs/>
      </w:rPr>
      <w:tblPr/>
      <w:tcPr>
        <w:tcBorders>
          <w:bottom w:val="single" w:sz="12" w:space="0" w:color="35A8FF" w:themeColor="accent1" w:themeTint="99"/>
        </w:tcBorders>
      </w:tcPr>
    </w:tblStylePr>
    <w:tblStylePr w:type="lastRow">
      <w:rPr>
        <w:b/>
        <w:bCs/>
      </w:rPr>
      <w:tblPr/>
      <w:tcPr>
        <w:tcBorders>
          <w:top w:val="double" w:sz="2" w:space="0" w:color="35A8FF" w:themeColor="accent1" w:themeTint="99"/>
        </w:tcBorders>
      </w:tcPr>
    </w:tblStylePr>
    <w:tblStylePr w:type="firstCol">
      <w:rPr>
        <w:b/>
        <w:bCs/>
      </w:rPr>
    </w:tblStylePr>
    <w:tblStylePr w:type="lastCol">
      <w:rPr>
        <w:b/>
        <w:bCs/>
      </w:rPr>
    </w:tblStylePr>
  </w:style>
  <w:style w:type="paragraph" w:customStyle="1" w:styleId="Diagramtabellrubrik">
    <w:name w:val="Diagram/tabellrubrik"/>
    <w:basedOn w:val="Rubrik2"/>
    <w:uiPriority w:val="10"/>
    <w:qFormat/>
    <w:rsid w:val="00156828"/>
    <w:pPr>
      <w:ind w:left="142"/>
      <w:outlineLvl w:val="9"/>
    </w:pPr>
    <w:rPr>
      <w:rFonts w:ascii="Segoe UI Semibold" w:hAnsi="Segoe UI Semibold"/>
      <w:b w:val="0"/>
      <w:sz w:val="24"/>
      <w:szCs w:val="24"/>
    </w:rPr>
  </w:style>
  <w:style w:type="paragraph" w:styleId="Innehllsfrteckningsrubrik">
    <w:name w:val="TOC Heading"/>
    <w:basedOn w:val="Rubrik1"/>
    <w:next w:val="Normal"/>
    <w:uiPriority w:val="39"/>
    <w:unhideWhenUsed/>
    <w:rsid w:val="00B81248"/>
    <w:pPr>
      <w:keepNext/>
      <w:keepLines/>
      <w:autoSpaceDE/>
      <w:autoSpaceDN/>
      <w:adjustRightInd/>
      <w:spacing w:before="240" w:line="259" w:lineRule="auto"/>
      <w:textAlignment w:val="auto"/>
      <w:outlineLvl w:val="9"/>
    </w:pPr>
    <w:rPr>
      <w:rFonts w:eastAsiaTheme="majorEastAsia" w:cstheme="majorBidi"/>
      <w:b w:val="0"/>
      <w:bCs w:val="0"/>
      <w:sz w:val="32"/>
      <w:szCs w:val="32"/>
      <w:lang w:val="sv-FI" w:eastAsia="sv-FI"/>
    </w:rPr>
  </w:style>
  <w:style w:type="paragraph" w:styleId="Innehll1">
    <w:name w:val="toc 1"/>
    <w:basedOn w:val="Normal"/>
    <w:next w:val="Normal"/>
    <w:autoRedefine/>
    <w:uiPriority w:val="39"/>
    <w:unhideWhenUsed/>
    <w:rsid w:val="00573790"/>
    <w:pPr>
      <w:tabs>
        <w:tab w:val="right" w:leader="dot" w:pos="14175"/>
      </w:tabs>
      <w:spacing w:after="100"/>
      <w:ind w:right="567"/>
    </w:pPr>
    <w:rPr>
      <w:noProof/>
    </w:rPr>
  </w:style>
  <w:style w:type="paragraph" w:styleId="Innehll2">
    <w:name w:val="toc 2"/>
    <w:basedOn w:val="Normal"/>
    <w:next w:val="Normal"/>
    <w:autoRedefine/>
    <w:uiPriority w:val="39"/>
    <w:unhideWhenUsed/>
    <w:rsid w:val="00573790"/>
    <w:pPr>
      <w:tabs>
        <w:tab w:val="right" w:leader="dot" w:pos="14175"/>
      </w:tabs>
      <w:spacing w:after="100"/>
      <w:ind w:left="198" w:right="567"/>
    </w:pPr>
    <w:rPr>
      <w:noProof/>
    </w:rPr>
  </w:style>
  <w:style w:type="paragraph" w:styleId="Innehll3">
    <w:name w:val="toc 3"/>
    <w:basedOn w:val="Normal"/>
    <w:next w:val="Normal"/>
    <w:autoRedefine/>
    <w:uiPriority w:val="39"/>
    <w:unhideWhenUsed/>
    <w:rsid w:val="00573790"/>
    <w:pPr>
      <w:tabs>
        <w:tab w:val="right" w:leader="dot" w:pos="14175"/>
      </w:tabs>
      <w:spacing w:after="100"/>
      <w:ind w:left="403" w:right="567"/>
    </w:pPr>
    <w:rPr>
      <w:noProof/>
    </w:rPr>
  </w:style>
  <w:style w:type="character" w:styleId="Platshllartext">
    <w:name w:val="Placeholder Text"/>
    <w:basedOn w:val="Standardstycketeckensnitt"/>
    <w:uiPriority w:val="99"/>
    <w:semiHidden/>
    <w:rsid w:val="00F30473"/>
    <w:rPr>
      <w:color w:val="5F5F5F"/>
    </w:rPr>
  </w:style>
  <w:style w:type="character" w:styleId="AnvndHyperlnk">
    <w:name w:val="FollowedHyperlink"/>
    <w:basedOn w:val="Standardstycketeckensnitt"/>
    <w:uiPriority w:val="99"/>
    <w:semiHidden/>
    <w:unhideWhenUsed/>
    <w:rsid w:val="00B81248"/>
    <w:rPr>
      <w:color w:val="9EC1C6" w:themeColor="followedHyperlink"/>
      <w:u w:val="single"/>
    </w:rPr>
  </w:style>
  <w:style w:type="paragraph" w:customStyle="1" w:styleId="Undertitel">
    <w:name w:val="Undertitel"/>
    <w:basedOn w:val="Rubrik2"/>
    <w:link w:val="UndertitelChar"/>
    <w:uiPriority w:val="15"/>
    <w:qFormat/>
    <w:rsid w:val="00BA5CCE"/>
    <w:pPr>
      <w:spacing w:line="240" w:lineRule="auto"/>
      <w:outlineLvl w:val="9"/>
    </w:pPr>
    <w:rPr>
      <w:rFonts w:ascii="Segoe UI Black" w:hAnsi="Segoe UI Black" w:cs="Segoe UI"/>
      <w:b w:val="0"/>
      <w:bCs w:val="0"/>
      <w:caps/>
      <w:color w:val="000000" w:themeColor="text1"/>
      <w:sz w:val="24"/>
    </w:rPr>
  </w:style>
  <w:style w:type="paragraph" w:customStyle="1" w:styleId="Dokumenttitel">
    <w:name w:val="Dokumenttitel"/>
    <w:basedOn w:val="Rubrik1"/>
    <w:next w:val="Normal"/>
    <w:link w:val="DokumenttitelChar"/>
    <w:uiPriority w:val="15"/>
    <w:qFormat/>
    <w:rsid w:val="00B81248"/>
    <w:pPr>
      <w:spacing w:after="240" w:line="240" w:lineRule="auto"/>
      <w:outlineLvl w:val="9"/>
    </w:pPr>
    <w:rPr>
      <w:rFonts w:cs="Segoe UI"/>
      <w:b w:val="0"/>
      <w:sz w:val="72"/>
      <w:szCs w:val="72"/>
    </w:rPr>
  </w:style>
  <w:style w:type="character" w:customStyle="1" w:styleId="UndertitelChar">
    <w:name w:val="Undertitel Char"/>
    <w:basedOn w:val="Rubrik2Char"/>
    <w:link w:val="Undertitel"/>
    <w:uiPriority w:val="15"/>
    <w:rsid w:val="00BA5CCE"/>
    <w:rPr>
      <w:rFonts w:ascii="Segoe UI Black" w:hAnsi="Segoe UI Black" w:cs="Segoe UI"/>
      <w:b w:val="0"/>
      <w:bCs w:val="0"/>
      <w:caps/>
      <w:color w:val="000000" w:themeColor="text1"/>
      <w:sz w:val="24"/>
      <w:szCs w:val="32"/>
      <w:lang w:val="sv-SE"/>
    </w:rPr>
  </w:style>
  <w:style w:type="character" w:customStyle="1" w:styleId="DokumenttitelChar">
    <w:name w:val="Dokumenttitel Char"/>
    <w:basedOn w:val="Rubrik1Char"/>
    <w:link w:val="Dokumenttitel"/>
    <w:uiPriority w:val="15"/>
    <w:rsid w:val="00E5115A"/>
    <w:rPr>
      <w:rFonts w:ascii="Segoe UI" w:hAnsi="Segoe UI" w:cs="Segoe UI"/>
      <w:b w:val="0"/>
      <w:bCs/>
      <w:color w:val="000000"/>
      <w:sz w:val="72"/>
      <w:szCs w:val="72"/>
      <w:lang w:val="sv-SE"/>
    </w:rPr>
  </w:style>
  <w:style w:type="paragraph" w:customStyle="1" w:styleId="Frsttsblad-Logotyp">
    <w:name w:val="Försättsblad-Logotyp"/>
    <w:basedOn w:val="Normal"/>
    <w:uiPriority w:val="99"/>
    <w:rsid w:val="00F60C2E"/>
    <w:pPr>
      <w:spacing w:after="360" w:line="240" w:lineRule="auto"/>
      <w:ind w:right="284"/>
      <w:jc w:val="right"/>
    </w:pPr>
  </w:style>
  <w:style w:type="paragraph" w:customStyle="1" w:styleId="Frsttsblad-Titelrutautanbild">
    <w:name w:val="Försättsblad-Titelruta utan bild"/>
    <w:basedOn w:val="Dokumenttitel"/>
    <w:uiPriority w:val="59"/>
    <w:rsid w:val="006759AA"/>
    <w:pPr>
      <w:spacing w:before="1000" w:after="2000"/>
      <w:ind w:left="-1134"/>
    </w:pPr>
    <w:rPr>
      <w:sz w:val="24"/>
    </w:rPr>
  </w:style>
  <w:style w:type="paragraph" w:customStyle="1" w:styleId="Frsttsblad-Bildruta">
    <w:name w:val="Försättsblad-Bildruta"/>
    <w:basedOn w:val="Frsttsblad-Titelrutautanbild"/>
    <w:uiPriority w:val="49"/>
    <w:rsid w:val="006559D4"/>
    <w:pPr>
      <w:spacing w:before="240" w:after="0"/>
    </w:pPr>
  </w:style>
  <w:style w:type="paragraph" w:customStyle="1" w:styleId="Frsttsblad-Titelrutamedbild">
    <w:name w:val="Försättsblad-Titelruta med bild"/>
    <w:basedOn w:val="Frsttsblad-Titelrutautanbild"/>
    <w:uiPriority w:val="59"/>
    <w:rsid w:val="00C04A94"/>
    <w:pPr>
      <w:spacing w:before="120" w:after="0"/>
    </w:pPr>
  </w:style>
  <w:style w:type="paragraph" w:customStyle="1" w:styleId="DnrochDatum">
    <w:name w:val="Dnr och Datum"/>
    <w:basedOn w:val="Frsttblad-Sidfot"/>
    <w:uiPriority w:val="49"/>
    <w:rsid w:val="00D52A56"/>
  </w:style>
  <w:style w:type="paragraph" w:styleId="Ballongtext">
    <w:name w:val="Balloon Text"/>
    <w:basedOn w:val="Normal"/>
    <w:link w:val="BallongtextChar"/>
    <w:uiPriority w:val="99"/>
    <w:semiHidden/>
    <w:unhideWhenUsed/>
    <w:rsid w:val="00B81248"/>
    <w:pPr>
      <w:spacing w:line="240" w:lineRule="auto"/>
    </w:pPr>
    <w:rPr>
      <w:rFonts w:cs="Segoe UI"/>
      <w:sz w:val="18"/>
      <w:szCs w:val="18"/>
    </w:rPr>
  </w:style>
  <w:style w:type="character" w:customStyle="1" w:styleId="BallongtextChar">
    <w:name w:val="Ballongtext Char"/>
    <w:basedOn w:val="Standardstycketeckensnitt"/>
    <w:link w:val="Ballongtext"/>
    <w:uiPriority w:val="99"/>
    <w:semiHidden/>
    <w:rsid w:val="00B81248"/>
    <w:rPr>
      <w:rFonts w:ascii="Segoe UI" w:hAnsi="Segoe UI" w:cs="Segoe UI"/>
      <w:color w:val="000000"/>
      <w:sz w:val="18"/>
      <w:szCs w:val="18"/>
      <w:lang w:val="sv-SE"/>
    </w:rPr>
  </w:style>
  <w:style w:type="numbering" w:customStyle="1" w:styleId="Formatmall1">
    <w:name w:val="Formatmall1"/>
    <w:uiPriority w:val="99"/>
    <w:rsid w:val="00B81248"/>
    <w:pPr>
      <w:numPr>
        <w:numId w:val="12"/>
      </w:numPr>
    </w:pPr>
  </w:style>
  <w:style w:type="numbering" w:customStyle="1" w:styleId="Formatmall2">
    <w:name w:val="Formatmall2"/>
    <w:uiPriority w:val="99"/>
    <w:rsid w:val="00B81248"/>
    <w:pPr>
      <w:numPr>
        <w:numId w:val="13"/>
      </w:numPr>
    </w:pPr>
  </w:style>
  <w:style w:type="paragraph" w:styleId="Innehll4">
    <w:name w:val="toc 4"/>
    <w:basedOn w:val="Normal"/>
    <w:next w:val="Normal"/>
    <w:autoRedefine/>
    <w:uiPriority w:val="39"/>
    <w:unhideWhenUsed/>
    <w:rsid w:val="00573790"/>
    <w:pPr>
      <w:tabs>
        <w:tab w:val="right" w:leader="dot" w:pos="14175"/>
      </w:tabs>
      <w:spacing w:after="100"/>
      <w:ind w:left="601" w:right="567"/>
    </w:pPr>
  </w:style>
  <w:style w:type="paragraph" w:styleId="Innehll5">
    <w:name w:val="toc 5"/>
    <w:basedOn w:val="Normal"/>
    <w:next w:val="Normal"/>
    <w:autoRedefine/>
    <w:uiPriority w:val="39"/>
    <w:unhideWhenUsed/>
    <w:rsid w:val="00573790"/>
    <w:pPr>
      <w:tabs>
        <w:tab w:val="right" w:leader="dot" w:pos="14175"/>
      </w:tabs>
      <w:spacing w:after="100"/>
      <w:ind w:left="799" w:right="567"/>
    </w:pPr>
  </w:style>
  <w:style w:type="character" w:customStyle="1" w:styleId="Rubrik6Char">
    <w:name w:val="Rubrik 6 Char"/>
    <w:basedOn w:val="Standardstycketeckensnitt"/>
    <w:link w:val="Rubrik6"/>
    <w:uiPriority w:val="9"/>
    <w:rsid w:val="00B81248"/>
    <w:rPr>
      <w:rFonts w:asciiTheme="majorHAnsi" w:eastAsiaTheme="majorEastAsia" w:hAnsiTheme="majorHAnsi" w:cstheme="majorBidi"/>
      <w:color w:val="003156" w:themeColor="accent1" w:themeShade="7F"/>
      <w:sz w:val="20"/>
      <w:szCs w:val="20"/>
      <w:lang w:val="sv-SE"/>
    </w:rPr>
  </w:style>
  <w:style w:type="paragraph" w:customStyle="1" w:styleId="Frsttsblad-Titelruta-utanbild-liggande">
    <w:name w:val="Försättsblad-Titelruta-utan bild-liggande"/>
    <w:basedOn w:val="Frsttsblad-Titelrutautanbild"/>
    <w:uiPriority w:val="49"/>
    <w:qFormat/>
    <w:rsid w:val="00D47FA8"/>
    <w:pPr>
      <w:spacing w:before="120" w:after="0"/>
    </w:pPr>
  </w:style>
  <w:style w:type="paragraph" w:customStyle="1" w:styleId="Litetavstnd-taejbort">
    <w:name w:val="Litet avstånd - ta ej bort"/>
    <w:basedOn w:val="Normal"/>
    <w:uiPriority w:val="99"/>
    <w:rsid w:val="00E23459"/>
    <w:pPr>
      <w:autoSpaceDE/>
      <w:autoSpaceDN/>
      <w:adjustRightInd/>
      <w:spacing w:line="48" w:lineRule="auto"/>
      <w:textAlignment w:val="auto"/>
    </w:pPr>
    <w:rPr>
      <w:sz w:val="2"/>
    </w:rPr>
  </w:style>
  <w:style w:type="paragraph" w:customStyle="1" w:styleId="Frsttsblad-Liggande-Logotyp">
    <w:name w:val="Försättsblad-Liggande-Logotyp"/>
    <w:basedOn w:val="Frsttsblad-Logotyp"/>
    <w:uiPriority w:val="59"/>
    <w:qFormat/>
    <w:rsid w:val="00333143"/>
    <w:pPr>
      <w:spacing w:after="3440"/>
      <w:ind w:left="3289" w:right="0"/>
      <w:jc w:val="left"/>
    </w:pPr>
  </w:style>
  <w:style w:type="paragraph" w:customStyle="1" w:styleId="Frsttsblad-Logoliggande">
    <w:name w:val="Försättsblad-Logo liggande"/>
    <w:basedOn w:val="Normal"/>
    <w:uiPriority w:val="99"/>
    <w:rsid w:val="00D47FA8"/>
    <w:pPr>
      <w:spacing w:after="3520" w:line="240" w:lineRule="auto"/>
      <w:ind w:left="3289"/>
    </w:pPr>
  </w:style>
  <w:style w:type="paragraph" w:styleId="Innehll6">
    <w:name w:val="toc 6"/>
    <w:basedOn w:val="Normal"/>
    <w:next w:val="Normal"/>
    <w:autoRedefine/>
    <w:uiPriority w:val="39"/>
    <w:semiHidden/>
    <w:unhideWhenUsed/>
    <w:rsid w:val="00573790"/>
    <w:pPr>
      <w:tabs>
        <w:tab w:val="right" w:leader="dot" w:pos="14175"/>
      </w:tabs>
      <w:spacing w:after="100"/>
      <w:ind w:left="998" w:right="567"/>
    </w:pPr>
  </w:style>
  <w:style w:type="paragraph" w:customStyle="1" w:styleId="Frsttsblad-Liggande-Bildruta">
    <w:name w:val="Försättsblad-Liggande-Bildruta"/>
    <w:basedOn w:val="Frsttsblad-Titelrutautanbild"/>
    <w:uiPriority w:val="59"/>
    <w:qFormat/>
    <w:rsid w:val="004451EA"/>
    <w:pPr>
      <w:spacing w:before="0" w:after="0"/>
      <w:ind w:left="0"/>
      <w:jc w:val="right"/>
    </w:pPr>
  </w:style>
  <w:style w:type="paragraph" w:customStyle="1" w:styleId="Frsttsblad-Logotyp-utanbild">
    <w:name w:val="Försättsblad-Logotyp-utan bild"/>
    <w:basedOn w:val="Normal"/>
    <w:uiPriority w:val="99"/>
    <w:rsid w:val="006759AA"/>
    <w:pPr>
      <w:spacing w:after="3200" w:line="240" w:lineRule="auto"/>
      <w:ind w:right="284"/>
      <w:jc w:val="right"/>
    </w:pPr>
  </w:style>
  <w:style w:type="paragraph" w:customStyle="1" w:styleId="FrsttsbladLogohgerstlld">
    <w:name w:val="Försättsblad Logo högerställd"/>
    <w:basedOn w:val="Normal"/>
    <w:uiPriority w:val="99"/>
    <w:rsid w:val="00032492"/>
    <w:pPr>
      <w:spacing w:after="2600" w:line="240" w:lineRule="auto"/>
      <w:ind w:right="284"/>
      <w:jc w:val="right"/>
    </w:pPr>
  </w:style>
  <w:style w:type="paragraph" w:styleId="Innehll7">
    <w:name w:val="toc 7"/>
    <w:basedOn w:val="Normal"/>
    <w:next w:val="Normal"/>
    <w:autoRedefine/>
    <w:uiPriority w:val="39"/>
    <w:semiHidden/>
    <w:unhideWhenUsed/>
    <w:rsid w:val="00573790"/>
    <w:pPr>
      <w:tabs>
        <w:tab w:val="right" w:leader="dot" w:pos="14175"/>
      </w:tabs>
      <w:spacing w:after="100"/>
      <w:ind w:left="1202" w:right="567"/>
    </w:pPr>
  </w:style>
  <w:style w:type="paragraph" w:styleId="Innehll8">
    <w:name w:val="toc 8"/>
    <w:basedOn w:val="Normal"/>
    <w:next w:val="Normal"/>
    <w:autoRedefine/>
    <w:uiPriority w:val="39"/>
    <w:semiHidden/>
    <w:unhideWhenUsed/>
    <w:rsid w:val="00573790"/>
    <w:pPr>
      <w:tabs>
        <w:tab w:val="right" w:leader="dot" w:pos="14175"/>
      </w:tabs>
      <w:spacing w:after="100"/>
      <w:ind w:left="1400" w:right="567"/>
    </w:pPr>
  </w:style>
  <w:style w:type="paragraph" w:styleId="Innehll9">
    <w:name w:val="toc 9"/>
    <w:basedOn w:val="Normal"/>
    <w:next w:val="Normal"/>
    <w:autoRedefine/>
    <w:uiPriority w:val="39"/>
    <w:semiHidden/>
    <w:unhideWhenUsed/>
    <w:rsid w:val="00573790"/>
    <w:pPr>
      <w:tabs>
        <w:tab w:val="right" w:leader="dot" w:pos="14175"/>
      </w:tabs>
      <w:spacing w:after="100"/>
      <w:ind w:left="1599" w:right="567"/>
    </w:pPr>
  </w:style>
  <w:style w:type="paragraph" w:customStyle="1" w:styleId="InstruktionIngress">
    <w:name w:val="Instruktion Ingress"/>
    <w:basedOn w:val="Brdtext"/>
    <w:uiPriority w:val="99"/>
    <w:rsid w:val="00A96BC3"/>
    <w:pPr>
      <w:widowControl w:val="0"/>
      <w:adjustRightInd/>
      <w:spacing w:before="80" w:after="160" w:line="259" w:lineRule="auto"/>
      <w:textAlignment w:val="auto"/>
    </w:pPr>
    <w:rPr>
      <w:rFonts w:cstheme="minorBidi"/>
      <w:sz w:val="24"/>
    </w:rPr>
  </w:style>
  <w:style w:type="paragraph" w:styleId="Brdtext">
    <w:name w:val="Body Text"/>
    <w:basedOn w:val="Normal"/>
    <w:link w:val="BrdtextChar"/>
    <w:uiPriority w:val="99"/>
    <w:semiHidden/>
    <w:unhideWhenUsed/>
    <w:rsid w:val="00A96BC3"/>
    <w:pPr>
      <w:spacing w:after="120"/>
    </w:pPr>
  </w:style>
  <w:style w:type="character" w:customStyle="1" w:styleId="BrdtextChar">
    <w:name w:val="Brödtext Char"/>
    <w:basedOn w:val="Standardstycketeckensnitt"/>
    <w:link w:val="Brdtext"/>
    <w:uiPriority w:val="99"/>
    <w:semiHidden/>
    <w:rsid w:val="00A96BC3"/>
    <w:rPr>
      <w:rFonts w:ascii="Segoe UI" w:hAnsi="Segoe UI" w:cs="Open Sans"/>
      <w:color w:val="000000"/>
      <w:sz w:val="20"/>
      <w:szCs w:val="20"/>
      <w:lang w:val="sv-SE"/>
    </w:rPr>
  </w:style>
  <w:style w:type="table" w:styleId="Listtabell3dekorfrg1">
    <w:name w:val="List Table 3 Accent 1"/>
    <w:basedOn w:val="Normaltabell"/>
    <w:uiPriority w:val="48"/>
    <w:rsid w:val="00A34CCA"/>
    <w:pPr>
      <w:spacing w:after="0" w:line="240" w:lineRule="auto"/>
    </w:pPr>
    <w:tblPr>
      <w:tblStyleRowBandSize w:val="1"/>
      <w:tblStyleColBandSize w:val="1"/>
      <w:tblBorders>
        <w:top w:val="single" w:sz="4" w:space="0" w:color="0064AE" w:themeColor="accent1"/>
        <w:left w:val="single" w:sz="4" w:space="0" w:color="0064AE" w:themeColor="accent1"/>
        <w:bottom w:val="single" w:sz="4" w:space="0" w:color="0064AE" w:themeColor="accent1"/>
        <w:right w:val="single" w:sz="4" w:space="0" w:color="0064AE" w:themeColor="accent1"/>
      </w:tblBorders>
    </w:tblPr>
    <w:tblStylePr w:type="firstRow">
      <w:rPr>
        <w:b/>
        <w:bCs/>
        <w:color w:val="FFFFFF" w:themeColor="background1"/>
      </w:rPr>
      <w:tblPr/>
      <w:tcPr>
        <w:shd w:val="clear" w:color="auto" w:fill="0064AE" w:themeFill="accent1"/>
      </w:tcPr>
    </w:tblStylePr>
    <w:tblStylePr w:type="lastRow">
      <w:rPr>
        <w:b/>
        <w:bCs/>
      </w:rPr>
      <w:tblPr/>
      <w:tcPr>
        <w:tcBorders>
          <w:top w:val="double" w:sz="4" w:space="0" w:color="0064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AE" w:themeColor="accent1"/>
          <w:right w:val="single" w:sz="4" w:space="0" w:color="0064AE" w:themeColor="accent1"/>
        </w:tcBorders>
      </w:tcPr>
    </w:tblStylePr>
    <w:tblStylePr w:type="band1Horz">
      <w:tblPr/>
      <w:tcPr>
        <w:tcBorders>
          <w:top w:val="single" w:sz="4" w:space="0" w:color="0064AE" w:themeColor="accent1"/>
          <w:bottom w:val="single" w:sz="4" w:space="0" w:color="0064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AE" w:themeColor="accent1"/>
          <w:left w:val="nil"/>
        </w:tcBorders>
      </w:tcPr>
    </w:tblStylePr>
    <w:tblStylePr w:type="swCell">
      <w:tblPr/>
      <w:tcPr>
        <w:tcBorders>
          <w:top w:val="double" w:sz="4" w:space="0" w:color="0064AE" w:themeColor="accent1"/>
          <w:right w:val="nil"/>
        </w:tcBorders>
      </w:tcPr>
    </w:tblStylePr>
  </w:style>
  <w:style w:type="table" w:styleId="Rutntstabell4">
    <w:name w:val="Grid Table 4"/>
    <w:basedOn w:val="Normaltabell"/>
    <w:uiPriority w:val="49"/>
    <w:rsid w:val="0089128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3dekorfrg5">
    <w:name w:val="List Table 3 Accent 5"/>
    <w:basedOn w:val="Normaltabell"/>
    <w:uiPriority w:val="48"/>
    <w:rsid w:val="0089045C"/>
    <w:pPr>
      <w:spacing w:after="0" w:line="240" w:lineRule="auto"/>
    </w:pPr>
    <w:tblPr>
      <w:tblStyleRowBandSize w:val="1"/>
      <w:tblStyleColBandSize w:val="1"/>
      <w:tblBorders>
        <w:top w:val="single" w:sz="4" w:space="0" w:color="FFD300" w:themeColor="accent5"/>
        <w:left w:val="single" w:sz="4" w:space="0" w:color="FFD300" w:themeColor="accent5"/>
        <w:bottom w:val="single" w:sz="4" w:space="0" w:color="FFD300" w:themeColor="accent5"/>
        <w:right w:val="single" w:sz="4" w:space="0" w:color="FFD300" w:themeColor="accent5"/>
      </w:tblBorders>
    </w:tblPr>
    <w:tblStylePr w:type="firstRow">
      <w:rPr>
        <w:b/>
        <w:bCs/>
        <w:color w:val="FFFFFF" w:themeColor="background1"/>
      </w:rPr>
      <w:tblPr/>
      <w:tcPr>
        <w:shd w:val="clear" w:color="auto" w:fill="FFD300" w:themeFill="accent5"/>
      </w:tcPr>
    </w:tblStylePr>
    <w:tblStylePr w:type="lastRow">
      <w:rPr>
        <w:b/>
        <w:bCs/>
      </w:rPr>
      <w:tblPr/>
      <w:tcPr>
        <w:tcBorders>
          <w:top w:val="double" w:sz="4" w:space="0" w:color="FF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300" w:themeColor="accent5"/>
          <w:right w:val="single" w:sz="4" w:space="0" w:color="FFD300" w:themeColor="accent5"/>
        </w:tcBorders>
      </w:tcPr>
    </w:tblStylePr>
    <w:tblStylePr w:type="band1Horz">
      <w:tblPr/>
      <w:tcPr>
        <w:tcBorders>
          <w:top w:val="single" w:sz="4" w:space="0" w:color="FFD300" w:themeColor="accent5"/>
          <w:bottom w:val="single" w:sz="4" w:space="0" w:color="FF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300" w:themeColor="accent5"/>
          <w:left w:val="nil"/>
        </w:tcBorders>
      </w:tcPr>
    </w:tblStylePr>
    <w:tblStylePr w:type="swCell">
      <w:tblPr/>
      <w:tcPr>
        <w:tcBorders>
          <w:top w:val="double" w:sz="4" w:space="0" w:color="FFD300" w:themeColor="accent5"/>
          <w:right w:val="nil"/>
        </w:tcBorders>
      </w:tcPr>
    </w:tblStylePr>
  </w:style>
  <w:style w:type="table" w:customStyle="1" w:styleId="LRtabell">
    <w:name w:val="LR tabell"/>
    <w:basedOn w:val="Tabellrutnt"/>
    <w:uiPriority w:val="99"/>
    <w:rsid w:val="00273C58"/>
    <w:rPr>
      <w:sz w:val="20"/>
    </w:rPr>
    <w:tblPr>
      <w:tbl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blBorders>
    </w:tblPr>
    <w:tblStylePr w:type="firstRow">
      <w:rPr>
        <w:b/>
        <w:color w:val="FFFFFF" w:themeColor="background1"/>
      </w:rPr>
      <w:tblPr/>
      <w:tcPr>
        <w:tc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FFFFFF" w:themeColor="background1"/>
          <w:tl2br w:val="nil"/>
          <w:tr2bl w:val="nil"/>
        </w:tcBorders>
        <w:shd w:val="clear" w:color="auto" w:fill="0064AE" w:themeFill="accent1"/>
      </w:tcPr>
    </w:tblStylePr>
    <w:tblStylePr w:type="lastRow">
      <w:rPr>
        <w:b/>
        <w:color w:val="auto"/>
      </w:rPr>
      <w:tblPr/>
      <w:tcPr>
        <w:tcBorders>
          <w:top w:val="single" w:sz="12"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cBorders>
        <w:shd w:val="clear" w:color="auto" w:fill="FFFFFF" w:themeFill="background1"/>
      </w:tcPr>
    </w:tblStylePr>
    <w:tblStylePr w:type="firstCol">
      <w:rPr>
        <w:b/>
      </w:rPr>
    </w:tblStylePr>
    <w:tblStylePr w:type="lastCol">
      <w:rPr>
        <w:b/>
      </w:rPr>
    </w:tblStylePr>
  </w:style>
  <w:style w:type="table" w:customStyle="1" w:styleId="LRtabellsvartvit">
    <w:name w:val="LR tabell svartvit"/>
    <w:basedOn w:val="Normaltabell"/>
    <w:uiPriority w:val="99"/>
    <w:rsid w:val="00273C58"/>
    <w:pPr>
      <w:spacing w:after="0" w:line="216" w:lineRule="auto"/>
    </w:pPr>
    <w:rPr>
      <w:sz w:val="20"/>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color w:val="000000" w:themeColor="text1"/>
      </w:rPr>
      <w:tblPr/>
      <w:tcPr>
        <w:tcBorders>
          <w:top w:val="single" w:sz="8" w:space="0" w:color="auto"/>
          <w:left w:val="single" w:sz="8" w:space="0" w:color="auto"/>
          <w:bottom w:val="single" w:sz="12" w:space="0" w:color="auto"/>
          <w:right w:val="single" w:sz="8" w:space="0" w:color="auto"/>
          <w:insideH w:val="single" w:sz="8" w:space="0" w:color="auto"/>
          <w:insideV w:val="single" w:sz="8" w:space="0" w:color="auto"/>
          <w:tl2br w:val="nil"/>
          <w:tr2bl w:val="nil"/>
        </w:tcBorders>
        <w:shd w:val="clear" w:color="auto" w:fill="FFFFFF" w:themeFill="background1"/>
      </w:tcPr>
    </w:tblStylePr>
    <w:tblStylePr w:type="lastRow">
      <w:rPr>
        <w:b/>
      </w:rPr>
      <w:tblPr/>
      <w:tcPr>
        <w:tcBorders>
          <w:top w:val="single" w:sz="12" w:space="0" w:color="auto"/>
          <w:left w:val="single" w:sz="8" w:space="0" w:color="auto"/>
          <w:bottom w:val="single" w:sz="8" w:space="0" w:color="auto"/>
          <w:right w:val="single" w:sz="8" w:space="0" w:color="auto"/>
          <w:insideH w:val="nil"/>
          <w:insideV w:val="single" w:sz="8" w:space="0" w:color="auto"/>
          <w:tl2br w:val="nil"/>
          <w:tr2bl w:val="nil"/>
        </w:tcBorders>
      </w:tcPr>
    </w:tblStylePr>
    <w:tblStylePr w:type="firstCol">
      <w:rPr>
        <w:b/>
      </w:rPr>
    </w:tblStylePr>
    <w:tblStylePr w:type="lastCol">
      <w:rPr>
        <w:b/>
      </w:rPr>
    </w:tblStylePr>
  </w:style>
  <w:style w:type="table" w:customStyle="1" w:styleId="LRgrfyllningrubrik">
    <w:name w:val="LR grå fyllning rubrik"/>
    <w:basedOn w:val="Normaltabell"/>
    <w:uiPriority w:val="99"/>
    <w:rsid w:val="006907DA"/>
    <w:pPr>
      <w:spacing w:after="0" w:line="240"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ADADA" w:themeFill="background2"/>
      </w:tcPr>
    </w:tblStylePr>
    <w:tblStylePr w:type="lastRow">
      <w:rPr>
        <w:b/>
      </w:rPr>
      <w:tblPr/>
      <w:tcPr>
        <w:tcBorders>
          <w:top w:val="single" w:sz="12" w:space="0" w:color="auto"/>
          <w:left w:val="single" w:sz="8" w:space="0" w:color="auto"/>
          <w:bottom w:val="single" w:sz="8" w:space="0" w:color="auto"/>
          <w:right w:val="single" w:sz="8" w:space="0" w:color="auto"/>
          <w:insideH w:val="single" w:sz="8" w:space="0" w:color="auto"/>
          <w:insideV w:val="single" w:sz="8" w:space="0" w:color="auto"/>
          <w:tl2br w:val="nil"/>
          <w:tr2bl w:val="nil"/>
        </w:tcBorders>
      </w:tcPr>
    </w:tblStylePr>
    <w:tblStylePr w:type="firstCol">
      <w:rPr>
        <w:b/>
      </w:rPr>
    </w:tblStylePr>
    <w:tblStylePr w:type="lastCol">
      <w:rPr>
        <w:b/>
      </w:rPr>
    </w:tblStylePr>
  </w:style>
  <w:style w:type="character" w:customStyle="1" w:styleId="Rubrik7Char">
    <w:name w:val="Rubrik 7 Char"/>
    <w:basedOn w:val="Standardstycketeckensnitt"/>
    <w:link w:val="Rubrik7"/>
    <w:uiPriority w:val="9"/>
    <w:semiHidden/>
    <w:rsid w:val="009D46B2"/>
    <w:rPr>
      <w:rFonts w:eastAsiaTheme="majorEastAsia" w:cstheme="majorBidi"/>
      <w:color w:val="595959" w:themeColor="text1" w:themeTint="A6"/>
      <w:kern w:val="0"/>
      <w:sz w:val="20"/>
      <w:szCs w:val="20"/>
      <w:lang w:val="sv-SE"/>
      <w14:ligatures w14:val="none"/>
    </w:rPr>
  </w:style>
  <w:style w:type="character" w:customStyle="1" w:styleId="Rubrik8Char">
    <w:name w:val="Rubrik 8 Char"/>
    <w:basedOn w:val="Standardstycketeckensnitt"/>
    <w:link w:val="Rubrik8"/>
    <w:uiPriority w:val="9"/>
    <w:semiHidden/>
    <w:rsid w:val="009D46B2"/>
    <w:rPr>
      <w:rFonts w:eastAsiaTheme="majorEastAsia" w:cstheme="majorBidi"/>
      <w:i/>
      <w:iCs/>
      <w:color w:val="272727" w:themeColor="text1" w:themeTint="D8"/>
      <w:kern w:val="0"/>
      <w:sz w:val="20"/>
      <w:szCs w:val="20"/>
      <w:lang w:val="sv-SE"/>
      <w14:ligatures w14:val="none"/>
    </w:rPr>
  </w:style>
  <w:style w:type="character" w:customStyle="1" w:styleId="Rubrik9Char">
    <w:name w:val="Rubrik 9 Char"/>
    <w:basedOn w:val="Standardstycketeckensnitt"/>
    <w:link w:val="Rubrik9"/>
    <w:uiPriority w:val="9"/>
    <w:semiHidden/>
    <w:rsid w:val="009D46B2"/>
    <w:rPr>
      <w:rFonts w:eastAsiaTheme="majorEastAsia" w:cstheme="majorBidi"/>
      <w:color w:val="272727" w:themeColor="text1" w:themeTint="D8"/>
      <w:kern w:val="0"/>
      <w:sz w:val="20"/>
      <w:szCs w:val="20"/>
      <w:lang w:val="sv-SE"/>
      <w14:ligatures w14:val="none"/>
    </w:rPr>
  </w:style>
  <w:style w:type="paragraph" w:styleId="Underrubrik">
    <w:name w:val="Subtitle"/>
    <w:basedOn w:val="Normal"/>
    <w:next w:val="Normal"/>
    <w:link w:val="UnderrubrikChar"/>
    <w:uiPriority w:val="11"/>
    <w:rsid w:val="009D46B2"/>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D46B2"/>
    <w:rPr>
      <w:rFonts w:eastAsiaTheme="majorEastAsia" w:cstheme="majorBidi"/>
      <w:color w:val="595959" w:themeColor="text1" w:themeTint="A6"/>
      <w:spacing w:val="15"/>
      <w:kern w:val="0"/>
      <w:sz w:val="28"/>
      <w:szCs w:val="28"/>
      <w:lang w:val="sv-SE"/>
      <w14:ligatures w14:val="none"/>
    </w:rPr>
  </w:style>
  <w:style w:type="paragraph" w:styleId="Liststycke">
    <w:name w:val="List Paragraph"/>
    <w:basedOn w:val="Normal"/>
    <w:uiPriority w:val="34"/>
    <w:rsid w:val="009D46B2"/>
    <w:pPr>
      <w:ind w:left="720"/>
      <w:contextualSpacing/>
    </w:pPr>
  </w:style>
  <w:style w:type="character" w:styleId="Starkreferens">
    <w:name w:val="Intense Reference"/>
    <w:basedOn w:val="Standardstycketeckensnitt"/>
    <w:uiPriority w:val="32"/>
    <w:rsid w:val="009D46B2"/>
    <w:rPr>
      <w:b/>
      <w:bCs/>
      <w:smallCaps/>
      <w:color w:val="004A82" w:themeColor="accent1" w:themeShade="BF"/>
      <w:spacing w:val="5"/>
    </w:rPr>
  </w:style>
  <w:style w:type="character" w:styleId="Kommentarsreferens">
    <w:name w:val="annotation reference"/>
    <w:basedOn w:val="Standardstycketeckensnitt"/>
    <w:uiPriority w:val="99"/>
    <w:semiHidden/>
    <w:unhideWhenUsed/>
    <w:rsid w:val="00350CE9"/>
    <w:rPr>
      <w:sz w:val="16"/>
      <w:szCs w:val="16"/>
    </w:rPr>
  </w:style>
  <w:style w:type="paragraph" w:styleId="Kommentarer">
    <w:name w:val="annotation text"/>
    <w:basedOn w:val="Normal"/>
    <w:link w:val="KommentarerChar"/>
    <w:uiPriority w:val="99"/>
    <w:unhideWhenUsed/>
    <w:rsid w:val="00350CE9"/>
    <w:pPr>
      <w:spacing w:line="240" w:lineRule="auto"/>
    </w:pPr>
  </w:style>
  <w:style w:type="character" w:customStyle="1" w:styleId="KommentarerChar">
    <w:name w:val="Kommentarer Char"/>
    <w:basedOn w:val="Standardstycketeckensnitt"/>
    <w:link w:val="Kommentarer"/>
    <w:uiPriority w:val="99"/>
    <w:rsid w:val="00350CE9"/>
    <w:rPr>
      <w:rFonts w:cs="Open Sans"/>
      <w:kern w:val="0"/>
      <w:sz w:val="20"/>
      <w:szCs w:val="20"/>
      <w:lang w:val="sv-SE"/>
      <w14:ligatures w14:val="none"/>
    </w:rPr>
  </w:style>
  <w:style w:type="paragraph" w:styleId="Kommentarsmne">
    <w:name w:val="annotation subject"/>
    <w:basedOn w:val="Kommentarer"/>
    <w:next w:val="Kommentarer"/>
    <w:link w:val="KommentarsmneChar"/>
    <w:uiPriority w:val="99"/>
    <w:semiHidden/>
    <w:unhideWhenUsed/>
    <w:rsid w:val="00350CE9"/>
    <w:rPr>
      <w:b/>
      <w:bCs/>
    </w:rPr>
  </w:style>
  <w:style w:type="character" w:customStyle="1" w:styleId="KommentarsmneChar">
    <w:name w:val="Kommentarsämne Char"/>
    <w:basedOn w:val="KommentarerChar"/>
    <w:link w:val="Kommentarsmne"/>
    <w:uiPriority w:val="99"/>
    <w:semiHidden/>
    <w:rsid w:val="00350CE9"/>
    <w:rPr>
      <w:rFonts w:cs="Open Sans"/>
      <w:b/>
      <w:bCs/>
      <w:kern w:val="0"/>
      <w:sz w:val="20"/>
      <w:szCs w:val="20"/>
      <w:lang w:val="sv-SE"/>
      <w14:ligatures w14:val="none"/>
    </w:rPr>
  </w:style>
  <w:style w:type="paragraph" w:styleId="Fotnotstext">
    <w:name w:val="footnote text"/>
    <w:basedOn w:val="Normal"/>
    <w:link w:val="FotnotstextChar"/>
    <w:uiPriority w:val="99"/>
    <w:semiHidden/>
    <w:unhideWhenUsed/>
    <w:rsid w:val="006C0F52"/>
    <w:pPr>
      <w:spacing w:line="240" w:lineRule="auto"/>
    </w:pPr>
  </w:style>
  <w:style w:type="character" w:customStyle="1" w:styleId="FotnotstextChar">
    <w:name w:val="Fotnotstext Char"/>
    <w:basedOn w:val="Standardstycketeckensnitt"/>
    <w:link w:val="Fotnotstext"/>
    <w:uiPriority w:val="99"/>
    <w:semiHidden/>
    <w:rsid w:val="006C0F52"/>
    <w:rPr>
      <w:rFonts w:cs="Open Sans"/>
      <w:kern w:val="0"/>
      <w:sz w:val="20"/>
      <w:szCs w:val="20"/>
      <w:lang w:val="sv-SE"/>
      <w14:ligatures w14:val="none"/>
    </w:rPr>
  </w:style>
  <w:style w:type="character" w:styleId="Fotnotsreferens">
    <w:name w:val="footnote reference"/>
    <w:basedOn w:val="Standardstycketeckensnitt"/>
    <w:uiPriority w:val="99"/>
    <w:semiHidden/>
    <w:unhideWhenUsed/>
    <w:rsid w:val="006C0F52"/>
    <w:rPr>
      <w:vertAlign w:val="superscript"/>
    </w:rPr>
  </w:style>
  <w:style w:type="character" w:customStyle="1" w:styleId="cf01">
    <w:name w:val="cf01"/>
    <w:basedOn w:val="Standardstycketeckensnitt"/>
    <w:rsid w:val="001447A4"/>
    <w:rPr>
      <w:rFonts w:ascii="Segoe UI" w:hAnsi="Segoe UI" w:cs="Segoe UI" w:hint="default"/>
      <w:color w:val="272833"/>
      <w:sz w:val="18"/>
      <w:szCs w:val="18"/>
      <w:shd w:val="clear" w:color="auto" w:fill="FEFFFE"/>
    </w:rPr>
  </w:style>
  <w:style w:type="paragraph" w:styleId="Revision">
    <w:name w:val="Revision"/>
    <w:hidden/>
    <w:uiPriority w:val="99"/>
    <w:semiHidden/>
    <w:rsid w:val="00E91E01"/>
    <w:pPr>
      <w:spacing w:after="0" w:line="240" w:lineRule="auto"/>
    </w:pPr>
    <w:rPr>
      <w:rFonts w:cs="Open Sans"/>
      <w:kern w:val="0"/>
      <w:sz w:val="20"/>
      <w:szCs w:val="20"/>
      <w:lang w:val="sv-SE"/>
      <w14:ligatures w14:val="none"/>
    </w:rPr>
  </w:style>
  <w:style w:type="paragraph" w:styleId="Slutnotstext">
    <w:name w:val="endnote text"/>
    <w:basedOn w:val="Normal"/>
    <w:link w:val="SlutnotstextChar"/>
    <w:uiPriority w:val="99"/>
    <w:semiHidden/>
    <w:unhideWhenUsed/>
    <w:rsid w:val="00E91E01"/>
    <w:pPr>
      <w:spacing w:line="240" w:lineRule="auto"/>
    </w:pPr>
  </w:style>
  <w:style w:type="character" w:customStyle="1" w:styleId="SlutnotstextChar">
    <w:name w:val="Slutnotstext Char"/>
    <w:basedOn w:val="Standardstycketeckensnitt"/>
    <w:link w:val="Slutnotstext"/>
    <w:uiPriority w:val="99"/>
    <w:semiHidden/>
    <w:rsid w:val="00E91E01"/>
    <w:rPr>
      <w:rFonts w:cs="Open Sans"/>
      <w:kern w:val="0"/>
      <w:sz w:val="20"/>
      <w:szCs w:val="20"/>
      <w:lang w:val="sv-SE"/>
      <w14:ligatures w14:val="none"/>
    </w:rPr>
  </w:style>
  <w:style w:type="character" w:styleId="Slutnotsreferens">
    <w:name w:val="endnote reference"/>
    <w:basedOn w:val="Standardstycketeckensnitt"/>
    <w:uiPriority w:val="99"/>
    <w:semiHidden/>
    <w:unhideWhenUsed/>
    <w:rsid w:val="00E91E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8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ndskapsregeringen färg">
  <a:themeElements>
    <a:clrScheme name="Landskapsregeringen Färg">
      <a:dk1>
        <a:sysClr val="windowText" lastClr="000000"/>
      </a:dk1>
      <a:lt1>
        <a:sysClr val="window" lastClr="FFFFFF"/>
      </a:lt1>
      <a:dk2>
        <a:srgbClr val="9D9D9D"/>
      </a:dk2>
      <a:lt2>
        <a:srgbClr val="DADADA"/>
      </a:lt2>
      <a:accent1>
        <a:srgbClr val="0064AE"/>
      </a:accent1>
      <a:accent2>
        <a:srgbClr val="9EC1C6"/>
      </a:accent2>
      <a:accent3>
        <a:srgbClr val="C8B933"/>
      </a:accent3>
      <a:accent4>
        <a:srgbClr val="D78A7B"/>
      </a:accent4>
      <a:accent5>
        <a:srgbClr val="FFD300"/>
      </a:accent5>
      <a:accent6>
        <a:srgbClr val="DB0F16"/>
      </a:accent6>
      <a:hlink>
        <a:srgbClr val="0064AE"/>
      </a:hlink>
      <a:folHlink>
        <a:srgbClr val="9EC1C6"/>
      </a:folHlink>
    </a:clrScheme>
    <a:fontScheme name="Landskapsregeringen">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noFill/>
        </a:ln>
      </a:spPr>
      <a:bodyPr rot="0" spcFirstLastPara="0" vertOverflow="overflow" horzOverflow="overflow" vert="horz" wrap="square" lIns="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634E16A80DB8B45BB389C9E2BA1B645" ma:contentTypeVersion="4" ma:contentTypeDescription="Skapa ett nytt dokument." ma:contentTypeScope="" ma:versionID="4fbd7f7b626080ce2e9b312e05131f2b">
  <xsd:schema xmlns:xsd="http://www.w3.org/2001/XMLSchema" xmlns:xs="http://www.w3.org/2001/XMLSchema" xmlns:p="http://schemas.microsoft.com/office/2006/metadata/properties" xmlns:ns2="25cbb6c7-d0e4-438f-a09b-f97ff525f6ea" targetNamespace="http://schemas.microsoft.com/office/2006/metadata/properties" ma:root="true" ma:fieldsID="63258e0a5a52c7ded8dd619cd0b6e794" ns2:_="">
    <xsd:import namespace="25cbb6c7-d0e4-438f-a09b-f97ff525f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bb6c7-d0e4-438f-a09b-f97ff525f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36960A-440E-403D-99B8-AC0B039E0EF0}">
  <ds:schemaRefs>
    <ds:schemaRef ds:uri="http://schemas.microsoft.com/sharepoint/v3/contenttype/forms"/>
  </ds:schemaRefs>
</ds:datastoreItem>
</file>

<file path=customXml/itemProps3.xml><?xml version="1.0" encoding="utf-8"?>
<ds:datastoreItem xmlns:ds="http://schemas.openxmlformats.org/officeDocument/2006/customXml" ds:itemID="{7FDFC523-C9C5-497F-A724-22ABA9FD0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bb6c7-d0e4-438f-a09b-f97ff525f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DA3082-B25F-405D-9E0F-C789662BD74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53EE3C8-F33F-4F99-BD76-F57231697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4549</Words>
  <Characters>24111</Characters>
  <Application>Microsoft Office Word</Application>
  <DocSecurity>0</DocSecurity>
  <Lines>200</Lines>
  <Paragraphs>57</Paragraphs>
  <ScaleCrop>false</ScaleCrop>
  <Company/>
  <LinksUpToDate>false</LinksUpToDate>
  <CharactersWithSpaces>28603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Patientsäkerhet</dc:title>
  <dc:subject>Delanalys 7 för framtagande av hälso- och sjukvårdsstrategi till 2040</dc:subject>
  <dc:creator>Knut Lönnroth</dc:creator>
  <cp:keywords/>
  <dc:description/>
  <cp:lastModifiedBy>Jessica Laaksonen</cp:lastModifiedBy>
  <cp:revision>2</cp:revision>
  <cp:lastPrinted>2020-01-20T08:32:00Z</cp:lastPrinted>
  <dcterms:created xsi:type="dcterms:W3CDTF">2026-10-29T13:00:00Z</dcterms:created>
  <dcterms:modified xsi:type="dcterms:W3CDTF">2026-10-29T13:00:00Z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0x010100E634E16A80DB8B45BB389C9E2BA1B645</vt:lpwstr>
  </property>
</Properties>
</file>