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DCDAB" w14:textId="2600C1E0" w:rsidR="00973CD8" w:rsidRDefault="00825A0F">
      <w:pPr>
        <w:autoSpaceDE/>
        <w:autoSpaceDN/>
        <w:adjustRightInd/>
        <w:spacing w:after="160" w:line="259" w:lineRule="auto"/>
        <w:textAlignment w:val="auto"/>
        <w:rPr>
          <w:b/>
          <w:bCs/>
          <w:sz w:val="28"/>
          <w:szCs w:val="28"/>
        </w:rPr>
      </w:pPr>
      <w:r>
        <w:rPr>
          <w:noProof/>
          <w14:ligatures w14:val="standardContextual"/>
        </w:rPr>
        <mc:AlternateContent>
          <mc:Choice Requires="wps">
            <w:drawing>
              <wp:anchor distT="0" distB="0" distL="114300" distR="114300" simplePos="0" relativeHeight="251661312" behindDoc="0" locked="0" layoutInCell="1" allowOverlap="1" wp14:anchorId="061A6334" wp14:editId="3A287EC7">
                <wp:simplePos x="0" y="0"/>
                <wp:positionH relativeFrom="column">
                  <wp:posOffset>4895850</wp:posOffset>
                </wp:positionH>
                <wp:positionV relativeFrom="paragraph">
                  <wp:posOffset>-415290</wp:posOffset>
                </wp:positionV>
                <wp:extent cx="1531620" cy="320040"/>
                <wp:effectExtent l="0" t="0" r="0" b="3810"/>
                <wp:wrapNone/>
                <wp:docPr id="78311030" name="Textruta 2"/>
                <wp:cNvGraphicFramePr/>
                <a:graphic xmlns:a="http://schemas.openxmlformats.org/drawingml/2006/main">
                  <a:graphicData uri="http://schemas.microsoft.com/office/word/2010/wordprocessingShape">
                    <wps:wsp>
                      <wps:cNvSpPr txBox="1"/>
                      <wps:spPr>
                        <a:xfrm>
                          <a:off x="0" y="0"/>
                          <a:ext cx="1531620" cy="320040"/>
                        </a:xfrm>
                        <a:prstGeom prst="rect">
                          <a:avLst/>
                        </a:prstGeom>
                        <a:noFill/>
                        <a:ln w="6350">
                          <a:noFill/>
                        </a:ln>
                      </wps:spPr>
                      <wps:txbx>
                        <w:txbxContent>
                          <w:p w14:paraId="21DAEA0F" w14:textId="5B913361" w:rsidR="00D00B6C" w:rsidRDefault="00D00B6C" w:rsidP="00D00B6C">
                            <w:r>
                              <w:t>Bilaga 3, M1-2026/2027</w:t>
                            </w:r>
                          </w:p>
                          <w:p w14:paraId="2B2F1882" w14:textId="19D52AE2" w:rsidR="00825A0F" w:rsidRDefault="00825A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1A6334" id="_x0000_t202" coordsize="21600,21600" o:spt="202" path="m,l,21600r21600,l21600,xe">
                <v:stroke joinstyle="miter"/>
                <v:path gradientshapeok="t" o:connecttype="rect"/>
              </v:shapetype>
              <v:shape id="Textruta 2" o:spid="_x0000_s1026" type="#_x0000_t202" style="position:absolute;margin-left:385.5pt;margin-top:-32.7pt;width:120.6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" filled="f" stroked="f" strokeweight=".5pt">
                <v:textbox>
                  <w:txbxContent>
                    <w:p w14:paraId="21DAEA0F" w14:textId="5B913361" w:rsidR="00D00B6C" w:rsidRDefault="00D00B6C" w:rsidP="00D00B6C">
                      <w:r>
                        <w:t xml:space="preserve">Bilaga </w:t>
                      </w:r>
                      <w:r>
                        <w:t>3</w:t>
                      </w:r>
                      <w:r>
                        <w:t>, M1-2026/2027</w:t>
                      </w:r>
                    </w:p>
                    <w:p w14:paraId="2B2F1882" w14:textId="19D52AE2" w:rsidR="00825A0F" w:rsidRDefault="00825A0F"/>
                  </w:txbxContent>
                </v:textbox>
              </v:shape>
            </w:pict>
          </mc:Fallback>
        </mc:AlternateContent>
      </w:r>
      <w:r w:rsidR="004255ED">
        <w:rPr>
          <w:noProof/>
        </w:rPr>
        <w:drawing>
          <wp:anchor distT="0" distB="0" distL="114300" distR="114300" simplePos="0" relativeHeight="251659264" behindDoc="0" locked="0" layoutInCell="1" allowOverlap="1" wp14:anchorId="1AC5BFEB" wp14:editId="7017F774">
            <wp:simplePos x="0" y="0"/>
            <wp:positionH relativeFrom="margin">
              <wp:align>left</wp:align>
            </wp:positionH>
            <wp:positionV relativeFrom="paragraph">
              <wp:posOffset>8890</wp:posOffset>
            </wp:positionV>
            <wp:extent cx="2061069" cy="540000"/>
            <wp:effectExtent l="0" t="0" r="0" b="0"/>
            <wp:wrapNone/>
            <wp:docPr id="82" name="Bildobjekt 3" descr="Ålands landskapsregering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1069" cy="540000"/>
                    </a:xfrm>
                    <a:prstGeom prst="rect">
                      <a:avLst/>
                    </a:prstGeom>
                  </pic:spPr>
                </pic:pic>
              </a:graphicData>
            </a:graphic>
          </wp:anchor>
        </w:drawing>
      </w:r>
      <w:r w:rsidR="00973CD8">
        <w:rPr>
          <w:noProof/>
        </w:rPr>
        <mc:AlternateContent>
          <mc:Choice Requires="wps">
            <w:drawing>
              <wp:anchor distT="0" distB="0" distL="114300" distR="114300" simplePos="0" relativeHeight="251660288" behindDoc="0" locked="0" layoutInCell="1" allowOverlap="1" wp14:anchorId="2151790F" wp14:editId="62844E45">
                <wp:simplePos x="0" y="0"/>
                <wp:positionH relativeFrom="margin">
                  <wp:posOffset>0</wp:posOffset>
                </wp:positionH>
                <wp:positionV relativeFrom="paragraph">
                  <wp:posOffset>2868295</wp:posOffset>
                </wp:positionV>
                <wp:extent cx="6120130" cy="2417445"/>
                <wp:effectExtent l="0" t="0" r="0" b="1905"/>
                <wp:wrapNone/>
                <wp:docPr id="80" name="Rektangel 27" descr="Innehåller tabell mer Titel och undertitel"/>
                <wp:cNvGraphicFramePr/>
                <a:graphic xmlns:a="http://schemas.openxmlformats.org/drawingml/2006/main">
                  <a:graphicData uri="http://schemas.microsoft.com/office/word/2010/wordprocessingShape">
                    <wps:wsp>
                      <wps:cNvSpPr/>
                      <wps:spPr>
                        <a:xfrm>
                          <a:off x="0" y="0"/>
                          <a:ext cx="6120130" cy="24174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973CD8" w:rsidRPr="002804B9" w14:paraId="710D1DC1" w14:textId="77777777">
                              <w:tc>
                                <w:tcPr>
                                  <w:tcW w:w="701" w:type="dxa"/>
                                  <w:tcBorders>
                                    <w:bottom w:val="nil"/>
                                  </w:tcBorders>
                                  <w:shd w:val="clear" w:color="auto" w:fill="FFD300"/>
                                  <w:tcMar>
                                    <w:top w:w="0" w:type="dxa"/>
                                    <w:left w:w="0" w:type="dxa"/>
                                    <w:bottom w:w="0" w:type="dxa"/>
                                    <w:right w:w="0" w:type="dxa"/>
                                  </w:tcMar>
                                </w:tcPr>
                                <w:p w14:paraId="3CE656A9" w14:textId="77777777" w:rsidR="00973CD8" w:rsidRPr="002804B9" w:rsidRDefault="00973CD8">
                                  <w:pPr>
                                    <w:rPr>
                                      <w:sz w:val="48"/>
                                      <w:szCs w:val="48"/>
                                    </w:rPr>
                                  </w:pPr>
                                </w:p>
                              </w:tc>
                              <w:tc>
                                <w:tcPr>
                                  <w:tcW w:w="8504" w:type="dxa"/>
                                  <w:tcBorders>
                                    <w:bottom w:val="nil"/>
                                  </w:tcBorders>
                                  <w:tcMar>
                                    <w:top w:w="0" w:type="dxa"/>
                                    <w:left w:w="567" w:type="dxa"/>
                                    <w:bottom w:w="0" w:type="dxa"/>
                                    <w:right w:w="28" w:type="dxa"/>
                                  </w:tcMar>
                                </w:tcPr>
                                <w:p w14:paraId="6B97696F" w14:textId="01635CB0" w:rsidR="00973CD8" w:rsidRPr="002804B9" w:rsidRDefault="00887388">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240535">
                                        <w:rPr>
                                          <w:rStyle w:val="DokumenttitelChar"/>
                                          <w:bCs/>
                                          <w:sz w:val="48"/>
                                          <w:szCs w:val="48"/>
                                        </w:rPr>
                                        <w:t>H</w:t>
                                      </w:r>
                                      <w:r w:rsidR="00973CD8" w:rsidRPr="00973CD8">
                                        <w:rPr>
                                          <w:rStyle w:val="DokumenttitelChar"/>
                                          <w:bCs/>
                                          <w:sz w:val="48"/>
                                          <w:szCs w:val="48"/>
                                        </w:rPr>
                                        <w:t>älso- och sjukvårdskostnader och finansiering</w:t>
                                      </w:r>
                                    </w:sdtContent>
                                  </w:sdt>
                                </w:p>
                                <w:bookmarkStart w:id="0" w:name="_Hlk190773613" w:displacedByCustomXml="next"/>
                                <w:sdt>
                                  <w:sdtPr>
                                    <w:rPr>
                                      <w:rFonts w:asciiTheme="majorHAnsi" w:eastAsiaTheme="majorEastAsia" w:hAnsiTheme="majorHAnsi"/>
                                      <w:bCs/>
                                      <w:caps w:val="0"/>
                                      <w:color w:val="004A82" w:themeColor="accent1" w:themeShade="BF"/>
                                      <w:sz w:val="40"/>
                                      <w:szCs w:val="40"/>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2AB4B193" w14:textId="372D16FC" w:rsidR="00973CD8" w:rsidRPr="002804B9" w:rsidRDefault="00973CD8" w:rsidP="008D7A84">
                                      <w:pPr>
                                        <w:pStyle w:val="Undertitel"/>
                                        <w:rPr>
                                          <w:sz w:val="48"/>
                                          <w:szCs w:val="48"/>
                                        </w:rPr>
                                      </w:pPr>
                                      <w:r w:rsidRPr="001573BC">
                                        <w:rPr>
                                          <w:rFonts w:asciiTheme="majorHAnsi" w:eastAsiaTheme="majorEastAsia" w:hAnsiTheme="majorHAnsi"/>
                                          <w:bCs/>
                                          <w:caps w:val="0"/>
                                          <w:color w:val="004A82" w:themeColor="accent1" w:themeShade="BF"/>
                                          <w:sz w:val="40"/>
                                          <w:szCs w:val="40"/>
                                        </w:rPr>
                                        <w:t>Delanalys 2 för framtagande av hälso- och sjukvårdsstrategi till 2040</w:t>
                                      </w:r>
                                    </w:p>
                                  </w:sdtContent>
                                </w:sdt>
                                <w:bookmarkEnd w:id="0" w:displacedByCustomXml="prev"/>
                              </w:tc>
                            </w:tr>
                          </w:tbl>
                          <w:p w14:paraId="1F3B6EA6" w14:textId="77777777" w:rsidR="00973CD8" w:rsidRPr="002804B9" w:rsidRDefault="00973CD8" w:rsidP="00973CD8">
                            <w:pPr>
                              <w:pStyle w:val="Frsttsblad-Titelrutautanbild"/>
                              <w:rPr>
                                <w:sz w:val="48"/>
                                <w:szCs w:val="48"/>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anchor>
            </w:drawing>
          </mc:Choice>
          <mc:Fallback>
            <w:pict>
              <v:rect w14:anchorId="2151790F" id="Rektangel 27" o:spid="_x0000_s1027" alt="Innehåller tabell mer Titel och undertitel" style="position:absolute;margin-left:0;margin-top:225.85pt;width:481.9pt;height:190.3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973CD8" w:rsidRPr="002804B9" w14:paraId="710D1DC1" w14:textId="77777777">
                        <w:tc>
                          <w:tcPr>
                            <w:tcW w:w="701" w:type="dxa"/>
                            <w:tcBorders>
                              <w:bottom w:val="nil"/>
                            </w:tcBorders>
                            <w:shd w:val="clear" w:color="auto" w:fill="FFD300"/>
                            <w:tcMar>
                              <w:top w:w="0" w:type="dxa"/>
                              <w:left w:w="0" w:type="dxa"/>
                              <w:bottom w:w="0" w:type="dxa"/>
                              <w:right w:w="0" w:type="dxa"/>
                            </w:tcMar>
                          </w:tcPr>
                          <w:p w14:paraId="3CE656A9" w14:textId="77777777" w:rsidR="00973CD8" w:rsidRPr="002804B9" w:rsidRDefault="00973CD8">
                            <w:pPr>
                              <w:rPr>
                                <w:sz w:val="48"/>
                                <w:szCs w:val="48"/>
                              </w:rPr>
                            </w:pPr>
                          </w:p>
                        </w:tc>
                        <w:tc>
                          <w:tcPr>
                            <w:tcW w:w="8504" w:type="dxa"/>
                            <w:tcBorders>
                              <w:bottom w:val="nil"/>
                            </w:tcBorders>
                            <w:tcMar>
                              <w:top w:w="0" w:type="dxa"/>
                              <w:left w:w="567" w:type="dxa"/>
                              <w:bottom w:w="0" w:type="dxa"/>
                              <w:right w:w="28" w:type="dxa"/>
                            </w:tcMar>
                          </w:tcPr>
                          <w:p w14:paraId="6B97696F" w14:textId="01635CB0" w:rsidR="00973CD8" w:rsidRPr="002804B9" w:rsidRDefault="00887388">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240535">
                                  <w:rPr>
                                    <w:rStyle w:val="DokumenttitelChar"/>
                                    <w:bCs/>
                                    <w:sz w:val="48"/>
                                    <w:szCs w:val="48"/>
                                  </w:rPr>
                                  <w:t>H</w:t>
                                </w:r>
                                <w:r w:rsidR="00973CD8" w:rsidRPr="00973CD8">
                                  <w:rPr>
                                    <w:rStyle w:val="DokumenttitelChar"/>
                                    <w:bCs/>
                                    <w:sz w:val="48"/>
                                    <w:szCs w:val="48"/>
                                  </w:rPr>
                                  <w:t>älso- och sjukvårdskostnader och finansiering</w:t>
                                </w:r>
                              </w:sdtContent>
                            </w:sdt>
                          </w:p>
                          <w:bookmarkStart w:id="1" w:name="_Hlk190773613" w:displacedByCustomXml="next"/>
                          <w:sdt>
                            <w:sdtPr>
                              <w:rPr>
                                <w:rFonts w:asciiTheme="majorHAnsi" w:eastAsiaTheme="majorEastAsia" w:hAnsiTheme="majorHAnsi"/>
                                <w:bCs/>
                                <w:caps w:val="0"/>
                                <w:color w:val="004A82" w:themeColor="accent1" w:themeShade="BF"/>
                                <w:sz w:val="40"/>
                                <w:szCs w:val="40"/>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2AB4B193" w14:textId="372D16FC" w:rsidR="00973CD8" w:rsidRPr="002804B9" w:rsidRDefault="00973CD8" w:rsidP="008D7A84">
                                <w:pPr>
                                  <w:pStyle w:val="Undertitel"/>
                                  <w:rPr>
                                    <w:sz w:val="48"/>
                                    <w:szCs w:val="48"/>
                                  </w:rPr>
                                </w:pPr>
                                <w:r w:rsidRPr="001573BC">
                                  <w:rPr>
                                    <w:rFonts w:asciiTheme="majorHAnsi" w:eastAsiaTheme="majorEastAsia" w:hAnsiTheme="majorHAnsi"/>
                                    <w:bCs/>
                                    <w:caps w:val="0"/>
                                    <w:color w:val="004A82" w:themeColor="accent1" w:themeShade="BF"/>
                                    <w:sz w:val="40"/>
                                    <w:szCs w:val="40"/>
                                  </w:rPr>
                                  <w:t>Delanalys 2 för framtagande av hälso- och sjukvårdsstrategi till 2040</w:t>
                                </w:r>
                              </w:p>
                            </w:sdtContent>
                          </w:sdt>
                          <w:bookmarkEnd w:id="1" w:displacedByCustomXml="prev"/>
                        </w:tc>
                      </w:tr>
                    </w:tbl>
                    <w:p w14:paraId="1F3B6EA6" w14:textId="77777777" w:rsidR="00973CD8" w:rsidRPr="002804B9" w:rsidRDefault="00973CD8" w:rsidP="00973CD8">
                      <w:pPr>
                        <w:pStyle w:val="Frsttsblad-Titelrutautanbild"/>
                        <w:rPr>
                          <w:sz w:val="48"/>
                          <w:szCs w:val="48"/>
                        </w:rPr>
                      </w:pPr>
                    </w:p>
                  </w:txbxContent>
                </v:textbox>
                <w10:wrap anchorx="margin"/>
              </v:rect>
            </w:pict>
          </mc:Fallback>
        </mc:AlternateContent>
      </w:r>
      <w:r w:rsidR="00973CD8">
        <w:rPr>
          <w:b/>
          <w:bCs/>
          <w:sz w:val="28"/>
          <w:szCs w:val="28"/>
        </w:rPr>
        <w:br w:type="page"/>
      </w:r>
    </w:p>
    <w:p w14:paraId="7B63BC26" w14:textId="1580E3AD" w:rsidR="00DA666B" w:rsidRDefault="00DA666B" w:rsidP="00EB1AF2">
      <w:pPr>
        <w:spacing w:line="240" w:lineRule="auto"/>
      </w:pPr>
    </w:p>
    <w:p w14:paraId="6958990B" w14:textId="77777777" w:rsidR="005E2781" w:rsidRDefault="005E2781" w:rsidP="00EB1AF2">
      <w:pPr>
        <w:spacing w:line="240" w:lineRule="auto"/>
      </w:pPr>
    </w:p>
    <w:p w14:paraId="20756203" w14:textId="77777777" w:rsidR="005E2781" w:rsidRDefault="005E2781" w:rsidP="00EB1AF2">
      <w:pPr>
        <w:spacing w:line="240" w:lineRule="auto"/>
      </w:pPr>
    </w:p>
    <w:sdt>
      <w:sdtPr>
        <w:rPr>
          <w:rFonts w:asciiTheme="minorHAnsi" w:eastAsiaTheme="minorHAnsi" w:hAnsiTheme="minorHAnsi" w:cs="Open Sans"/>
          <w:color w:val="000000"/>
          <w:sz w:val="20"/>
          <w:szCs w:val="20"/>
          <w:lang w:val="sv-SE" w:eastAsia="en-US"/>
        </w:rPr>
        <w:id w:val="324324556"/>
        <w:docPartObj>
          <w:docPartGallery w:val="Table of Contents"/>
          <w:docPartUnique/>
        </w:docPartObj>
      </w:sdtPr>
      <w:sdtEndPr>
        <w:rPr>
          <w:b/>
          <w:bCs/>
          <w:color w:val="auto"/>
        </w:rPr>
      </w:sdtEndPr>
      <w:sdtContent>
        <w:p w14:paraId="61278714" w14:textId="77777777" w:rsidR="00240535" w:rsidRDefault="00240535" w:rsidP="009F3506">
          <w:pPr>
            <w:pStyle w:val="Innehllsfrteckningsrubrik"/>
          </w:pPr>
          <w:r>
            <w:rPr>
              <w:lang w:val="sv-SE"/>
            </w:rPr>
            <w:t>Innehållsförteckning</w:t>
          </w:r>
        </w:p>
        <w:p w14:paraId="71E8781A" w14:textId="20DB8D4F" w:rsidR="001957EB" w:rsidRDefault="00240535">
          <w:pPr>
            <w:pStyle w:val="Innehll2"/>
            <w:tabs>
              <w:tab w:val="left" w:pos="799"/>
            </w:tabs>
            <w:rPr>
              <w:rFonts w:eastAsiaTheme="minorEastAsia" w:cstheme="minorBidi"/>
              <w:kern w:val="2"/>
              <w:sz w:val="24"/>
              <w:szCs w:val="24"/>
              <w:lang w:val="sv-FI" w:eastAsia="sv-FI"/>
              <w14:ligatures w14:val="standardContextual"/>
            </w:rPr>
          </w:pPr>
          <w:r>
            <w:rPr>
              <w:rFonts w:ascii="Segoe UI" w:hAnsi="Segoe UI"/>
              <w:color w:val="000000"/>
            </w:rPr>
            <w:fldChar w:fldCharType="begin"/>
          </w:r>
          <w:r>
            <w:instrText xml:space="preserve"> TOC \o "1-5" \h \z \u </w:instrText>
          </w:r>
          <w:r>
            <w:rPr>
              <w:rFonts w:ascii="Segoe UI" w:hAnsi="Segoe UI"/>
              <w:color w:val="000000"/>
            </w:rPr>
            <w:fldChar w:fldCharType="separate"/>
          </w:r>
          <w:hyperlink w:anchor="_Toc242713595" w:history="1">
            <w:r w:rsidR="001957EB" w:rsidRPr="004F3108">
              <w:rPr>
                <w:rStyle w:val="Hyperlnk"/>
              </w:rPr>
              <w:t>1.</w:t>
            </w:r>
            <w:r w:rsidR="001957EB">
              <w:rPr>
                <w:rFonts w:eastAsiaTheme="minorEastAsia" w:cstheme="minorBidi"/>
                <w:kern w:val="2"/>
                <w:sz w:val="24"/>
                <w:szCs w:val="24"/>
                <w:lang w:val="sv-FI" w:eastAsia="sv-FI"/>
                <w14:ligatures w14:val="standardContextual"/>
              </w:rPr>
              <w:tab/>
            </w:r>
            <w:r w:rsidR="001957EB" w:rsidRPr="004F3108">
              <w:rPr>
                <w:rStyle w:val="Hyperlnk"/>
              </w:rPr>
              <w:t>Översikt och avgränsningar gällande kostnadsställen och finansieringskanaler</w:t>
            </w:r>
            <w:r w:rsidR="001957EB">
              <w:rPr>
                <w:webHidden/>
              </w:rPr>
              <w:tab/>
            </w:r>
            <w:r w:rsidR="001957EB">
              <w:rPr>
                <w:webHidden/>
              </w:rPr>
              <w:fldChar w:fldCharType="begin"/>
            </w:r>
            <w:r w:rsidR="001957EB">
              <w:rPr>
                <w:webHidden/>
              </w:rPr>
              <w:instrText xml:space="preserve"> PAGEREF _Toc242713595 \h </w:instrText>
            </w:r>
            <w:r w:rsidR="001957EB">
              <w:rPr>
                <w:webHidden/>
              </w:rPr>
            </w:r>
            <w:r w:rsidR="001957EB">
              <w:rPr>
                <w:webHidden/>
              </w:rPr>
              <w:fldChar w:fldCharType="separate"/>
            </w:r>
            <w:r w:rsidR="001957EB">
              <w:rPr>
                <w:webHidden/>
              </w:rPr>
              <w:t>3</w:t>
            </w:r>
            <w:r w:rsidR="001957EB">
              <w:rPr>
                <w:webHidden/>
              </w:rPr>
              <w:fldChar w:fldCharType="end"/>
            </w:r>
          </w:hyperlink>
        </w:p>
        <w:p w14:paraId="7E5483F0" w14:textId="2FC8F1F1" w:rsidR="001957EB" w:rsidRDefault="001957EB">
          <w:pPr>
            <w:pStyle w:val="Innehll2"/>
            <w:tabs>
              <w:tab w:val="left" w:pos="799"/>
            </w:tabs>
            <w:rPr>
              <w:rFonts w:eastAsiaTheme="minorEastAsia" w:cstheme="minorBidi"/>
              <w:kern w:val="2"/>
              <w:sz w:val="24"/>
              <w:szCs w:val="24"/>
              <w:lang w:val="sv-FI" w:eastAsia="sv-FI"/>
              <w14:ligatures w14:val="standardContextual"/>
            </w:rPr>
          </w:pPr>
          <w:hyperlink w:anchor="_Toc242713596" w:history="1">
            <w:r w:rsidRPr="004F3108">
              <w:rPr>
                <w:rStyle w:val="Hyperlnk"/>
              </w:rPr>
              <w:t>2.</w:t>
            </w:r>
            <w:r>
              <w:rPr>
                <w:rFonts w:eastAsiaTheme="minorEastAsia" w:cstheme="minorBidi"/>
                <w:kern w:val="2"/>
                <w:sz w:val="24"/>
                <w:szCs w:val="24"/>
                <w:lang w:val="sv-FI" w:eastAsia="sv-FI"/>
                <w14:ligatures w14:val="standardContextual"/>
              </w:rPr>
              <w:tab/>
            </w:r>
            <w:r w:rsidRPr="004F3108">
              <w:rPr>
                <w:rStyle w:val="Hyperlnk"/>
              </w:rPr>
              <w:t>ÅHS kostnader jämfört med motsvarande sjukvårdskostnader i riket 2016-2022</w:t>
            </w:r>
            <w:r>
              <w:rPr>
                <w:webHidden/>
              </w:rPr>
              <w:tab/>
            </w:r>
            <w:r>
              <w:rPr>
                <w:webHidden/>
              </w:rPr>
              <w:fldChar w:fldCharType="begin"/>
            </w:r>
            <w:r>
              <w:rPr>
                <w:webHidden/>
              </w:rPr>
              <w:instrText xml:space="preserve"> PAGEREF _Toc242713596 \h </w:instrText>
            </w:r>
            <w:r>
              <w:rPr>
                <w:webHidden/>
              </w:rPr>
            </w:r>
            <w:r>
              <w:rPr>
                <w:webHidden/>
              </w:rPr>
              <w:fldChar w:fldCharType="separate"/>
            </w:r>
            <w:r>
              <w:rPr>
                <w:webHidden/>
              </w:rPr>
              <w:t>4</w:t>
            </w:r>
            <w:r>
              <w:rPr>
                <w:webHidden/>
              </w:rPr>
              <w:fldChar w:fldCharType="end"/>
            </w:r>
          </w:hyperlink>
        </w:p>
        <w:p w14:paraId="0B569031" w14:textId="6B424487" w:rsidR="001957EB" w:rsidRDefault="001957EB">
          <w:pPr>
            <w:pStyle w:val="Innehll2"/>
            <w:tabs>
              <w:tab w:val="left" w:pos="799"/>
            </w:tabs>
            <w:rPr>
              <w:rFonts w:eastAsiaTheme="minorEastAsia" w:cstheme="minorBidi"/>
              <w:kern w:val="2"/>
              <w:sz w:val="24"/>
              <w:szCs w:val="24"/>
              <w:lang w:val="sv-FI" w:eastAsia="sv-FI"/>
              <w14:ligatures w14:val="standardContextual"/>
            </w:rPr>
          </w:pPr>
          <w:hyperlink w:anchor="_Toc242713597" w:history="1">
            <w:r w:rsidRPr="004F3108">
              <w:rPr>
                <w:rStyle w:val="Hyperlnk"/>
              </w:rPr>
              <w:t>3.</w:t>
            </w:r>
            <w:r>
              <w:rPr>
                <w:rFonts w:eastAsiaTheme="minorEastAsia" w:cstheme="minorBidi"/>
                <w:kern w:val="2"/>
                <w:sz w:val="24"/>
                <w:szCs w:val="24"/>
                <w:lang w:val="sv-FI" w:eastAsia="sv-FI"/>
                <w14:ligatures w14:val="standardContextual"/>
              </w:rPr>
              <w:tab/>
            </w:r>
            <w:r w:rsidRPr="004F3108">
              <w:rPr>
                <w:rStyle w:val="Hyperlnk"/>
              </w:rPr>
              <w:t>Totala hälso- och sjukvårdskostnader år 2022 på Åland, i riket och andra länder</w:t>
            </w:r>
            <w:r>
              <w:rPr>
                <w:webHidden/>
              </w:rPr>
              <w:tab/>
            </w:r>
            <w:r>
              <w:rPr>
                <w:webHidden/>
              </w:rPr>
              <w:fldChar w:fldCharType="begin"/>
            </w:r>
            <w:r>
              <w:rPr>
                <w:webHidden/>
              </w:rPr>
              <w:instrText xml:space="preserve"> PAGEREF _Toc242713597 \h </w:instrText>
            </w:r>
            <w:r>
              <w:rPr>
                <w:webHidden/>
              </w:rPr>
            </w:r>
            <w:r>
              <w:rPr>
                <w:webHidden/>
              </w:rPr>
              <w:fldChar w:fldCharType="separate"/>
            </w:r>
            <w:r>
              <w:rPr>
                <w:webHidden/>
              </w:rPr>
              <w:t>5</w:t>
            </w:r>
            <w:r>
              <w:rPr>
                <w:webHidden/>
              </w:rPr>
              <w:fldChar w:fldCharType="end"/>
            </w:r>
          </w:hyperlink>
        </w:p>
        <w:p w14:paraId="12E660F9" w14:textId="42404B91" w:rsidR="001957EB" w:rsidRDefault="001957EB">
          <w:pPr>
            <w:pStyle w:val="Innehll3"/>
            <w:tabs>
              <w:tab w:val="left" w:pos="998"/>
            </w:tabs>
            <w:rPr>
              <w:rFonts w:eastAsiaTheme="minorEastAsia" w:cstheme="minorBidi"/>
              <w:kern w:val="2"/>
              <w:sz w:val="24"/>
              <w:szCs w:val="24"/>
              <w:lang w:val="sv-FI" w:eastAsia="sv-FI"/>
              <w14:ligatures w14:val="standardContextual"/>
            </w:rPr>
          </w:pPr>
          <w:hyperlink w:anchor="_Toc242713598" w:history="1">
            <w:r w:rsidRPr="004F3108">
              <w:rPr>
                <w:rStyle w:val="Hyperlnk"/>
              </w:rPr>
              <w:t>3.1.</w:t>
            </w:r>
            <w:r>
              <w:rPr>
                <w:rFonts w:eastAsiaTheme="minorEastAsia" w:cstheme="minorBidi"/>
                <w:kern w:val="2"/>
                <w:sz w:val="24"/>
                <w:szCs w:val="24"/>
                <w:lang w:val="sv-FI" w:eastAsia="sv-FI"/>
                <w14:ligatures w14:val="standardContextual"/>
              </w:rPr>
              <w:tab/>
            </w:r>
            <w:r w:rsidRPr="004F3108">
              <w:rPr>
                <w:rStyle w:val="Hyperlnk"/>
              </w:rPr>
              <w:t>Totala hälso- och sjukvårdskostnader på Åland</w:t>
            </w:r>
            <w:r>
              <w:rPr>
                <w:webHidden/>
              </w:rPr>
              <w:tab/>
            </w:r>
            <w:r>
              <w:rPr>
                <w:webHidden/>
              </w:rPr>
              <w:fldChar w:fldCharType="begin"/>
            </w:r>
            <w:r>
              <w:rPr>
                <w:webHidden/>
              </w:rPr>
              <w:instrText xml:space="preserve"> PAGEREF _Toc242713598 \h </w:instrText>
            </w:r>
            <w:r>
              <w:rPr>
                <w:webHidden/>
              </w:rPr>
            </w:r>
            <w:r>
              <w:rPr>
                <w:webHidden/>
              </w:rPr>
              <w:fldChar w:fldCharType="separate"/>
            </w:r>
            <w:r>
              <w:rPr>
                <w:webHidden/>
              </w:rPr>
              <w:t>6</w:t>
            </w:r>
            <w:r>
              <w:rPr>
                <w:webHidden/>
              </w:rPr>
              <w:fldChar w:fldCharType="end"/>
            </w:r>
          </w:hyperlink>
        </w:p>
        <w:p w14:paraId="2B22FAA3" w14:textId="06AB0159" w:rsidR="001957EB" w:rsidRDefault="001957EB">
          <w:pPr>
            <w:pStyle w:val="Innehll3"/>
            <w:tabs>
              <w:tab w:val="left" w:pos="998"/>
            </w:tabs>
            <w:rPr>
              <w:rFonts w:eastAsiaTheme="minorEastAsia" w:cstheme="minorBidi"/>
              <w:kern w:val="2"/>
              <w:sz w:val="24"/>
              <w:szCs w:val="24"/>
              <w:lang w:val="sv-FI" w:eastAsia="sv-FI"/>
              <w14:ligatures w14:val="standardContextual"/>
            </w:rPr>
          </w:pPr>
          <w:hyperlink w:anchor="_Toc242713599" w:history="1">
            <w:r w:rsidRPr="004F3108">
              <w:rPr>
                <w:rStyle w:val="Hyperlnk"/>
              </w:rPr>
              <w:t>3.2.</w:t>
            </w:r>
            <w:r>
              <w:rPr>
                <w:rFonts w:eastAsiaTheme="minorEastAsia" w:cstheme="minorBidi"/>
                <w:kern w:val="2"/>
                <w:sz w:val="24"/>
                <w:szCs w:val="24"/>
                <w:lang w:val="sv-FI" w:eastAsia="sv-FI"/>
                <w14:ligatures w14:val="standardContextual"/>
              </w:rPr>
              <w:tab/>
            </w:r>
            <w:r w:rsidRPr="004F3108">
              <w:rPr>
                <w:rStyle w:val="Hyperlnk"/>
              </w:rPr>
              <w:t>Totala kostnader jämfört med riket och andra länder</w:t>
            </w:r>
            <w:r>
              <w:rPr>
                <w:webHidden/>
              </w:rPr>
              <w:tab/>
            </w:r>
            <w:r>
              <w:rPr>
                <w:webHidden/>
              </w:rPr>
              <w:fldChar w:fldCharType="begin"/>
            </w:r>
            <w:r>
              <w:rPr>
                <w:webHidden/>
              </w:rPr>
              <w:instrText xml:space="preserve"> PAGEREF _Toc242713599 \h </w:instrText>
            </w:r>
            <w:r>
              <w:rPr>
                <w:webHidden/>
              </w:rPr>
            </w:r>
            <w:r>
              <w:rPr>
                <w:webHidden/>
              </w:rPr>
              <w:fldChar w:fldCharType="separate"/>
            </w:r>
            <w:r>
              <w:rPr>
                <w:webHidden/>
              </w:rPr>
              <w:t>7</w:t>
            </w:r>
            <w:r>
              <w:rPr>
                <w:webHidden/>
              </w:rPr>
              <w:fldChar w:fldCharType="end"/>
            </w:r>
          </w:hyperlink>
        </w:p>
        <w:p w14:paraId="77F6124F" w14:textId="0CEC39E2" w:rsidR="001957EB" w:rsidRDefault="001957EB">
          <w:pPr>
            <w:pStyle w:val="Innehll2"/>
            <w:tabs>
              <w:tab w:val="left" w:pos="799"/>
            </w:tabs>
            <w:rPr>
              <w:rFonts w:eastAsiaTheme="minorEastAsia" w:cstheme="minorBidi"/>
              <w:kern w:val="2"/>
              <w:sz w:val="24"/>
              <w:szCs w:val="24"/>
              <w:lang w:val="sv-FI" w:eastAsia="sv-FI"/>
              <w14:ligatures w14:val="standardContextual"/>
            </w:rPr>
          </w:pPr>
          <w:hyperlink w:anchor="_Toc242713600" w:history="1">
            <w:r w:rsidRPr="004F3108">
              <w:rPr>
                <w:rStyle w:val="Hyperlnk"/>
              </w:rPr>
              <w:t>4.</w:t>
            </w:r>
            <w:r>
              <w:rPr>
                <w:rFonts w:eastAsiaTheme="minorEastAsia" w:cstheme="minorBidi"/>
                <w:kern w:val="2"/>
                <w:sz w:val="24"/>
                <w:szCs w:val="24"/>
                <w:lang w:val="sv-FI" w:eastAsia="sv-FI"/>
                <w14:ligatures w14:val="standardContextual"/>
              </w:rPr>
              <w:tab/>
            </w:r>
            <w:r w:rsidRPr="004F3108">
              <w:rPr>
                <w:rStyle w:val="Hyperlnk"/>
              </w:rPr>
              <w:t>Slutsatser</w:t>
            </w:r>
            <w:r>
              <w:rPr>
                <w:webHidden/>
              </w:rPr>
              <w:tab/>
            </w:r>
            <w:r>
              <w:rPr>
                <w:webHidden/>
              </w:rPr>
              <w:fldChar w:fldCharType="begin"/>
            </w:r>
            <w:r>
              <w:rPr>
                <w:webHidden/>
              </w:rPr>
              <w:instrText xml:space="preserve"> PAGEREF _Toc242713600 \h </w:instrText>
            </w:r>
            <w:r>
              <w:rPr>
                <w:webHidden/>
              </w:rPr>
            </w:r>
            <w:r>
              <w:rPr>
                <w:webHidden/>
              </w:rPr>
              <w:fldChar w:fldCharType="separate"/>
            </w:r>
            <w:r>
              <w:rPr>
                <w:webHidden/>
              </w:rPr>
              <w:t>10</w:t>
            </w:r>
            <w:r>
              <w:rPr>
                <w:webHidden/>
              </w:rPr>
              <w:fldChar w:fldCharType="end"/>
            </w:r>
          </w:hyperlink>
        </w:p>
        <w:p w14:paraId="36294B66" w14:textId="764F96E0" w:rsidR="001957EB" w:rsidRDefault="001957EB">
          <w:pPr>
            <w:pStyle w:val="Innehll2"/>
            <w:tabs>
              <w:tab w:val="left" w:pos="799"/>
            </w:tabs>
            <w:rPr>
              <w:rFonts w:eastAsiaTheme="minorEastAsia" w:cstheme="minorBidi"/>
              <w:kern w:val="2"/>
              <w:sz w:val="24"/>
              <w:szCs w:val="24"/>
              <w:lang w:val="sv-FI" w:eastAsia="sv-FI"/>
              <w14:ligatures w14:val="standardContextual"/>
            </w:rPr>
          </w:pPr>
          <w:hyperlink w:anchor="_Toc242713601" w:history="1">
            <w:r w:rsidRPr="004F3108">
              <w:rPr>
                <w:rStyle w:val="Hyperlnk"/>
              </w:rPr>
              <w:t>5.</w:t>
            </w:r>
            <w:r>
              <w:rPr>
                <w:rFonts w:eastAsiaTheme="minorEastAsia" w:cstheme="minorBidi"/>
                <w:kern w:val="2"/>
                <w:sz w:val="24"/>
                <w:szCs w:val="24"/>
                <w:lang w:val="sv-FI" w:eastAsia="sv-FI"/>
                <w14:ligatures w14:val="standardContextual"/>
              </w:rPr>
              <w:tab/>
            </w:r>
            <w:r w:rsidRPr="004F3108">
              <w:rPr>
                <w:rStyle w:val="Hyperlnk"/>
              </w:rPr>
              <w:t>Diskussionspunkter</w:t>
            </w:r>
            <w:r>
              <w:rPr>
                <w:webHidden/>
              </w:rPr>
              <w:tab/>
            </w:r>
            <w:r>
              <w:rPr>
                <w:webHidden/>
              </w:rPr>
              <w:fldChar w:fldCharType="begin"/>
            </w:r>
            <w:r>
              <w:rPr>
                <w:webHidden/>
              </w:rPr>
              <w:instrText xml:space="preserve"> PAGEREF _Toc242713601 \h </w:instrText>
            </w:r>
            <w:r>
              <w:rPr>
                <w:webHidden/>
              </w:rPr>
            </w:r>
            <w:r>
              <w:rPr>
                <w:webHidden/>
              </w:rPr>
              <w:fldChar w:fldCharType="separate"/>
            </w:r>
            <w:r>
              <w:rPr>
                <w:webHidden/>
              </w:rPr>
              <w:t>11</w:t>
            </w:r>
            <w:r>
              <w:rPr>
                <w:webHidden/>
              </w:rPr>
              <w:fldChar w:fldCharType="end"/>
            </w:r>
          </w:hyperlink>
        </w:p>
        <w:p w14:paraId="693E54B4" w14:textId="73D45DB0" w:rsidR="001957EB" w:rsidRDefault="001957EB">
          <w:pPr>
            <w:pStyle w:val="Innehll2"/>
            <w:rPr>
              <w:rFonts w:eastAsiaTheme="minorEastAsia" w:cstheme="minorBidi"/>
              <w:kern w:val="2"/>
              <w:sz w:val="24"/>
              <w:szCs w:val="24"/>
              <w:lang w:val="sv-FI" w:eastAsia="sv-FI"/>
              <w14:ligatures w14:val="standardContextual"/>
            </w:rPr>
          </w:pPr>
          <w:hyperlink w:anchor="_Toc242713602" w:history="1">
            <w:r w:rsidRPr="004F3108">
              <w:rPr>
                <w:rStyle w:val="Hyperlnk"/>
              </w:rPr>
              <w:t>Bilaga: Privat sjukvård på Åland</w:t>
            </w:r>
            <w:r>
              <w:rPr>
                <w:webHidden/>
              </w:rPr>
              <w:tab/>
            </w:r>
            <w:r>
              <w:rPr>
                <w:webHidden/>
              </w:rPr>
              <w:fldChar w:fldCharType="begin"/>
            </w:r>
            <w:r>
              <w:rPr>
                <w:webHidden/>
              </w:rPr>
              <w:instrText xml:space="preserve"> PAGEREF _Toc242713602 \h </w:instrText>
            </w:r>
            <w:r>
              <w:rPr>
                <w:webHidden/>
              </w:rPr>
            </w:r>
            <w:r>
              <w:rPr>
                <w:webHidden/>
              </w:rPr>
              <w:fldChar w:fldCharType="separate"/>
            </w:r>
            <w:r>
              <w:rPr>
                <w:webHidden/>
              </w:rPr>
              <w:t>12</w:t>
            </w:r>
            <w:r>
              <w:rPr>
                <w:webHidden/>
              </w:rPr>
              <w:fldChar w:fldCharType="end"/>
            </w:r>
          </w:hyperlink>
        </w:p>
        <w:p w14:paraId="55FEA5F2" w14:textId="174476A1" w:rsidR="00240535" w:rsidRDefault="00240535" w:rsidP="009F3506">
          <w:pPr>
            <w:rPr>
              <w:b/>
              <w:bCs/>
            </w:rPr>
          </w:pPr>
          <w:r>
            <w:rPr>
              <w:noProof/>
            </w:rPr>
            <w:fldChar w:fldCharType="end"/>
          </w:r>
        </w:p>
      </w:sdtContent>
    </w:sdt>
    <w:p w14:paraId="1EF91281" w14:textId="7E93C17F" w:rsidR="00651042" w:rsidRDefault="00651042" w:rsidP="00EB1AF2">
      <w:pPr>
        <w:autoSpaceDE/>
        <w:autoSpaceDN/>
        <w:adjustRightInd/>
        <w:spacing w:line="240" w:lineRule="auto"/>
        <w:textAlignment w:val="auto"/>
        <w:rPr>
          <w:b/>
          <w:bCs/>
        </w:rPr>
      </w:pPr>
      <w:r>
        <w:rPr>
          <w:b/>
          <w:bCs/>
        </w:rPr>
        <w:br w:type="page"/>
      </w:r>
    </w:p>
    <w:p w14:paraId="2062193E" w14:textId="2AF218F6" w:rsidR="00D177CD" w:rsidRPr="00684C96" w:rsidRDefault="00D177CD" w:rsidP="00684C96">
      <w:pPr>
        <w:pStyle w:val="Rubrik2"/>
        <w:numPr>
          <w:ilvl w:val="0"/>
          <w:numId w:val="16"/>
        </w:numPr>
      </w:pPr>
      <w:bookmarkStart w:id="2" w:name="_Toc242713595"/>
      <w:r w:rsidRPr="00684C96">
        <w:lastRenderedPageBreak/>
        <w:t xml:space="preserve">Översikt </w:t>
      </w:r>
      <w:r w:rsidR="00651042" w:rsidRPr="00684C96">
        <w:t xml:space="preserve">och avgränsningar gällande </w:t>
      </w:r>
      <w:r w:rsidRPr="00684C96">
        <w:t>kostnad</w:t>
      </w:r>
      <w:r w:rsidR="00A83A59" w:rsidRPr="00684C96">
        <w:t>sställen</w:t>
      </w:r>
      <w:r w:rsidRPr="00684C96">
        <w:t xml:space="preserve"> och finansieringskanaler</w:t>
      </w:r>
      <w:bookmarkEnd w:id="2"/>
    </w:p>
    <w:p w14:paraId="1B08A657" w14:textId="77777777" w:rsidR="00DA2A59" w:rsidRDefault="00DA2A59" w:rsidP="00EB1AF2">
      <w:pPr>
        <w:spacing w:line="240" w:lineRule="auto"/>
      </w:pPr>
    </w:p>
    <w:p w14:paraId="2D6776D6" w14:textId="4F1AE9FC" w:rsidR="003153DD" w:rsidRDefault="00D177CD" w:rsidP="00EB1AF2">
      <w:pPr>
        <w:spacing w:line="240" w:lineRule="auto"/>
      </w:pPr>
      <w:r>
        <w:t>Åland</w:t>
      </w:r>
      <w:r w:rsidR="000B4EAC">
        <w:t>s</w:t>
      </w:r>
      <w:r>
        <w:t xml:space="preserve"> hälso- och sjukvård (ÅHS) </w:t>
      </w:r>
      <w:r w:rsidR="003153DD">
        <w:t xml:space="preserve">är </w:t>
      </w:r>
      <w:r w:rsidR="008D24E1">
        <w:t xml:space="preserve">vårdvolymmässigt </w:t>
      </w:r>
      <w:r w:rsidR="003153DD">
        <w:t xml:space="preserve">den </w:t>
      </w:r>
      <w:r>
        <w:t>med bred marginal</w:t>
      </w:r>
      <w:r w:rsidR="003153DD">
        <w:t xml:space="preserve"> största </w:t>
      </w:r>
      <w:r>
        <w:t>hälso- och sjukvård</w:t>
      </w:r>
      <w:r w:rsidR="003153DD">
        <w:t>sproducenten</w:t>
      </w:r>
      <w:r>
        <w:t xml:space="preserve"> på Åland. ÅHS dominerande roll är särskilt tydlig om man skarpt avgränsar vad som betraktas som hälso- och sjukvård till det som faller under l</w:t>
      </w:r>
      <w:r w:rsidRPr="00D177CD">
        <w:t>andskapslag (2011:114) om hälso- och sjukvård</w:t>
      </w:r>
      <w:r>
        <w:t xml:space="preserve"> respektive l</w:t>
      </w:r>
      <w:r w:rsidRPr="00D177CD">
        <w:t>andskapslag (2024:29) om privat hälso- och sjukvård</w:t>
      </w:r>
      <w:r>
        <w:t xml:space="preserve">. </w:t>
      </w:r>
      <w:r w:rsidR="00DA2A59">
        <w:t>Även privata tjänsteproducenter bidrar till produktionen av hälso- och sjukvård på Åland</w:t>
      </w:r>
      <w:r w:rsidR="00A315BD">
        <w:t xml:space="preserve">, men i betydligt mindre </w:t>
      </w:r>
      <w:r w:rsidR="00CC1437">
        <w:t xml:space="preserve">utsträckning </w:t>
      </w:r>
      <w:r w:rsidR="00A315BD">
        <w:t>än ÅHS</w:t>
      </w:r>
      <w:r w:rsidR="005E2781">
        <w:t xml:space="preserve">, </w:t>
      </w:r>
      <w:r w:rsidR="00A315BD">
        <w:t>med undantag för företagshälsovården och tandvården där de privata tjänsteproducenterna dominerar</w:t>
      </w:r>
      <w:r w:rsidR="005E2781">
        <w:t xml:space="preserve"> (</w:t>
      </w:r>
      <w:r w:rsidR="00DA2A59">
        <w:t xml:space="preserve">se </w:t>
      </w:r>
      <w:r w:rsidR="00973CD8">
        <w:t xml:space="preserve">bilaga </w:t>
      </w:r>
      <w:r w:rsidR="00DA2A59">
        <w:t>om p</w:t>
      </w:r>
      <w:r w:rsidR="00DA2A59" w:rsidRPr="00DA2A59">
        <w:t>rivat sjukvård på Åland</w:t>
      </w:r>
      <w:r w:rsidR="008D24E1">
        <w:rPr>
          <w:rStyle w:val="Fotnotsreferens"/>
        </w:rPr>
        <w:footnoteReference w:id="1"/>
      </w:r>
      <w:r w:rsidR="00DA2A59">
        <w:t>).</w:t>
      </w:r>
      <w:r w:rsidR="00917367">
        <w:t xml:space="preserve"> </w:t>
      </w:r>
      <w:r w:rsidR="00DA2A59">
        <w:t xml:space="preserve"> </w:t>
      </w:r>
    </w:p>
    <w:p w14:paraId="36403B5B" w14:textId="77777777" w:rsidR="003153DD" w:rsidRDefault="003153DD" w:rsidP="00EB1AF2">
      <w:pPr>
        <w:spacing w:line="240" w:lineRule="auto"/>
      </w:pPr>
    </w:p>
    <w:p w14:paraId="3F7E6596" w14:textId="5A382CDA" w:rsidR="00A83A59" w:rsidRDefault="00DA2A59" w:rsidP="00EB1AF2">
      <w:pPr>
        <w:spacing w:line="240" w:lineRule="auto"/>
      </w:pPr>
      <w:r>
        <w:t xml:space="preserve">Kostnaderna för ÅHS dominerar de totala hälso- och sjukvårdskostnaderna i landskapet. ÅHS finansieras främst </w:t>
      </w:r>
      <w:r w:rsidR="008D24E1">
        <w:t xml:space="preserve">med skatter och liknande </w:t>
      </w:r>
      <w:r>
        <w:t xml:space="preserve">genom landskapsbudgeten och i mindre utsträckning </w:t>
      </w:r>
      <w:r w:rsidR="005E2781">
        <w:t>genom den nationella socialförsäkringen</w:t>
      </w:r>
      <w:r w:rsidR="008D24E1">
        <w:t xml:space="preserve"> via ersättningar från Folkpensionsanstalten (FPA). Övriga finansieringskanaler för ÅHS är </w:t>
      </w:r>
      <w:r>
        <w:t xml:space="preserve">privata sjukförsäkringar, </w:t>
      </w:r>
      <w:r w:rsidR="00A83A59">
        <w:t>patient- och klientavgifter, försäljningsintäkter, hyresintäkter och övriga intäkter. De privata tjänsteproducenterna finansieras främst via FPA ersättningar</w:t>
      </w:r>
      <w:r w:rsidR="007F0973">
        <w:t xml:space="preserve"> och</w:t>
      </w:r>
      <w:r w:rsidR="00A83A59">
        <w:t xml:space="preserve"> arbetsgivares </w:t>
      </w:r>
      <w:r w:rsidR="005E2781">
        <w:t xml:space="preserve">ersättningar </w:t>
      </w:r>
      <w:r w:rsidR="00A83A59">
        <w:t xml:space="preserve">för företagshälsovård, </w:t>
      </w:r>
      <w:r w:rsidR="007F0973">
        <w:t xml:space="preserve">och i mindre utsträckning via </w:t>
      </w:r>
      <w:r w:rsidR="00A83A59">
        <w:t xml:space="preserve">privata sjukförsäkringar och patientavgifter. </w:t>
      </w:r>
    </w:p>
    <w:p w14:paraId="39A8B166" w14:textId="77777777" w:rsidR="00A83A59" w:rsidRDefault="00A83A59" w:rsidP="00EB1AF2">
      <w:pPr>
        <w:spacing w:line="240" w:lineRule="auto"/>
      </w:pPr>
    </w:p>
    <w:p w14:paraId="387D7877" w14:textId="2BB864AF" w:rsidR="00D177CD" w:rsidRDefault="00A83A59" w:rsidP="00EB1AF2">
      <w:pPr>
        <w:spacing w:line="240" w:lineRule="auto"/>
      </w:pPr>
      <w:r>
        <w:t>Med en bredare syn på vad som ska räknas som hälso- och sjukvård bli</w:t>
      </w:r>
      <w:r w:rsidR="001F3BC7">
        <w:t xml:space="preserve">r bilden mer komplex. </w:t>
      </w:r>
      <w:r w:rsidR="00D177CD">
        <w:t xml:space="preserve">Kommunerna, </w:t>
      </w:r>
      <w:r w:rsidR="00AD6DFF">
        <w:t>Kommunernas socialtjänst (</w:t>
      </w:r>
      <w:r w:rsidR="00D177CD">
        <w:t>KST</w:t>
      </w:r>
      <w:r w:rsidR="00AD6DFF">
        <w:t>)</w:t>
      </w:r>
      <w:r w:rsidR="00DA2A59">
        <w:t xml:space="preserve">, </w:t>
      </w:r>
      <w:r w:rsidR="00D177CD">
        <w:t>kommunförbunde</w:t>
      </w:r>
      <w:r w:rsidR="00AD6DFF">
        <w:t>n</w:t>
      </w:r>
      <w:r w:rsidR="00D177CD">
        <w:t xml:space="preserve"> </w:t>
      </w:r>
      <w:r w:rsidR="00DA2A59">
        <w:t xml:space="preserve">och privata </w:t>
      </w:r>
      <w:r w:rsidR="00A315BD">
        <w:t>socialvårds</w:t>
      </w:r>
      <w:r w:rsidR="00DA2A59">
        <w:t xml:space="preserve">producenter </w:t>
      </w:r>
      <w:r w:rsidR="00D177CD">
        <w:t>producerar tjänster som faller under l</w:t>
      </w:r>
      <w:r w:rsidR="00D177CD" w:rsidRPr="00D177CD">
        <w:t>andskapslag (2020:12) om socialvård</w:t>
      </w:r>
      <w:r w:rsidR="00DA2A59">
        <w:t xml:space="preserve"> respektive riksl</w:t>
      </w:r>
      <w:r w:rsidR="00DA2A59" w:rsidRPr="00DA2A59">
        <w:t>ag</w:t>
      </w:r>
      <w:r w:rsidR="008D24E1">
        <w:t>stiftning</w:t>
      </w:r>
      <w:r w:rsidR="00DA2A59" w:rsidRPr="00DA2A59">
        <w:t xml:space="preserve"> om privat socialservice (FFS 922/2011)</w:t>
      </w:r>
      <w:r w:rsidR="00DA2A59">
        <w:t xml:space="preserve"> </w:t>
      </w:r>
      <w:r w:rsidR="00A315BD">
        <w:t>(</w:t>
      </w:r>
      <w:r w:rsidR="00DA2A59">
        <w:t xml:space="preserve">som är </w:t>
      </w:r>
      <w:r w:rsidR="00DA2A59" w:rsidRPr="00DA2A59">
        <w:t>antagen på Åland genom landskapslag</w:t>
      </w:r>
      <w:r w:rsidR="00A315BD">
        <w:t xml:space="preserve"> </w:t>
      </w:r>
      <w:r w:rsidR="00DA2A59" w:rsidRPr="00DA2A59">
        <w:t>2012:36)</w:t>
      </w:r>
      <w:r w:rsidR="001F3BC7">
        <w:t>. Vissa av dessa tjänster ligger nära eller skulle helt kunna definieras som hälso- och sjukvård, t.ex. stora delar av institutionsvården</w:t>
      </w:r>
      <w:r w:rsidR="003153DD">
        <w:t xml:space="preserve">, </w:t>
      </w:r>
      <w:r w:rsidR="001F3BC7">
        <w:t>alkohol- och drogarbetet, samt delar av hemservicen och boendeservicen</w:t>
      </w:r>
      <w:r w:rsidR="00CC1437">
        <w:t xml:space="preserve"> (hemsjukvården räknas redan in under ÅHS kostnader)</w:t>
      </w:r>
      <w:r w:rsidR="00DA2A59">
        <w:t>.</w:t>
      </w:r>
      <w:r w:rsidR="001F3BC7">
        <w:t xml:space="preserve"> </w:t>
      </w:r>
      <w:r w:rsidR="00CC1437">
        <w:t xml:space="preserve">Delar av finansieringskanalerna för sådana insatser, som kommunalskatt, landskapsandelar och klientavgifter, </w:t>
      </w:r>
      <w:r w:rsidR="003153DD">
        <w:t xml:space="preserve">skulle därför </w:t>
      </w:r>
      <w:r w:rsidR="00CC1437">
        <w:t xml:space="preserve">också </w:t>
      </w:r>
      <w:r w:rsidR="003153DD">
        <w:t xml:space="preserve">kunna </w:t>
      </w:r>
      <w:r w:rsidR="00CC1437">
        <w:t xml:space="preserve">räknas som finansieringskanaler för hälso- och sjukvård. </w:t>
      </w:r>
      <w:r w:rsidR="0020106C">
        <w:t xml:space="preserve">Det är viktigt att beakta att såväl historiska som framtida kostnadstrender för </w:t>
      </w:r>
      <w:r w:rsidR="000B4EAC">
        <w:t xml:space="preserve">det som konventionellt räknas som kostnader för </w:t>
      </w:r>
      <w:r w:rsidR="0020106C">
        <w:t xml:space="preserve">hälso- och sjukvården påverkas kraftigt av ansvarsförskjutningar mellan hälso- och sjukvården och socialvården och motsvarande kostnadsförskjutningar. Det är därför av värde att </w:t>
      </w:r>
      <w:r w:rsidR="00CC1437">
        <w:t xml:space="preserve">försöka </w:t>
      </w:r>
      <w:r w:rsidR="0020106C">
        <w:t xml:space="preserve">beräkna </w:t>
      </w:r>
      <w:r w:rsidR="00A315BD">
        <w:t>total</w:t>
      </w:r>
      <w:r w:rsidR="0020106C">
        <w:t xml:space="preserve">kostnader över sektorsgränserna och analysera möjliga </w:t>
      </w:r>
      <w:r w:rsidR="00CC1437">
        <w:t xml:space="preserve">konsekvenser av </w:t>
      </w:r>
      <w:r w:rsidR="0020106C">
        <w:t>framtida alternativa modeller för ansvarsfördelningen. En sådan analys behöver kopplas till de analyser som g</w:t>
      </w:r>
      <w:r w:rsidR="007F0973">
        <w:t xml:space="preserve">jorts </w:t>
      </w:r>
      <w:r w:rsidR="0020106C">
        <w:t>i delanalys 3 om f</w:t>
      </w:r>
      <w:r w:rsidR="0020106C" w:rsidRPr="0020106C">
        <w:t>ramtidens vårdstrukturer och nivåer</w:t>
      </w:r>
      <w:r w:rsidR="0020106C">
        <w:t xml:space="preserve">, där </w:t>
      </w:r>
      <w:r w:rsidR="00CC1437">
        <w:t xml:space="preserve">bland annat </w:t>
      </w:r>
      <w:r w:rsidR="0020106C">
        <w:t>en särskild analys av framtidens institutionsvård ingår</w:t>
      </w:r>
      <w:r w:rsidR="00CC1437">
        <w:t xml:space="preserve">, med </w:t>
      </w:r>
      <w:r w:rsidR="0020106C">
        <w:t xml:space="preserve">en </w:t>
      </w:r>
      <w:r w:rsidR="00CC1437">
        <w:t xml:space="preserve">specifik </w:t>
      </w:r>
      <w:r w:rsidR="0020106C">
        <w:t xml:space="preserve">frågeställning </w:t>
      </w:r>
      <w:r w:rsidR="00CC1437">
        <w:t xml:space="preserve">huruvida </w:t>
      </w:r>
      <w:r w:rsidR="0020106C">
        <w:t xml:space="preserve">huvudmannaskapet för denna ska övergå till ÅHS. </w:t>
      </w:r>
      <w:r w:rsidR="00A315BD">
        <w:t xml:space="preserve">En analys av totalkostnaderna inklusive delar av socialvårdens kostnader behövs också för internationella jämförelser, eftersom </w:t>
      </w:r>
      <w:r w:rsidR="00651042">
        <w:t xml:space="preserve">den rekommenderade metoden för nationella hälsoräkenskaper </w:t>
      </w:r>
      <w:r w:rsidR="000B4EAC">
        <w:t xml:space="preserve">anvisar att man </w:t>
      </w:r>
      <w:r w:rsidR="00CC1437">
        <w:t xml:space="preserve">till hälso- och sjukvårdskostnaderna </w:t>
      </w:r>
      <w:r w:rsidR="000B4EAC">
        <w:t xml:space="preserve">ska </w:t>
      </w:r>
      <w:r w:rsidR="00651042">
        <w:t xml:space="preserve">räkna vissa av </w:t>
      </w:r>
      <w:r w:rsidR="001F3BC7">
        <w:t>de kostnader som på Åland faller under social</w:t>
      </w:r>
      <w:r w:rsidR="003153DD">
        <w:t>vården</w:t>
      </w:r>
      <w:r w:rsidR="001F3BC7">
        <w:t xml:space="preserve">. </w:t>
      </w:r>
    </w:p>
    <w:p w14:paraId="05D4A007" w14:textId="77777777" w:rsidR="00D177CD" w:rsidRDefault="00D177CD" w:rsidP="00EB1AF2">
      <w:pPr>
        <w:spacing w:line="240" w:lineRule="auto"/>
      </w:pPr>
    </w:p>
    <w:p w14:paraId="76779C12" w14:textId="5A677FAF" w:rsidR="00651042" w:rsidRDefault="00651042" w:rsidP="00EB1AF2">
      <w:pPr>
        <w:spacing w:line="240" w:lineRule="auto"/>
      </w:pPr>
      <w:r>
        <w:t>Om man till hälsovård även räknar det preventiv</w:t>
      </w:r>
      <w:r w:rsidR="000B4EAC">
        <w:t>a</w:t>
      </w:r>
      <w:r>
        <w:t xml:space="preserve"> och hälsofrämjande arbete</w:t>
      </w:r>
      <w:r w:rsidR="000B4EAC">
        <w:t xml:space="preserve"> som görs</w:t>
      </w:r>
      <w:r>
        <w:t xml:space="preserve"> utanför sjukvården blir </w:t>
      </w:r>
      <w:r w:rsidR="00CC1437">
        <w:t xml:space="preserve">bilden ännu mer komplex och </w:t>
      </w:r>
      <w:r>
        <w:t xml:space="preserve">avgränsningen för vad som är hälso- och sjukvårdskostnader mycket svår, särskilt med tanke på att åtgärder inom i stort sett alla samhällssektorer har potentiella hälsokonsekvenser. Av denna anledning räknas inte kostnader </w:t>
      </w:r>
      <w:r w:rsidR="00CC1437">
        <w:t xml:space="preserve">för </w:t>
      </w:r>
      <w:r>
        <w:t>till exempel tredje sektorns specifika hälsofrämjande insatser</w:t>
      </w:r>
      <w:r w:rsidR="00CC1437">
        <w:t xml:space="preserve"> in i hälso- och sjukvårdskostnaderna på Åland</w:t>
      </w:r>
      <w:r>
        <w:t xml:space="preserve">, </w:t>
      </w:r>
      <w:r w:rsidR="00CC1437">
        <w:t>bland annat F</w:t>
      </w:r>
      <w:r>
        <w:t>olkhälsans ANDTS arbete och annan PAF</w:t>
      </w:r>
      <w:r w:rsidR="00A00292">
        <w:t>-</w:t>
      </w:r>
      <w:r>
        <w:t>finansierad hälsofrämjande</w:t>
      </w:r>
      <w:r w:rsidR="00CC1437">
        <w:t xml:space="preserve"> verksamhet</w:t>
      </w:r>
      <w:r>
        <w:t xml:space="preserve">.  </w:t>
      </w:r>
    </w:p>
    <w:p w14:paraId="1036C64C" w14:textId="76F84EC0" w:rsidR="00D177CD" w:rsidRDefault="00D177CD" w:rsidP="00EB1AF2">
      <w:pPr>
        <w:spacing w:line="240" w:lineRule="auto"/>
      </w:pPr>
      <w:r>
        <w:t xml:space="preserve">  </w:t>
      </w:r>
    </w:p>
    <w:p w14:paraId="7D0448DE" w14:textId="77777777" w:rsidR="002F3B5A" w:rsidRDefault="002F3B5A" w:rsidP="00EB1AF2">
      <w:pPr>
        <w:spacing w:line="240" w:lineRule="auto"/>
      </w:pPr>
    </w:p>
    <w:p w14:paraId="08D5AFF2" w14:textId="02DCB185" w:rsidR="007F0973" w:rsidRDefault="007F0973">
      <w:pPr>
        <w:autoSpaceDE/>
        <w:autoSpaceDN/>
        <w:adjustRightInd/>
        <w:spacing w:after="160" w:line="259" w:lineRule="auto"/>
        <w:textAlignment w:val="auto"/>
      </w:pPr>
      <w:r>
        <w:br w:type="page"/>
      </w:r>
    </w:p>
    <w:p w14:paraId="6792ECC4" w14:textId="77777777" w:rsidR="002F3B5A" w:rsidRDefault="002F3B5A" w:rsidP="00EB1AF2">
      <w:pPr>
        <w:spacing w:line="240" w:lineRule="auto"/>
      </w:pPr>
    </w:p>
    <w:p w14:paraId="2C060B06" w14:textId="75D33AB9" w:rsidR="0019597B" w:rsidRPr="00684C96" w:rsidRDefault="0019597B" w:rsidP="00684C96">
      <w:pPr>
        <w:pStyle w:val="Rubrik2"/>
        <w:numPr>
          <w:ilvl w:val="0"/>
          <w:numId w:val="16"/>
        </w:numPr>
      </w:pPr>
      <w:bookmarkStart w:id="3" w:name="_Toc242713596"/>
      <w:r w:rsidRPr="00684C96">
        <w:t xml:space="preserve">ÅHS kostnader jämfört med motsvarande </w:t>
      </w:r>
      <w:r w:rsidR="003A2B40" w:rsidRPr="00684C96">
        <w:t>sjukvårds</w:t>
      </w:r>
      <w:r w:rsidRPr="00684C96">
        <w:t>kostnader i riket 2016-2022</w:t>
      </w:r>
      <w:bookmarkEnd w:id="3"/>
    </w:p>
    <w:p w14:paraId="21C58E0C" w14:textId="5684498A" w:rsidR="002F3B5A" w:rsidRPr="0019597B" w:rsidRDefault="002F3B5A" w:rsidP="0019597B">
      <w:pPr>
        <w:pStyle w:val="Liststycke"/>
        <w:spacing w:line="240" w:lineRule="auto"/>
        <w:ind w:left="360"/>
        <w:rPr>
          <w:b/>
          <w:bCs/>
        </w:rPr>
      </w:pPr>
    </w:p>
    <w:p w14:paraId="78B3595E" w14:textId="3580964B" w:rsidR="003A2B40" w:rsidRDefault="002A62A6" w:rsidP="00EB1AF2">
      <w:pPr>
        <w:spacing w:line="240" w:lineRule="auto"/>
      </w:pPr>
      <w:r>
        <w:t>Det finns inte idag tillgängligt material där en enkel och fullständig jämförelse av ÅHS driftskostnader med motsvarande i riket</w:t>
      </w:r>
      <w:r w:rsidR="003A2B40">
        <w:t>, p.g.a att förutsättningarna skiljer sig mellan ÅHS och välfärdsområdena</w:t>
      </w:r>
      <w:r>
        <w:t>. ÅHS har tagit fram en förenklad kalkyl där jämförelsetalet justerats och därmed kan en ungefärlig jämförelse göras</w:t>
      </w:r>
      <w:r w:rsidR="0003042A">
        <w:t>. F</w:t>
      </w:r>
      <w:r>
        <w:t>ramför</w:t>
      </w:r>
      <w:r w:rsidR="008D24E1">
        <w:t xml:space="preserve"> </w:t>
      </w:r>
      <w:r>
        <w:t>allt kan trend</w:t>
      </w:r>
      <w:r w:rsidR="0003042A">
        <w:t>er</w:t>
      </w:r>
      <w:r>
        <w:t xml:space="preserve"> jämföras om man ser utvecklingen flera år.</w:t>
      </w:r>
      <w:r w:rsidR="00793D67">
        <w:t xml:space="preserve"> Kostnaderna innehåller endast driftskostnader. Investeringskostnader och intäkter har ej medräknats.</w:t>
      </w:r>
      <w:r w:rsidR="003A2B40">
        <w:t xml:space="preserve"> </w:t>
      </w:r>
      <w:r>
        <w:t xml:space="preserve">Uppgifterna för ÅHS kostnader kommer från ÅHS bokslut. </w:t>
      </w:r>
      <w:r w:rsidR="003A2B40">
        <w:t xml:space="preserve">Kostnaderna för Finland totalt </w:t>
      </w:r>
      <w:r w:rsidR="007F0973">
        <w:t xml:space="preserve">har </w:t>
      </w:r>
      <w:r w:rsidR="003A2B40">
        <w:t>hämta</w:t>
      </w:r>
      <w:r w:rsidR="007F0973">
        <w:t>t</w:t>
      </w:r>
      <w:r w:rsidR="003A2B40">
        <w:t xml:space="preserve">s från THL:s </w:t>
      </w:r>
      <w:r w:rsidR="007F0973">
        <w:t>Sotkanet</w:t>
      </w:r>
      <w:r w:rsidR="003A2B40">
        <w:t xml:space="preserve">. </w:t>
      </w:r>
    </w:p>
    <w:p w14:paraId="0E7EA4A7" w14:textId="77777777" w:rsidR="003A2B40" w:rsidRDefault="003A2B40" w:rsidP="00EB1AF2">
      <w:pPr>
        <w:spacing w:line="240" w:lineRule="auto"/>
      </w:pPr>
    </w:p>
    <w:p w14:paraId="40C8C4ED" w14:textId="04B7C89F" w:rsidR="00C45E08" w:rsidRDefault="003A2B40" w:rsidP="00EB1AF2">
      <w:pPr>
        <w:spacing w:line="240" w:lineRule="auto"/>
      </w:pPr>
      <w:r>
        <w:t>För att åstadkomma en någorlunda rättvis jämförelse har k</w:t>
      </w:r>
      <w:r w:rsidR="002A62A6">
        <w:t>ostnaderna justerats genom en eliminering av kostnaderna för hemsjukvården och munhälsovården (tandvården)</w:t>
      </w:r>
      <w:r>
        <w:t xml:space="preserve"> då dessa kostnader inte är jämförbara mellan Åland och riket</w:t>
      </w:r>
      <w:r w:rsidR="002A62A6">
        <w:t xml:space="preserve">. </w:t>
      </w:r>
      <w:r>
        <w:t>F</w:t>
      </w:r>
      <w:r w:rsidR="002A62A6">
        <w:t xml:space="preserve">ör Finland totalt har </w:t>
      </w:r>
      <w:r>
        <w:t xml:space="preserve">även kostnaderna för </w:t>
      </w:r>
      <w:r w:rsidR="002A62A6">
        <w:t>företagshälsovård</w:t>
      </w:r>
      <w:r w:rsidR="00C45E08">
        <w:t>, långvård och hemvård för äldre och handikappade samt försvarsmaktens kostnader</w:t>
      </w:r>
      <w:r>
        <w:t xml:space="preserve"> eliminerats, vilka är kostnader som inte tillhör ÅHS ansvarsområde på Åland</w:t>
      </w:r>
      <w:r w:rsidR="00C45E08">
        <w:t>. Dessa justerade kostnader benämns ”rensad kostnad”</w:t>
      </w:r>
      <w:r w:rsidR="004735B0">
        <w:t xml:space="preserve"> (tabell 1)</w:t>
      </w:r>
      <w:r w:rsidR="00793D67">
        <w:t>.</w:t>
      </w:r>
    </w:p>
    <w:p w14:paraId="44D16DD4" w14:textId="77777777" w:rsidR="00793D67" w:rsidRDefault="00793D67" w:rsidP="00EB1AF2">
      <w:pPr>
        <w:spacing w:line="240" w:lineRule="auto"/>
      </w:pPr>
    </w:p>
    <w:p w14:paraId="0D3F6046" w14:textId="77777777" w:rsidR="003A2B40" w:rsidRDefault="003A2B40" w:rsidP="00EB1AF2">
      <w:pPr>
        <w:spacing w:line="240" w:lineRule="auto"/>
      </w:pPr>
    </w:p>
    <w:p w14:paraId="00E45E96" w14:textId="22CD3129" w:rsidR="004735B0" w:rsidRDefault="004735B0" w:rsidP="00EB1AF2">
      <w:pPr>
        <w:spacing w:line="240" w:lineRule="auto"/>
      </w:pPr>
      <w:r>
        <w:t>Tabell 1. Totala driftkostnader och rensade driftkostnader inom ÅHS och i hela Finland 2016-2022</w:t>
      </w:r>
    </w:p>
    <w:p w14:paraId="7FB17C69" w14:textId="3BBDF171" w:rsidR="00C45E08" w:rsidRDefault="00793D67" w:rsidP="00EB1AF2">
      <w:pPr>
        <w:spacing w:line="240" w:lineRule="auto"/>
      </w:pPr>
      <w:r w:rsidRPr="00793D67">
        <w:rPr>
          <w:noProof/>
        </w:rPr>
        <w:drawing>
          <wp:inline distT="0" distB="0" distL="0" distR="0" wp14:anchorId="73049623" wp14:editId="29C86F44">
            <wp:extent cx="6120130" cy="1172210"/>
            <wp:effectExtent l="0" t="0" r="0" b="8890"/>
            <wp:docPr id="30581276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1172210"/>
                    </a:xfrm>
                    <a:prstGeom prst="rect">
                      <a:avLst/>
                    </a:prstGeom>
                    <a:noFill/>
                    <a:ln>
                      <a:noFill/>
                    </a:ln>
                  </pic:spPr>
                </pic:pic>
              </a:graphicData>
            </a:graphic>
          </wp:inline>
        </w:drawing>
      </w:r>
    </w:p>
    <w:p w14:paraId="7673F8FE" w14:textId="77777777" w:rsidR="00793D67" w:rsidRDefault="00793D67" w:rsidP="00EB1AF2">
      <w:pPr>
        <w:spacing w:line="240" w:lineRule="auto"/>
      </w:pPr>
    </w:p>
    <w:p w14:paraId="5267A7A5" w14:textId="18BE7D97" w:rsidR="004735B0" w:rsidRDefault="004735B0" w:rsidP="004735B0">
      <w:pPr>
        <w:spacing w:line="240" w:lineRule="auto"/>
      </w:pPr>
      <w:r>
        <w:t xml:space="preserve">I en jämförelse av dessa ”rensade kostnader” var ÅHS kostnader per innevånare högre än i riket fram till 2021. År 2021 var kostnaderna på ganska samma nivå och för 2022 var ÅHS kostnader per invånare lägre i jämförelse med Finland totalt (tabell 1 och figur 1). </w:t>
      </w:r>
    </w:p>
    <w:p w14:paraId="1D894C36" w14:textId="77777777" w:rsidR="004735B0" w:rsidRDefault="004735B0" w:rsidP="00EB1AF2">
      <w:pPr>
        <w:spacing w:line="240" w:lineRule="auto"/>
      </w:pPr>
    </w:p>
    <w:p w14:paraId="4A668CDB" w14:textId="77777777" w:rsidR="004735B0" w:rsidRDefault="004735B0" w:rsidP="00EB1AF2">
      <w:pPr>
        <w:spacing w:line="240" w:lineRule="auto"/>
      </w:pPr>
    </w:p>
    <w:p w14:paraId="555FAC73" w14:textId="77777777" w:rsidR="004735B0" w:rsidRDefault="004735B0" w:rsidP="00EB1AF2">
      <w:pPr>
        <w:spacing w:line="240" w:lineRule="auto"/>
      </w:pPr>
    </w:p>
    <w:p w14:paraId="08B05F5D" w14:textId="5BB06ECD" w:rsidR="00793D67" w:rsidRDefault="00793D67" w:rsidP="00EB1AF2">
      <w:pPr>
        <w:spacing w:line="240" w:lineRule="auto"/>
      </w:pPr>
      <w:r>
        <w:rPr>
          <w:noProof/>
        </w:rPr>
        <w:drawing>
          <wp:inline distT="0" distB="0" distL="0" distR="0" wp14:anchorId="78683F07" wp14:editId="5E964BCF">
            <wp:extent cx="4657725" cy="2116040"/>
            <wp:effectExtent l="0" t="0" r="0" b="0"/>
            <wp:docPr id="81693387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73804" cy="2123345"/>
                    </a:xfrm>
                    <a:prstGeom prst="rect">
                      <a:avLst/>
                    </a:prstGeom>
                    <a:noFill/>
                  </pic:spPr>
                </pic:pic>
              </a:graphicData>
            </a:graphic>
          </wp:inline>
        </w:drawing>
      </w:r>
    </w:p>
    <w:p w14:paraId="1464D812" w14:textId="77777777" w:rsidR="000B4EAC" w:rsidRDefault="000B4EAC" w:rsidP="00EB1AF2">
      <w:pPr>
        <w:spacing w:line="240" w:lineRule="auto"/>
      </w:pPr>
    </w:p>
    <w:p w14:paraId="564F9E0E" w14:textId="626517A6" w:rsidR="000B4EAC" w:rsidRDefault="004735B0" w:rsidP="00EB1AF2">
      <w:pPr>
        <w:spacing w:line="240" w:lineRule="auto"/>
      </w:pPr>
      <w:r>
        <w:t>Figur 1</w:t>
      </w:r>
      <w:r w:rsidRPr="004735B0">
        <w:t xml:space="preserve">. </w:t>
      </w:r>
      <w:r>
        <w:t>R</w:t>
      </w:r>
      <w:r w:rsidRPr="004735B0">
        <w:t xml:space="preserve">ensade driftkostnader </w:t>
      </w:r>
      <w:r>
        <w:t xml:space="preserve">per invånare </w:t>
      </w:r>
      <w:r w:rsidRPr="004735B0">
        <w:t>inom ÅHS och i hela Finland 2016-2022</w:t>
      </w:r>
    </w:p>
    <w:p w14:paraId="19EC1D25" w14:textId="77777777" w:rsidR="000B4EAC" w:rsidRDefault="000B4EAC" w:rsidP="00EB1AF2">
      <w:pPr>
        <w:spacing w:line="240" w:lineRule="auto"/>
      </w:pPr>
    </w:p>
    <w:p w14:paraId="580C8395" w14:textId="77777777" w:rsidR="000D0F28" w:rsidRDefault="000D0F28">
      <w:pPr>
        <w:autoSpaceDE/>
        <w:autoSpaceDN/>
        <w:adjustRightInd/>
        <w:spacing w:after="160" w:line="259" w:lineRule="auto"/>
        <w:textAlignment w:val="auto"/>
        <w:rPr>
          <w:b/>
          <w:bCs/>
        </w:rPr>
      </w:pPr>
      <w:r>
        <w:rPr>
          <w:b/>
          <w:bCs/>
        </w:rPr>
        <w:br w:type="page"/>
      </w:r>
    </w:p>
    <w:p w14:paraId="69E97A1F" w14:textId="0E93F415" w:rsidR="002F3B5A" w:rsidRPr="003115E7" w:rsidRDefault="0019597B" w:rsidP="003115E7">
      <w:pPr>
        <w:pStyle w:val="Rubrik2"/>
        <w:numPr>
          <w:ilvl w:val="0"/>
          <w:numId w:val="16"/>
        </w:numPr>
      </w:pPr>
      <w:bookmarkStart w:id="4" w:name="_Toc242713597"/>
      <w:r w:rsidRPr="003115E7">
        <w:lastRenderedPageBreak/>
        <w:t>Totala hälso- och sjukvårdskostnader år 2022 på Åland, i riket och andra länder</w:t>
      </w:r>
      <w:bookmarkEnd w:id="4"/>
    </w:p>
    <w:p w14:paraId="1288476A" w14:textId="77777777" w:rsidR="000B4EAC" w:rsidRDefault="000B4EAC" w:rsidP="00EB1AF2">
      <w:pPr>
        <w:spacing w:line="240" w:lineRule="auto"/>
      </w:pPr>
    </w:p>
    <w:p w14:paraId="73F0D462" w14:textId="2A5662AD" w:rsidR="00CB0BCB" w:rsidRDefault="000B4EAC" w:rsidP="00EB1AF2">
      <w:pPr>
        <w:spacing w:line="240" w:lineRule="auto"/>
      </w:pPr>
      <w:r>
        <w:t>De totala hälso- och sjukvårdskostnaderna för Åland analysera</w:t>
      </w:r>
      <w:r w:rsidR="003153DD">
        <w:t>des</w:t>
      </w:r>
      <w:r>
        <w:t xml:space="preserve"> för år 2022. </w:t>
      </w:r>
      <w:r w:rsidR="00CB0BCB">
        <w:t>I kostnaderna räkna</w:t>
      </w:r>
      <w:r w:rsidR="005871DA">
        <w:t>de</w:t>
      </w:r>
      <w:r w:rsidR="00CB0BCB">
        <w:t xml:space="preserve">s samtliga kostnader för ÅHS, </w:t>
      </w:r>
      <w:r w:rsidR="004735B0">
        <w:t xml:space="preserve">läkemedelskostnader, </w:t>
      </w:r>
      <w:r w:rsidR="00CB0BCB">
        <w:t>privat företagshälsovård, annan privat vård inklusive tandvård, samt institutionsvården och heldygnsomsorg för äldre. Till den del det var</w:t>
      </w:r>
      <w:r w:rsidR="005871DA">
        <w:t xml:space="preserve"> </w:t>
      </w:r>
      <w:r w:rsidR="00CB0BCB">
        <w:t xml:space="preserve">möjligt </w:t>
      </w:r>
      <w:r w:rsidR="005871DA">
        <w:t xml:space="preserve">räknades </w:t>
      </w:r>
      <w:r w:rsidR="004735B0">
        <w:t xml:space="preserve">även </w:t>
      </w:r>
      <w:r w:rsidR="00CB0BCB">
        <w:t xml:space="preserve">patient- och klientavgifter </w:t>
      </w:r>
      <w:r w:rsidR="005871DA">
        <w:t>med</w:t>
      </w:r>
      <w:r w:rsidR="00CB0BCB">
        <w:t xml:space="preserve"> för att beskriva kostnaderna från ett samhällsperspektiv. </w:t>
      </w:r>
    </w:p>
    <w:p w14:paraId="2E485DC1" w14:textId="77777777" w:rsidR="00A11FFB" w:rsidRDefault="00A11FFB" w:rsidP="00EB1AF2">
      <w:pPr>
        <w:spacing w:line="240" w:lineRule="auto"/>
      </w:pPr>
    </w:p>
    <w:p w14:paraId="51791A04" w14:textId="0E69E950" w:rsidR="00A11FFB" w:rsidRDefault="00A11FFB" w:rsidP="00EB1AF2">
      <w:pPr>
        <w:spacing w:line="240" w:lineRule="auto"/>
      </w:pPr>
      <w:r>
        <w:t>Beräkningen av kostnaden för företagshälsovården basera</w:t>
      </w:r>
      <w:r w:rsidR="005871DA">
        <w:t>de</w:t>
      </w:r>
      <w:r>
        <w:t xml:space="preserve">s på verksamhetsberättelser från </w:t>
      </w:r>
      <w:r w:rsidR="000B137A">
        <w:t xml:space="preserve">de privata serviceproducenter som år 2022 </w:t>
      </w:r>
      <w:r w:rsidR="00F35D68">
        <w:t>producerade företagshälsovård (</w:t>
      </w:r>
      <w:r>
        <w:t>Cityläkarna och Medimar</w:t>
      </w:r>
      <w:r w:rsidR="00F35D68">
        <w:t xml:space="preserve">). Dessutom inhämtades </w:t>
      </w:r>
      <w:r>
        <w:t>information från dessa serviceproducenter gällande antalet arbetsgivare och arbetstagare på Ålands som täcks av avtal för företagshälsovård, samt uppgifter från landskapsregeringens förvaltning och ÅHS om kostnaderna för de</w:t>
      </w:r>
      <w:r w:rsidR="003153DD">
        <w:t xml:space="preserve">ssa arbetsgivares upphandlade </w:t>
      </w:r>
      <w:r>
        <w:t xml:space="preserve">företagshälsovård. Dessa data </w:t>
      </w:r>
      <w:r w:rsidR="004735B0">
        <w:t>va</w:t>
      </w:r>
      <w:r>
        <w:t>r inte fullständiga då de inte inkludera</w:t>
      </w:r>
      <w:r w:rsidR="004735B0">
        <w:t>de</w:t>
      </w:r>
      <w:r>
        <w:t xml:space="preserve"> kostnadsdata från e</w:t>
      </w:r>
      <w:r w:rsidR="007356E9">
        <w:t>tt</w:t>
      </w:r>
      <w:r>
        <w:t xml:space="preserve"> stort antal arbetsgivare på Åland. För att försöka kompensera för detta </w:t>
      </w:r>
      <w:r w:rsidR="005871DA">
        <w:t xml:space="preserve">användes </w:t>
      </w:r>
      <w:r>
        <w:t>kostnadsdata från landskapsregeringen och ÅHS för att skapa en schablonkostnad per anställd som täcks av företagshälsovården, vilken sedan multiplicera</w:t>
      </w:r>
      <w:r w:rsidR="005871DA">
        <w:t>des</w:t>
      </w:r>
      <w:r>
        <w:t xml:space="preserve"> med antalet personer som täcks av företagshälsovården. En mer exakt analys skulle kräva datainsamling </w:t>
      </w:r>
      <w:r w:rsidR="007356E9">
        <w:t xml:space="preserve">gällande kostnader </w:t>
      </w:r>
      <w:r>
        <w:t>direkt från samtliga berörda arbetsgivare, vilket skulle vara arbetsdrygt och det är inte</w:t>
      </w:r>
      <w:r w:rsidR="007356E9">
        <w:t xml:space="preserve"> heller</w:t>
      </w:r>
      <w:r>
        <w:t xml:space="preserve"> säkert att data skulle erhållas då vare sig arbetsgivare eller företagshälsovården har skyldighet att dela denna information. </w:t>
      </w:r>
    </w:p>
    <w:p w14:paraId="36372A31" w14:textId="77777777" w:rsidR="00A11FFB" w:rsidRDefault="00A11FFB" w:rsidP="00EB1AF2">
      <w:pPr>
        <w:spacing w:line="240" w:lineRule="auto"/>
      </w:pPr>
    </w:p>
    <w:p w14:paraId="2B1D6ED3" w14:textId="483C445B" w:rsidR="00822892" w:rsidRDefault="00A11FFB" w:rsidP="00822892">
      <w:pPr>
        <w:spacing w:line="240" w:lineRule="auto"/>
      </w:pPr>
      <w:r>
        <w:t>Kostnaderna för annan privat sjukvård</w:t>
      </w:r>
      <w:r w:rsidR="003153DD">
        <w:t xml:space="preserve">, </w:t>
      </w:r>
      <w:r>
        <w:t xml:space="preserve">tandvård </w:t>
      </w:r>
      <w:r w:rsidR="003153DD">
        <w:t xml:space="preserve">och ersättningsgilla läkemedel </w:t>
      </w:r>
      <w:r>
        <w:t>basera</w:t>
      </w:r>
      <w:r w:rsidR="005871DA">
        <w:t>des</w:t>
      </w:r>
      <w:r>
        <w:t xml:space="preserve"> på statistik från FPA.</w:t>
      </w:r>
      <w:r w:rsidR="00FE4ED6">
        <w:rPr>
          <w:rStyle w:val="Fotnotsreferens"/>
        </w:rPr>
        <w:footnoteReference w:id="2"/>
      </w:r>
      <w:r>
        <w:t xml:space="preserve"> </w:t>
      </w:r>
      <w:r w:rsidR="00917367">
        <w:t xml:space="preserve">Patientavgifter som inte berättigar till FPA </w:t>
      </w:r>
      <w:r w:rsidR="004735B0">
        <w:t>del</w:t>
      </w:r>
      <w:r w:rsidR="00917367">
        <w:t xml:space="preserve">ersättning ingår inte, ej heller kostnader för egenvårdsläkemedel och läkemedel som inte är ersättningsgilla. Det finns inte heller uppgifter om kostnader som ersätts via privata sjukförsäkringar. Detta innebär att de faktiska kostnaderna som betalas ur egen ficka </w:t>
      </w:r>
      <w:r w:rsidR="004C1831">
        <w:t xml:space="preserve">och genom privata försäkringar </w:t>
      </w:r>
      <w:r w:rsidR="00917367">
        <w:t xml:space="preserve">är underskattade i dessa beräkningar, men </w:t>
      </w:r>
      <w:r w:rsidR="00A00292">
        <w:t>de</w:t>
      </w:r>
      <w:r w:rsidR="00917367">
        <w:t xml:space="preserve"> belopp som inte har inkluderats bedöms som </w:t>
      </w:r>
      <w:r w:rsidR="007F0973">
        <w:t xml:space="preserve">relativt </w:t>
      </w:r>
      <w:r w:rsidR="00917367">
        <w:t xml:space="preserve">små. </w:t>
      </w:r>
      <w:r w:rsidR="00330C7F">
        <w:t xml:space="preserve">Kostnader för vacciner inom nationella vaccinationsprogrammet finansieras av riket. Den totala </w:t>
      </w:r>
      <w:r w:rsidR="00330C7F" w:rsidRPr="00330C7F">
        <w:t>kostnad</w:t>
      </w:r>
      <w:r w:rsidR="00822892">
        <w:t>er för hela Finland</w:t>
      </w:r>
      <w:r w:rsidR="00330C7F" w:rsidRPr="00330C7F">
        <w:t xml:space="preserve"> år 2022 </w:t>
      </w:r>
      <w:r w:rsidR="00822892">
        <w:t xml:space="preserve">var </w:t>
      </w:r>
      <w:r w:rsidR="00330C7F" w:rsidRPr="00330C7F">
        <w:t>30 miljoner euro</w:t>
      </w:r>
      <w:r w:rsidR="00822892">
        <w:t xml:space="preserve"> vilket grovt räknat skulle innebära en kostnad för Åland på ca </w:t>
      </w:r>
      <w:r w:rsidR="00330C7F" w:rsidRPr="00330C7F">
        <w:t>160 000 euro</w:t>
      </w:r>
      <w:r w:rsidR="00822892">
        <w:t xml:space="preserve">; ca </w:t>
      </w:r>
      <w:r w:rsidR="00330C7F" w:rsidRPr="00330C7F">
        <w:t xml:space="preserve">0,1% av </w:t>
      </w:r>
      <w:r w:rsidR="00822892">
        <w:t xml:space="preserve">den </w:t>
      </w:r>
      <w:r w:rsidR="00330C7F" w:rsidRPr="00330C7F">
        <w:t>totala hälso- och sjukvårdskostnad</w:t>
      </w:r>
      <w:r w:rsidR="00822892">
        <w:t>en. Denna vaccinkostnad har ej beaktats eftersom den är marginell i relation till totalkostnaden.</w:t>
      </w:r>
    </w:p>
    <w:p w14:paraId="11889556" w14:textId="77777777" w:rsidR="00917367" w:rsidRDefault="00917367" w:rsidP="00EB1AF2">
      <w:pPr>
        <w:spacing w:line="240" w:lineRule="auto"/>
      </w:pPr>
    </w:p>
    <w:p w14:paraId="06F918FB" w14:textId="5C1E8D4D" w:rsidR="00FE4ED6" w:rsidRDefault="00FE4ED6" w:rsidP="00EB1AF2">
      <w:pPr>
        <w:spacing w:line="240" w:lineRule="auto"/>
      </w:pPr>
      <w:r>
        <w:t>Kostnaderna för i</w:t>
      </w:r>
      <w:r w:rsidRPr="00FE4ED6">
        <w:t>nst</w:t>
      </w:r>
      <w:r>
        <w:t>it</w:t>
      </w:r>
      <w:r w:rsidRPr="00FE4ED6">
        <w:t>utionsvård och boendeservice med heldygnsomsorg (Kommunernas driftkostnad</w:t>
      </w:r>
      <w:r>
        <w:t>er</w:t>
      </w:r>
      <w:r w:rsidRPr="00FE4ED6">
        <w:t>)</w:t>
      </w:r>
      <w:r>
        <w:t xml:space="preserve"> räkna</w:t>
      </w:r>
      <w:r w:rsidR="005871DA">
        <w:t>des</w:t>
      </w:r>
      <w:r>
        <w:t xml:space="preserve"> </w:t>
      </w:r>
      <w:r w:rsidR="00A00292">
        <w:t xml:space="preserve">in i </w:t>
      </w:r>
      <w:r>
        <w:t>hälso- och sjukvårdskostnader</w:t>
      </w:r>
      <w:r w:rsidR="00A00292">
        <w:t>na</w:t>
      </w:r>
      <w:r>
        <w:t xml:space="preserve"> i den analys som syfta</w:t>
      </w:r>
      <w:r w:rsidR="005871DA">
        <w:t>de</w:t>
      </w:r>
      <w:r>
        <w:t xml:space="preserve"> till att skapa jämförbara data gällande kostnad per invånare </w:t>
      </w:r>
      <w:r w:rsidR="005871DA">
        <w:t xml:space="preserve">för jämförelse </w:t>
      </w:r>
      <w:r>
        <w:t>andra länder. Detta är i linje med internationella riktlinjer.</w:t>
      </w:r>
      <w:r>
        <w:rPr>
          <w:rStyle w:val="Fotnotsreferens"/>
        </w:rPr>
        <w:footnoteReference w:id="3"/>
      </w:r>
      <w:r w:rsidR="005871DA">
        <w:t xml:space="preserve"> Data </w:t>
      </w:r>
      <w:r w:rsidR="00B06CAA">
        <w:t>hämtad</w:t>
      </w:r>
      <w:r w:rsidR="003153DD">
        <w:t>es</w:t>
      </w:r>
      <w:r w:rsidR="00B06CAA">
        <w:t xml:space="preserve"> från ÅSUBs rapport om </w:t>
      </w:r>
      <w:r w:rsidR="00A368EE">
        <w:t>k</w:t>
      </w:r>
      <w:r w:rsidR="00B06CAA">
        <w:t>ommunernas och kommunalförbundens ekonomi och verksamhet för år 2022.</w:t>
      </w:r>
      <w:r w:rsidR="00B06CAA">
        <w:rPr>
          <w:rStyle w:val="Fotnotsreferens"/>
        </w:rPr>
        <w:footnoteReference w:id="4"/>
      </w:r>
      <w:r w:rsidR="005871DA">
        <w:t xml:space="preserve"> </w:t>
      </w:r>
      <w:r w:rsidR="00A00292">
        <w:t xml:space="preserve">Vissa delar av särskilt </w:t>
      </w:r>
      <w:r w:rsidR="00A00292" w:rsidRPr="00A00292">
        <w:t>boendeservice med heldygnsomsorg</w:t>
      </w:r>
      <w:r w:rsidR="00A00292">
        <w:t xml:space="preserve"> ska inte räknas som hälso- och sjukvårdskostnader och de</w:t>
      </w:r>
      <w:r w:rsidR="00330C7F">
        <w:t>ss</w:t>
      </w:r>
      <w:r w:rsidR="00A00292">
        <w:t>a beräkn</w:t>
      </w:r>
      <w:r w:rsidR="00330C7F">
        <w:t>ing</w:t>
      </w:r>
      <w:r w:rsidR="00A00292">
        <w:t>ar överskattar därför hälso- och sjukvårdskostnaderna.</w:t>
      </w:r>
      <w:r w:rsidR="00330C7F">
        <w:rPr>
          <w:rStyle w:val="Fotnotsreferens"/>
        </w:rPr>
        <w:footnoteReference w:id="5"/>
      </w:r>
      <w:r w:rsidR="00A00292">
        <w:t xml:space="preserve"> Å andra sidan har inte missbruksvård eller institutionsvård för andra än äldre räknats med</w:t>
      </w:r>
      <w:r w:rsidR="00330C7F">
        <w:t>. N</w:t>
      </w:r>
      <w:r w:rsidR="00A00292">
        <w:t xml:space="preserve">ettoeffekten bedöms vara att </w:t>
      </w:r>
      <w:r w:rsidR="00330C7F">
        <w:t xml:space="preserve">den </w:t>
      </w:r>
      <w:r w:rsidR="00A00292">
        <w:t>total</w:t>
      </w:r>
      <w:r w:rsidR="00330C7F">
        <w:t>a</w:t>
      </w:r>
      <w:r w:rsidR="00A00292">
        <w:t xml:space="preserve"> kostnaden </w:t>
      </w:r>
      <w:r w:rsidR="00330C7F">
        <w:t xml:space="preserve">för de delar av socialvården som ska räknas som hälso- och sjukvårdskostnad </w:t>
      </w:r>
      <w:r w:rsidR="00330C7F">
        <w:lastRenderedPageBreak/>
        <w:t xml:space="preserve">är någorlunda korrekt. En detaljerad uppdelning av de olika delarna av socialvården skulle behöva göras för en mer förfinad analys. </w:t>
      </w:r>
      <w:r w:rsidR="00A00292">
        <w:t xml:space="preserve"> </w:t>
      </w:r>
    </w:p>
    <w:p w14:paraId="14323E2E" w14:textId="77777777" w:rsidR="003153DD" w:rsidRDefault="003153DD" w:rsidP="00EB1AF2">
      <w:pPr>
        <w:spacing w:line="240" w:lineRule="auto"/>
        <w:rPr>
          <w:b/>
          <w:bCs/>
          <w:i/>
          <w:iCs/>
        </w:rPr>
      </w:pPr>
    </w:p>
    <w:p w14:paraId="1498E51A" w14:textId="7CFBE542" w:rsidR="00A00292" w:rsidRPr="00753A06" w:rsidRDefault="00A00292" w:rsidP="00B87FFD">
      <w:pPr>
        <w:pStyle w:val="Rubrik3"/>
        <w:numPr>
          <w:ilvl w:val="1"/>
          <w:numId w:val="16"/>
        </w:numPr>
      </w:pPr>
      <w:bookmarkStart w:id="5" w:name="_Toc242713598"/>
      <w:r w:rsidRPr="00753A06">
        <w:t>Totala hälso- och sjukvårdskostnader på Åland</w:t>
      </w:r>
      <w:bookmarkEnd w:id="5"/>
    </w:p>
    <w:p w14:paraId="4E3C3A39" w14:textId="55DAD7C5" w:rsidR="00B06CAA" w:rsidRDefault="007356E9" w:rsidP="00EB1AF2">
      <w:pPr>
        <w:spacing w:line="240" w:lineRule="auto"/>
      </w:pPr>
      <w:r>
        <w:t xml:space="preserve">Tabell </w:t>
      </w:r>
      <w:r w:rsidR="004735B0">
        <w:t>2</w:t>
      </w:r>
      <w:r>
        <w:t xml:space="preserve"> visar k</w:t>
      </w:r>
      <w:r w:rsidRPr="007356E9">
        <w:t>ostnad</w:t>
      </w:r>
      <w:r>
        <w:t>er och kostnads</w:t>
      </w:r>
      <w:r w:rsidRPr="007356E9">
        <w:t>andelar för offentlig och privat hälso- och sju</w:t>
      </w:r>
      <w:r>
        <w:t>k</w:t>
      </w:r>
      <w:r w:rsidRPr="007356E9">
        <w:t>vård</w:t>
      </w:r>
      <w:r w:rsidR="00B06CAA">
        <w:t xml:space="preserve"> </w:t>
      </w:r>
      <w:r w:rsidR="00A00292">
        <w:t xml:space="preserve">inklusive tandvård </w:t>
      </w:r>
      <w:r w:rsidR="00B06CAA">
        <w:t xml:space="preserve">på Åland </w:t>
      </w:r>
      <w:r w:rsidR="00A00292">
        <w:t xml:space="preserve">men exklusive </w:t>
      </w:r>
      <w:r w:rsidR="00B06CAA">
        <w:t>socialvården</w:t>
      </w:r>
      <w:r>
        <w:t xml:space="preserve">. I tabell </w:t>
      </w:r>
      <w:r w:rsidR="004735B0">
        <w:t>3</w:t>
      </w:r>
      <w:r>
        <w:t xml:space="preserve"> har även </w:t>
      </w:r>
      <w:r w:rsidR="00FE4ED6">
        <w:t>kostnaderna för i</w:t>
      </w:r>
      <w:r w:rsidR="00FE4ED6" w:rsidRPr="00FE4ED6">
        <w:t>nst</w:t>
      </w:r>
      <w:r w:rsidR="00FE4ED6">
        <w:t>it</w:t>
      </w:r>
      <w:r w:rsidR="00FE4ED6" w:rsidRPr="00FE4ED6">
        <w:t>utionsvård och boendeservice med heldygnsomsorg</w:t>
      </w:r>
      <w:r w:rsidR="00A00292">
        <w:t xml:space="preserve"> för äldre</w:t>
      </w:r>
      <w:r w:rsidR="00FE4ED6" w:rsidRPr="00FE4ED6">
        <w:t xml:space="preserve"> </w:t>
      </w:r>
      <w:r w:rsidR="00FE4ED6">
        <w:t>räknats med som hälso- och sjukvårdskostnader.</w:t>
      </w:r>
      <w:r w:rsidR="00A00292">
        <w:t xml:space="preserve"> Den totala kostnaden var drygt 122 miljoner euro </w:t>
      </w:r>
      <w:r w:rsidR="007416CA">
        <w:t xml:space="preserve">(4 030 euro per invånare) </w:t>
      </w:r>
      <w:r w:rsidR="00822892">
        <w:t>exklusive</w:t>
      </w:r>
      <w:r w:rsidR="00A00292">
        <w:t xml:space="preserve"> socialvården och drygt 157 miljoner</w:t>
      </w:r>
      <w:r w:rsidR="007416CA">
        <w:t xml:space="preserve"> euro (5 188 euro per invånare)</w:t>
      </w:r>
      <w:r w:rsidR="00A00292">
        <w:t xml:space="preserve"> inklusive </w:t>
      </w:r>
      <w:r w:rsidR="00A00292" w:rsidRPr="00A00292">
        <w:t>institutionsvård</w:t>
      </w:r>
      <w:r w:rsidR="00822892">
        <w:t>en</w:t>
      </w:r>
      <w:r w:rsidR="00A00292" w:rsidRPr="00A00292">
        <w:t xml:space="preserve"> och boendeservice med heldygnsomsorg för äldre</w:t>
      </w:r>
      <w:r w:rsidR="00A00292">
        <w:t>.</w:t>
      </w:r>
    </w:p>
    <w:p w14:paraId="49C93FCC" w14:textId="77777777" w:rsidR="00B06CAA" w:rsidRDefault="00B06CAA" w:rsidP="00EB1AF2">
      <w:pPr>
        <w:spacing w:line="240" w:lineRule="auto"/>
      </w:pPr>
    </w:p>
    <w:p w14:paraId="128521BA" w14:textId="484FEF93" w:rsidR="00822892" w:rsidRPr="00DD317D" w:rsidRDefault="00822892" w:rsidP="00822892">
      <w:pPr>
        <w:spacing w:line="240" w:lineRule="auto"/>
      </w:pPr>
      <w:r>
        <w:t>De totala d</w:t>
      </w:r>
      <w:r w:rsidRPr="00DD317D">
        <w:t>riftkostnader</w:t>
      </w:r>
      <w:r>
        <w:t>na</w:t>
      </w:r>
      <w:r w:rsidRPr="00DD317D">
        <w:t xml:space="preserve"> för institutionsvård</w:t>
      </w:r>
      <w:r>
        <w:t>en</w:t>
      </w:r>
      <w:r w:rsidRPr="00DD317D">
        <w:t xml:space="preserve"> för äldre </w:t>
      </w:r>
      <w:r>
        <w:t xml:space="preserve">vid </w:t>
      </w:r>
      <w:r w:rsidRPr="00DD317D">
        <w:t>Oasen och Trobergshemmet</w:t>
      </w:r>
      <w:r>
        <w:t xml:space="preserve"> var </w:t>
      </w:r>
      <w:r w:rsidRPr="00DD317D">
        <w:t>9 552 000 euro</w:t>
      </w:r>
      <w:r>
        <w:t xml:space="preserve"> år </w:t>
      </w:r>
      <w:r w:rsidRPr="00DD317D">
        <w:t>2022</w:t>
      </w:r>
      <w:r>
        <w:t xml:space="preserve">, vilket motsvarade </w:t>
      </w:r>
      <w:r w:rsidRPr="00DD317D">
        <w:t xml:space="preserve">313 euro per </w:t>
      </w:r>
      <w:r>
        <w:t xml:space="preserve">invånare. Den sammantagna kostnaden på Åland för all institutionsvård och boendeservice med heldygnsomsorg för äldre var 35 147 000 euro år 2022; 1 158 euro per invånare. Detta kan jämföras med en motsvarande kostnad i riket på 45 euro per invånare för institutionsvården respektive 513 euro per invånare för både institutionsvård och boendeservice med heldygnsomsorg för äldre. Det ska noteras att man i riket har arbetat </w:t>
      </w:r>
      <w:r w:rsidR="007416CA">
        <w:t xml:space="preserve">mycket </w:t>
      </w:r>
      <w:r>
        <w:t xml:space="preserve">aktivt med att minska institutionsvården och andelen av den äldre befolkningen som vårdas på institution minskade betydligt snabbar än på Åland </w:t>
      </w:r>
      <w:r w:rsidR="007416CA">
        <w:t xml:space="preserve">det senaste decenniet </w:t>
      </w:r>
      <w:r>
        <w:t xml:space="preserve">(se delanalys 1, framtidens vårdbehov). Det ska också noteras att man i riket har bäddavdelningar inom primärvården vars vård delvis liknar det som på Åland faller under socialvården men som i riket räknas till hälso- och sjukvårdens kostnader. </w:t>
      </w:r>
    </w:p>
    <w:p w14:paraId="3E886B32" w14:textId="77777777" w:rsidR="00822892" w:rsidRDefault="00822892" w:rsidP="00EB1AF2">
      <w:pPr>
        <w:spacing w:line="240" w:lineRule="auto"/>
      </w:pPr>
    </w:p>
    <w:p w14:paraId="385F5841" w14:textId="77777777" w:rsidR="000D0F28" w:rsidRDefault="000D0F28" w:rsidP="00EB1AF2">
      <w:pPr>
        <w:spacing w:line="240" w:lineRule="auto"/>
      </w:pPr>
    </w:p>
    <w:p w14:paraId="464CEB1E" w14:textId="2514C5DF" w:rsidR="00FE4ED6" w:rsidRDefault="00FE4ED6" w:rsidP="00EB1AF2">
      <w:pPr>
        <w:spacing w:line="240" w:lineRule="auto"/>
      </w:pPr>
      <w:r>
        <w:t xml:space="preserve">Tabell </w:t>
      </w:r>
      <w:r w:rsidR="004735B0">
        <w:t>2</w:t>
      </w:r>
      <w:r>
        <w:t>. K</w:t>
      </w:r>
      <w:r w:rsidRPr="00FE4ED6">
        <w:t xml:space="preserve">ostnader </w:t>
      </w:r>
      <w:r w:rsidR="00822892">
        <w:t xml:space="preserve">för </w:t>
      </w:r>
      <w:r w:rsidRPr="00FE4ED6">
        <w:t>offentlig och privat hälso- och sjukvård</w:t>
      </w:r>
      <w:r>
        <w:t xml:space="preserve"> på Åland </w:t>
      </w:r>
      <w:r w:rsidR="00683004">
        <w:t>år</w:t>
      </w:r>
      <w:r>
        <w:t xml:space="preserve"> 2022</w:t>
      </w:r>
    </w:p>
    <w:tbl>
      <w:tblPr>
        <w:tblW w:w="9493" w:type="dxa"/>
        <w:tblCellMar>
          <w:left w:w="70" w:type="dxa"/>
          <w:right w:w="70" w:type="dxa"/>
        </w:tblCellMar>
        <w:tblLook w:val="04A0" w:firstRow="1" w:lastRow="0" w:firstColumn="1" w:lastColumn="0" w:noHBand="0" w:noVBand="1"/>
      </w:tblPr>
      <w:tblGrid>
        <w:gridCol w:w="5098"/>
        <w:gridCol w:w="2127"/>
        <w:gridCol w:w="2268"/>
      </w:tblGrid>
      <w:tr w:rsidR="00FE4ED6" w:rsidRPr="00FE4ED6" w14:paraId="218F8AF4" w14:textId="77777777" w:rsidTr="00EB1AF2">
        <w:trPr>
          <w:trHeight w:val="300"/>
        </w:trPr>
        <w:tc>
          <w:tcPr>
            <w:tcW w:w="5098" w:type="dxa"/>
            <w:tcBorders>
              <w:top w:val="single" w:sz="4" w:space="0" w:color="auto"/>
              <w:left w:val="single" w:sz="4" w:space="0" w:color="auto"/>
              <w:bottom w:val="single" w:sz="4" w:space="0" w:color="auto"/>
              <w:right w:val="single" w:sz="4" w:space="0" w:color="auto"/>
            </w:tcBorders>
            <w:noWrap/>
            <w:vAlign w:val="bottom"/>
            <w:hideMark/>
          </w:tcPr>
          <w:p w14:paraId="36AB5812" w14:textId="77777777" w:rsidR="00FE4ED6" w:rsidRPr="00FE4ED6" w:rsidRDefault="00FE4ED6" w:rsidP="00EB1AF2">
            <w:pPr>
              <w:autoSpaceDE/>
              <w:autoSpaceDN/>
              <w:adjustRightInd/>
              <w:spacing w:line="240" w:lineRule="auto"/>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 </w:t>
            </w:r>
          </w:p>
        </w:tc>
        <w:tc>
          <w:tcPr>
            <w:tcW w:w="2127" w:type="dxa"/>
            <w:tcBorders>
              <w:top w:val="single" w:sz="4" w:space="0" w:color="auto"/>
              <w:left w:val="nil"/>
              <w:bottom w:val="single" w:sz="4" w:space="0" w:color="auto"/>
              <w:right w:val="single" w:sz="4" w:space="0" w:color="auto"/>
            </w:tcBorders>
            <w:noWrap/>
            <w:vAlign w:val="bottom"/>
            <w:hideMark/>
          </w:tcPr>
          <w:p w14:paraId="665E776A" w14:textId="11AE041A" w:rsidR="00FE4ED6" w:rsidRPr="00FE4ED6" w:rsidRDefault="00FE4ED6" w:rsidP="00EB1AF2">
            <w:pPr>
              <w:autoSpaceDE/>
              <w:autoSpaceDN/>
              <w:adjustRightInd/>
              <w:spacing w:line="240" w:lineRule="auto"/>
              <w:jc w:val="center"/>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Årskostnad</w:t>
            </w:r>
            <w:r w:rsidRPr="00133CB3">
              <w:rPr>
                <w:rFonts w:ascii="Calibri" w:eastAsia="Times New Roman" w:hAnsi="Calibri" w:cs="Calibri"/>
                <w:b/>
                <w:bCs/>
                <w:color w:val="000000"/>
                <w:lang w:val="sv-FI" w:eastAsia="sv-FI"/>
              </w:rPr>
              <w:t xml:space="preserve"> (euro)</w:t>
            </w:r>
          </w:p>
        </w:tc>
        <w:tc>
          <w:tcPr>
            <w:tcW w:w="2268" w:type="dxa"/>
            <w:tcBorders>
              <w:top w:val="single" w:sz="4" w:space="0" w:color="auto"/>
              <w:left w:val="nil"/>
              <w:bottom w:val="single" w:sz="4" w:space="0" w:color="auto"/>
              <w:right w:val="single" w:sz="4" w:space="0" w:color="auto"/>
            </w:tcBorders>
            <w:noWrap/>
            <w:vAlign w:val="bottom"/>
            <w:hideMark/>
          </w:tcPr>
          <w:p w14:paraId="51180548" w14:textId="02DA325D" w:rsidR="00FE4ED6" w:rsidRPr="00FE4ED6" w:rsidRDefault="00FE4ED6" w:rsidP="00EB1AF2">
            <w:pPr>
              <w:autoSpaceDE/>
              <w:autoSpaceDN/>
              <w:adjustRightInd/>
              <w:spacing w:line="240" w:lineRule="auto"/>
              <w:jc w:val="center"/>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 xml:space="preserve">Andel </w:t>
            </w:r>
            <w:r w:rsidRPr="00133CB3">
              <w:rPr>
                <w:rFonts w:ascii="Calibri" w:eastAsia="Times New Roman" w:hAnsi="Calibri" w:cs="Calibri"/>
                <w:b/>
                <w:bCs/>
                <w:color w:val="000000"/>
                <w:lang w:val="sv-FI" w:eastAsia="sv-FI"/>
              </w:rPr>
              <w:t xml:space="preserve">av </w:t>
            </w:r>
            <w:r w:rsidR="00EB1AF2">
              <w:rPr>
                <w:rFonts w:ascii="Calibri" w:eastAsia="Times New Roman" w:hAnsi="Calibri" w:cs="Calibri"/>
                <w:b/>
                <w:bCs/>
                <w:color w:val="000000"/>
                <w:lang w:val="sv-FI" w:eastAsia="sv-FI"/>
              </w:rPr>
              <w:t>total</w:t>
            </w:r>
            <w:r w:rsidRPr="00133CB3">
              <w:rPr>
                <w:rFonts w:ascii="Calibri" w:eastAsia="Times New Roman" w:hAnsi="Calibri" w:cs="Calibri"/>
                <w:b/>
                <w:bCs/>
                <w:color w:val="000000"/>
                <w:lang w:val="sv-FI" w:eastAsia="sv-FI"/>
              </w:rPr>
              <w:t>kostnaden</w:t>
            </w:r>
          </w:p>
        </w:tc>
      </w:tr>
      <w:tr w:rsidR="00FE4ED6" w:rsidRPr="00FE4ED6" w14:paraId="5BFBEAFF"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1AD2666B" w14:textId="3B7DDD8C"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ÅHS, inkl</w:t>
            </w:r>
            <w:r w:rsidR="00EE6C01">
              <w:rPr>
                <w:rFonts w:ascii="Calibri" w:eastAsia="Times New Roman" w:hAnsi="Calibri" w:cs="Calibri"/>
                <w:b/>
                <w:bCs/>
                <w:color w:val="000000"/>
                <w:lang w:val="sv-FI" w:eastAsia="sv-FI"/>
              </w:rPr>
              <w:t>usive</w:t>
            </w:r>
            <w:r w:rsidRPr="00FE4ED6">
              <w:rPr>
                <w:rFonts w:ascii="Calibri" w:eastAsia="Times New Roman" w:hAnsi="Calibri" w:cs="Calibri"/>
                <w:b/>
                <w:bCs/>
                <w:color w:val="000000"/>
                <w:lang w:val="sv-FI" w:eastAsia="sv-FI"/>
              </w:rPr>
              <w:t xml:space="preserve"> tandvård och patientavgifter (orensad)</w:t>
            </w:r>
          </w:p>
        </w:tc>
        <w:tc>
          <w:tcPr>
            <w:tcW w:w="2127" w:type="dxa"/>
            <w:tcBorders>
              <w:top w:val="nil"/>
              <w:left w:val="nil"/>
              <w:bottom w:val="single" w:sz="4" w:space="0" w:color="auto"/>
              <w:right w:val="single" w:sz="4" w:space="0" w:color="auto"/>
            </w:tcBorders>
            <w:noWrap/>
            <w:vAlign w:val="bottom"/>
            <w:hideMark/>
          </w:tcPr>
          <w:p w14:paraId="14AFDE0E"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103 467 928</w:t>
            </w:r>
          </w:p>
        </w:tc>
        <w:tc>
          <w:tcPr>
            <w:tcW w:w="2268" w:type="dxa"/>
            <w:tcBorders>
              <w:top w:val="nil"/>
              <w:left w:val="nil"/>
              <w:bottom w:val="single" w:sz="4" w:space="0" w:color="auto"/>
              <w:right w:val="single" w:sz="4" w:space="0" w:color="auto"/>
            </w:tcBorders>
            <w:noWrap/>
            <w:vAlign w:val="bottom"/>
            <w:hideMark/>
          </w:tcPr>
          <w:p w14:paraId="39E687FE"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84,6 %</w:t>
            </w:r>
          </w:p>
        </w:tc>
      </w:tr>
      <w:tr w:rsidR="00FE4ED6" w:rsidRPr="00FE4ED6" w14:paraId="03F48390"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6A731CAA" w14:textId="4F3227B2"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Företagshälsovård I &amp; II</w:t>
            </w:r>
            <w:r w:rsidR="00EB1AF2">
              <w:rPr>
                <w:rFonts w:ascii="Calibri" w:eastAsia="Times New Roman" w:hAnsi="Calibri" w:cs="Calibri"/>
                <w:b/>
                <w:bCs/>
                <w:color w:val="000000"/>
                <w:lang w:val="sv-FI" w:eastAsia="sv-FI"/>
              </w:rPr>
              <w:t>*</w:t>
            </w:r>
            <w:r w:rsidRPr="00FE4ED6">
              <w:rPr>
                <w:rFonts w:ascii="Calibri" w:eastAsia="Times New Roman" w:hAnsi="Calibri" w:cs="Calibri"/>
                <w:b/>
                <w:bCs/>
                <w:color w:val="000000"/>
                <w:lang w:val="sv-FI" w:eastAsia="sv-FI"/>
              </w:rPr>
              <w:t xml:space="preserve"> </w:t>
            </w:r>
          </w:p>
        </w:tc>
        <w:tc>
          <w:tcPr>
            <w:tcW w:w="2127" w:type="dxa"/>
            <w:tcBorders>
              <w:top w:val="nil"/>
              <w:left w:val="nil"/>
              <w:bottom w:val="single" w:sz="4" w:space="0" w:color="auto"/>
              <w:right w:val="single" w:sz="4" w:space="0" w:color="auto"/>
            </w:tcBorders>
            <w:noWrap/>
            <w:vAlign w:val="bottom"/>
            <w:hideMark/>
          </w:tcPr>
          <w:p w14:paraId="5D1F9267"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4 070 700</w:t>
            </w:r>
          </w:p>
        </w:tc>
        <w:tc>
          <w:tcPr>
            <w:tcW w:w="2268" w:type="dxa"/>
            <w:tcBorders>
              <w:top w:val="nil"/>
              <w:left w:val="nil"/>
              <w:bottom w:val="single" w:sz="4" w:space="0" w:color="auto"/>
              <w:right w:val="single" w:sz="4" w:space="0" w:color="auto"/>
            </w:tcBorders>
            <w:noWrap/>
            <w:vAlign w:val="bottom"/>
            <w:hideMark/>
          </w:tcPr>
          <w:p w14:paraId="1F4061CC"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3,3 %</w:t>
            </w:r>
          </w:p>
        </w:tc>
      </w:tr>
      <w:tr w:rsidR="00FE4ED6" w:rsidRPr="00FE4ED6" w14:paraId="3F6834F5"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5667E47B" w14:textId="7777777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 xml:space="preserve">Ersättningsgilla läkemedel (FPA brutto) </w:t>
            </w:r>
          </w:p>
        </w:tc>
        <w:tc>
          <w:tcPr>
            <w:tcW w:w="2127" w:type="dxa"/>
            <w:tcBorders>
              <w:top w:val="nil"/>
              <w:left w:val="nil"/>
              <w:bottom w:val="single" w:sz="4" w:space="0" w:color="auto"/>
              <w:right w:val="single" w:sz="4" w:space="0" w:color="auto"/>
            </w:tcBorders>
            <w:noWrap/>
            <w:vAlign w:val="bottom"/>
            <w:hideMark/>
          </w:tcPr>
          <w:p w14:paraId="6AB53339"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9 176 258</w:t>
            </w:r>
          </w:p>
        </w:tc>
        <w:tc>
          <w:tcPr>
            <w:tcW w:w="2268" w:type="dxa"/>
            <w:tcBorders>
              <w:top w:val="nil"/>
              <w:left w:val="nil"/>
              <w:bottom w:val="single" w:sz="4" w:space="0" w:color="auto"/>
              <w:right w:val="single" w:sz="4" w:space="0" w:color="auto"/>
            </w:tcBorders>
            <w:noWrap/>
            <w:vAlign w:val="bottom"/>
            <w:hideMark/>
          </w:tcPr>
          <w:p w14:paraId="447B0B2A"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7,5 %</w:t>
            </w:r>
          </w:p>
        </w:tc>
      </w:tr>
      <w:tr w:rsidR="00FE4ED6" w:rsidRPr="00FE4ED6" w14:paraId="05DD2023"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1BC467A8" w14:textId="7777777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Annan privat hälso- och sjukvård (FPA brutto)</w:t>
            </w:r>
          </w:p>
        </w:tc>
        <w:tc>
          <w:tcPr>
            <w:tcW w:w="2127" w:type="dxa"/>
            <w:tcBorders>
              <w:top w:val="nil"/>
              <w:left w:val="nil"/>
              <w:bottom w:val="single" w:sz="4" w:space="0" w:color="auto"/>
              <w:right w:val="single" w:sz="4" w:space="0" w:color="auto"/>
            </w:tcBorders>
            <w:noWrap/>
            <w:vAlign w:val="bottom"/>
            <w:hideMark/>
          </w:tcPr>
          <w:p w14:paraId="58C96AE7"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1 443 852</w:t>
            </w:r>
          </w:p>
        </w:tc>
        <w:tc>
          <w:tcPr>
            <w:tcW w:w="2268" w:type="dxa"/>
            <w:tcBorders>
              <w:top w:val="nil"/>
              <w:left w:val="nil"/>
              <w:bottom w:val="single" w:sz="4" w:space="0" w:color="auto"/>
              <w:right w:val="single" w:sz="4" w:space="0" w:color="auto"/>
            </w:tcBorders>
            <w:noWrap/>
            <w:vAlign w:val="bottom"/>
            <w:hideMark/>
          </w:tcPr>
          <w:p w14:paraId="4216F5B6"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1,2 %</w:t>
            </w:r>
          </w:p>
        </w:tc>
      </w:tr>
      <w:tr w:rsidR="00FE4ED6" w:rsidRPr="00FE4ED6" w14:paraId="2A5588A9"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0F268A1A" w14:textId="7777777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Privat tandvård (FPA brutto)</w:t>
            </w:r>
          </w:p>
        </w:tc>
        <w:tc>
          <w:tcPr>
            <w:tcW w:w="2127" w:type="dxa"/>
            <w:tcBorders>
              <w:top w:val="nil"/>
              <w:left w:val="nil"/>
              <w:bottom w:val="single" w:sz="4" w:space="0" w:color="auto"/>
              <w:right w:val="single" w:sz="4" w:space="0" w:color="auto"/>
            </w:tcBorders>
            <w:noWrap/>
            <w:vAlign w:val="bottom"/>
            <w:hideMark/>
          </w:tcPr>
          <w:p w14:paraId="548CC170"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4 186 610</w:t>
            </w:r>
          </w:p>
        </w:tc>
        <w:tc>
          <w:tcPr>
            <w:tcW w:w="2268" w:type="dxa"/>
            <w:tcBorders>
              <w:top w:val="nil"/>
              <w:left w:val="nil"/>
              <w:bottom w:val="single" w:sz="4" w:space="0" w:color="auto"/>
              <w:right w:val="single" w:sz="4" w:space="0" w:color="auto"/>
            </w:tcBorders>
            <w:noWrap/>
            <w:vAlign w:val="bottom"/>
            <w:hideMark/>
          </w:tcPr>
          <w:p w14:paraId="36E5D628"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3,4 %</w:t>
            </w:r>
          </w:p>
        </w:tc>
      </w:tr>
      <w:tr w:rsidR="00FE4ED6" w:rsidRPr="00FE4ED6" w14:paraId="461A56CE"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2E6883DA" w14:textId="7777777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Totalt</w:t>
            </w:r>
          </w:p>
        </w:tc>
        <w:tc>
          <w:tcPr>
            <w:tcW w:w="2127" w:type="dxa"/>
            <w:tcBorders>
              <w:top w:val="nil"/>
              <w:left w:val="nil"/>
              <w:bottom w:val="single" w:sz="4" w:space="0" w:color="auto"/>
              <w:right w:val="single" w:sz="4" w:space="0" w:color="auto"/>
            </w:tcBorders>
            <w:noWrap/>
            <w:vAlign w:val="bottom"/>
            <w:hideMark/>
          </w:tcPr>
          <w:p w14:paraId="7A970E78"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122 345 348</w:t>
            </w:r>
          </w:p>
        </w:tc>
        <w:tc>
          <w:tcPr>
            <w:tcW w:w="2268" w:type="dxa"/>
            <w:tcBorders>
              <w:top w:val="nil"/>
              <w:left w:val="nil"/>
              <w:bottom w:val="single" w:sz="4" w:space="0" w:color="auto"/>
              <w:right w:val="single" w:sz="4" w:space="0" w:color="auto"/>
            </w:tcBorders>
            <w:noWrap/>
            <w:vAlign w:val="bottom"/>
            <w:hideMark/>
          </w:tcPr>
          <w:p w14:paraId="10130E5A"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100,0 %</w:t>
            </w:r>
          </w:p>
        </w:tc>
      </w:tr>
    </w:tbl>
    <w:p w14:paraId="540223FD" w14:textId="75E61BE9" w:rsidR="00FE4ED6" w:rsidRPr="00EB1AF2" w:rsidRDefault="00EB1AF2" w:rsidP="00EB1AF2">
      <w:pPr>
        <w:spacing w:line="240" w:lineRule="auto"/>
        <w:rPr>
          <w:sz w:val="18"/>
          <w:szCs w:val="18"/>
        </w:rPr>
      </w:pPr>
      <w:r>
        <w:rPr>
          <w:sz w:val="18"/>
          <w:szCs w:val="18"/>
        </w:rPr>
        <w:t>*</w:t>
      </w:r>
      <w:r w:rsidRPr="00EB1AF2">
        <w:rPr>
          <w:sz w:val="18"/>
          <w:szCs w:val="18"/>
        </w:rPr>
        <w:t xml:space="preserve">Ersättningsklass I omfattar kostnaderna för </w:t>
      </w:r>
      <w:r>
        <w:rPr>
          <w:sz w:val="18"/>
          <w:szCs w:val="18"/>
        </w:rPr>
        <w:t xml:space="preserve">lagstadgat </w:t>
      </w:r>
      <w:r w:rsidRPr="00EB1AF2">
        <w:rPr>
          <w:sz w:val="18"/>
          <w:szCs w:val="18"/>
        </w:rPr>
        <w:t>förebyggande verksamhet och verksamhet som upprätthåller arbetsförmågan.</w:t>
      </w:r>
      <w:r>
        <w:rPr>
          <w:sz w:val="18"/>
          <w:szCs w:val="18"/>
        </w:rPr>
        <w:t xml:space="preserve"> </w:t>
      </w:r>
      <w:r w:rsidRPr="00EB1AF2">
        <w:rPr>
          <w:sz w:val="18"/>
          <w:szCs w:val="18"/>
        </w:rPr>
        <w:t xml:space="preserve">Ersättningsklass II omfattar kostnader för sjukvård på allmänläkarnivå och kostnader för annan hälso- och sjukvård som erbjuds utöver den </w:t>
      </w:r>
      <w:r>
        <w:rPr>
          <w:sz w:val="18"/>
          <w:szCs w:val="18"/>
        </w:rPr>
        <w:t xml:space="preserve">lagstadgade </w:t>
      </w:r>
      <w:r w:rsidRPr="00EB1AF2">
        <w:rPr>
          <w:sz w:val="18"/>
          <w:szCs w:val="18"/>
        </w:rPr>
        <w:t>förebyggande företagshälsovården.</w:t>
      </w:r>
    </w:p>
    <w:p w14:paraId="4F801C72" w14:textId="77777777" w:rsidR="00FE4ED6" w:rsidRDefault="00FE4ED6" w:rsidP="00EB1AF2">
      <w:pPr>
        <w:spacing w:line="240" w:lineRule="auto"/>
      </w:pPr>
    </w:p>
    <w:p w14:paraId="4C72CA1C" w14:textId="42CECC2A" w:rsidR="00FE4ED6" w:rsidRDefault="00FE4ED6" w:rsidP="00EB1AF2">
      <w:pPr>
        <w:spacing w:line="240" w:lineRule="auto"/>
      </w:pPr>
      <w:r>
        <w:t xml:space="preserve">Tabell </w:t>
      </w:r>
      <w:r w:rsidR="004735B0">
        <w:t>3</w:t>
      </w:r>
      <w:r>
        <w:t>. K</w:t>
      </w:r>
      <w:r w:rsidRPr="00FE4ED6">
        <w:t>ostnader för hälso- och sjukvård</w:t>
      </w:r>
      <w:r w:rsidR="00683004">
        <w:t xml:space="preserve"> inklusive delar av socialvården</w:t>
      </w:r>
      <w:r>
        <w:t xml:space="preserve"> på Åland</w:t>
      </w:r>
      <w:r w:rsidR="00683004">
        <w:t>, år</w:t>
      </w:r>
      <w:r>
        <w:t xml:space="preserve"> 2022</w:t>
      </w:r>
    </w:p>
    <w:tbl>
      <w:tblPr>
        <w:tblW w:w="9493" w:type="dxa"/>
        <w:tblCellMar>
          <w:left w:w="70" w:type="dxa"/>
          <w:right w:w="70" w:type="dxa"/>
        </w:tblCellMar>
        <w:tblLook w:val="04A0" w:firstRow="1" w:lastRow="0" w:firstColumn="1" w:lastColumn="0" w:noHBand="0" w:noVBand="1"/>
      </w:tblPr>
      <w:tblGrid>
        <w:gridCol w:w="5098"/>
        <w:gridCol w:w="2127"/>
        <w:gridCol w:w="2268"/>
      </w:tblGrid>
      <w:tr w:rsidR="00FE4ED6" w:rsidRPr="00FE4ED6" w14:paraId="1EC3049D" w14:textId="77777777" w:rsidTr="00EB1AF2">
        <w:trPr>
          <w:trHeight w:val="300"/>
        </w:trPr>
        <w:tc>
          <w:tcPr>
            <w:tcW w:w="5098" w:type="dxa"/>
            <w:tcBorders>
              <w:top w:val="single" w:sz="4" w:space="0" w:color="auto"/>
              <w:left w:val="single" w:sz="4" w:space="0" w:color="auto"/>
              <w:bottom w:val="single" w:sz="4" w:space="0" w:color="auto"/>
              <w:right w:val="single" w:sz="4" w:space="0" w:color="auto"/>
            </w:tcBorders>
            <w:noWrap/>
            <w:vAlign w:val="bottom"/>
            <w:hideMark/>
          </w:tcPr>
          <w:p w14:paraId="6D3F713E" w14:textId="77777777" w:rsidR="00FE4ED6" w:rsidRPr="00FE4ED6" w:rsidRDefault="00FE4ED6" w:rsidP="00EB1AF2">
            <w:pPr>
              <w:autoSpaceDE/>
              <w:autoSpaceDN/>
              <w:adjustRightInd/>
              <w:spacing w:line="240" w:lineRule="auto"/>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 </w:t>
            </w:r>
          </w:p>
        </w:tc>
        <w:tc>
          <w:tcPr>
            <w:tcW w:w="2127" w:type="dxa"/>
            <w:tcBorders>
              <w:top w:val="single" w:sz="4" w:space="0" w:color="auto"/>
              <w:left w:val="nil"/>
              <w:bottom w:val="single" w:sz="4" w:space="0" w:color="auto"/>
              <w:right w:val="single" w:sz="4" w:space="0" w:color="auto"/>
            </w:tcBorders>
            <w:noWrap/>
            <w:vAlign w:val="bottom"/>
            <w:hideMark/>
          </w:tcPr>
          <w:p w14:paraId="35E84AEA" w14:textId="3DD6EE85" w:rsidR="00FE4ED6" w:rsidRPr="00FE4ED6" w:rsidRDefault="00FE4ED6" w:rsidP="00EB1AF2">
            <w:pPr>
              <w:autoSpaceDE/>
              <w:autoSpaceDN/>
              <w:adjustRightInd/>
              <w:spacing w:line="240" w:lineRule="auto"/>
              <w:jc w:val="center"/>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Årskostnad</w:t>
            </w:r>
            <w:r w:rsidRPr="00133CB3">
              <w:rPr>
                <w:rFonts w:ascii="Calibri" w:eastAsia="Times New Roman" w:hAnsi="Calibri" w:cs="Calibri"/>
                <w:b/>
                <w:bCs/>
                <w:color w:val="000000"/>
                <w:lang w:val="sv-FI" w:eastAsia="sv-FI"/>
              </w:rPr>
              <w:t xml:space="preserve"> (euro)</w:t>
            </w:r>
          </w:p>
        </w:tc>
        <w:tc>
          <w:tcPr>
            <w:tcW w:w="2268" w:type="dxa"/>
            <w:tcBorders>
              <w:top w:val="single" w:sz="4" w:space="0" w:color="auto"/>
              <w:left w:val="nil"/>
              <w:bottom w:val="single" w:sz="4" w:space="0" w:color="auto"/>
              <w:right w:val="single" w:sz="4" w:space="0" w:color="auto"/>
            </w:tcBorders>
            <w:noWrap/>
            <w:vAlign w:val="bottom"/>
            <w:hideMark/>
          </w:tcPr>
          <w:p w14:paraId="2B8EC25C" w14:textId="6866EA29" w:rsidR="00FE4ED6" w:rsidRPr="00FE4ED6" w:rsidRDefault="00FE4ED6" w:rsidP="00EB1AF2">
            <w:pPr>
              <w:autoSpaceDE/>
              <w:autoSpaceDN/>
              <w:adjustRightInd/>
              <w:spacing w:line="240" w:lineRule="auto"/>
              <w:jc w:val="center"/>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 xml:space="preserve">Andel </w:t>
            </w:r>
            <w:r w:rsidRPr="00133CB3">
              <w:rPr>
                <w:rFonts w:ascii="Calibri" w:eastAsia="Times New Roman" w:hAnsi="Calibri" w:cs="Calibri"/>
                <w:b/>
                <w:bCs/>
                <w:color w:val="000000"/>
                <w:lang w:val="sv-FI" w:eastAsia="sv-FI"/>
              </w:rPr>
              <w:t xml:space="preserve">av </w:t>
            </w:r>
            <w:r w:rsidR="00EB1AF2">
              <w:rPr>
                <w:rFonts w:ascii="Calibri" w:eastAsia="Times New Roman" w:hAnsi="Calibri" w:cs="Calibri"/>
                <w:b/>
                <w:bCs/>
                <w:color w:val="000000"/>
                <w:lang w:val="sv-FI" w:eastAsia="sv-FI"/>
              </w:rPr>
              <w:t>total</w:t>
            </w:r>
            <w:r w:rsidRPr="00133CB3">
              <w:rPr>
                <w:rFonts w:ascii="Calibri" w:eastAsia="Times New Roman" w:hAnsi="Calibri" w:cs="Calibri"/>
                <w:b/>
                <w:bCs/>
                <w:color w:val="000000"/>
                <w:lang w:val="sv-FI" w:eastAsia="sv-FI"/>
              </w:rPr>
              <w:t>kostnaden</w:t>
            </w:r>
          </w:p>
        </w:tc>
      </w:tr>
      <w:tr w:rsidR="00FE4ED6" w:rsidRPr="00FE4ED6" w14:paraId="4B905F12"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3A94AF90" w14:textId="7B146BA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ÅHS inkl</w:t>
            </w:r>
            <w:r w:rsidR="007D146E">
              <w:rPr>
                <w:rFonts w:ascii="Calibri" w:eastAsia="Times New Roman" w:hAnsi="Calibri" w:cs="Calibri"/>
                <w:b/>
                <w:bCs/>
                <w:color w:val="000000"/>
                <w:lang w:val="sv-FI" w:eastAsia="sv-FI"/>
              </w:rPr>
              <w:t>usive</w:t>
            </w:r>
            <w:r w:rsidRPr="00FE4ED6">
              <w:rPr>
                <w:rFonts w:ascii="Calibri" w:eastAsia="Times New Roman" w:hAnsi="Calibri" w:cs="Calibri"/>
                <w:b/>
                <w:bCs/>
                <w:color w:val="000000"/>
                <w:lang w:val="sv-FI" w:eastAsia="sv-FI"/>
              </w:rPr>
              <w:t xml:space="preserve"> tandvård </w:t>
            </w:r>
            <w:r w:rsidRPr="00133CB3">
              <w:rPr>
                <w:rFonts w:ascii="Calibri" w:eastAsia="Times New Roman" w:hAnsi="Calibri" w:cs="Calibri"/>
                <w:b/>
                <w:bCs/>
                <w:color w:val="000000"/>
                <w:lang w:val="sv-FI" w:eastAsia="sv-FI"/>
              </w:rPr>
              <w:t xml:space="preserve">och </w:t>
            </w:r>
            <w:r w:rsidRPr="00FE4ED6">
              <w:rPr>
                <w:rFonts w:ascii="Calibri" w:eastAsia="Times New Roman" w:hAnsi="Calibri" w:cs="Calibri"/>
                <w:b/>
                <w:bCs/>
                <w:color w:val="000000"/>
                <w:lang w:val="sv-FI" w:eastAsia="sv-FI"/>
              </w:rPr>
              <w:t>patientavgifter</w:t>
            </w:r>
            <w:r w:rsidRPr="00133CB3">
              <w:rPr>
                <w:rFonts w:ascii="Calibri" w:eastAsia="Times New Roman" w:hAnsi="Calibri" w:cs="Calibri"/>
                <w:b/>
                <w:bCs/>
                <w:color w:val="000000"/>
                <w:lang w:val="sv-FI" w:eastAsia="sv-FI"/>
              </w:rPr>
              <w:t xml:space="preserve"> (orensad</w:t>
            </w:r>
            <w:r w:rsidRPr="00FE4ED6">
              <w:rPr>
                <w:rFonts w:ascii="Calibri" w:eastAsia="Times New Roman" w:hAnsi="Calibri" w:cs="Calibri"/>
                <w:b/>
                <w:bCs/>
                <w:color w:val="000000"/>
                <w:lang w:val="sv-FI" w:eastAsia="sv-FI"/>
              </w:rPr>
              <w:t>)</w:t>
            </w:r>
          </w:p>
        </w:tc>
        <w:tc>
          <w:tcPr>
            <w:tcW w:w="2127" w:type="dxa"/>
            <w:tcBorders>
              <w:top w:val="nil"/>
              <w:left w:val="nil"/>
              <w:bottom w:val="single" w:sz="4" w:space="0" w:color="auto"/>
              <w:right w:val="single" w:sz="4" w:space="0" w:color="auto"/>
            </w:tcBorders>
            <w:noWrap/>
            <w:vAlign w:val="bottom"/>
            <w:hideMark/>
          </w:tcPr>
          <w:p w14:paraId="751FE773"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103 467 928</w:t>
            </w:r>
          </w:p>
        </w:tc>
        <w:tc>
          <w:tcPr>
            <w:tcW w:w="2268" w:type="dxa"/>
            <w:tcBorders>
              <w:top w:val="nil"/>
              <w:left w:val="nil"/>
              <w:bottom w:val="single" w:sz="4" w:space="0" w:color="auto"/>
              <w:right w:val="single" w:sz="4" w:space="0" w:color="auto"/>
            </w:tcBorders>
            <w:noWrap/>
            <w:vAlign w:val="bottom"/>
            <w:hideMark/>
          </w:tcPr>
          <w:p w14:paraId="63FF1332"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66 %</w:t>
            </w:r>
          </w:p>
        </w:tc>
      </w:tr>
      <w:tr w:rsidR="00FE4ED6" w:rsidRPr="00FE4ED6" w14:paraId="67FC1750"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7C9C23AE" w14:textId="5229BAB8"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Företagshälsovård I &amp; II</w:t>
            </w:r>
            <w:r w:rsidR="00EB1AF2">
              <w:rPr>
                <w:rFonts w:ascii="Calibri" w:eastAsia="Times New Roman" w:hAnsi="Calibri" w:cs="Calibri"/>
                <w:b/>
                <w:bCs/>
                <w:color w:val="000000"/>
                <w:lang w:val="sv-FI" w:eastAsia="sv-FI"/>
              </w:rPr>
              <w:t>*</w:t>
            </w:r>
          </w:p>
        </w:tc>
        <w:tc>
          <w:tcPr>
            <w:tcW w:w="2127" w:type="dxa"/>
            <w:tcBorders>
              <w:top w:val="nil"/>
              <w:left w:val="nil"/>
              <w:bottom w:val="single" w:sz="4" w:space="0" w:color="auto"/>
              <w:right w:val="single" w:sz="4" w:space="0" w:color="auto"/>
            </w:tcBorders>
            <w:noWrap/>
            <w:vAlign w:val="bottom"/>
            <w:hideMark/>
          </w:tcPr>
          <w:p w14:paraId="0D11CADE"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4 070 700</w:t>
            </w:r>
          </w:p>
        </w:tc>
        <w:tc>
          <w:tcPr>
            <w:tcW w:w="2268" w:type="dxa"/>
            <w:tcBorders>
              <w:top w:val="nil"/>
              <w:left w:val="nil"/>
              <w:bottom w:val="single" w:sz="4" w:space="0" w:color="auto"/>
              <w:right w:val="single" w:sz="4" w:space="0" w:color="auto"/>
            </w:tcBorders>
            <w:noWrap/>
            <w:vAlign w:val="bottom"/>
            <w:hideMark/>
          </w:tcPr>
          <w:p w14:paraId="7EA0557A"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3 %</w:t>
            </w:r>
          </w:p>
        </w:tc>
      </w:tr>
      <w:tr w:rsidR="00FE4ED6" w:rsidRPr="00FE4ED6" w14:paraId="32FAB06E"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4D174AC7" w14:textId="7777777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Ersättningsgilla läkemedel (FPA brutto)</w:t>
            </w:r>
          </w:p>
        </w:tc>
        <w:tc>
          <w:tcPr>
            <w:tcW w:w="2127" w:type="dxa"/>
            <w:tcBorders>
              <w:top w:val="nil"/>
              <w:left w:val="nil"/>
              <w:bottom w:val="single" w:sz="4" w:space="0" w:color="auto"/>
              <w:right w:val="single" w:sz="4" w:space="0" w:color="auto"/>
            </w:tcBorders>
            <w:noWrap/>
            <w:vAlign w:val="bottom"/>
            <w:hideMark/>
          </w:tcPr>
          <w:p w14:paraId="119C91A8"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9 176 258</w:t>
            </w:r>
          </w:p>
        </w:tc>
        <w:tc>
          <w:tcPr>
            <w:tcW w:w="2268" w:type="dxa"/>
            <w:tcBorders>
              <w:top w:val="nil"/>
              <w:left w:val="nil"/>
              <w:bottom w:val="single" w:sz="4" w:space="0" w:color="auto"/>
              <w:right w:val="single" w:sz="4" w:space="0" w:color="auto"/>
            </w:tcBorders>
            <w:noWrap/>
            <w:vAlign w:val="bottom"/>
            <w:hideMark/>
          </w:tcPr>
          <w:p w14:paraId="3E8C99F2"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6 %</w:t>
            </w:r>
          </w:p>
        </w:tc>
      </w:tr>
      <w:tr w:rsidR="00FE4ED6" w:rsidRPr="00FE4ED6" w14:paraId="2011D0D4"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564F4BCB" w14:textId="7777777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Annan privat hälso- och sjukvård (FPA brutto)</w:t>
            </w:r>
          </w:p>
        </w:tc>
        <w:tc>
          <w:tcPr>
            <w:tcW w:w="2127" w:type="dxa"/>
            <w:tcBorders>
              <w:top w:val="nil"/>
              <w:left w:val="nil"/>
              <w:bottom w:val="single" w:sz="4" w:space="0" w:color="auto"/>
              <w:right w:val="single" w:sz="4" w:space="0" w:color="auto"/>
            </w:tcBorders>
            <w:noWrap/>
            <w:vAlign w:val="bottom"/>
            <w:hideMark/>
          </w:tcPr>
          <w:p w14:paraId="3B1B90CD"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1 443 852</w:t>
            </w:r>
          </w:p>
        </w:tc>
        <w:tc>
          <w:tcPr>
            <w:tcW w:w="2268" w:type="dxa"/>
            <w:tcBorders>
              <w:top w:val="nil"/>
              <w:left w:val="nil"/>
              <w:bottom w:val="single" w:sz="4" w:space="0" w:color="auto"/>
              <w:right w:val="single" w:sz="4" w:space="0" w:color="auto"/>
            </w:tcBorders>
            <w:noWrap/>
            <w:vAlign w:val="bottom"/>
            <w:hideMark/>
          </w:tcPr>
          <w:p w14:paraId="2B8ECB16"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1 %</w:t>
            </w:r>
          </w:p>
        </w:tc>
      </w:tr>
      <w:tr w:rsidR="00FE4ED6" w:rsidRPr="00FE4ED6" w14:paraId="15613413"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66851394" w14:textId="7777777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Privat tandvård (FPA brutto)</w:t>
            </w:r>
          </w:p>
        </w:tc>
        <w:tc>
          <w:tcPr>
            <w:tcW w:w="2127" w:type="dxa"/>
            <w:tcBorders>
              <w:top w:val="nil"/>
              <w:left w:val="nil"/>
              <w:bottom w:val="single" w:sz="4" w:space="0" w:color="auto"/>
              <w:right w:val="single" w:sz="4" w:space="0" w:color="auto"/>
            </w:tcBorders>
            <w:noWrap/>
            <w:vAlign w:val="bottom"/>
            <w:hideMark/>
          </w:tcPr>
          <w:p w14:paraId="1A4D084F"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4 186 610</w:t>
            </w:r>
          </w:p>
        </w:tc>
        <w:tc>
          <w:tcPr>
            <w:tcW w:w="2268" w:type="dxa"/>
            <w:tcBorders>
              <w:top w:val="nil"/>
              <w:left w:val="nil"/>
              <w:bottom w:val="single" w:sz="4" w:space="0" w:color="auto"/>
              <w:right w:val="single" w:sz="4" w:space="0" w:color="auto"/>
            </w:tcBorders>
            <w:noWrap/>
            <w:vAlign w:val="bottom"/>
            <w:hideMark/>
          </w:tcPr>
          <w:p w14:paraId="184475A0"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3 %</w:t>
            </w:r>
          </w:p>
        </w:tc>
      </w:tr>
      <w:tr w:rsidR="00FE4ED6" w:rsidRPr="00FE4ED6" w14:paraId="2288BA5D"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4D17722D" w14:textId="278B533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133CB3">
              <w:rPr>
                <w:rFonts w:ascii="Calibri" w:eastAsia="Times New Roman" w:hAnsi="Calibri" w:cs="Calibri"/>
                <w:b/>
                <w:bCs/>
                <w:color w:val="000000"/>
                <w:lang w:val="sv-FI" w:eastAsia="sv-FI"/>
              </w:rPr>
              <w:t>Institutionsvård</w:t>
            </w:r>
            <w:r w:rsidRPr="00FE4ED6">
              <w:rPr>
                <w:rFonts w:ascii="Calibri" w:eastAsia="Times New Roman" w:hAnsi="Calibri" w:cs="Calibri"/>
                <w:b/>
                <w:bCs/>
                <w:color w:val="000000"/>
                <w:lang w:val="sv-FI" w:eastAsia="sv-FI"/>
              </w:rPr>
              <w:t xml:space="preserve"> och boendeservice med heldygnsomsorg</w:t>
            </w:r>
            <w:r w:rsidR="00EB1AF2">
              <w:rPr>
                <w:rFonts w:ascii="Calibri" w:eastAsia="Times New Roman" w:hAnsi="Calibri" w:cs="Calibri"/>
                <w:b/>
                <w:bCs/>
                <w:color w:val="000000"/>
                <w:lang w:val="sv-FI" w:eastAsia="sv-FI"/>
              </w:rPr>
              <w:t>**</w:t>
            </w:r>
            <w:r w:rsidRPr="00FE4ED6">
              <w:rPr>
                <w:rFonts w:ascii="Calibri" w:eastAsia="Times New Roman" w:hAnsi="Calibri" w:cs="Calibri"/>
                <w:b/>
                <w:bCs/>
                <w:color w:val="000000"/>
                <w:lang w:val="sv-FI" w:eastAsia="sv-FI"/>
              </w:rPr>
              <w:t xml:space="preserve"> </w:t>
            </w:r>
          </w:p>
        </w:tc>
        <w:tc>
          <w:tcPr>
            <w:tcW w:w="2127" w:type="dxa"/>
            <w:tcBorders>
              <w:top w:val="nil"/>
              <w:left w:val="nil"/>
              <w:bottom w:val="single" w:sz="4" w:space="0" w:color="auto"/>
              <w:right w:val="single" w:sz="4" w:space="0" w:color="auto"/>
            </w:tcBorders>
            <w:shd w:val="clear" w:color="000000" w:fill="FFFFFF"/>
            <w:noWrap/>
            <w:vAlign w:val="bottom"/>
            <w:hideMark/>
          </w:tcPr>
          <w:p w14:paraId="178407CF"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35 147 000</w:t>
            </w:r>
          </w:p>
        </w:tc>
        <w:tc>
          <w:tcPr>
            <w:tcW w:w="2268" w:type="dxa"/>
            <w:tcBorders>
              <w:top w:val="nil"/>
              <w:left w:val="nil"/>
              <w:bottom w:val="single" w:sz="4" w:space="0" w:color="auto"/>
              <w:right w:val="single" w:sz="4" w:space="0" w:color="auto"/>
            </w:tcBorders>
            <w:noWrap/>
            <w:vAlign w:val="bottom"/>
            <w:hideMark/>
          </w:tcPr>
          <w:p w14:paraId="3F2C5369"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22 %</w:t>
            </w:r>
          </w:p>
        </w:tc>
      </w:tr>
      <w:tr w:rsidR="00FE4ED6" w:rsidRPr="00FE4ED6" w14:paraId="2B884A43" w14:textId="77777777" w:rsidTr="00EB1AF2">
        <w:trPr>
          <w:trHeight w:val="300"/>
        </w:trPr>
        <w:tc>
          <w:tcPr>
            <w:tcW w:w="5098" w:type="dxa"/>
            <w:tcBorders>
              <w:top w:val="nil"/>
              <w:left w:val="single" w:sz="4" w:space="0" w:color="auto"/>
              <w:bottom w:val="single" w:sz="4" w:space="0" w:color="auto"/>
              <w:right w:val="single" w:sz="4" w:space="0" w:color="auto"/>
            </w:tcBorders>
            <w:noWrap/>
            <w:vAlign w:val="bottom"/>
            <w:hideMark/>
          </w:tcPr>
          <w:p w14:paraId="726245BE" w14:textId="77777777" w:rsidR="00FE4ED6" w:rsidRPr="00FE4ED6" w:rsidRDefault="00FE4ED6" w:rsidP="00EB1AF2">
            <w:pPr>
              <w:autoSpaceDE/>
              <w:autoSpaceDN/>
              <w:adjustRightInd/>
              <w:spacing w:line="240" w:lineRule="auto"/>
              <w:textAlignment w:val="auto"/>
              <w:rPr>
                <w:rFonts w:ascii="Calibri" w:eastAsia="Times New Roman" w:hAnsi="Calibri" w:cs="Calibri"/>
                <w:b/>
                <w:bCs/>
                <w:color w:val="000000"/>
                <w:lang w:val="sv-FI" w:eastAsia="sv-FI"/>
              </w:rPr>
            </w:pPr>
            <w:r w:rsidRPr="00FE4ED6">
              <w:rPr>
                <w:rFonts w:ascii="Calibri" w:eastAsia="Times New Roman" w:hAnsi="Calibri" w:cs="Calibri"/>
                <w:b/>
                <w:bCs/>
                <w:color w:val="000000"/>
                <w:lang w:val="sv-FI" w:eastAsia="sv-FI"/>
              </w:rPr>
              <w:t>Totalt</w:t>
            </w:r>
          </w:p>
        </w:tc>
        <w:tc>
          <w:tcPr>
            <w:tcW w:w="2127" w:type="dxa"/>
            <w:tcBorders>
              <w:top w:val="nil"/>
              <w:left w:val="nil"/>
              <w:bottom w:val="single" w:sz="4" w:space="0" w:color="auto"/>
              <w:right w:val="single" w:sz="4" w:space="0" w:color="auto"/>
            </w:tcBorders>
            <w:noWrap/>
            <w:vAlign w:val="bottom"/>
            <w:hideMark/>
          </w:tcPr>
          <w:p w14:paraId="3F1A808F"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157 492 348</w:t>
            </w:r>
          </w:p>
        </w:tc>
        <w:tc>
          <w:tcPr>
            <w:tcW w:w="2268" w:type="dxa"/>
            <w:tcBorders>
              <w:top w:val="nil"/>
              <w:left w:val="nil"/>
              <w:bottom w:val="single" w:sz="4" w:space="0" w:color="auto"/>
              <w:right w:val="single" w:sz="4" w:space="0" w:color="auto"/>
            </w:tcBorders>
            <w:noWrap/>
            <w:vAlign w:val="bottom"/>
            <w:hideMark/>
          </w:tcPr>
          <w:p w14:paraId="76C2D592" w14:textId="77777777" w:rsidR="00FE4ED6" w:rsidRPr="00FE4ED6" w:rsidRDefault="00FE4ED6" w:rsidP="00EB1AF2">
            <w:pPr>
              <w:autoSpaceDE/>
              <w:autoSpaceDN/>
              <w:adjustRightInd/>
              <w:spacing w:line="240" w:lineRule="auto"/>
              <w:jc w:val="right"/>
              <w:textAlignment w:val="auto"/>
              <w:rPr>
                <w:rFonts w:ascii="Calibri" w:eastAsia="Times New Roman" w:hAnsi="Calibri" w:cs="Calibri"/>
                <w:color w:val="000000"/>
                <w:lang w:val="sv-FI" w:eastAsia="sv-FI"/>
              </w:rPr>
            </w:pPr>
            <w:r w:rsidRPr="00FE4ED6">
              <w:rPr>
                <w:rFonts w:ascii="Calibri" w:eastAsia="Times New Roman" w:hAnsi="Calibri" w:cs="Calibri"/>
                <w:color w:val="000000"/>
                <w:lang w:val="sv-FI" w:eastAsia="sv-FI"/>
              </w:rPr>
              <w:t>100 %</w:t>
            </w:r>
          </w:p>
        </w:tc>
      </w:tr>
    </w:tbl>
    <w:p w14:paraId="681FA274" w14:textId="5DF56862" w:rsidR="00A11FFB" w:rsidRDefault="00EB1AF2" w:rsidP="00EB1AF2">
      <w:pPr>
        <w:spacing w:line="240" w:lineRule="auto"/>
        <w:rPr>
          <w:sz w:val="18"/>
          <w:szCs w:val="18"/>
        </w:rPr>
      </w:pPr>
      <w:r w:rsidRPr="00EB1AF2">
        <w:rPr>
          <w:sz w:val="18"/>
          <w:szCs w:val="18"/>
        </w:rPr>
        <w:t>*Ersättningsklass I omfattar kostnaderna för lagstadgat förebyggande verksamhet och verksamhet som upprätthåller arbetsförmågan. Ersättningsklass II omfattar kostnader för sjukvård på allmänläkarnivå och kostnader för annan hälso- och sjukvård som erbjuds utöver den lagstadgade förebyggande företagshälsovården.</w:t>
      </w:r>
    </w:p>
    <w:p w14:paraId="66A06A57" w14:textId="4513B2F4" w:rsidR="00EB1AF2" w:rsidRPr="00EB1AF2" w:rsidRDefault="00EB1AF2" w:rsidP="00EB1AF2">
      <w:pPr>
        <w:spacing w:line="240" w:lineRule="auto"/>
        <w:rPr>
          <w:sz w:val="18"/>
          <w:szCs w:val="18"/>
        </w:rPr>
      </w:pPr>
      <w:r>
        <w:rPr>
          <w:sz w:val="18"/>
          <w:szCs w:val="18"/>
        </w:rPr>
        <w:t>**</w:t>
      </w:r>
      <w:r w:rsidRPr="00EB1AF2">
        <w:rPr>
          <w:sz w:val="18"/>
          <w:szCs w:val="18"/>
        </w:rPr>
        <w:t>Kommunernas driftkostnad</w:t>
      </w:r>
      <w:r>
        <w:rPr>
          <w:sz w:val="18"/>
          <w:szCs w:val="18"/>
        </w:rPr>
        <w:t xml:space="preserve"> inklusive klientavgifter.</w:t>
      </w:r>
    </w:p>
    <w:p w14:paraId="52EDBA1F" w14:textId="2B8D55C1" w:rsidR="00A11FFB" w:rsidRDefault="00A11FFB" w:rsidP="00EB1AF2">
      <w:pPr>
        <w:spacing w:line="240" w:lineRule="auto"/>
      </w:pPr>
      <w:r>
        <w:t xml:space="preserve">    </w:t>
      </w:r>
    </w:p>
    <w:p w14:paraId="5CDC2398" w14:textId="77777777" w:rsidR="002956B0" w:rsidRDefault="002956B0" w:rsidP="002956B0">
      <w:pPr>
        <w:spacing w:line="240" w:lineRule="auto"/>
      </w:pPr>
    </w:p>
    <w:p w14:paraId="2E58B00D" w14:textId="77777777" w:rsidR="00822892" w:rsidRDefault="00822892" w:rsidP="002956B0">
      <w:pPr>
        <w:spacing w:line="240" w:lineRule="auto"/>
      </w:pPr>
    </w:p>
    <w:p w14:paraId="4A942914" w14:textId="77777777" w:rsidR="00822892" w:rsidRDefault="00822892" w:rsidP="002956B0">
      <w:pPr>
        <w:spacing w:line="240" w:lineRule="auto"/>
      </w:pPr>
    </w:p>
    <w:p w14:paraId="5031F409" w14:textId="77777777" w:rsidR="00822892" w:rsidRDefault="00822892" w:rsidP="002956B0">
      <w:pPr>
        <w:spacing w:line="240" w:lineRule="auto"/>
      </w:pPr>
    </w:p>
    <w:p w14:paraId="6DA6F02C" w14:textId="77777777" w:rsidR="00822892" w:rsidRDefault="00822892" w:rsidP="002956B0">
      <w:pPr>
        <w:spacing w:line="240" w:lineRule="auto"/>
      </w:pPr>
    </w:p>
    <w:p w14:paraId="065D64AA" w14:textId="131061DC" w:rsidR="00822892" w:rsidRDefault="00822892" w:rsidP="002956B0">
      <w:pPr>
        <w:spacing w:line="240" w:lineRule="auto"/>
      </w:pPr>
      <w:r>
        <w:t xml:space="preserve">Tabell </w:t>
      </w:r>
      <w:r w:rsidR="004735B0">
        <w:t>4</w:t>
      </w:r>
      <w:r>
        <w:t xml:space="preserve"> visar fördelning av olikas finansieringskanaler för hälso- och sjukvården </w:t>
      </w:r>
      <w:r w:rsidR="00BA5589">
        <w:t xml:space="preserve">inklusive delar av socialvården </w:t>
      </w:r>
      <w:r>
        <w:t>år 2022</w:t>
      </w:r>
      <w:r w:rsidR="00BA5589">
        <w:t>, således för de kostnader som redovisas i tabell 3</w:t>
      </w:r>
      <w:r>
        <w:t xml:space="preserve">. </w:t>
      </w:r>
      <w:r w:rsidR="00BA5589">
        <w:t xml:space="preserve">Om man som </w:t>
      </w:r>
      <w:r w:rsidR="00BA5589" w:rsidRPr="00BA5589">
        <w:t>offentlig finansiering räkna</w:t>
      </w:r>
      <w:r w:rsidR="00BA5589">
        <w:t>r</w:t>
      </w:r>
      <w:r w:rsidR="00BA5589" w:rsidRPr="00BA5589">
        <w:t xml:space="preserve"> finansiering via skatt </w:t>
      </w:r>
      <w:r w:rsidR="00BA5589">
        <w:t xml:space="preserve">och liknande, </w:t>
      </w:r>
      <w:r w:rsidR="00BA5589" w:rsidRPr="00BA5589">
        <w:t>socialförsäkring samt övrig finansiering och till privat finansiering räkna</w:t>
      </w:r>
      <w:r w:rsidR="00BA5589">
        <w:t xml:space="preserve">r </w:t>
      </w:r>
      <w:r w:rsidR="00BA5589" w:rsidRPr="00BA5589">
        <w:t>finansiering från arbetsgivare, privat sjukförsäkring samt patient- och klientavgifter</w:t>
      </w:r>
      <w:r w:rsidR="00BA5589">
        <w:t xml:space="preserve"> så var fördelningen ca 90% offentlig finansiering och 10% privat finansiering på Åland år 2022</w:t>
      </w:r>
      <w:r w:rsidR="00BA5589" w:rsidRPr="00BA5589">
        <w:t>.</w:t>
      </w:r>
    </w:p>
    <w:p w14:paraId="15CA422E" w14:textId="77777777" w:rsidR="00822892" w:rsidRDefault="00822892" w:rsidP="002956B0">
      <w:pPr>
        <w:spacing w:line="240" w:lineRule="auto"/>
      </w:pPr>
    </w:p>
    <w:p w14:paraId="5F18E771" w14:textId="11396F0E" w:rsidR="002D2B9B" w:rsidRDefault="002D2B9B" w:rsidP="00381B65">
      <w:pPr>
        <w:spacing w:line="240" w:lineRule="auto"/>
      </w:pPr>
      <w:r>
        <w:t xml:space="preserve">Tabell </w:t>
      </w:r>
      <w:r w:rsidR="004735B0">
        <w:t>4</w:t>
      </w:r>
      <w:r>
        <w:t>. Finansieringsandelar</w:t>
      </w:r>
      <w:r w:rsidR="00822892">
        <w:t xml:space="preserve"> f</w:t>
      </w:r>
      <w:r w:rsidR="004735B0">
        <w:t>ö</w:t>
      </w:r>
      <w:r w:rsidR="00822892">
        <w:t xml:space="preserve">r hälso- och sjukvården </w:t>
      </w:r>
      <w:r w:rsidR="00BA5589">
        <w:t xml:space="preserve">inklusive delar av socialvården </w:t>
      </w:r>
      <w:r w:rsidR="00822892">
        <w:t xml:space="preserve">på Åland år 2022. </w:t>
      </w:r>
    </w:p>
    <w:tbl>
      <w:tblPr>
        <w:tblW w:w="7928" w:type="dxa"/>
        <w:tblCellMar>
          <w:left w:w="70" w:type="dxa"/>
          <w:right w:w="70" w:type="dxa"/>
        </w:tblCellMar>
        <w:tblLook w:val="04A0" w:firstRow="1" w:lastRow="0" w:firstColumn="1" w:lastColumn="0" w:noHBand="0" w:noVBand="1"/>
      </w:tblPr>
      <w:tblGrid>
        <w:gridCol w:w="4940"/>
        <w:gridCol w:w="1429"/>
        <w:gridCol w:w="1559"/>
      </w:tblGrid>
      <w:tr w:rsidR="00381B65" w:rsidRPr="00381B65" w14:paraId="49732444" w14:textId="77777777" w:rsidTr="00C24A2A">
        <w:trPr>
          <w:trHeight w:val="315"/>
        </w:trPr>
        <w:tc>
          <w:tcPr>
            <w:tcW w:w="4940" w:type="dxa"/>
            <w:tcBorders>
              <w:top w:val="single" w:sz="8" w:space="0" w:color="auto"/>
              <w:left w:val="single" w:sz="8" w:space="0" w:color="auto"/>
              <w:bottom w:val="single" w:sz="8" w:space="0" w:color="auto"/>
              <w:right w:val="single" w:sz="8" w:space="0" w:color="auto"/>
            </w:tcBorders>
            <w:noWrap/>
            <w:vAlign w:val="center"/>
            <w:hideMark/>
          </w:tcPr>
          <w:p w14:paraId="6F83FE2C"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429" w:type="dxa"/>
            <w:tcBorders>
              <w:top w:val="single" w:sz="8" w:space="0" w:color="auto"/>
              <w:left w:val="nil"/>
              <w:bottom w:val="single" w:sz="8" w:space="0" w:color="auto"/>
              <w:right w:val="single" w:sz="8" w:space="0" w:color="auto"/>
            </w:tcBorders>
            <w:noWrap/>
            <w:vAlign w:val="center"/>
            <w:hideMark/>
          </w:tcPr>
          <w:p w14:paraId="35BACDDA" w14:textId="77777777" w:rsidR="00381B65" w:rsidRPr="00381B65" w:rsidRDefault="00381B65" w:rsidP="00381B65">
            <w:pPr>
              <w:autoSpaceDE/>
              <w:autoSpaceDN/>
              <w:adjustRightInd/>
              <w:spacing w:line="240" w:lineRule="auto"/>
              <w:jc w:val="center"/>
              <w:textAlignment w:val="auto"/>
              <w:rPr>
                <w:rFonts w:ascii="Calibri" w:eastAsia="Times New Roman" w:hAnsi="Calibri" w:cs="Calibri"/>
                <w:b/>
                <w:bCs/>
                <w:color w:val="000000"/>
                <w:lang w:val="sv-FI" w:eastAsia="sv-FI"/>
              </w:rPr>
            </w:pPr>
            <w:r w:rsidRPr="00381B65">
              <w:rPr>
                <w:rFonts w:ascii="Calibri" w:eastAsia="Times New Roman" w:hAnsi="Calibri" w:cs="Calibri"/>
                <w:b/>
                <w:bCs/>
                <w:color w:val="000000"/>
                <w:lang w:val="sv-FI" w:eastAsia="sv-FI"/>
              </w:rPr>
              <w:t>EUR</w:t>
            </w:r>
          </w:p>
        </w:tc>
        <w:tc>
          <w:tcPr>
            <w:tcW w:w="1559" w:type="dxa"/>
            <w:tcBorders>
              <w:top w:val="single" w:sz="8" w:space="0" w:color="auto"/>
              <w:left w:val="nil"/>
              <w:bottom w:val="single" w:sz="8" w:space="0" w:color="auto"/>
              <w:right w:val="single" w:sz="8" w:space="0" w:color="auto"/>
            </w:tcBorders>
            <w:noWrap/>
            <w:vAlign w:val="center"/>
            <w:hideMark/>
          </w:tcPr>
          <w:p w14:paraId="5A780560" w14:textId="554DAD44" w:rsidR="00381B65" w:rsidRPr="00381B65" w:rsidRDefault="00381B65" w:rsidP="00381B65">
            <w:pPr>
              <w:autoSpaceDE/>
              <w:autoSpaceDN/>
              <w:adjustRightInd/>
              <w:spacing w:line="240" w:lineRule="auto"/>
              <w:jc w:val="center"/>
              <w:textAlignment w:val="auto"/>
              <w:rPr>
                <w:rFonts w:ascii="Calibri" w:eastAsia="Times New Roman" w:hAnsi="Calibri" w:cs="Calibri"/>
                <w:b/>
                <w:bCs/>
                <w:color w:val="000000"/>
                <w:lang w:val="sv-FI" w:eastAsia="sv-FI"/>
              </w:rPr>
            </w:pPr>
            <w:r w:rsidRPr="00381B65">
              <w:rPr>
                <w:rFonts w:ascii="Calibri" w:eastAsia="Times New Roman" w:hAnsi="Calibri" w:cs="Calibri"/>
                <w:b/>
                <w:bCs/>
                <w:color w:val="000000"/>
                <w:lang w:val="sv-FI" w:eastAsia="sv-FI"/>
              </w:rPr>
              <w:t>Andel</w:t>
            </w:r>
            <w:r w:rsidRPr="00FE6C0F">
              <w:rPr>
                <w:rFonts w:ascii="Calibri" w:eastAsia="Times New Roman" w:hAnsi="Calibri" w:cs="Calibri"/>
                <w:b/>
                <w:bCs/>
                <w:color w:val="000000"/>
                <w:lang w:val="sv-FI" w:eastAsia="sv-FI"/>
              </w:rPr>
              <w:t xml:space="preserve"> av totala finansieringen</w:t>
            </w:r>
          </w:p>
        </w:tc>
      </w:tr>
      <w:tr w:rsidR="00381B65" w:rsidRPr="00381B65" w14:paraId="67445C2A"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61433039" w14:textId="039766F5" w:rsidR="00381B65" w:rsidRPr="00381B65" w:rsidRDefault="00381B65" w:rsidP="00381B65">
            <w:pPr>
              <w:autoSpaceDE/>
              <w:autoSpaceDN/>
              <w:adjustRightInd/>
              <w:spacing w:line="240" w:lineRule="auto"/>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Offentlig finansiering</w:t>
            </w:r>
            <w:r w:rsidR="00BA5589">
              <w:rPr>
                <w:rFonts w:ascii="Calibri" w:eastAsia="Times New Roman" w:hAnsi="Calibri" w:cs="Calibri"/>
                <w:b/>
                <w:bCs/>
                <w:i/>
                <w:iCs/>
                <w:color w:val="000000"/>
                <w:lang w:val="sv-FI" w:eastAsia="sv-FI"/>
              </w:rPr>
              <w:t xml:space="preserve"> på Åland via skatter och liknande</w:t>
            </w:r>
          </w:p>
        </w:tc>
        <w:tc>
          <w:tcPr>
            <w:tcW w:w="1429" w:type="dxa"/>
            <w:tcBorders>
              <w:top w:val="nil"/>
              <w:left w:val="nil"/>
              <w:bottom w:val="single" w:sz="8" w:space="0" w:color="auto"/>
              <w:right w:val="single" w:sz="8" w:space="0" w:color="auto"/>
            </w:tcBorders>
            <w:noWrap/>
            <w:vAlign w:val="center"/>
            <w:hideMark/>
          </w:tcPr>
          <w:p w14:paraId="699DEDA5"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120 748 367</w:t>
            </w:r>
          </w:p>
        </w:tc>
        <w:tc>
          <w:tcPr>
            <w:tcW w:w="1559" w:type="dxa"/>
            <w:tcBorders>
              <w:top w:val="nil"/>
              <w:left w:val="nil"/>
              <w:bottom w:val="single" w:sz="8" w:space="0" w:color="auto"/>
              <w:right w:val="single" w:sz="8" w:space="0" w:color="auto"/>
            </w:tcBorders>
            <w:noWrap/>
            <w:vAlign w:val="center"/>
            <w:hideMark/>
          </w:tcPr>
          <w:p w14:paraId="6AB2C534"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76,6 %</w:t>
            </w:r>
          </w:p>
        </w:tc>
      </w:tr>
      <w:tr w:rsidR="00381B65" w:rsidRPr="00381B65" w14:paraId="45D1FDBC"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4490B643"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Landskapsregeringen till ÅHS</w:t>
            </w:r>
          </w:p>
        </w:tc>
        <w:tc>
          <w:tcPr>
            <w:tcW w:w="1429" w:type="dxa"/>
            <w:tcBorders>
              <w:top w:val="nil"/>
              <w:left w:val="nil"/>
              <w:bottom w:val="single" w:sz="8" w:space="0" w:color="auto"/>
              <w:right w:val="single" w:sz="8" w:space="0" w:color="auto"/>
            </w:tcBorders>
            <w:noWrap/>
            <w:vAlign w:val="center"/>
            <w:hideMark/>
          </w:tcPr>
          <w:p w14:paraId="7EACFD9B"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88 713 367</w:t>
            </w:r>
          </w:p>
        </w:tc>
        <w:tc>
          <w:tcPr>
            <w:tcW w:w="1559" w:type="dxa"/>
            <w:tcBorders>
              <w:top w:val="nil"/>
              <w:left w:val="nil"/>
              <w:bottom w:val="single" w:sz="8" w:space="0" w:color="auto"/>
              <w:right w:val="single" w:sz="8" w:space="0" w:color="auto"/>
            </w:tcBorders>
            <w:noWrap/>
            <w:vAlign w:val="center"/>
            <w:hideMark/>
          </w:tcPr>
          <w:p w14:paraId="4D8A1845"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56,3 %</w:t>
            </w:r>
          </w:p>
        </w:tc>
      </w:tr>
      <w:tr w:rsidR="00381B65" w:rsidRPr="00381B65" w14:paraId="1912ACB0"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23FFFA01"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Kommunerna, andra intäkter än klientavgifter</w:t>
            </w:r>
          </w:p>
        </w:tc>
        <w:tc>
          <w:tcPr>
            <w:tcW w:w="1429" w:type="dxa"/>
            <w:tcBorders>
              <w:top w:val="nil"/>
              <w:left w:val="nil"/>
              <w:bottom w:val="single" w:sz="8" w:space="0" w:color="auto"/>
              <w:right w:val="single" w:sz="8" w:space="0" w:color="auto"/>
            </w:tcBorders>
            <w:noWrap/>
            <w:vAlign w:val="center"/>
            <w:hideMark/>
          </w:tcPr>
          <w:p w14:paraId="2E26B0A3"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32 035 000</w:t>
            </w:r>
          </w:p>
        </w:tc>
        <w:tc>
          <w:tcPr>
            <w:tcW w:w="1559" w:type="dxa"/>
            <w:tcBorders>
              <w:top w:val="nil"/>
              <w:left w:val="nil"/>
              <w:bottom w:val="single" w:sz="8" w:space="0" w:color="auto"/>
              <w:right w:val="single" w:sz="8" w:space="0" w:color="auto"/>
            </w:tcBorders>
            <w:noWrap/>
            <w:vAlign w:val="center"/>
            <w:hideMark/>
          </w:tcPr>
          <w:p w14:paraId="1D532081"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20,3 %</w:t>
            </w:r>
          </w:p>
        </w:tc>
      </w:tr>
      <w:tr w:rsidR="00381B65" w:rsidRPr="00381B65" w14:paraId="791E69FF"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7C779BC6"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429" w:type="dxa"/>
            <w:tcBorders>
              <w:top w:val="nil"/>
              <w:left w:val="nil"/>
              <w:bottom w:val="single" w:sz="8" w:space="0" w:color="auto"/>
              <w:right w:val="single" w:sz="8" w:space="0" w:color="auto"/>
            </w:tcBorders>
            <w:noWrap/>
            <w:vAlign w:val="center"/>
            <w:hideMark/>
          </w:tcPr>
          <w:p w14:paraId="139FF1D8"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559" w:type="dxa"/>
            <w:tcBorders>
              <w:top w:val="nil"/>
              <w:left w:val="nil"/>
              <w:bottom w:val="single" w:sz="8" w:space="0" w:color="auto"/>
              <w:right w:val="single" w:sz="8" w:space="0" w:color="auto"/>
            </w:tcBorders>
            <w:noWrap/>
            <w:vAlign w:val="center"/>
            <w:hideMark/>
          </w:tcPr>
          <w:p w14:paraId="7A0DA922"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r>
      <w:tr w:rsidR="00381B65" w:rsidRPr="00381B65" w14:paraId="426068C4"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1ED5442A" w14:textId="77777777" w:rsidR="00381B65" w:rsidRPr="00381B65" w:rsidRDefault="00381B65" w:rsidP="00381B65">
            <w:pPr>
              <w:autoSpaceDE/>
              <w:autoSpaceDN/>
              <w:adjustRightInd/>
              <w:spacing w:line="240" w:lineRule="auto"/>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Socialförsäkring</w:t>
            </w:r>
          </w:p>
        </w:tc>
        <w:tc>
          <w:tcPr>
            <w:tcW w:w="1429" w:type="dxa"/>
            <w:tcBorders>
              <w:top w:val="nil"/>
              <w:left w:val="nil"/>
              <w:bottom w:val="single" w:sz="8" w:space="0" w:color="auto"/>
              <w:right w:val="single" w:sz="8" w:space="0" w:color="auto"/>
            </w:tcBorders>
            <w:noWrap/>
            <w:vAlign w:val="center"/>
            <w:hideMark/>
          </w:tcPr>
          <w:p w14:paraId="76A4C1B7"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13 529 170</w:t>
            </w:r>
          </w:p>
        </w:tc>
        <w:tc>
          <w:tcPr>
            <w:tcW w:w="1559" w:type="dxa"/>
            <w:tcBorders>
              <w:top w:val="nil"/>
              <w:left w:val="nil"/>
              <w:bottom w:val="single" w:sz="8" w:space="0" w:color="auto"/>
              <w:right w:val="single" w:sz="8" w:space="0" w:color="auto"/>
            </w:tcBorders>
            <w:noWrap/>
            <w:vAlign w:val="center"/>
            <w:hideMark/>
          </w:tcPr>
          <w:p w14:paraId="29A88E1B"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8,5 %</w:t>
            </w:r>
          </w:p>
        </w:tc>
      </w:tr>
      <w:tr w:rsidR="00381B65" w:rsidRPr="00381B65" w14:paraId="74450A3B"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07A00192"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FPA ersättning för läkemedel</w:t>
            </w:r>
          </w:p>
        </w:tc>
        <w:tc>
          <w:tcPr>
            <w:tcW w:w="1429" w:type="dxa"/>
            <w:tcBorders>
              <w:top w:val="nil"/>
              <w:left w:val="nil"/>
              <w:bottom w:val="single" w:sz="8" w:space="0" w:color="auto"/>
              <w:right w:val="single" w:sz="8" w:space="0" w:color="auto"/>
            </w:tcBorders>
            <w:noWrap/>
            <w:vAlign w:val="center"/>
            <w:hideMark/>
          </w:tcPr>
          <w:p w14:paraId="2068F3C4"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6 805 916</w:t>
            </w:r>
          </w:p>
        </w:tc>
        <w:tc>
          <w:tcPr>
            <w:tcW w:w="1559" w:type="dxa"/>
            <w:tcBorders>
              <w:top w:val="nil"/>
              <w:left w:val="nil"/>
              <w:bottom w:val="single" w:sz="8" w:space="0" w:color="auto"/>
              <w:right w:val="single" w:sz="8" w:space="0" w:color="auto"/>
            </w:tcBorders>
            <w:noWrap/>
            <w:vAlign w:val="center"/>
            <w:hideMark/>
          </w:tcPr>
          <w:p w14:paraId="755C62BE"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4,3 %</w:t>
            </w:r>
          </w:p>
        </w:tc>
      </w:tr>
      <w:tr w:rsidR="00381B65" w:rsidRPr="00381B65" w14:paraId="21E31CDE"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17A67957"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FPA ersättning till ÅHS</w:t>
            </w:r>
          </w:p>
        </w:tc>
        <w:tc>
          <w:tcPr>
            <w:tcW w:w="1429" w:type="dxa"/>
            <w:tcBorders>
              <w:top w:val="nil"/>
              <w:left w:val="nil"/>
              <w:bottom w:val="single" w:sz="8" w:space="0" w:color="auto"/>
              <w:right w:val="single" w:sz="8" w:space="0" w:color="auto"/>
            </w:tcBorders>
            <w:noWrap/>
            <w:vAlign w:val="center"/>
            <w:hideMark/>
          </w:tcPr>
          <w:p w14:paraId="6889B47A"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3 208 206</w:t>
            </w:r>
          </w:p>
        </w:tc>
        <w:tc>
          <w:tcPr>
            <w:tcW w:w="1559" w:type="dxa"/>
            <w:tcBorders>
              <w:top w:val="nil"/>
              <w:left w:val="nil"/>
              <w:bottom w:val="single" w:sz="8" w:space="0" w:color="auto"/>
              <w:right w:val="single" w:sz="8" w:space="0" w:color="auto"/>
            </w:tcBorders>
            <w:noWrap/>
            <w:vAlign w:val="center"/>
            <w:hideMark/>
          </w:tcPr>
          <w:p w14:paraId="05DD9D2B"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2,0 %</w:t>
            </w:r>
          </w:p>
        </w:tc>
      </w:tr>
      <w:tr w:rsidR="00381B65" w:rsidRPr="00381B65" w14:paraId="65778163"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20D72480" w14:textId="44014C85"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FPA ersättning</w:t>
            </w:r>
            <w:r w:rsidR="00FE6C0F">
              <w:rPr>
                <w:rFonts w:ascii="Calibri" w:eastAsia="Times New Roman" w:hAnsi="Calibri" w:cs="Calibri"/>
                <w:color w:val="000000"/>
                <w:lang w:val="sv-FI" w:eastAsia="sv-FI"/>
              </w:rPr>
              <w:t xml:space="preserve"> för företagshälsovård</w:t>
            </w:r>
          </w:p>
        </w:tc>
        <w:tc>
          <w:tcPr>
            <w:tcW w:w="1429" w:type="dxa"/>
            <w:tcBorders>
              <w:top w:val="nil"/>
              <w:left w:val="nil"/>
              <w:bottom w:val="single" w:sz="8" w:space="0" w:color="auto"/>
              <w:right w:val="single" w:sz="8" w:space="0" w:color="auto"/>
            </w:tcBorders>
            <w:noWrap/>
            <w:vAlign w:val="center"/>
            <w:hideMark/>
          </w:tcPr>
          <w:p w14:paraId="78A010A6"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2 035 350</w:t>
            </w:r>
          </w:p>
        </w:tc>
        <w:tc>
          <w:tcPr>
            <w:tcW w:w="1559" w:type="dxa"/>
            <w:tcBorders>
              <w:top w:val="nil"/>
              <w:left w:val="nil"/>
              <w:bottom w:val="single" w:sz="8" w:space="0" w:color="auto"/>
              <w:right w:val="single" w:sz="8" w:space="0" w:color="auto"/>
            </w:tcBorders>
            <w:noWrap/>
            <w:vAlign w:val="center"/>
            <w:hideMark/>
          </w:tcPr>
          <w:p w14:paraId="2FAB9B74"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1,3 %</w:t>
            </w:r>
          </w:p>
        </w:tc>
      </w:tr>
      <w:tr w:rsidR="00381B65" w:rsidRPr="00381B65" w14:paraId="244C1363"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34ABA169"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FPA ersättning till annan privat</w:t>
            </w:r>
          </w:p>
        </w:tc>
        <w:tc>
          <w:tcPr>
            <w:tcW w:w="1429" w:type="dxa"/>
            <w:tcBorders>
              <w:top w:val="nil"/>
              <w:left w:val="nil"/>
              <w:bottom w:val="single" w:sz="8" w:space="0" w:color="auto"/>
              <w:right w:val="single" w:sz="8" w:space="0" w:color="auto"/>
            </w:tcBorders>
            <w:noWrap/>
            <w:vAlign w:val="center"/>
            <w:hideMark/>
          </w:tcPr>
          <w:p w14:paraId="375C08F2"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846 019</w:t>
            </w:r>
          </w:p>
        </w:tc>
        <w:tc>
          <w:tcPr>
            <w:tcW w:w="1559" w:type="dxa"/>
            <w:tcBorders>
              <w:top w:val="nil"/>
              <w:left w:val="nil"/>
              <w:bottom w:val="single" w:sz="8" w:space="0" w:color="auto"/>
              <w:right w:val="single" w:sz="8" w:space="0" w:color="auto"/>
            </w:tcBorders>
            <w:noWrap/>
            <w:vAlign w:val="center"/>
            <w:hideMark/>
          </w:tcPr>
          <w:p w14:paraId="60CFF08C"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0,5 %</w:t>
            </w:r>
          </w:p>
        </w:tc>
      </w:tr>
      <w:tr w:rsidR="00381B65" w:rsidRPr="00381B65" w14:paraId="234D0E29"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15907F5B"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FPA ersättning tandvård</w:t>
            </w:r>
          </w:p>
        </w:tc>
        <w:tc>
          <w:tcPr>
            <w:tcW w:w="1429" w:type="dxa"/>
            <w:tcBorders>
              <w:top w:val="nil"/>
              <w:left w:val="nil"/>
              <w:bottom w:val="single" w:sz="8" w:space="0" w:color="auto"/>
              <w:right w:val="single" w:sz="8" w:space="0" w:color="auto"/>
            </w:tcBorders>
            <w:noWrap/>
            <w:vAlign w:val="center"/>
            <w:hideMark/>
          </w:tcPr>
          <w:p w14:paraId="637276FC"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633 679</w:t>
            </w:r>
          </w:p>
        </w:tc>
        <w:tc>
          <w:tcPr>
            <w:tcW w:w="1559" w:type="dxa"/>
            <w:tcBorders>
              <w:top w:val="nil"/>
              <w:left w:val="nil"/>
              <w:bottom w:val="single" w:sz="8" w:space="0" w:color="auto"/>
              <w:right w:val="single" w:sz="8" w:space="0" w:color="auto"/>
            </w:tcBorders>
            <w:noWrap/>
            <w:vAlign w:val="center"/>
            <w:hideMark/>
          </w:tcPr>
          <w:p w14:paraId="394B92D7"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0,4 %</w:t>
            </w:r>
          </w:p>
        </w:tc>
      </w:tr>
      <w:tr w:rsidR="00381B65" w:rsidRPr="00381B65" w14:paraId="5C2BB15F"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5E24FC61"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429" w:type="dxa"/>
            <w:tcBorders>
              <w:top w:val="nil"/>
              <w:left w:val="nil"/>
              <w:bottom w:val="single" w:sz="8" w:space="0" w:color="auto"/>
              <w:right w:val="single" w:sz="8" w:space="0" w:color="auto"/>
            </w:tcBorders>
            <w:noWrap/>
            <w:vAlign w:val="center"/>
            <w:hideMark/>
          </w:tcPr>
          <w:p w14:paraId="4BF30C00"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559" w:type="dxa"/>
            <w:tcBorders>
              <w:top w:val="nil"/>
              <w:left w:val="nil"/>
              <w:bottom w:val="single" w:sz="8" w:space="0" w:color="auto"/>
              <w:right w:val="single" w:sz="8" w:space="0" w:color="auto"/>
            </w:tcBorders>
            <w:noWrap/>
            <w:vAlign w:val="center"/>
            <w:hideMark/>
          </w:tcPr>
          <w:p w14:paraId="46203205"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r>
      <w:tr w:rsidR="00381B65" w:rsidRPr="00381B65" w14:paraId="337A5CD2"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13407543" w14:textId="77777777" w:rsidR="00381B65" w:rsidRPr="00381B65" w:rsidRDefault="00381B65" w:rsidP="00381B65">
            <w:pPr>
              <w:autoSpaceDE/>
              <w:autoSpaceDN/>
              <w:adjustRightInd/>
              <w:spacing w:line="240" w:lineRule="auto"/>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Privatförsäkringsersättningar till ÅHS</w:t>
            </w:r>
          </w:p>
        </w:tc>
        <w:tc>
          <w:tcPr>
            <w:tcW w:w="1429" w:type="dxa"/>
            <w:tcBorders>
              <w:top w:val="nil"/>
              <w:left w:val="nil"/>
              <w:bottom w:val="single" w:sz="8" w:space="0" w:color="auto"/>
              <w:right w:val="single" w:sz="8" w:space="0" w:color="auto"/>
            </w:tcBorders>
            <w:noWrap/>
            <w:vAlign w:val="center"/>
            <w:hideMark/>
          </w:tcPr>
          <w:p w14:paraId="2ADF4676"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740 024</w:t>
            </w:r>
          </w:p>
        </w:tc>
        <w:tc>
          <w:tcPr>
            <w:tcW w:w="1559" w:type="dxa"/>
            <w:tcBorders>
              <w:top w:val="nil"/>
              <w:left w:val="nil"/>
              <w:bottom w:val="single" w:sz="8" w:space="0" w:color="auto"/>
              <w:right w:val="single" w:sz="8" w:space="0" w:color="auto"/>
            </w:tcBorders>
            <w:noWrap/>
            <w:vAlign w:val="center"/>
            <w:hideMark/>
          </w:tcPr>
          <w:p w14:paraId="529EDC68"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0,5 %</w:t>
            </w:r>
          </w:p>
        </w:tc>
      </w:tr>
      <w:tr w:rsidR="00381B65" w:rsidRPr="00381B65" w14:paraId="77866A5A"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7847B25C"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429" w:type="dxa"/>
            <w:tcBorders>
              <w:top w:val="nil"/>
              <w:left w:val="nil"/>
              <w:bottom w:val="single" w:sz="8" w:space="0" w:color="auto"/>
              <w:right w:val="single" w:sz="8" w:space="0" w:color="auto"/>
            </w:tcBorders>
            <w:noWrap/>
            <w:vAlign w:val="center"/>
            <w:hideMark/>
          </w:tcPr>
          <w:p w14:paraId="71927DF6"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559" w:type="dxa"/>
            <w:tcBorders>
              <w:top w:val="nil"/>
              <w:left w:val="nil"/>
              <w:bottom w:val="single" w:sz="8" w:space="0" w:color="auto"/>
              <w:right w:val="single" w:sz="8" w:space="0" w:color="auto"/>
            </w:tcBorders>
            <w:noWrap/>
            <w:vAlign w:val="center"/>
            <w:hideMark/>
          </w:tcPr>
          <w:p w14:paraId="1BF74107"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r>
      <w:tr w:rsidR="00FE6C0F" w:rsidRPr="00381B65" w14:paraId="7B6BE254"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7AAB0377" w14:textId="77777777" w:rsidR="00FE6C0F" w:rsidRPr="00381B65" w:rsidRDefault="00FE6C0F" w:rsidP="00FE6C0F">
            <w:pPr>
              <w:autoSpaceDE/>
              <w:autoSpaceDN/>
              <w:adjustRightInd/>
              <w:spacing w:line="240" w:lineRule="auto"/>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Patient- och klientavgifter</w:t>
            </w:r>
          </w:p>
        </w:tc>
        <w:tc>
          <w:tcPr>
            <w:tcW w:w="1429" w:type="dxa"/>
            <w:tcBorders>
              <w:top w:val="nil"/>
              <w:left w:val="nil"/>
              <w:bottom w:val="single" w:sz="8" w:space="0" w:color="auto"/>
              <w:right w:val="single" w:sz="8" w:space="0" w:color="auto"/>
            </w:tcBorders>
            <w:noWrap/>
            <w:vAlign w:val="center"/>
            <w:hideMark/>
          </w:tcPr>
          <w:p w14:paraId="0DB0E757" w14:textId="2CACE76B" w:rsidR="00FE6C0F" w:rsidRPr="00381B65" w:rsidRDefault="00FE6C0F"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FE6C0F">
              <w:rPr>
                <w:rFonts w:ascii="Calibri" w:hAnsi="Calibri" w:cs="Calibri"/>
                <w:b/>
                <w:bCs/>
                <w:i/>
                <w:iCs/>
                <w:color w:val="000000"/>
              </w:rPr>
              <w:t>12 573 624</w:t>
            </w:r>
          </w:p>
        </w:tc>
        <w:tc>
          <w:tcPr>
            <w:tcW w:w="1559" w:type="dxa"/>
            <w:tcBorders>
              <w:top w:val="nil"/>
              <w:left w:val="nil"/>
              <w:bottom w:val="single" w:sz="8" w:space="0" w:color="auto"/>
              <w:right w:val="single" w:sz="8" w:space="0" w:color="auto"/>
            </w:tcBorders>
            <w:noWrap/>
            <w:vAlign w:val="center"/>
            <w:hideMark/>
          </w:tcPr>
          <w:p w14:paraId="56A7B8DD" w14:textId="4EC13058" w:rsidR="00FE6C0F" w:rsidRPr="00381B65" w:rsidRDefault="00FE6C0F"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FE6C0F">
              <w:rPr>
                <w:rFonts w:ascii="Calibri" w:hAnsi="Calibri" w:cs="Calibri"/>
                <w:b/>
                <w:bCs/>
                <w:i/>
                <w:iCs/>
                <w:color w:val="000000"/>
              </w:rPr>
              <w:t>8,1 %</w:t>
            </w:r>
          </w:p>
        </w:tc>
      </w:tr>
      <w:tr w:rsidR="00381B65" w:rsidRPr="00381B65" w14:paraId="110BD154"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74D6ADDE"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Patientavgifter privat tandvård</w:t>
            </w:r>
          </w:p>
        </w:tc>
        <w:tc>
          <w:tcPr>
            <w:tcW w:w="1429" w:type="dxa"/>
            <w:tcBorders>
              <w:top w:val="nil"/>
              <w:left w:val="nil"/>
              <w:bottom w:val="single" w:sz="8" w:space="0" w:color="auto"/>
              <w:right w:val="single" w:sz="8" w:space="0" w:color="auto"/>
            </w:tcBorders>
            <w:noWrap/>
            <w:vAlign w:val="center"/>
            <w:hideMark/>
          </w:tcPr>
          <w:p w14:paraId="6AD91981"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3 552 931</w:t>
            </w:r>
          </w:p>
        </w:tc>
        <w:tc>
          <w:tcPr>
            <w:tcW w:w="1559" w:type="dxa"/>
            <w:tcBorders>
              <w:top w:val="nil"/>
              <w:left w:val="nil"/>
              <w:bottom w:val="single" w:sz="8" w:space="0" w:color="auto"/>
              <w:right w:val="single" w:sz="8" w:space="0" w:color="auto"/>
            </w:tcBorders>
            <w:noWrap/>
            <w:vAlign w:val="center"/>
            <w:hideMark/>
          </w:tcPr>
          <w:p w14:paraId="25B44D72"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2,3 %</w:t>
            </w:r>
          </w:p>
        </w:tc>
      </w:tr>
      <w:tr w:rsidR="00381B65" w:rsidRPr="00381B65" w14:paraId="29DDA3DA"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0D6A3EDD"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Klientavgifter, institutioner och heldygnsomsorg</w:t>
            </w:r>
          </w:p>
        </w:tc>
        <w:tc>
          <w:tcPr>
            <w:tcW w:w="1429" w:type="dxa"/>
            <w:tcBorders>
              <w:top w:val="nil"/>
              <w:left w:val="nil"/>
              <w:bottom w:val="single" w:sz="8" w:space="0" w:color="auto"/>
              <w:right w:val="single" w:sz="8" w:space="0" w:color="auto"/>
            </w:tcBorders>
            <w:noWrap/>
            <w:vAlign w:val="center"/>
            <w:hideMark/>
          </w:tcPr>
          <w:p w14:paraId="3FFA525E"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3 112 000</w:t>
            </w:r>
          </w:p>
        </w:tc>
        <w:tc>
          <w:tcPr>
            <w:tcW w:w="1559" w:type="dxa"/>
            <w:tcBorders>
              <w:top w:val="nil"/>
              <w:left w:val="nil"/>
              <w:bottom w:val="single" w:sz="8" w:space="0" w:color="auto"/>
              <w:right w:val="single" w:sz="8" w:space="0" w:color="auto"/>
            </w:tcBorders>
            <w:noWrap/>
            <w:vAlign w:val="center"/>
            <w:hideMark/>
          </w:tcPr>
          <w:p w14:paraId="0136AED4"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2,0 %</w:t>
            </w:r>
          </w:p>
        </w:tc>
      </w:tr>
      <w:tr w:rsidR="00381B65" w:rsidRPr="00381B65" w14:paraId="5046ED52"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36E3BBD0"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Patientavgifter till ÅHS</w:t>
            </w:r>
          </w:p>
        </w:tc>
        <w:tc>
          <w:tcPr>
            <w:tcW w:w="1429" w:type="dxa"/>
            <w:tcBorders>
              <w:top w:val="nil"/>
              <w:left w:val="nil"/>
              <w:bottom w:val="single" w:sz="8" w:space="0" w:color="auto"/>
              <w:right w:val="single" w:sz="8" w:space="0" w:color="auto"/>
            </w:tcBorders>
            <w:noWrap/>
            <w:vAlign w:val="center"/>
            <w:hideMark/>
          </w:tcPr>
          <w:p w14:paraId="59A8E2D4"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2 940 518</w:t>
            </w:r>
          </w:p>
        </w:tc>
        <w:tc>
          <w:tcPr>
            <w:tcW w:w="1559" w:type="dxa"/>
            <w:tcBorders>
              <w:top w:val="nil"/>
              <w:left w:val="nil"/>
              <w:bottom w:val="single" w:sz="8" w:space="0" w:color="auto"/>
              <w:right w:val="single" w:sz="8" w:space="0" w:color="auto"/>
            </w:tcBorders>
            <w:noWrap/>
            <w:vAlign w:val="center"/>
            <w:hideMark/>
          </w:tcPr>
          <w:p w14:paraId="3F12D374"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1,9 %</w:t>
            </w:r>
          </w:p>
        </w:tc>
      </w:tr>
      <w:tr w:rsidR="00381B65" w:rsidRPr="00381B65" w14:paraId="271AB38A"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4C0B3702"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Patientavgifter läkemedel</w:t>
            </w:r>
          </w:p>
        </w:tc>
        <w:tc>
          <w:tcPr>
            <w:tcW w:w="1429" w:type="dxa"/>
            <w:tcBorders>
              <w:top w:val="nil"/>
              <w:left w:val="nil"/>
              <w:bottom w:val="single" w:sz="8" w:space="0" w:color="auto"/>
              <w:right w:val="single" w:sz="8" w:space="0" w:color="auto"/>
            </w:tcBorders>
            <w:noWrap/>
            <w:vAlign w:val="center"/>
            <w:hideMark/>
          </w:tcPr>
          <w:p w14:paraId="654A27DC"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2 370 342</w:t>
            </w:r>
          </w:p>
        </w:tc>
        <w:tc>
          <w:tcPr>
            <w:tcW w:w="1559" w:type="dxa"/>
            <w:tcBorders>
              <w:top w:val="nil"/>
              <w:left w:val="nil"/>
              <w:bottom w:val="single" w:sz="8" w:space="0" w:color="auto"/>
              <w:right w:val="single" w:sz="8" w:space="0" w:color="auto"/>
            </w:tcBorders>
            <w:noWrap/>
            <w:vAlign w:val="center"/>
            <w:hideMark/>
          </w:tcPr>
          <w:p w14:paraId="68E7FE7B"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1,5 %</w:t>
            </w:r>
          </w:p>
        </w:tc>
      </w:tr>
      <w:tr w:rsidR="00381B65" w:rsidRPr="00381B65" w14:paraId="3B253707" w14:textId="77777777" w:rsidTr="00C24A2A">
        <w:trPr>
          <w:trHeight w:val="315"/>
        </w:trPr>
        <w:tc>
          <w:tcPr>
            <w:tcW w:w="4940" w:type="dxa"/>
            <w:tcBorders>
              <w:top w:val="nil"/>
              <w:left w:val="single" w:sz="8" w:space="0" w:color="auto"/>
              <w:bottom w:val="single" w:sz="8" w:space="0" w:color="auto"/>
              <w:right w:val="single" w:sz="8" w:space="0" w:color="auto"/>
            </w:tcBorders>
            <w:shd w:val="clear" w:color="000000" w:fill="FFFFFF"/>
            <w:noWrap/>
            <w:vAlign w:val="center"/>
            <w:hideMark/>
          </w:tcPr>
          <w:p w14:paraId="2C056AEB"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Patientavgifter privat</w:t>
            </w:r>
          </w:p>
        </w:tc>
        <w:tc>
          <w:tcPr>
            <w:tcW w:w="1429" w:type="dxa"/>
            <w:tcBorders>
              <w:top w:val="nil"/>
              <w:left w:val="nil"/>
              <w:bottom w:val="single" w:sz="8" w:space="0" w:color="auto"/>
              <w:right w:val="single" w:sz="8" w:space="0" w:color="auto"/>
            </w:tcBorders>
            <w:shd w:val="clear" w:color="000000" w:fill="FFFFFF"/>
            <w:noWrap/>
            <w:vAlign w:val="center"/>
            <w:hideMark/>
          </w:tcPr>
          <w:p w14:paraId="66E37F80"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597 833</w:t>
            </w:r>
          </w:p>
        </w:tc>
        <w:tc>
          <w:tcPr>
            <w:tcW w:w="1559" w:type="dxa"/>
            <w:tcBorders>
              <w:top w:val="nil"/>
              <w:left w:val="nil"/>
              <w:bottom w:val="single" w:sz="8" w:space="0" w:color="auto"/>
              <w:right w:val="single" w:sz="8" w:space="0" w:color="auto"/>
            </w:tcBorders>
            <w:noWrap/>
            <w:vAlign w:val="center"/>
            <w:hideMark/>
          </w:tcPr>
          <w:p w14:paraId="409F524D"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0,4 %</w:t>
            </w:r>
          </w:p>
        </w:tc>
      </w:tr>
      <w:tr w:rsidR="00FE6C0F" w:rsidRPr="00381B65" w14:paraId="646D2B78" w14:textId="77777777" w:rsidTr="00C24A2A">
        <w:trPr>
          <w:trHeight w:val="315"/>
        </w:trPr>
        <w:tc>
          <w:tcPr>
            <w:tcW w:w="4940" w:type="dxa"/>
            <w:tcBorders>
              <w:top w:val="nil"/>
              <w:left w:val="single" w:sz="8" w:space="0" w:color="auto"/>
              <w:bottom w:val="single" w:sz="8" w:space="0" w:color="auto"/>
              <w:right w:val="single" w:sz="8" w:space="0" w:color="auto"/>
            </w:tcBorders>
            <w:shd w:val="clear" w:color="000000" w:fill="FFFFFF"/>
            <w:noWrap/>
            <w:vAlign w:val="center"/>
          </w:tcPr>
          <w:p w14:paraId="66BAFBA0" w14:textId="77777777" w:rsidR="00FE6C0F" w:rsidRPr="00381B65" w:rsidRDefault="00FE6C0F" w:rsidP="00381B65">
            <w:pPr>
              <w:autoSpaceDE/>
              <w:autoSpaceDN/>
              <w:adjustRightInd/>
              <w:spacing w:line="240" w:lineRule="auto"/>
              <w:textAlignment w:val="auto"/>
              <w:rPr>
                <w:rFonts w:ascii="Calibri" w:eastAsia="Times New Roman" w:hAnsi="Calibri" w:cs="Calibri"/>
                <w:color w:val="000000"/>
                <w:lang w:val="sv-FI" w:eastAsia="sv-FI"/>
              </w:rPr>
            </w:pPr>
          </w:p>
        </w:tc>
        <w:tc>
          <w:tcPr>
            <w:tcW w:w="1429" w:type="dxa"/>
            <w:tcBorders>
              <w:top w:val="nil"/>
              <w:left w:val="nil"/>
              <w:bottom w:val="single" w:sz="8" w:space="0" w:color="auto"/>
              <w:right w:val="single" w:sz="8" w:space="0" w:color="auto"/>
            </w:tcBorders>
            <w:shd w:val="clear" w:color="000000" w:fill="FFFFFF"/>
            <w:noWrap/>
            <w:vAlign w:val="center"/>
          </w:tcPr>
          <w:p w14:paraId="2E5410E7" w14:textId="77777777" w:rsidR="00FE6C0F" w:rsidRPr="00381B65" w:rsidRDefault="00FE6C0F"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p>
        </w:tc>
        <w:tc>
          <w:tcPr>
            <w:tcW w:w="1559" w:type="dxa"/>
            <w:tcBorders>
              <w:top w:val="nil"/>
              <w:left w:val="nil"/>
              <w:bottom w:val="single" w:sz="8" w:space="0" w:color="auto"/>
              <w:right w:val="single" w:sz="8" w:space="0" w:color="auto"/>
            </w:tcBorders>
            <w:noWrap/>
            <w:vAlign w:val="center"/>
          </w:tcPr>
          <w:p w14:paraId="6A193758" w14:textId="77777777" w:rsidR="00FE6C0F" w:rsidRPr="00381B65" w:rsidRDefault="00FE6C0F"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p>
        </w:tc>
      </w:tr>
      <w:tr w:rsidR="00FE6C0F" w14:paraId="7B2259CA"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623018DF" w14:textId="6A4116EA" w:rsidR="00FE6C0F" w:rsidRPr="00FE6C0F" w:rsidRDefault="00FE6C0F">
            <w:pPr>
              <w:autoSpaceDE/>
              <w:autoSpaceDN/>
              <w:adjustRightInd/>
              <w:spacing w:line="240" w:lineRule="auto"/>
              <w:textAlignment w:val="auto"/>
              <w:rPr>
                <w:rFonts w:ascii="Calibri" w:hAnsi="Calibri" w:cs="Calibri"/>
                <w:b/>
                <w:bCs/>
                <w:i/>
                <w:iCs/>
                <w:color w:val="000000"/>
                <w:lang w:val="sv-FI"/>
              </w:rPr>
            </w:pPr>
            <w:r w:rsidRPr="00FE6C0F">
              <w:rPr>
                <w:rFonts w:ascii="Calibri" w:hAnsi="Calibri" w:cs="Calibri"/>
                <w:b/>
                <w:bCs/>
                <w:i/>
                <w:iCs/>
                <w:color w:val="000000"/>
              </w:rPr>
              <w:t>Arbetsgivare</w:t>
            </w:r>
            <w:r>
              <w:rPr>
                <w:rFonts w:ascii="Calibri" w:hAnsi="Calibri" w:cs="Calibri"/>
                <w:b/>
                <w:bCs/>
                <w:i/>
                <w:iCs/>
                <w:color w:val="000000"/>
              </w:rPr>
              <w:t>, för företagshälsovård</w:t>
            </w:r>
          </w:p>
        </w:tc>
        <w:tc>
          <w:tcPr>
            <w:tcW w:w="1429" w:type="dxa"/>
            <w:tcBorders>
              <w:top w:val="nil"/>
              <w:left w:val="nil"/>
              <w:bottom w:val="single" w:sz="8" w:space="0" w:color="auto"/>
              <w:right w:val="single" w:sz="8" w:space="0" w:color="auto"/>
            </w:tcBorders>
            <w:noWrap/>
            <w:vAlign w:val="center"/>
            <w:hideMark/>
          </w:tcPr>
          <w:p w14:paraId="6A37053E" w14:textId="77777777" w:rsidR="00FE6C0F" w:rsidRPr="00FE6C0F" w:rsidRDefault="00FE6C0F" w:rsidP="00C24A2A">
            <w:pPr>
              <w:ind w:right="215"/>
              <w:jc w:val="right"/>
              <w:rPr>
                <w:rFonts w:ascii="Calibri" w:hAnsi="Calibri" w:cs="Calibri"/>
                <w:b/>
                <w:bCs/>
                <w:i/>
                <w:iCs/>
                <w:color w:val="000000"/>
              </w:rPr>
            </w:pPr>
            <w:r w:rsidRPr="00FE6C0F">
              <w:rPr>
                <w:rFonts w:ascii="Calibri" w:hAnsi="Calibri" w:cs="Calibri"/>
                <w:b/>
                <w:bCs/>
                <w:i/>
                <w:iCs/>
                <w:color w:val="000000"/>
              </w:rPr>
              <w:t>2 035 350</w:t>
            </w:r>
          </w:p>
        </w:tc>
        <w:tc>
          <w:tcPr>
            <w:tcW w:w="1559" w:type="dxa"/>
            <w:tcBorders>
              <w:top w:val="nil"/>
              <w:left w:val="nil"/>
              <w:bottom w:val="single" w:sz="8" w:space="0" w:color="auto"/>
              <w:right w:val="single" w:sz="8" w:space="0" w:color="auto"/>
            </w:tcBorders>
            <w:noWrap/>
            <w:vAlign w:val="center"/>
            <w:hideMark/>
          </w:tcPr>
          <w:p w14:paraId="5BD0FA62" w14:textId="77777777" w:rsidR="00FE6C0F" w:rsidRPr="00FE6C0F" w:rsidRDefault="00FE6C0F" w:rsidP="00C24A2A">
            <w:pPr>
              <w:ind w:right="215"/>
              <w:jc w:val="right"/>
              <w:rPr>
                <w:rFonts w:ascii="Calibri" w:hAnsi="Calibri" w:cs="Calibri"/>
                <w:b/>
                <w:bCs/>
                <w:i/>
                <w:iCs/>
                <w:color w:val="000000"/>
              </w:rPr>
            </w:pPr>
            <w:r w:rsidRPr="00FE6C0F">
              <w:rPr>
                <w:rFonts w:ascii="Calibri" w:hAnsi="Calibri" w:cs="Calibri"/>
                <w:b/>
                <w:bCs/>
                <w:i/>
                <w:iCs/>
                <w:color w:val="000000"/>
              </w:rPr>
              <w:t>1,3 %</w:t>
            </w:r>
          </w:p>
        </w:tc>
      </w:tr>
      <w:tr w:rsidR="00381B65" w:rsidRPr="00381B65" w14:paraId="3064DFF9" w14:textId="77777777" w:rsidTr="00C24A2A">
        <w:trPr>
          <w:trHeight w:val="315"/>
        </w:trPr>
        <w:tc>
          <w:tcPr>
            <w:tcW w:w="4940" w:type="dxa"/>
            <w:tcBorders>
              <w:top w:val="nil"/>
              <w:left w:val="single" w:sz="8" w:space="0" w:color="auto"/>
              <w:bottom w:val="single" w:sz="8" w:space="0" w:color="auto"/>
              <w:right w:val="single" w:sz="8" w:space="0" w:color="auto"/>
            </w:tcBorders>
            <w:shd w:val="clear" w:color="000000" w:fill="FFFFFF"/>
            <w:noWrap/>
            <w:vAlign w:val="center"/>
            <w:hideMark/>
          </w:tcPr>
          <w:p w14:paraId="1DBCE654"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429" w:type="dxa"/>
            <w:tcBorders>
              <w:top w:val="nil"/>
              <w:left w:val="nil"/>
              <w:bottom w:val="single" w:sz="8" w:space="0" w:color="auto"/>
              <w:right w:val="single" w:sz="8" w:space="0" w:color="auto"/>
            </w:tcBorders>
            <w:shd w:val="clear" w:color="000000" w:fill="FFFFFF"/>
            <w:noWrap/>
            <w:vAlign w:val="center"/>
            <w:hideMark/>
          </w:tcPr>
          <w:p w14:paraId="72DCF5BC"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559" w:type="dxa"/>
            <w:tcBorders>
              <w:top w:val="nil"/>
              <w:left w:val="nil"/>
              <w:bottom w:val="single" w:sz="8" w:space="0" w:color="auto"/>
              <w:right w:val="single" w:sz="8" w:space="0" w:color="auto"/>
            </w:tcBorders>
            <w:noWrap/>
            <w:vAlign w:val="center"/>
            <w:hideMark/>
          </w:tcPr>
          <w:p w14:paraId="21CC299B"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r>
      <w:tr w:rsidR="00381B65" w:rsidRPr="00381B65" w14:paraId="57A754BD" w14:textId="77777777" w:rsidTr="00C24A2A">
        <w:trPr>
          <w:trHeight w:val="315"/>
        </w:trPr>
        <w:tc>
          <w:tcPr>
            <w:tcW w:w="4940" w:type="dxa"/>
            <w:tcBorders>
              <w:top w:val="nil"/>
              <w:left w:val="single" w:sz="8" w:space="0" w:color="auto"/>
              <w:bottom w:val="single" w:sz="8" w:space="0" w:color="auto"/>
              <w:right w:val="single" w:sz="8" w:space="0" w:color="auto"/>
            </w:tcBorders>
            <w:shd w:val="clear" w:color="000000" w:fill="FFFFFF"/>
            <w:noWrap/>
            <w:vAlign w:val="center"/>
            <w:hideMark/>
          </w:tcPr>
          <w:p w14:paraId="28F123EF" w14:textId="77777777" w:rsidR="00381B65" w:rsidRPr="00381B65" w:rsidRDefault="00381B65" w:rsidP="00381B65">
            <w:pPr>
              <w:autoSpaceDE/>
              <w:autoSpaceDN/>
              <w:adjustRightInd/>
              <w:spacing w:line="240" w:lineRule="auto"/>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Övriga intäkter till ÅHS</w:t>
            </w:r>
          </w:p>
        </w:tc>
        <w:tc>
          <w:tcPr>
            <w:tcW w:w="1429" w:type="dxa"/>
            <w:tcBorders>
              <w:top w:val="nil"/>
              <w:left w:val="nil"/>
              <w:bottom w:val="single" w:sz="8" w:space="0" w:color="auto"/>
              <w:right w:val="single" w:sz="8" w:space="0" w:color="auto"/>
            </w:tcBorders>
            <w:shd w:val="clear" w:color="000000" w:fill="FFFFFF"/>
            <w:noWrap/>
            <w:vAlign w:val="center"/>
            <w:hideMark/>
          </w:tcPr>
          <w:p w14:paraId="45FC3E72"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7 865 813</w:t>
            </w:r>
          </w:p>
        </w:tc>
        <w:tc>
          <w:tcPr>
            <w:tcW w:w="1559" w:type="dxa"/>
            <w:tcBorders>
              <w:top w:val="nil"/>
              <w:left w:val="nil"/>
              <w:bottom w:val="single" w:sz="8" w:space="0" w:color="auto"/>
              <w:right w:val="single" w:sz="8" w:space="0" w:color="auto"/>
            </w:tcBorders>
            <w:noWrap/>
            <w:vAlign w:val="center"/>
            <w:hideMark/>
          </w:tcPr>
          <w:p w14:paraId="78F48536"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i/>
                <w:iCs/>
                <w:color w:val="000000"/>
                <w:lang w:val="sv-FI" w:eastAsia="sv-FI"/>
              </w:rPr>
            </w:pPr>
            <w:r w:rsidRPr="00381B65">
              <w:rPr>
                <w:rFonts w:ascii="Calibri" w:eastAsia="Times New Roman" w:hAnsi="Calibri" w:cs="Calibri"/>
                <w:b/>
                <w:bCs/>
                <w:i/>
                <w:iCs/>
                <w:color w:val="000000"/>
                <w:lang w:val="sv-FI" w:eastAsia="sv-FI"/>
              </w:rPr>
              <w:t>5,0 %</w:t>
            </w:r>
          </w:p>
        </w:tc>
      </w:tr>
      <w:tr w:rsidR="00381B65" w:rsidRPr="00381B65" w14:paraId="51583974" w14:textId="77777777" w:rsidTr="00C24A2A">
        <w:trPr>
          <w:trHeight w:val="315"/>
        </w:trPr>
        <w:tc>
          <w:tcPr>
            <w:tcW w:w="4940" w:type="dxa"/>
            <w:tcBorders>
              <w:top w:val="nil"/>
              <w:left w:val="single" w:sz="8" w:space="0" w:color="auto"/>
              <w:bottom w:val="single" w:sz="8" w:space="0" w:color="auto"/>
              <w:right w:val="single" w:sz="8" w:space="0" w:color="auto"/>
            </w:tcBorders>
            <w:shd w:val="clear" w:color="000000" w:fill="FFFFFF"/>
            <w:noWrap/>
            <w:vAlign w:val="center"/>
            <w:hideMark/>
          </w:tcPr>
          <w:p w14:paraId="496AB4B2" w14:textId="77777777" w:rsidR="00381B65" w:rsidRPr="00381B65" w:rsidRDefault="00381B65" w:rsidP="00381B65">
            <w:pPr>
              <w:autoSpaceDE/>
              <w:autoSpaceDN/>
              <w:adjustRightInd/>
              <w:spacing w:line="240" w:lineRule="auto"/>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429" w:type="dxa"/>
            <w:tcBorders>
              <w:top w:val="nil"/>
              <w:left w:val="nil"/>
              <w:bottom w:val="single" w:sz="8" w:space="0" w:color="auto"/>
              <w:right w:val="single" w:sz="8" w:space="0" w:color="auto"/>
            </w:tcBorders>
            <w:shd w:val="clear" w:color="000000" w:fill="FFFFFF"/>
            <w:noWrap/>
            <w:vAlign w:val="center"/>
            <w:hideMark/>
          </w:tcPr>
          <w:p w14:paraId="1DA2E8EF"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c>
          <w:tcPr>
            <w:tcW w:w="1559" w:type="dxa"/>
            <w:tcBorders>
              <w:top w:val="nil"/>
              <w:left w:val="nil"/>
              <w:bottom w:val="single" w:sz="8" w:space="0" w:color="auto"/>
              <w:right w:val="single" w:sz="8" w:space="0" w:color="auto"/>
            </w:tcBorders>
            <w:noWrap/>
            <w:vAlign w:val="center"/>
            <w:hideMark/>
          </w:tcPr>
          <w:p w14:paraId="0DCECB41"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color w:val="000000"/>
                <w:lang w:val="sv-FI" w:eastAsia="sv-FI"/>
              </w:rPr>
            </w:pPr>
            <w:r w:rsidRPr="00381B65">
              <w:rPr>
                <w:rFonts w:ascii="Calibri" w:eastAsia="Times New Roman" w:hAnsi="Calibri" w:cs="Calibri"/>
                <w:color w:val="000000"/>
                <w:lang w:val="sv-FI" w:eastAsia="sv-FI"/>
              </w:rPr>
              <w:t> </w:t>
            </w:r>
          </w:p>
        </w:tc>
      </w:tr>
      <w:tr w:rsidR="00381B65" w:rsidRPr="00381B65" w14:paraId="7795FBAC" w14:textId="77777777" w:rsidTr="00C24A2A">
        <w:trPr>
          <w:trHeight w:val="315"/>
        </w:trPr>
        <w:tc>
          <w:tcPr>
            <w:tcW w:w="4940" w:type="dxa"/>
            <w:tcBorders>
              <w:top w:val="nil"/>
              <w:left w:val="single" w:sz="8" w:space="0" w:color="auto"/>
              <w:bottom w:val="single" w:sz="8" w:space="0" w:color="auto"/>
              <w:right w:val="single" w:sz="8" w:space="0" w:color="auto"/>
            </w:tcBorders>
            <w:noWrap/>
            <w:vAlign w:val="center"/>
            <w:hideMark/>
          </w:tcPr>
          <w:p w14:paraId="40A103DD" w14:textId="77777777" w:rsidR="00381B65" w:rsidRPr="00381B65" w:rsidRDefault="00381B65" w:rsidP="00381B65">
            <w:pPr>
              <w:autoSpaceDE/>
              <w:autoSpaceDN/>
              <w:adjustRightInd/>
              <w:spacing w:line="240" w:lineRule="auto"/>
              <w:textAlignment w:val="auto"/>
              <w:rPr>
                <w:rFonts w:ascii="Calibri" w:eastAsia="Times New Roman" w:hAnsi="Calibri" w:cs="Calibri"/>
                <w:b/>
                <w:bCs/>
                <w:color w:val="000000"/>
                <w:lang w:val="sv-FI" w:eastAsia="sv-FI"/>
              </w:rPr>
            </w:pPr>
            <w:r w:rsidRPr="00381B65">
              <w:rPr>
                <w:rFonts w:ascii="Calibri" w:eastAsia="Times New Roman" w:hAnsi="Calibri" w:cs="Calibri"/>
                <w:b/>
                <w:bCs/>
                <w:color w:val="000000"/>
                <w:lang w:val="sv-FI" w:eastAsia="sv-FI"/>
              </w:rPr>
              <w:t>Totalt</w:t>
            </w:r>
          </w:p>
        </w:tc>
        <w:tc>
          <w:tcPr>
            <w:tcW w:w="1429" w:type="dxa"/>
            <w:tcBorders>
              <w:top w:val="nil"/>
              <w:left w:val="nil"/>
              <w:bottom w:val="single" w:sz="8" w:space="0" w:color="auto"/>
              <w:right w:val="single" w:sz="8" w:space="0" w:color="auto"/>
            </w:tcBorders>
            <w:noWrap/>
            <w:vAlign w:val="center"/>
            <w:hideMark/>
          </w:tcPr>
          <w:p w14:paraId="7C1DFE43"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color w:val="000000"/>
                <w:lang w:val="sv-FI" w:eastAsia="sv-FI"/>
              </w:rPr>
            </w:pPr>
            <w:r w:rsidRPr="00381B65">
              <w:rPr>
                <w:rFonts w:ascii="Calibri" w:eastAsia="Times New Roman" w:hAnsi="Calibri" w:cs="Calibri"/>
                <w:b/>
                <w:bCs/>
                <w:color w:val="000000"/>
                <w:lang w:val="sv-FI" w:eastAsia="sv-FI"/>
              </w:rPr>
              <w:t>157 492 348</w:t>
            </w:r>
          </w:p>
        </w:tc>
        <w:tc>
          <w:tcPr>
            <w:tcW w:w="1559" w:type="dxa"/>
            <w:tcBorders>
              <w:top w:val="nil"/>
              <w:left w:val="nil"/>
              <w:bottom w:val="single" w:sz="8" w:space="0" w:color="auto"/>
              <w:right w:val="single" w:sz="8" w:space="0" w:color="auto"/>
            </w:tcBorders>
            <w:noWrap/>
            <w:vAlign w:val="center"/>
            <w:hideMark/>
          </w:tcPr>
          <w:p w14:paraId="25B04D66" w14:textId="77777777" w:rsidR="00381B65" w:rsidRPr="00381B65" w:rsidRDefault="00381B65" w:rsidP="00C24A2A">
            <w:pPr>
              <w:autoSpaceDE/>
              <w:autoSpaceDN/>
              <w:adjustRightInd/>
              <w:spacing w:line="240" w:lineRule="auto"/>
              <w:ind w:right="215"/>
              <w:jc w:val="right"/>
              <w:textAlignment w:val="auto"/>
              <w:rPr>
                <w:rFonts w:ascii="Calibri" w:eastAsia="Times New Roman" w:hAnsi="Calibri" w:cs="Calibri"/>
                <w:b/>
                <w:bCs/>
                <w:color w:val="000000"/>
                <w:lang w:val="sv-FI" w:eastAsia="sv-FI"/>
              </w:rPr>
            </w:pPr>
            <w:r w:rsidRPr="00381B65">
              <w:rPr>
                <w:rFonts w:ascii="Calibri" w:eastAsia="Times New Roman" w:hAnsi="Calibri" w:cs="Calibri"/>
                <w:b/>
                <w:bCs/>
                <w:color w:val="000000"/>
                <w:lang w:val="sv-FI" w:eastAsia="sv-FI"/>
              </w:rPr>
              <w:t>100,0 %</w:t>
            </w:r>
          </w:p>
        </w:tc>
      </w:tr>
    </w:tbl>
    <w:p w14:paraId="35CF1609" w14:textId="77777777" w:rsidR="00381B65" w:rsidRDefault="00381B65" w:rsidP="00381B65">
      <w:pPr>
        <w:spacing w:line="240" w:lineRule="auto"/>
      </w:pPr>
    </w:p>
    <w:p w14:paraId="4A91B7EB" w14:textId="77777777" w:rsidR="002D2B9B" w:rsidRDefault="002D2B9B" w:rsidP="002956B0">
      <w:pPr>
        <w:spacing w:line="240" w:lineRule="auto"/>
      </w:pPr>
    </w:p>
    <w:p w14:paraId="3EE6B9BB" w14:textId="77777777" w:rsidR="00DD317D" w:rsidRDefault="00DD317D" w:rsidP="00EB1AF2">
      <w:pPr>
        <w:spacing w:line="240" w:lineRule="auto"/>
      </w:pPr>
    </w:p>
    <w:p w14:paraId="10C36EF1" w14:textId="77777777" w:rsidR="003D0D6D" w:rsidRDefault="003D0D6D" w:rsidP="00EB1AF2">
      <w:pPr>
        <w:spacing w:line="240" w:lineRule="auto"/>
      </w:pPr>
    </w:p>
    <w:p w14:paraId="4B73597D" w14:textId="4EAC901F" w:rsidR="003D0D6D" w:rsidRPr="00822892" w:rsidRDefault="003D0D6D" w:rsidP="00B87FFD">
      <w:pPr>
        <w:pStyle w:val="Rubrik3"/>
        <w:numPr>
          <w:ilvl w:val="1"/>
          <w:numId w:val="16"/>
        </w:numPr>
      </w:pPr>
      <w:bookmarkStart w:id="6" w:name="_Toc242713599"/>
      <w:r w:rsidRPr="00822892">
        <w:t>Totala kostnader jämfört med riket och andra länder</w:t>
      </w:r>
      <w:bookmarkEnd w:id="6"/>
    </w:p>
    <w:p w14:paraId="4E8BF0BA" w14:textId="77777777" w:rsidR="003D0D6D" w:rsidRDefault="003D0D6D" w:rsidP="00EB1AF2">
      <w:pPr>
        <w:spacing w:line="240" w:lineRule="auto"/>
      </w:pPr>
    </w:p>
    <w:p w14:paraId="19D24116" w14:textId="41C98770" w:rsidR="000D0F28" w:rsidRDefault="000D0F28" w:rsidP="000D0F28">
      <w:pPr>
        <w:spacing w:line="240" w:lineRule="auto"/>
      </w:pPr>
      <w:r>
        <w:t xml:space="preserve">Tabell </w:t>
      </w:r>
      <w:r w:rsidR="004735B0">
        <w:t>5</w:t>
      </w:r>
      <w:r>
        <w:t xml:space="preserve"> visar kostnad per invånare med olika kostnadsavgränsningar år 2022, för Åland och för riket. Figur </w:t>
      </w:r>
      <w:r w:rsidR="004735B0">
        <w:t>2</w:t>
      </w:r>
      <w:r>
        <w:t xml:space="preserve"> och </w:t>
      </w:r>
      <w:r w:rsidR="004735B0">
        <w:t>3</w:t>
      </w:r>
      <w:r>
        <w:t xml:space="preserve"> visar totalkostnaden per invånare på Åland för </w:t>
      </w:r>
      <w:r w:rsidRPr="000D0F28">
        <w:t>all offentlig och privat hälso- och sjukvård inklusive tandvård, plus institutionsvård och boende med heldygnsomsorg för äldre</w:t>
      </w:r>
      <w:r>
        <w:t xml:space="preserve"> (sista raden i tabell </w:t>
      </w:r>
      <w:r w:rsidR="00BA5589">
        <w:t>3 och 4</w:t>
      </w:r>
      <w:r>
        <w:t>) jämfört med motsvarande kostnader i övriga nordiska länder</w:t>
      </w:r>
      <w:r w:rsidR="00015A4D">
        <w:t>,</w:t>
      </w:r>
      <w:r>
        <w:t xml:space="preserve"> respektive EU och EES länder.  </w:t>
      </w:r>
    </w:p>
    <w:p w14:paraId="147A7EC0" w14:textId="77777777" w:rsidR="000D0F28" w:rsidRDefault="000D0F28" w:rsidP="00EB1AF2">
      <w:pPr>
        <w:spacing w:line="240" w:lineRule="auto"/>
      </w:pPr>
    </w:p>
    <w:p w14:paraId="2658055B" w14:textId="77777777" w:rsidR="000D0F28" w:rsidRDefault="000D0F28" w:rsidP="00EB1AF2">
      <w:pPr>
        <w:spacing w:line="240" w:lineRule="auto"/>
      </w:pPr>
    </w:p>
    <w:p w14:paraId="676F61E2" w14:textId="5F8EFE7D" w:rsidR="00133CB3" w:rsidRDefault="00133CB3" w:rsidP="00EB1AF2">
      <w:pPr>
        <w:spacing w:line="240" w:lineRule="auto"/>
      </w:pPr>
      <w:r>
        <w:lastRenderedPageBreak/>
        <w:t>Tabell</w:t>
      </w:r>
      <w:r w:rsidR="00EB1AF2">
        <w:t xml:space="preserve"> </w:t>
      </w:r>
      <w:r w:rsidR="004735B0">
        <w:t>5</w:t>
      </w:r>
      <w:r>
        <w:t xml:space="preserve">. Kostnad per invånare med olika kostnadsavgränsningar år 2022, för Åland och för riket.  </w:t>
      </w:r>
    </w:p>
    <w:p w14:paraId="4E9D6B54" w14:textId="3738DDC1" w:rsidR="00CB0BCB" w:rsidRDefault="00133CB3" w:rsidP="00EB1AF2">
      <w:pPr>
        <w:spacing w:line="240" w:lineRule="auto"/>
      </w:pPr>
      <w:r w:rsidRPr="00133CB3">
        <w:rPr>
          <w:noProof/>
        </w:rPr>
        <w:drawing>
          <wp:inline distT="0" distB="0" distL="0" distR="0" wp14:anchorId="6A138459" wp14:editId="42AC7393">
            <wp:extent cx="6064250" cy="810110"/>
            <wp:effectExtent l="0" t="0" r="0" b="9525"/>
            <wp:docPr id="1892934963"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9110" cy="813431"/>
                    </a:xfrm>
                    <a:prstGeom prst="rect">
                      <a:avLst/>
                    </a:prstGeom>
                    <a:noFill/>
                    <a:ln>
                      <a:noFill/>
                    </a:ln>
                  </pic:spPr>
                </pic:pic>
              </a:graphicData>
            </a:graphic>
          </wp:inline>
        </w:drawing>
      </w:r>
      <w:r w:rsidR="00CB0BCB">
        <w:t xml:space="preserve">  </w:t>
      </w:r>
    </w:p>
    <w:p w14:paraId="0372E67F" w14:textId="77777777" w:rsidR="00CB0BCB" w:rsidRDefault="00CB0BCB" w:rsidP="00EB1AF2">
      <w:pPr>
        <w:spacing w:line="240" w:lineRule="auto"/>
      </w:pPr>
    </w:p>
    <w:p w14:paraId="6373BF77" w14:textId="77777777" w:rsidR="00133CB3" w:rsidRDefault="00133CB3" w:rsidP="00EB1AF2">
      <w:pPr>
        <w:spacing w:line="240" w:lineRule="auto"/>
      </w:pPr>
    </w:p>
    <w:p w14:paraId="0C18FD50" w14:textId="3CE1257E" w:rsidR="00133CB3" w:rsidRDefault="00133CB3" w:rsidP="00EB1AF2">
      <w:pPr>
        <w:spacing w:line="240" w:lineRule="auto"/>
      </w:pPr>
      <w:r>
        <w:rPr>
          <w:noProof/>
        </w:rPr>
        <w:drawing>
          <wp:inline distT="0" distB="0" distL="0" distR="0" wp14:anchorId="231A30A6" wp14:editId="2FC3F588">
            <wp:extent cx="4906694" cy="2992199"/>
            <wp:effectExtent l="0" t="0" r="8255" b="0"/>
            <wp:docPr id="180823788"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12945" cy="2996011"/>
                    </a:xfrm>
                    <a:prstGeom prst="rect">
                      <a:avLst/>
                    </a:prstGeom>
                    <a:noFill/>
                  </pic:spPr>
                </pic:pic>
              </a:graphicData>
            </a:graphic>
          </wp:inline>
        </w:drawing>
      </w:r>
    </w:p>
    <w:p w14:paraId="1BEC01BC" w14:textId="0EA16E5C" w:rsidR="00133CB3" w:rsidRPr="00EB1AF2" w:rsidRDefault="000D0F28" w:rsidP="00EB1AF2">
      <w:pPr>
        <w:spacing w:line="240" w:lineRule="auto"/>
        <w:rPr>
          <w:lang w:val="sv-FI"/>
        </w:rPr>
      </w:pPr>
      <w:r>
        <w:rPr>
          <w:lang w:val="sv-FI"/>
        </w:rPr>
        <w:t xml:space="preserve">Figur </w:t>
      </w:r>
      <w:r w:rsidR="00015A4D">
        <w:rPr>
          <w:lang w:val="sv-FI"/>
        </w:rPr>
        <w:t>2</w:t>
      </w:r>
      <w:r>
        <w:rPr>
          <w:lang w:val="sv-FI"/>
        </w:rPr>
        <w:t xml:space="preserve">. </w:t>
      </w:r>
      <w:r w:rsidR="00133CB3" w:rsidRPr="00EB1AF2">
        <w:rPr>
          <w:lang w:val="sv-FI"/>
        </w:rPr>
        <w:t>Hälso- och sjukvårdskostnad</w:t>
      </w:r>
      <w:r w:rsidR="00015A4D">
        <w:rPr>
          <w:lang w:val="sv-FI"/>
        </w:rPr>
        <w:t>er</w:t>
      </w:r>
      <w:r w:rsidR="00133CB3" w:rsidRPr="00EB1AF2">
        <w:rPr>
          <w:lang w:val="sv-FI"/>
        </w:rPr>
        <w:t xml:space="preserve"> per </w:t>
      </w:r>
      <w:r w:rsidR="00015A4D">
        <w:rPr>
          <w:lang w:val="sv-FI"/>
        </w:rPr>
        <w:t>invånare</w:t>
      </w:r>
      <w:r w:rsidR="00133CB3" w:rsidRPr="00EB1AF2">
        <w:rPr>
          <w:lang w:val="sv-FI"/>
        </w:rPr>
        <w:t xml:space="preserve"> i Norden 2022</w:t>
      </w:r>
    </w:p>
    <w:p w14:paraId="65D42756" w14:textId="15197D60" w:rsidR="00133CB3" w:rsidRPr="00EB1AF2" w:rsidRDefault="00133CB3" w:rsidP="00EB1AF2">
      <w:pPr>
        <w:spacing w:line="240" w:lineRule="auto"/>
        <w:rPr>
          <w:sz w:val="18"/>
          <w:szCs w:val="18"/>
          <w:lang w:val="sv-FI"/>
        </w:rPr>
      </w:pPr>
      <w:r w:rsidRPr="00EB1AF2">
        <w:rPr>
          <w:sz w:val="18"/>
          <w:szCs w:val="18"/>
          <w:lang w:val="sv-FI"/>
        </w:rPr>
        <w:t>Källa för de nordiska länderna: EUROSTAT</w:t>
      </w:r>
    </w:p>
    <w:p w14:paraId="1F7E2BC1" w14:textId="7C14ED35" w:rsidR="00EB1AF2" w:rsidRPr="00EB1AF2" w:rsidRDefault="00EB1AF2" w:rsidP="00EB1AF2">
      <w:pPr>
        <w:spacing w:line="240" w:lineRule="auto"/>
        <w:rPr>
          <w:sz w:val="18"/>
          <w:szCs w:val="18"/>
          <w:lang w:val="sv-FI"/>
        </w:rPr>
      </w:pPr>
      <w:r w:rsidRPr="00EB1AF2">
        <w:rPr>
          <w:sz w:val="18"/>
          <w:szCs w:val="18"/>
          <w:lang w:val="sv-FI"/>
        </w:rPr>
        <w:t>Noter:</w:t>
      </w:r>
    </w:p>
    <w:p w14:paraId="3C3DE669" w14:textId="7662D5EC" w:rsidR="00EB1AF2" w:rsidRPr="00EB1AF2" w:rsidRDefault="00EB1AF2" w:rsidP="00EB1AF2">
      <w:pPr>
        <w:spacing w:line="240" w:lineRule="auto"/>
        <w:rPr>
          <w:sz w:val="18"/>
          <w:szCs w:val="18"/>
          <w:lang w:val="sv-FI"/>
        </w:rPr>
      </w:pPr>
      <w:r w:rsidRPr="00EB1AF2">
        <w:rPr>
          <w:sz w:val="18"/>
          <w:szCs w:val="18"/>
          <w:lang w:val="sv-FI"/>
        </w:rPr>
        <w:t>Kostnaden för Åland är den totala kostnaden för all offentlig och privat hälso- och sjukvård in</w:t>
      </w:r>
      <w:r>
        <w:rPr>
          <w:sz w:val="18"/>
          <w:szCs w:val="18"/>
          <w:lang w:val="sv-FI"/>
        </w:rPr>
        <w:t>k</w:t>
      </w:r>
      <w:r w:rsidRPr="00EB1AF2">
        <w:rPr>
          <w:sz w:val="18"/>
          <w:szCs w:val="18"/>
          <w:lang w:val="sv-FI"/>
        </w:rPr>
        <w:t>lusive tandvård, plus institutionsvård och boende med heldygnsomsorg för äldre.</w:t>
      </w:r>
    </w:p>
    <w:p w14:paraId="186187A2" w14:textId="689B0E3D" w:rsidR="00133CB3" w:rsidRPr="00133CB3" w:rsidRDefault="00133CB3" w:rsidP="00EB1AF2">
      <w:pPr>
        <w:spacing w:line="240" w:lineRule="auto"/>
        <w:rPr>
          <w:sz w:val="18"/>
          <w:szCs w:val="18"/>
        </w:rPr>
      </w:pPr>
      <w:r w:rsidRPr="00825A0F">
        <w:rPr>
          <w:sz w:val="18"/>
          <w:szCs w:val="18"/>
          <w:lang w:val="sv-FI"/>
        </w:rPr>
        <w:t>PPS: Purchasing Power Standard</w:t>
      </w:r>
      <w:r w:rsidRPr="00EB1AF2">
        <w:rPr>
          <w:sz w:val="18"/>
          <w:szCs w:val="18"/>
          <w:lang w:val="sv-FI"/>
        </w:rPr>
        <w:t xml:space="preserve"> (köpkraft</w:t>
      </w:r>
      <w:r w:rsidR="00D936A4" w:rsidRPr="00EB1AF2">
        <w:rPr>
          <w:sz w:val="18"/>
          <w:szCs w:val="18"/>
          <w:lang w:val="sv-FI"/>
        </w:rPr>
        <w:t>s</w:t>
      </w:r>
      <w:r w:rsidRPr="00EB1AF2">
        <w:rPr>
          <w:sz w:val="18"/>
          <w:szCs w:val="18"/>
          <w:lang w:val="sv-FI"/>
        </w:rPr>
        <w:t>justerad kostnad), vilken beräknats för Åland med samma justering som för Finland</w:t>
      </w:r>
    </w:p>
    <w:p w14:paraId="666CFFC2" w14:textId="77777777" w:rsidR="00133CB3" w:rsidRDefault="00133CB3" w:rsidP="00EB1AF2">
      <w:pPr>
        <w:spacing w:line="240" w:lineRule="auto"/>
      </w:pPr>
    </w:p>
    <w:p w14:paraId="542C08D9" w14:textId="77777777" w:rsidR="00D936A4" w:rsidRDefault="00D936A4" w:rsidP="00EB1AF2">
      <w:pPr>
        <w:spacing w:line="240" w:lineRule="auto"/>
      </w:pPr>
    </w:p>
    <w:p w14:paraId="458F47B3" w14:textId="77777777" w:rsidR="00381B65" w:rsidRDefault="00381B65" w:rsidP="00EB1AF2">
      <w:pPr>
        <w:spacing w:line="240" w:lineRule="auto"/>
      </w:pPr>
    </w:p>
    <w:p w14:paraId="3AEF46FA" w14:textId="77777777" w:rsidR="00381B65" w:rsidRDefault="00381B65" w:rsidP="00EB1AF2">
      <w:pPr>
        <w:spacing w:line="240" w:lineRule="auto"/>
      </w:pPr>
    </w:p>
    <w:p w14:paraId="470D2649" w14:textId="42C49C45" w:rsidR="00D936A4" w:rsidRDefault="00D936A4" w:rsidP="00EB1AF2">
      <w:pPr>
        <w:spacing w:line="240" w:lineRule="auto"/>
      </w:pPr>
      <w:r>
        <w:rPr>
          <w:noProof/>
          <w14:ligatures w14:val="standardContextual"/>
        </w:rPr>
        <w:lastRenderedPageBreak/>
        <w:drawing>
          <wp:inline distT="0" distB="0" distL="0" distR="0" wp14:anchorId="0BABCD19" wp14:editId="319E0E89">
            <wp:extent cx="6120130" cy="3442335"/>
            <wp:effectExtent l="0" t="0" r="0" b="5715"/>
            <wp:docPr id="148973823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38238"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6120130" cy="3442335"/>
                    </a:xfrm>
                    <a:prstGeom prst="rect">
                      <a:avLst/>
                    </a:prstGeom>
                  </pic:spPr>
                </pic:pic>
              </a:graphicData>
            </a:graphic>
          </wp:inline>
        </w:drawing>
      </w:r>
    </w:p>
    <w:p w14:paraId="2855EBCF" w14:textId="34147172" w:rsidR="00D936A4" w:rsidRPr="00015A4D" w:rsidRDefault="00D936A4" w:rsidP="00EB1AF2">
      <w:pPr>
        <w:spacing w:line="240" w:lineRule="auto"/>
        <w:rPr>
          <w:lang w:val="sv-FI"/>
        </w:rPr>
      </w:pPr>
      <w:r w:rsidRPr="00015A4D">
        <w:rPr>
          <w:lang w:val="sv-FI"/>
        </w:rPr>
        <w:t xml:space="preserve">Figur </w:t>
      </w:r>
      <w:r w:rsidR="00015A4D" w:rsidRPr="00015A4D">
        <w:rPr>
          <w:lang w:val="sv-FI"/>
        </w:rPr>
        <w:t>3</w:t>
      </w:r>
      <w:r w:rsidRPr="00015A4D">
        <w:rPr>
          <w:lang w:val="sv-FI"/>
        </w:rPr>
        <w:t>. Hälso- och sjukvårdskostnad</w:t>
      </w:r>
      <w:r w:rsidR="00B17F92" w:rsidRPr="00015A4D">
        <w:rPr>
          <w:lang w:val="sv-FI"/>
        </w:rPr>
        <w:t>er</w:t>
      </w:r>
      <w:r w:rsidRPr="00015A4D">
        <w:rPr>
          <w:lang w:val="sv-FI"/>
        </w:rPr>
        <w:t xml:space="preserve"> per </w:t>
      </w:r>
      <w:r w:rsidR="00015A4D" w:rsidRPr="00015A4D">
        <w:rPr>
          <w:lang w:val="sv-FI"/>
        </w:rPr>
        <w:t xml:space="preserve">invånare </w:t>
      </w:r>
      <w:r w:rsidRPr="00015A4D">
        <w:rPr>
          <w:lang w:val="sv-FI"/>
        </w:rPr>
        <w:t>i EU and EES länder 2022</w:t>
      </w:r>
    </w:p>
    <w:p w14:paraId="619DFD24" w14:textId="0F50E22E" w:rsidR="00D936A4" w:rsidRPr="00015A4D" w:rsidRDefault="00D936A4" w:rsidP="00EB1AF2">
      <w:pPr>
        <w:spacing w:line="240" w:lineRule="auto"/>
        <w:rPr>
          <w:sz w:val="18"/>
          <w:szCs w:val="18"/>
          <w:lang w:val="sv-FI"/>
        </w:rPr>
      </w:pPr>
      <w:r w:rsidRPr="00015A4D">
        <w:rPr>
          <w:sz w:val="18"/>
          <w:szCs w:val="18"/>
          <w:lang w:val="sv-FI"/>
        </w:rPr>
        <w:t>Källa: Eurostat.</w:t>
      </w:r>
    </w:p>
    <w:p w14:paraId="456105E2" w14:textId="77777777" w:rsidR="000D0F28" w:rsidRPr="00825A0F" w:rsidRDefault="00D936A4" w:rsidP="00EB1AF2">
      <w:pPr>
        <w:spacing w:line="240" w:lineRule="auto"/>
        <w:rPr>
          <w:sz w:val="18"/>
          <w:szCs w:val="18"/>
          <w:lang w:val="sv-FI"/>
        </w:rPr>
      </w:pPr>
      <w:r w:rsidRPr="00825A0F">
        <w:rPr>
          <w:sz w:val="18"/>
          <w:szCs w:val="18"/>
          <w:lang w:val="sv-FI"/>
        </w:rPr>
        <w:t>Not</w:t>
      </w:r>
      <w:r w:rsidR="000D0F28" w:rsidRPr="00825A0F">
        <w:rPr>
          <w:sz w:val="18"/>
          <w:szCs w:val="18"/>
          <w:lang w:val="sv-FI"/>
        </w:rPr>
        <w:t>er</w:t>
      </w:r>
      <w:r w:rsidRPr="00825A0F">
        <w:rPr>
          <w:sz w:val="18"/>
          <w:szCs w:val="18"/>
          <w:lang w:val="sv-FI"/>
        </w:rPr>
        <w:t xml:space="preserve">: </w:t>
      </w:r>
    </w:p>
    <w:p w14:paraId="23225BB1" w14:textId="276139EB" w:rsidR="000D0F28" w:rsidRPr="00133CB3" w:rsidRDefault="00D936A4" w:rsidP="000D0F28">
      <w:pPr>
        <w:spacing w:line="240" w:lineRule="auto"/>
        <w:rPr>
          <w:sz w:val="18"/>
          <w:szCs w:val="18"/>
        </w:rPr>
      </w:pPr>
      <w:r w:rsidRPr="00825A0F">
        <w:rPr>
          <w:sz w:val="18"/>
          <w:szCs w:val="18"/>
          <w:lang w:val="sv-FI"/>
        </w:rPr>
        <w:t>PPS=purchasing power standard</w:t>
      </w:r>
      <w:r w:rsidR="000D0F28">
        <w:t xml:space="preserve"> </w:t>
      </w:r>
      <w:r w:rsidR="000D0F28" w:rsidRPr="00EB1AF2">
        <w:rPr>
          <w:sz w:val="18"/>
          <w:szCs w:val="18"/>
          <w:lang w:val="sv-FI"/>
        </w:rPr>
        <w:t>(köpkraftsjusterad kostnad), vilken beräknats för Åland med samma justering som för Finland</w:t>
      </w:r>
    </w:p>
    <w:p w14:paraId="18886E53" w14:textId="7B90B490" w:rsidR="000D0F28" w:rsidRPr="00133CB3" w:rsidRDefault="00D936A4" w:rsidP="000D0F28">
      <w:pPr>
        <w:spacing w:line="240" w:lineRule="auto"/>
        <w:rPr>
          <w:sz w:val="18"/>
          <w:szCs w:val="18"/>
        </w:rPr>
      </w:pPr>
      <w:r w:rsidRPr="00D936A4">
        <w:rPr>
          <w:sz w:val="18"/>
          <w:szCs w:val="18"/>
          <w:lang w:val="sv-FI"/>
        </w:rPr>
        <w:t xml:space="preserve">Linjerna motsvarar siffrorna för Åland gällande </w:t>
      </w:r>
      <w:r w:rsidR="000D0F28">
        <w:rPr>
          <w:sz w:val="18"/>
          <w:szCs w:val="18"/>
          <w:lang w:val="sv-FI"/>
        </w:rPr>
        <w:t>d</w:t>
      </w:r>
      <w:r w:rsidR="000D0F28" w:rsidRPr="00EB1AF2">
        <w:rPr>
          <w:sz w:val="18"/>
          <w:szCs w:val="18"/>
          <w:lang w:val="sv-FI"/>
        </w:rPr>
        <w:t>en totala kostnaden för all offentlig och privat hälso- och sjukvård in</w:t>
      </w:r>
      <w:r w:rsidR="000D0F28">
        <w:rPr>
          <w:sz w:val="18"/>
          <w:szCs w:val="18"/>
          <w:lang w:val="sv-FI"/>
        </w:rPr>
        <w:t>k</w:t>
      </w:r>
      <w:r w:rsidR="000D0F28" w:rsidRPr="00EB1AF2">
        <w:rPr>
          <w:sz w:val="18"/>
          <w:szCs w:val="18"/>
          <w:lang w:val="sv-FI"/>
        </w:rPr>
        <w:t>lusive tandvård, plus institutionsvård och boende med heldygnsomsorg för äldre.</w:t>
      </w:r>
      <w:r w:rsidR="000D0F28">
        <w:rPr>
          <w:sz w:val="18"/>
          <w:szCs w:val="18"/>
          <w:lang w:val="sv-FI"/>
        </w:rPr>
        <w:t xml:space="preserve"> </w:t>
      </w:r>
    </w:p>
    <w:p w14:paraId="7FFD05A7" w14:textId="44FD137C" w:rsidR="00D936A4" w:rsidRDefault="00D936A4" w:rsidP="00EB1AF2">
      <w:pPr>
        <w:spacing w:line="240" w:lineRule="auto"/>
      </w:pPr>
      <w:r>
        <w:t xml:space="preserve"> </w:t>
      </w:r>
    </w:p>
    <w:p w14:paraId="4DC33108" w14:textId="77777777" w:rsidR="003D0D6D" w:rsidRDefault="003D0D6D" w:rsidP="00EB1AF2">
      <w:pPr>
        <w:spacing w:line="240" w:lineRule="auto"/>
      </w:pPr>
    </w:p>
    <w:p w14:paraId="68C0F295" w14:textId="4CC33366" w:rsidR="00917367" w:rsidRDefault="003D0D6D" w:rsidP="00917367">
      <w:pPr>
        <w:spacing w:line="240" w:lineRule="auto"/>
      </w:pPr>
      <w:r>
        <w:t xml:space="preserve">Tabell </w:t>
      </w:r>
      <w:r w:rsidR="00015A4D">
        <w:t>6</w:t>
      </w:r>
      <w:r>
        <w:t xml:space="preserve"> visar fördelning mellan olika finansieringskanaler på Åland och i de nordiska länderna.</w:t>
      </w:r>
      <w:r w:rsidR="00917367">
        <w:t xml:space="preserve"> Figur </w:t>
      </w:r>
      <w:r w:rsidR="00015A4D">
        <w:t>4</w:t>
      </w:r>
      <w:r w:rsidR="00917367">
        <w:t xml:space="preserve"> visar andelen offentlig och privat finansiering på Åland och i de nordiska länderna. </w:t>
      </w:r>
    </w:p>
    <w:p w14:paraId="3C10165B" w14:textId="4D2720A9" w:rsidR="003D0D6D" w:rsidRDefault="003D0D6D" w:rsidP="00EB1AF2">
      <w:pPr>
        <w:spacing w:line="240" w:lineRule="auto"/>
      </w:pPr>
    </w:p>
    <w:p w14:paraId="52583AC8" w14:textId="77777777" w:rsidR="003D0D6D" w:rsidRDefault="003D0D6D" w:rsidP="00EB1AF2">
      <w:pPr>
        <w:spacing w:line="240" w:lineRule="auto"/>
      </w:pPr>
    </w:p>
    <w:p w14:paraId="234A8B9B" w14:textId="386DA6F6" w:rsidR="00D936A4" w:rsidRDefault="00917367" w:rsidP="00EB1AF2">
      <w:pPr>
        <w:spacing w:line="240" w:lineRule="auto"/>
      </w:pPr>
      <w:r>
        <w:t xml:space="preserve">Tabell </w:t>
      </w:r>
      <w:r w:rsidR="00015A4D">
        <w:t>6</w:t>
      </w:r>
      <w:r>
        <w:t>. Fördelning mellan olika finansieringskanaler på Åland och i de nordiska länderna</w:t>
      </w:r>
    </w:p>
    <w:tbl>
      <w:tblPr>
        <w:tblW w:w="9067" w:type="dxa"/>
        <w:tblLayout w:type="fixed"/>
        <w:tblCellMar>
          <w:left w:w="70" w:type="dxa"/>
          <w:right w:w="70" w:type="dxa"/>
        </w:tblCellMar>
        <w:tblLook w:val="04A0" w:firstRow="1" w:lastRow="0" w:firstColumn="1" w:lastColumn="0" w:noHBand="0" w:noVBand="1"/>
      </w:tblPr>
      <w:tblGrid>
        <w:gridCol w:w="1128"/>
        <w:gridCol w:w="1299"/>
        <w:gridCol w:w="1300"/>
        <w:gridCol w:w="1300"/>
        <w:gridCol w:w="1347"/>
        <w:gridCol w:w="1418"/>
        <w:gridCol w:w="1275"/>
      </w:tblGrid>
      <w:tr w:rsidR="003D0D6D" w:rsidRPr="003D0D6D" w14:paraId="6D81CED8" w14:textId="77777777" w:rsidTr="003D0D6D">
        <w:trPr>
          <w:trHeight w:val="300"/>
        </w:trPr>
        <w:tc>
          <w:tcPr>
            <w:tcW w:w="1128" w:type="dxa"/>
            <w:tcBorders>
              <w:top w:val="single" w:sz="4" w:space="0" w:color="auto"/>
              <w:left w:val="single" w:sz="4" w:space="0" w:color="auto"/>
              <w:bottom w:val="single" w:sz="4" w:space="0" w:color="auto"/>
              <w:right w:val="single" w:sz="4" w:space="0" w:color="auto"/>
            </w:tcBorders>
            <w:noWrap/>
            <w:vAlign w:val="bottom"/>
            <w:hideMark/>
          </w:tcPr>
          <w:p w14:paraId="1F47AB39" w14:textId="77777777" w:rsidR="003D0D6D" w:rsidRPr="003D0D6D" w:rsidRDefault="003D0D6D" w:rsidP="003D0D6D">
            <w:pPr>
              <w:autoSpaceDE/>
              <w:autoSpaceDN/>
              <w:adjustRightInd/>
              <w:spacing w:line="240" w:lineRule="auto"/>
              <w:textAlignment w:val="auto"/>
              <w:rPr>
                <w:rFonts w:ascii="Calibri" w:eastAsia="Times New Roman" w:hAnsi="Calibri" w:cs="Calibri"/>
                <w:color w:val="000000"/>
                <w:lang w:val="sv-FI" w:eastAsia="sv-FI"/>
              </w:rPr>
            </w:pPr>
            <w:bookmarkStart w:id="7" w:name="_Hlk184650021"/>
            <w:r w:rsidRPr="003D0D6D">
              <w:rPr>
                <w:rFonts w:ascii="Calibri" w:eastAsia="Times New Roman" w:hAnsi="Calibri" w:cs="Calibri"/>
                <w:color w:val="000000"/>
                <w:lang w:val="sv-FI" w:eastAsia="sv-FI"/>
              </w:rPr>
              <w:t> </w:t>
            </w:r>
          </w:p>
        </w:tc>
        <w:tc>
          <w:tcPr>
            <w:tcW w:w="1299" w:type="dxa"/>
            <w:tcBorders>
              <w:top w:val="single" w:sz="4" w:space="0" w:color="auto"/>
              <w:left w:val="nil"/>
              <w:bottom w:val="single" w:sz="4" w:space="0" w:color="auto"/>
              <w:right w:val="single" w:sz="4" w:space="0" w:color="auto"/>
            </w:tcBorders>
            <w:noWrap/>
            <w:vAlign w:val="bottom"/>
            <w:hideMark/>
          </w:tcPr>
          <w:p w14:paraId="1B807AC8" w14:textId="77777777" w:rsidR="003D0D6D" w:rsidRPr="003D0D6D" w:rsidRDefault="003D0D6D" w:rsidP="003D0D6D">
            <w:pPr>
              <w:autoSpaceDE/>
              <w:autoSpaceDN/>
              <w:adjustRightInd/>
              <w:spacing w:line="240" w:lineRule="auto"/>
              <w:jc w:val="center"/>
              <w:textAlignment w:val="auto"/>
              <w:rPr>
                <w:rFonts w:ascii="Calibri" w:eastAsia="Times New Roman" w:hAnsi="Calibri" w:cs="Calibri"/>
                <w:b/>
                <w:bCs/>
                <w:color w:val="000000"/>
                <w:lang w:val="sv-FI" w:eastAsia="sv-FI"/>
              </w:rPr>
            </w:pPr>
            <w:r w:rsidRPr="003D0D6D">
              <w:rPr>
                <w:rFonts w:ascii="Calibri" w:eastAsia="Times New Roman" w:hAnsi="Calibri" w:cs="Calibri"/>
                <w:b/>
                <w:bCs/>
                <w:color w:val="000000"/>
                <w:lang w:val="sv-FI" w:eastAsia="sv-FI"/>
              </w:rPr>
              <w:t>Skatt</w:t>
            </w:r>
          </w:p>
        </w:tc>
        <w:tc>
          <w:tcPr>
            <w:tcW w:w="1300" w:type="dxa"/>
            <w:tcBorders>
              <w:top w:val="single" w:sz="4" w:space="0" w:color="auto"/>
              <w:left w:val="nil"/>
              <w:bottom w:val="single" w:sz="4" w:space="0" w:color="auto"/>
              <w:right w:val="single" w:sz="4" w:space="0" w:color="auto"/>
            </w:tcBorders>
            <w:noWrap/>
            <w:vAlign w:val="bottom"/>
            <w:hideMark/>
          </w:tcPr>
          <w:p w14:paraId="2AF312AA" w14:textId="47E52EE4" w:rsidR="003D0D6D" w:rsidRPr="003D0D6D" w:rsidRDefault="003D0D6D" w:rsidP="003D0D6D">
            <w:pPr>
              <w:autoSpaceDE/>
              <w:autoSpaceDN/>
              <w:adjustRightInd/>
              <w:spacing w:line="240" w:lineRule="auto"/>
              <w:jc w:val="center"/>
              <w:textAlignment w:val="auto"/>
              <w:rPr>
                <w:rFonts w:ascii="Calibri" w:eastAsia="Times New Roman" w:hAnsi="Calibri" w:cs="Calibri"/>
                <w:b/>
                <w:bCs/>
                <w:color w:val="000000"/>
                <w:lang w:val="sv-FI" w:eastAsia="sv-FI"/>
              </w:rPr>
            </w:pPr>
            <w:r w:rsidRPr="003D0D6D">
              <w:rPr>
                <w:rFonts w:ascii="Calibri" w:eastAsia="Times New Roman" w:hAnsi="Calibri" w:cs="Calibri"/>
                <w:b/>
                <w:bCs/>
                <w:color w:val="000000"/>
                <w:lang w:val="sv-FI" w:eastAsia="sv-FI"/>
              </w:rPr>
              <w:t>Social-försäkring</w:t>
            </w:r>
          </w:p>
        </w:tc>
        <w:tc>
          <w:tcPr>
            <w:tcW w:w="1300" w:type="dxa"/>
            <w:tcBorders>
              <w:top w:val="single" w:sz="4" w:space="0" w:color="auto"/>
              <w:left w:val="nil"/>
              <w:bottom w:val="single" w:sz="4" w:space="0" w:color="auto"/>
              <w:right w:val="single" w:sz="4" w:space="0" w:color="auto"/>
            </w:tcBorders>
            <w:noWrap/>
            <w:vAlign w:val="bottom"/>
            <w:hideMark/>
          </w:tcPr>
          <w:p w14:paraId="4A1FCC96" w14:textId="77777777" w:rsidR="003D0D6D" w:rsidRPr="003D0D6D" w:rsidRDefault="003D0D6D" w:rsidP="003D0D6D">
            <w:pPr>
              <w:autoSpaceDE/>
              <w:autoSpaceDN/>
              <w:adjustRightInd/>
              <w:spacing w:line="240" w:lineRule="auto"/>
              <w:jc w:val="center"/>
              <w:textAlignment w:val="auto"/>
              <w:rPr>
                <w:rFonts w:ascii="Calibri" w:eastAsia="Times New Roman" w:hAnsi="Calibri" w:cs="Calibri"/>
                <w:b/>
                <w:bCs/>
                <w:color w:val="000000"/>
                <w:lang w:val="sv-FI" w:eastAsia="sv-FI"/>
              </w:rPr>
            </w:pPr>
            <w:r w:rsidRPr="003D0D6D">
              <w:rPr>
                <w:rFonts w:ascii="Calibri" w:eastAsia="Times New Roman" w:hAnsi="Calibri" w:cs="Calibri"/>
                <w:b/>
                <w:bCs/>
                <w:color w:val="000000"/>
                <w:lang w:val="sv-FI" w:eastAsia="sv-FI"/>
              </w:rPr>
              <w:t>Arbetsgivare</w:t>
            </w:r>
          </w:p>
        </w:tc>
        <w:tc>
          <w:tcPr>
            <w:tcW w:w="1347" w:type="dxa"/>
            <w:tcBorders>
              <w:top w:val="single" w:sz="4" w:space="0" w:color="auto"/>
              <w:left w:val="nil"/>
              <w:bottom w:val="single" w:sz="4" w:space="0" w:color="auto"/>
              <w:right w:val="single" w:sz="4" w:space="0" w:color="auto"/>
            </w:tcBorders>
            <w:noWrap/>
            <w:vAlign w:val="bottom"/>
            <w:hideMark/>
          </w:tcPr>
          <w:p w14:paraId="40F8859C" w14:textId="77777777" w:rsidR="003D0D6D" w:rsidRPr="003D0D6D" w:rsidRDefault="003D0D6D" w:rsidP="003D0D6D">
            <w:pPr>
              <w:autoSpaceDE/>
              <w:autoSpaceDN/>
              <w:adjustRightInd/>
              <w:spacing w:line="240" w:lineRule="auto"/>
              <w:jc w:val="center"/>
              <w:textAlignment w:val="auto"/>
              <w:rPr>
                <w:rFonts w:ascii="Calibri" w:eastAsia="Times New Roman" w:hAnsi="Calibri" w:cs="Calibri"/>
                <w:b/>
                <w:bCs/>
                <w:color w:val="000000"/>
                <w:lang w:val="sv-FI" w:eastAsia="sv-FI"/>
              </w:rPr>
            </w:pPr>
            <w:r w:rsidRPr="003D0D6D">
              <w:rPr>
                <w:rFonts w:ascii="Calibri" w:eastAsia="Times New Roman" w:hAnsi="Calibri" w:cs="Calibri"/>
                <w:b/>
                <w:bCs/>
                <w:color w:val="000000"/>
                <w:lang w:val="sv-FI" w:eastAsia="sv-FI"/>
              </w:rPr>
              <w:t>Privat sjukförsäkring</w:t>
            </w:r>
          </w:p>
        </w:tc>
        <w:tc>
          <w:tcPr>
            <w:tcW w:w="1418" w:type="dxa"/>
            <w:tcBorders>
              <w:top w:val="single" w:sz="4" w:space="0" w:color="auto"/>
              <w:left w:val="nil"/>
              <w:bottom w:val="single" w:sz="4" w:space="0" w:color="auto"/>
              <w:right w:val="single" w:sz="4" w:space="0" w:color="auto"/>
            </w:tcBorders>
            <w:noWrap/>
            <w:vAlign w:val="bottom"/>
            <w:hideMark/>
          </w:tcPr>
          <w:p w14:paraId="192A99D3" w14:textId="37CBD69B" w:rsidR="003D0D6D" w:rsidRPr="003D0D6D" w:rsidRDefault="003D0D6D" w:rsidP="003D0D6D">
            <w:pPr>
              <w:autoSpaceDE/>
              <w:autoSpaceDN/>
              <w:adjustRightInd/>
              <w:spacing w:line="240" w:lineRule="auto"/>
              <w:jc w:val="center"/>
              <w:textAlignment w:val="auto"/>
              <w:rPr>
                <w:rFonts w:ascii="Calibri" w:eastAsia="Times New Roman" w:hAnsi="Calibri" w:cs="Calibri"/>
                <w:b/>
                <w:bCs/>
                <w:color w:val="000000"/>
                <w:lang w:val="sv-FI" w:eastAsia="sv-FI"/>
              </w:rPr>
            </w:pPr>
            <w:r w:rsidRPr="003D0D6D">
              <w:rPr>
                <w:rFonts w:ascii="Calibri" w:eastAsia="Times New Roman" w:hAnsi="Calibri" w:cs="Calibri"/>
                <w:b/>
                <w:bCs/>
                <w:color w:val="000000"/>
                <w:lang w:val="sv-FI" w:eastAsia="sv-FI"/>
              </w:rPr>
              <w:t>Patient-</w:t>
            </w:r>
            <w:r w:rsidR="00917367">
              <w:rPr>
                <w:rFonts w:ascii="Calibri" w:eastAsia="Times New Roman" w:hAnsi="Calibri" w:cs="Calibri"/>
                <w:b/>
                <w:bCs/>
                <w:color w:val="000000"/>
                <w:lang w:val="sv-FI" w:eastAsia="sv-FI"/>
              </w:rPr>
              <w:t xml:space="preserve"> och klient</w:t>
            </w:r>
            <w:r w:rsidRPr="003D0D6D">
              <w:rPr>
                <w:rFonts w:ascii="Calibri" w:eastAsia="Times New Roman" w:hAnsi="Calibri" w:cs="Calibri"/>
                <w:b/>
                <w:bCs/>
                <w:color w:val="000000"/>
                <w:lang w:val="sv-FI" w:eastAsia="sv-FI"/>
              </w:rPr>
              <w:t>avgifter</w:t>
            </w:r>
          </w:p>
        </w:tc>
        <w:tc>
          <w:tcPr>
            <w:tcW w:w="1275" w:type="dxa"/>
            <w:tcBorders>
              <w:top w:val="single" w:sz="4" w:space="0" w:color="auto"/>
              <w:left w:val="nil"/>
              <w:bottom w:val="single" w:sz="4" w:space="0" w:color="auto"/>
              <w:right w:val="single" w:sz="4" w:space="0" w:color="auto"/>
            </w:tcBorders>
            <w:noWrap/>
            <w:vAlign w:val="bottom"/>
            <w:hideMark/>
          </w:tcPr>
          <w:p w14:paraId="125BF990" w14:textId="77777777" w:rsidR="003D0D6D" w:rsidRPr="003D0D6D" w:rsidRDefault="003D0D6D" w:rsidP="003D0D6D">
            <w:pPr>
              <w:autoSpaceDE/>
              <w:autoSpaceDN/>
              <w:adjustRightInd/>
              <w:spacing w:line="240" w:lineRule="auto"/>
              <w:jc w:val="center"/>
              <w:textAlignment w:val="auto"/>
              <w:rPr>
                <w:rFonts w:ascii="Calibri" w:eastAsia="Times New Roman" w:hAnsi="Calibri" w:cs="Calibri"/>
                <w:b/>
                <w:bCs/>
                <w:color w:val="000000"/>
                <w:lang w:val="sv-FI" w:eastAsia="sv-FI"/>
              </w:rPr>
            </w:pPr>
            <w:r w:rsidRPr="003D0D6D">
              <w:rPr>
                <w:rFonts w:ascii="Calibri" w:eastAsia="Times New Roman" w:hAnsi="Calibri" w:cs="Calibri"/>
                <w:b/>
                <w:bCs/>
                <w:color w:val="000000"/>
                <w:lang w:val="sv-FI" w:eastAsia="sv-FI"/>
              </w:rPr>
              <w:t>Övrigt</w:t>
            </w:r>
          </w:p>
        </w:tc>
      </w:tr>
      <w:bookmarkEnd w:id="7"/>
      <w:tr w:rsidR="003D0D6D" w:rsidRPr="003D0D6D" w14:paraId="05210155" w14:textId="77777777" w:rsidTr="003D0D6D">
        <w:trPr>
          <w:trHeight w:val="300"/>
        </w:trPr>
        <w:tc>
          <w:tcPr>
            <w:tcW w:w="1128" w:type="dxa"/>
            <w:tcBorders>
              <w:top w:val="nil"/>
              <w:left w:val="single" w:sz="4" w:space="0" w:color="auto"/>
              <w:bottom w:val="single" w:sz="4" w:space="0" w:color="auto"/>
              <w:right w:val="single" w:sz="4" w:space="0" w:color="auto"/>
            </w:tcBorders>
            <w:noWrap/>
            <w:vAlign w:val="bottom"/>
            <w:hideMark/>
          </w:tcPr>
          <w:p w14:paraId="27E923E4" w14:textId="77777777" w:rsidR="003D0D6D" w:rsidRPr="003D0D6D" w:rsidRDefault="003D0D6D" w:rsidP="003D0D6D">
            <w:pPr>
              <w:autoSpaceDE/>
              <w:autoSpaceDN/>
              <w:adjustRightInd/>
              <w:spacing w:line="240" w:lineRule="auto"/>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Finland</w:t>
            </w:r>
          </w:p>
        </w:tc>
        <w:tc>
          <w:tcPr>
            <w:tcW w:w="1299" w:type="dxa"/>
            <w:tcBorders>
              <w:top w:val="nil"/>
              <w:left w:val="nil"/>
              <w:bottom w:val="single" w:sz="4" w:space="0" w:color="auto"/>
              <w:right w:val="single" w:sz="4" w:space="0" w:color="auto"/>
            </w:tcBorders>
            <w:noWrap/>
            <w:vAlign w:val="bottom"/>
            <w:hideMark/>
          </w:tcPr>
          <w:p w14:paraId="36129933"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66,5 %</w:t>
            </w:r>
          </w:p>
        </w:tc>
        <w:tc>
          <w:tcPr>
            <w:tcW w:w="1300" w:type="dxa"/>
            <w:tcBorders>
              <w:top w:val="nil"/>
              <w:left w:val="nil"/>
              <w:bottom w:val="single" w:sz="4" w:space="0" w:color="auto"/>
              <w:right w:val="single" w:sz="4" w:space="0" w:color="auto"/>
            </w:tcBorders>
            <w:noWrap/>
            <w:vAlign w:val="bottom"/>
            <w:hideMark/>
          </w:tcPr>
          <w:p w14:paraId="028C1C49"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13,1 %</w:t>
            </w:r>
          </w:p>
        </w:tc>
        <w:tc>
          <w:tcPr>
            <w:tcW w:w="1300" w:type="dxa"/>
            <w:tcBorders>
              <w:top w:val="nil"/>
              <w:left w:val="nil"/>
              <w:bottom w:val="single" w:sz="4" w:space="0" w:color="auto"/>
              <w:right w:val="single" w:sz="4" w:space="0" w:color="auto"/>
            </w:tcBorders>
            <w:noWrap/>
            <w:vAlign w:val="bottom"/>
            <w:hideMark/>
          </w:tcPr>
          <w:p w14:paraId="5425DF6E"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2,1 %</w:t>
            </w:r>
          </w:p>
        </w:tc>
        <w:tc>
          <w:tcPr>
            <w:tcW w:w="1347" w:type="dxa"/>
            <w:tcBorders>
              <w:top w:val="nil"/>
              <w:left w:val="nil"/>
              <w:bottom w:val="single" w:sz="4" w:space="0" w:color="auto"/>
              <w:right w:val="single" w:sz="4" w:space="0" w:color="auto"/>
            </w:tcBorders>
            <w:noWrap/>
            <w:vAlign w:val="bottom"/>
            <w:hideMark/>
          </w:tcPr>
          <w:p w14:paraId="4BF960AB"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1,6 %</w:t>
            </w:r>
          </w:p>
        </w:tc>
        <w:tc>
          <w:tcPr>
            <w:tcW w:w="1418" w:type="dxa"/>
            <w:tcBorders>
              <w:top w:val="nil"/>
              <w:left w:val="nil"/>
              <w:bottom w:val="single" w:sz="4" w:space="0" w:color="auto"/>
              <w:right w:val="single" w:sz="4" w:space="0" w:color="auto"/>
            </w:tcBorders>
            <w:noWrap/>
            <w:vAlign w:val="bottom"/>
            <w:hideMark/>
          </w:tcPr>
          <w:p w14:paraId="38FE6B92"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16,2 %</w:t>
            </w:r>
          </w:p>
        </w:tc>
        <w:tc>
          <w:tcPr>
            <w:tcW w:w="1275" w:type="dxa"/>
            <w:tcBorders>
              <w:top w:val="nil"/>
              <w:left w:val="nil"/>
              <w:bottom w:val="single" w:sz="4" w:space="0" w:color="auto"/>
              <w:right w:val="single" w:sz="4" w:space="0" w:color="auto"/>
            </w:tcBorders>
            <w:noWrap/>
            <w:vAlign w:val="bottom"/>
            <w:hideMark/>
          </w:tcPr>
          <w:p w14:paraId="137185A7"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0,5 %</w:t>
            </w:r>
          </w:p>
        </w:tc>
      </w:tr>
      <w:tr w:rsidR="003D0D6D" w:rsidRPr="003D0D6D" w14:paraId="6C8D672D" w14:textId="77777777" w:rsidTr="003D0D6D">
        <w:trPr>
          <w:trHeight w:val="300"/>
        </w:trPr>
        <w:tc>
          <w:tcPr>
            <w:tcW w:w="1128" w:type="dxa"/>
            <w:tcBorders>
              <w:top w:val="nil"/>
              <w:left w:val="single" w:sz="4" w:space="0" w:color="auto"/>
              <w:bottom w:val="single" w:sz="4" w:space="0" w:color="auto"/>
              <w:right w:val="single" w:sz="4" w:space="0" w:color="auto"/>
            </w:tcBorders>
            <w:noWrap/>
            <w:vAlign w:val="bottom"/>
            <w:hideMark/>
          </w:tcPr>
          <w:p w14:paraId="5E3CCD0E" w14:textId="77777777" w:rsidR="003D0D6D" w:rsidRPr="003D0D6D" w:rsidRDefault="003D0D6D" w:rsidP="003D0D6D">
            <w:pPr>
              <w:autoSpaceDE/>
              <w:autoSpaceDN/>
              <w:adjustRightInd/>
              <w:spacing w:line="240" w:lineRule="auto"/>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Island</w:t>
            </w:r>
          </w:p>
        </w:tc>
        <w:tc>
          <w:tcPr>
            <w:tcW w:w="1299" w:type="dxa"/>
            <w:tcBorders>
              <w:top w:val="nil"/>
              <w:left w:val="nil"/>
              <w:bottom w:val="single" w:sz="4" w:space="0" w:color="auto"/>
              <w:right w:val="single" w:sz="4" w:space="0" w:color="auto"/>
            </w:tcBorders>
            <w:noWrap/>
            <w:vAlign w:val="bottom"/>
            <w:hideMark/>
          </w:tcPr>
          <w:p w14:paraId="5D936E3F"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83,7 %</w:t>
            </w:r>
          </w:p>
        </w:tc>
        <w:tc>
          <w:tcPr>
            <w:tcW w:w="1300" w:type="dxa"/>
            <w:tcBorders>
              <w:top w:val="nil"/>
              <w:left w:val="nil"/>
              <w:bottom w:val="single" w:sz="4" w:space="0" w:color="auto"/>
              <w:right w:val="single" w:sz="4" w:space="0" w:color="auto"/>
            </w:tcBorders>
            <w:noWrap/>
            <w:vAlign w:val="bottom"/>
            <w:hideMark/>
          </w:tcPr>
          <w:p w14:paraId="7BF950C2"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c>
          <w:tcPr>
            <w:tcW w:w="1300" w:type="dxa"/>
            <w:tcBorders>
              <w:top w:val="nil"/>
              <w:left w:val="nil"/>
              <w:bottom w:val="single" w:sz="4" w:space="0" w:color="auto"/>
              <w:right w:val="single" w:sz="4" w:space="0" w:color="auto"/>
            </w:tcBorders>
            <w:noWrap/>
            <w:vAlign w:val="bottom"/>
            <w:hideMark/>
          </w:tcPr>
          <w:p w14:paraId="269C1591"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c>
          <w:tcPr>
            <w:tcW w:w="1347" w:type="dxa"/>
            <w:tcBorders>
              <w:top w:val="nil"/>
              <w:left w:val="nil"/>
              <w:bottom w:val="single" w:sz="4" w:space="0" w:color="auto"/>
              <w:right w:val="single" w:sz="4" w:space="0" w:color="auto"/>
            </w:tcBorders>
            <w:noWrap/>
            <w:vAlign w:val="bottom"/>
            <w:hideMark/>
          </w:tcPr>
          <w:p w14:paraId="4CF43584"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c>
          <w:tcPr>
            <w:tcW w:w="1418" w:type="dxa"/>
            <w:tcBorders>
              <w:top w:val="nil"/>
              <w:left w:val="nil"/>
              <w:bottom w:val="single" w:sz="4" w:space="0" w:color="auto"/>
              <w:right w:val="single" w:sz="4" w:space="0" w:color="auto"/>
            </w:tcBorders>
            <w:noWrap/>
            <w:vAlign w:val="bottom"/>
            <w:hideMark/>
          </w:tcPr>
          <w:p w14:paraId="4FB5DAA0"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14,7 %</w:t>
            </w:r>
          </w:p>
        </w:tc>
        <w:tc>
          <w:tcPr>
            <w:tcW w:w="1275" w:type="dxa"/>
            <w:tcBorders>
              <w:top w:val="nil"/>
              <w:left w:val="nil"/>
              <w:bottom w:val="single" w:sz="4" w:space="0" w:color="auto"/>
              <w:right w:val="single" w:sz="4" w:space="0" w:color="auto"/>
            </w:tcBorders>
            <w:noWrap/>
            <w:vAlign w:val="bottom"/>
            <w:hideMark/>
          </w:tcPr>
          <w:p w14:paraId="0E910585"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1,6 %</w:t>
            </w:r>
          </w:p>
        </w:tc>
      </w:tr>
      <w:tr w:rsidR="003D0D6D" w:rsidRPr="003D0D6D" w14:paraId="4446BB74" w14:textId="77777777" w:rsidTr="003D0D6D">
        <w:trPr>
          <w:trHeight w:val="300"/>
        </w:trPr>
        <w:tc>
          <w:tcPr>
            <w:tcW w:w="1128" w:type="dxa"/>
            <w:tcBorders>
              <w:top w:val="nil"/>
              <w:left w:val="single" w:sz="4" w:space="0" w:color="auto"/>
              <w:bottom w:val="single" w:sz="4" w:space="0" w:color="auto"/>
              <w:right w:val="single" w:sz="4" w:space="0" w:color="auto"/>
            </w:tcBorders>
            <w:noWrap/>
            <w:vAlign w:val="bottom"/>
            <w:hideMark/>
          </w:tcPr>
          <w:p w14:paraId="07BC1B78" w14:textId="77777777" w:rsidR="003D0D6D" w:rsidRPr="003D0D6D" w:rsidRDefault="003D0D6D" w:rsidP="003D0D6D">
            <w:pPr>
              <w:autoSpaceDE/>
              <w:autoSpaceDN/>
              <w:adjustRightInd/>
              <w:spacing w:line="240" w:lineRule="auto"/>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Danmark</w:t>
            </w:r>
          </w:p>
        </w:tc>
        <w:tc>
          <w:tcPr>
            <w:tcW w:w="1299" w:type="dxa"/>
            <w:tcBorders>
              <w:top w:val="nil"/>
              <w:left w:val="nil"/>
              <w:bottom w:val="single" w:sz="4" w:space="0" w:color="auto"/>
              <w:right w:val="single" w:sz="4" w:space="0" w:color="auto"/>
            </w:tcBorders>
            <w:noWrap/>
            <w:vAlign w:val="bottom"/>
            <w:hideMark/>
          </w:tcPr>
          <w:p w14:paraId="56767048"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85,2 %</w:t>
            </w:r>
          </w:p>
        </w:tc>
        <w:tc>
          <w:tcPr>
            <w:tcW w:w="1300" w:type="dxa"/>
            <w:tcBorders>
              <w:top w:val="nil"/>
              <w:left w:val="nil"/>
              <w:bottom w:val="single" w:sz="4" w:space="0" w:color="auto"/>
              <w:right w:val="single" w:sz="4" w:space="0" w:color="auto"/>
            </w:tcBorders>
            <w:noWrap/>
            <w:vAlign w:val="bottom"/>
            <w:hideMark/>
          </w:tcPr>
          <w:p w14:paraId="18BE6202"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c>
          <w:tcPr>
            <w:tcW w:w="1300" w:type="dxa"/>
            <w:tcBorders>
              <w:top w:val="nil"/>
              <w:left w:val="nil"/>
              <w:bottom w:val="single" w:sz="4" w:space="0" w:color="auto"/>
              <w:right w:val="single" w:sz="4" w:space="0" w:color="auto"/>
            </w:tcBorders>
            <w:noWrap/>
            <w:vAlign w:val="bottom"/>
            <w:hideMark/>
          </w:tcPr>
          <w:p w14:paraId="5AC2B720"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c>
          <w:tcPr>
            <w:tcW w:w="1347" w:type="dxa"/>
            <w:tcBorders>
              <w:top w:val="nil"/>
              <w:left w:val="nil"/>
              <w:bottom w:val="single" w:sz="4" w:space="0" w:color="auto"/>
              <w:right w:val="single" w:sz="4" w:space="0" w:color="auto"/>
            </w:tcBorders>
            <w:noWrap/>
            <w:vAlign w:val="bottom"/>
            <w:hideMark/>
          </w:tcPr>
          <w:p w14:paraId="7AF81CA4"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2,1 %</w:t>
            </w:r>
          </w:p>
        </w:tc>
        <w:tc>
          <w:tcPr>
            <w:tcW w:w="1418" w:type="dxa"/>
            <w:tcBorders>
              <w:top w:val="nil"/>
              <w:left w:val="nil"/>
              <w:bottom w:val="single" w:sz="4" w:space="0" w:color="auto"/>
              <w:right w:val="single" w:sz="4" w:space="0" w:color="auto"/>
            </w:tcBorders>
            <w:noWrap/>
            <w:vAlign w:val="bottom"/>
            <w:hideMark/>
          </w:tcPr>
          <w:p w14:paraId="1B6FAD80"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12,6 %</w:t>
            </w:r>
          </w:p>
        </w:tc>
        <w:tc>
          <w:tcPr>
            <w:tcW w:w="1275" w:type="dxa"/>
            <w:tcBorders>
              <w:top w:val="nil"/>
              <w:left w:val="nil"/>
              <w:bottom w:val="single" w:sz="4" w:space="0" w:color="auto"/>
              <w:right w:val="single" w:sz="4" w:space="0" w:color="auto"/>
            </w:tcBorders>
            <w:noWrap/>
            <w:vAlign w:val="bottom"/>
            <w:hideMark/>
          </w:tcPr>
          <w:p w14:paraId="265FCCF6"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0,1 %</w:t>
            </w:r>
          </w:p>
        </w:tc>
      </w:tr>
      <w:tr w:rsidR="003D0D6D" w:rsidRPr="003D0D6D" w14:paraId="54CD2311" w14:textId="77777777" w:rsidTr="003D0D6D">
        <w:trPr>
          <w:trHeight w:val="300"/>
        </w:trPr>
        <w:tc>
          <w:tcPr>
            <w:tcW w:w="1128" w:type="dxa"/>
            <w:tcBorders>
              <w:top w:val="nil"/>
              <w:left w:val="single" w:sz="4" w:space="0" w:color="auto"/>
              <w:bottom w:val="single" w:sz="4" w:space="0" w:color="auto"/>
              <w:right w:val="single" w:sz="4" w:space="0" w:color="auto"/>
            </w:tcBorders>
            <w:noWrap/>
            <w:vAlign w:val="bottom"/>
            <w:hideMark/>
          </w:tcPr>
          <w:p w14:paraId="689232EB" w14:textId="77777777" w:rsidR="003D0D6D" w:rsidRPr="003D0D6D" w:rsidRDefault="003D0D6D" w:rsidP="003D0D6D">
            <w:pPr>
              <w:autoSpaceDE/>
              <w:autoSpaceDN/>
              <w:adjustRightInd/>
              <w:spacing w:line="240" w:lineRule="auto"/>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Sverige</w:t>
            </w:r>
          </w:p>
        </w:tc>
        <w:tc>
          <w:tcPr>
            <w:tcW w:w="1299" w:type="dxa"/>
            <w:tcBorders>
              <w:top w:val="nil"/>
              <w:left w:val="nil"/>
              <w:bottom w:val="single" w:sz="4" w:space="0" w:color="auto"/>
              <w:right w:val="single" w:sz="4" w:space="0" w:color="auto"/>
            </w:tcBorders>
            <w:noWrap/>
            <w:vAlign w:val="bottom"/>
            <w:hideMark/>
          </w:tcPr>
          <w:p w14:paraId="4BB86326"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85,9 %</w:t>
            </w:r>
          </w:p>
        </w:tc>
        <w:tc>
          <w:tcPr>
            <w:tcW w:w="1300" w:type="dxa"/>
            <w:tcBorders>
              <w:top w:val="nil"/>
              <w:left w:val="nil"/>
              <w:bottom w:val="single" w:sz="4" w:space="0" w:color="auto"/>
              <w:right w:val="single" w:sz="4" w:space="0" w:color="auto"/>
            </w:tcBorders>
            <w:noWrap/>
            <w:vAlign w:val="bottom"/>
            <w:hideMark/>
          </w:tcPr>
          <w:p w14:paraId="7BC0735B"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c>
          <w:tcPr>
            <w:tcW w:w="1300" w:type="dxa"/>
            <w:tcBorders>
              <w:top w:val="nil"/>
              <w:left w:val="nil"/>
              <w:bottom w:val="single" w:sz="4" w:space="0" w:color="auto"/>
              <w:right w:val="single" w:sz="4" w:space="0" w:color="auto"/>
            </w:tcBorders>
            <w:noWrap/>
            <w:vAlign w:val="bottom"/>
            <w:hideMark/>
          </w:tcPr>
          <w:p w14:paraId="21165FFF"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0,3 %</w:t>
            </w:r>
          </w:p>
        </w:tc>
        <w:tc>
          <w:tcPr>
            <w:tcW w:w="1347" w:type="dxa"/>
            <w:tcBorders>
              <w:top w:val="nil"/>
              <w:left w:val="nil"/>
              <w:bottom w:val="single" w:sz="4" w:space="0" w:color="auto"/>
              <w:right w:val="single" w:sz="4" w:space="0" w:color="auto"/>
            </w:tcBorders>
            <w:noWrap/>
            <w:vAlign w:val="bottom"/>
            <w:hideMark/>
          </w:tcPr>
          <w:p w14:paraId="726D8FE0"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0,6 %</w:t>
            </w:r>
          </w:p>
        </w:tc>
        <w:tc>
          <w:tcPr>
            <w:tcW w:w="1418" w:type="dxa"/>
            <w:tcBorders>
              <w:top w:val="nil"/>
              <w:left w:val="nil"/>
              <w:bottom w:val="single" w:sz="4" w:space="0" w:color="auto"/>
              <w:right w:val="single" w:sz="4" w:space="0" w:color="auto"/>
            </w:tcBorders>
            <w:noWrap/>
            <w:vAlign w:val="bottom"/>
            <w:hideMark/>
          </w:tcPr>
          <w:p w14:paraId="70358732"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13,1 %</w:t>
            </w:r>
          </w:p>
        </w:tc>
        <w:tc>
          <w:tcPr>
            <w:tcW w:w="1275" w:type="dxa"/>
            <w:tcBorders>
              <w:top w:val="nil"/>
              <w:left w:val="nil"/>
              <w:bottom w:val="single" w:sz="4" w:space="0" w:color="auto"/>
              <w:right w:val="single" w:sz="4" w:space="0" w:color="auto"/>
            </w:tcBorders>
            <w:noWrap/>
            <w:vAlign w:val="bottom"/>
            <w:hideMark/>
          </w:tcPr>
          <w:p w14:paraId="50908F0F"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0,1 %</w:t>
            </w:r>
          </w:p>
        </w:tc>
      </w:tr>
      <w:tr w:rsidR="003D0D6D" w:rsidRPr="003D0D6D" w14:paraId="6F68D180" w14:textId="77777777" w:rsidTr="003D0D6D">
        <w:trPr>
          <w:trHeight w:val="300"/>
        </w:trPr>
        <w:tc>
          <w:tcPr>
            <w:tcW w:w="1128" w:type="dxa"/>
            <w:tcBorders>
              <w:top w:val="nil"/>
              <w:left w:val="single" w:sz="4" w:space="0" w:color="auto"/>
              <w:bottom w:val="single" w:sz="4" w:space="0" w:color="auto"/>
              <w:right w:val="single" w:sz="4" w:space="0" w:color="auto"/>
            </w:tcBorders>
            <w:noWrap/>
            <w:vAlign w:val="bottom"/>
            <w:hideMark/>
          </w:tcPr>
          <w:p w14:paraId="5CC71D3D" w14:textId="77777777" w:rsidR="003D0D6D" w:rsidRPr="003D0D6D" w:rsidRDefault="003D0D6D" w:rsidP="003D0D6D">
            <w:pPr>
              <w:autoSpaceDE/>
              <w:autoSpaceDN/>
              <w:adjustRightInd/>
              <w:spacing w:line="240" w:lineRule="auto"/>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Norge</w:t>
            </w:r>
          </w:p>
        </w:tc>
        <w:tc>
          <w:tcPr>
            <w:tcW w:w="1299" w:type="dxa"/>
            <w:tcBorders>
              <w:top w:val="nil"/>
              <w:left w:val="nil"/>
              <w:bottom w:val="single" w:sz="4" w:space="0" w:color="auto"/>
              <w:right w:val="single" w:sz="4" w:space="0" w:color="auto"/>
            </w:tcBorders>
            <w:noWrap/>
            <w:vAlign w:val="bottom"/>
            <w:hideMark/>
          </w:tcPr>
          <w:p w14:paraId="5DB993BC"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85,9 %</w:t>
            </w:r>
          </w:p>
        </w:tc>
        <w:tc>
          <w:tcPr>
            <w:tcW w:w="1300" w:type="dxa"/>
            <w:tcBorders>
              <w:top w:val="nil"/>
              <w:left w:val="nil"/>
              <w:bottom w:val="single" w:sz="4" w:space="0" w:color="auto"/>
              <w:right w:val="single" w:sz="4" w:space="0" w:color="auto"/>
            </w:tcBorders>
            <w:noWrap/>
            <w:vAlign w:val="bottom"/>
            <w:hideMark/>
          </w:tcPr>
          <w:p w14:paraId="336586B0"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c>
          <w:tcPr>
            <w:tcW w:w="1300" w:type="dxa"/>
            <w:tcBorders>
              <w:top w:val="nil"/>
              <w:left w:val="nil"/>
              <w:bottom w:val="single" w:sz="4" w:space="0" w:color="auto"/>
              <w:right w:val="single" w:sz="4" w:space="0" w:color="auto"/>
            </w:tcBorders>
            <w:noWrap/>
            <w:vAlign w:val="bottom"/>
            <w:hideMark/>
          </w:tcPr>
          <w:p w14:paraId="58ECDD49"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0,3 %</w:t>
            </w:r>
          </w:p>
        </w:tc>
        <w:tc>
          <w:tcPr>
            <w:tcW w:w="1347" w:type="dxa"/>
            <w:tcBorders>
              <w:top w:val="nil"/>
              <w:left w:val="nil"/>
              <w:bottom w:val="single" w:sz="4" w:space="0" w:color="auto"/>
              <w:right w:val="single" w:sz="4" w:space="0" w:color="auto"/>
            </w:tcBorders>
            <w:noWrap/>
            <w:vAlign w:val="bottom"/>
            <w:hideMark/>
          </w:tcPr>
          <w:p w14:paraId="11F22113"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c>
          <w:tcPr>
            <w:tcW w:w="1418" w:type="dxa"/>
            <w:tcBorders>
              <w:top w:val="nil"/>
              <w:left w:val="nil"/>
              <w:bottom w:val="single" w:sz="4" w:space="0" w:color="auto"/>
              <w:right w:val="single" w:sz="4" w:space="0" w:color="auto"/>
            </w:tcBorders>
            <w:noWrap/>
            <w:vAlign w:val="bottom"/>
            <w:hideMark/>
          </w:tcPr>
          <w:p w14:paraId="10EB8A6E"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13,8 %</w:t>
            </w:r>
          </w:p>
        </w:tc>
        <w:tc>
          <w:tcPr>
            <w:tcW w:w="1275" w:type="dxa"/>
            <w:tcBorders>
              <w:top w:val="nil"/>
              <w:left w:val="nil"/>
              <w:bottom w:val="single" w:sz="4" w:space="0" w:color="auto"/>
              <w:right w:val="single" w:sz="4" w:space="0" w:color="auto"/>
            </w:tcBorders>
            <w:noWrap/>
            <w:vAlign w:val="bottom"/>
            <w:hideMark/>
          </w:tcPr>
          <w:p w14:paraId="372A5E1A"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r>
      <w:tr w:rsidR="003D0D6D" w:rsidRPr="003D0D6D" w14:paraId="55C8CF1C" w14:textId="77777777" w:rsidTr="003D0D6D">
        <w:trPr>
          <w:trHeight w:val="300"/>
        </w:trPr>
        <w:tc>
          <w:tcPr>
            <w:tcW w:w="1128" w:type="dxa"/>
            <w:tcBorders>
              <w:top w:val="nil"/>
              <w:left w:val="single" w:sz="4" w:space="0" w:color="auto"/>
              <w:bottom w:val="single" w:sz="4" w:space="0" w:color="auto"/>
              <w:right w:val="single" w:sz="4" w:space="0" w:color="auto"/>
            </w:tcBorders>
            <w:noWrap/>
            <w:vAlign w:val="bottom"/>
            <w:hideMark/>
          </w:tcPr>
          <w:p w14:paraId="233A1556" w14:textId="77777777" w:rsidR="003D0D6D" w:rsidRPr="003D0D6D" w:rsidRDefault="003D0D6D" w:rsidP="003D0D6D">
            <w:pPr>
              <w:autoSpaceDE/>
              <w:autoSpaceDN/>
              <w:adjustRightInd/>
              <w:spacing w:line="240" w:lineRule="auto"/>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Åland</w:t>
            </w:r>
          </w:p>
        </w:tc>
        <w:tc>
          <w:tcPr>
            <w:tcW w:w="1299" w:type="dxa"/>
            <w:tcBorders>
              <w:top w:val="nil"/>
              <w:left w:val="nil"/>
              <w:bottom w:val="single" w:sz="4" w:space="0" w:color="auto"/>
              <w:right w:val="single" w:sz="4" w:space="0" w:color="auto"/>
            </w:tcBorders>
            <w:noWrap/>
            <w:vAlign w:val="bottom"/>
            <w:hideMark/>
          </w:tcPr>
          <w:p w14:paraId="06514535"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80,7 %</w:t>
            </w:r>
          </w:p>
        </w:tc>
        <w:tc>
          <w:tcPr>
            <w:tcW w:w="1300" w:type="dxa"/>
            <w:tcBorders>
              <w:top w:val="nil"/>
              <w:left w:val="nil"/>
              <w:bottom w:val="single" w:sz="4" w:space="0" w:color="auto"/>
              <w:right w:val="single" w:sz="4" w:space="0" w:color="auto"/>
            </w:tcBorders>
            <w:noWrap/>
            <w:vAlign w:val="bottom"/>
            <w:hideMark/>
          </w:tcPr>
          <w:p w14:paraId="76D8C83C"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9,0 %</w:t>
            </w:r>
          </w:p>
        </w:tc>
        <w:tc>
          <w:tcPr>
            <w:tcW w:w="1300" w:type="dxa"/>
            <w:tcBorders>
              <w:top w:val="nil"/>
              <w:left w:val="nil"/>
              <w:bottom w:val="single" w:sz="4" w:space="0" w:color="auto"/>
              <w:right w:val="single" w:sz="4" w:space="0" w:color="auto"/>
            </w:tcBorders>
            <w:noWrap/>
            <w:vAlign w:val="bottom"/>
            <w:hideMark/>
          </w:tcPr>
          <w:p w14:paraId="758698A9"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1,4 %</w:t>
            </w:r>
          </w:p>
        </w:tc>
        <w:tc>
          <w:tcPr>
            <w:tcW w:w="1347" w:type="dxa"/>
            <w:tcBorders>
              <w:top w:val="nil"/>
              <w:left w:val="nil"/>
              <w:bottom w:val="single" w:sz="4" w:space="0" w:color="auto"/>
              <w:right w:val="single" w:sz="4" w:space="0" w:color="auto"/>
            </w:tcBorders>
            <w:noWrap/>
            <w:vAlign w:val="bottom"/>
            <w:hideMark/>
          </w:tcPr>
          <w:p w14:paraId="479B76C4"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0,5 %</w:t>
            </w:r>
          </w:p>
        </w:tc>
        <w:tc>
          <w:tcPr>
            <w:tcW w:w="1418" w:type="dxa"/>
            <w:tcBorders>
              <w:top w:val="nil"/>
              <w:left w:val="nil"/>
              <w:bottom w:val="single" w:sz="4" w:space="0" w:color="auto"/>
              <w:right w:val="single" w:sz="4" w:space="0" w:color="auto"/>
            </w:tcBorders>
            <w:noWrap/>
            <w:vAlign w:val="bottom"/>
            <w:hideMark/>
          </w:tcPr>
          <w:p w14:paraId="32282248"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8,4 %</w:t>
            </w:r>
          </w:p>
        </w:tc>
        <w:tc>
          <w:tcPr>
            <w:tcW w:w="1275" w:type="dxa"/>
            <w:tcBorders>
              <w:top w:val="nil"/>
              <w:left w:val="nil"/>
              <w:bottom w:val="single" w:sz="4" w:space="0" w:color="auto"/>
              <w:right w:val="single" w:sz="4" w:space="0" w:color="auto"/>
            </w:tcBorders>
            <w:noWrap/>
            <w:vAlign w:val="bottom"/>
            <w:hideMark/>
          </w:tcPr>
          <w:p w14:paraId="48B7FF45" w14:textId="77777777" w:rsidR="003D0D6D" w:rsidRPr="003D0D6D" w:rsidRDefault="003D0D6D" w:rsidP="003D0D6D">
            <w:pPr>
              <w:autoSpaceDE/>
              <w:autoSpaceDN/>
              <w:adjustRightInd/>
              <w:spacing w:line="240" w:lineRule="auto"/>
              <w:ind w:right="240"/>
              <w:jc w:val="right"/>
              <w:textAlignment w:val="auto"/>
              <w:rPr>
                <w:rFonts w:ascii="Calibri" w:eastAsia="Times New Roman" w:hAnsi="Calibri" w:cs="Calibri"/>
                <w:color w:val="000000"/>
                <w:lang w:val="sv-FI" w:eastAsia="sv-FI"/>
              </w:rPr>
            </w:pPr>
            <w:r w:rsidRPr="003D0D6D">
              <w:rPr>
                <w:rFonts w:ascii="Calibri" w:eastAsia="Times New Roman" w:hAnsi="Calibri" w:cs="Calibri"/>
                <w:color w:val="000000"/>
                <w:lang w:val="sv-FI" w:eastAsia="sv-FI"/>
              </w:rPr>
              <w:t>0,0 %</w:t>
            </w:r>
          </w:p>
        </w:tc>
      </w:tr>
    </w:tbl>
    <w:p w14:paraId="274F71EF" w14:textId="77777777" w:rsidR="003D0D6D" w:rsidRDefault="003D0D6D" w:rsidP="00EB1AF2">
      <w:pPr>
        <w:spacing w:line="240" w:lineRule="auto"/>
      </w:pPr>
    </w:p>
    <w:p w14:paraId="04F447EE" w14:textId="77777777" w:rsidR="003D0D6D" w:rsidRDefault="003D0D6D" w:rsidP="00EB1AF2">
      <w:pPr>
        <w:spacing w:line="240" w:lineRule="auto"/>
      </w:pPr>
    </w:p>
    <w:p w14:paraId="5DB07D67" w14:textId="77777777" w:rsidR="003D0D6D" w:rsidRDefault="003D0D6D" w:rsidP="00EB1AF2">
      <w:pPr>
        <w:spacing w:line="240" w:lineRule="auto"/>
      </w:pPr>
    </w:p>
    <w:p w14:paraId="114818DD" w14:textId="77777777" w:rsidR="003D0D6D" w:rsidRDefault="003D0D6D" w:rsidP="00EB1AF2">
      <w:pPr>
        <w:spacing w:line="240" w:lineRule="auto"/>
      </w:pPr>
    </w:p>
    <w:p w14:paraId="7B390EBC" w14:textId="77777777" w:rsidR="003D0D6D" w:rsidRDefault="003D0D6D" w:rsidP="00EB1AF2">
      <w:pPr>
        <w:spacing w:line="240" w:lineRule="auto"/>
      </w:pPr>
    </w:p>
    <w:p w14:paraId="34AB1CE8" w14:textId="3A20A16C" w:rsidR="003D0D6D" w:rsidRDefault="003D0D6D" w:rsidP="00EB1AF2">
      <w:pPr>
        <w:spacing w:line="240" w:lineRule="auto"/>
      </w:pPr>
      <w:r>
        <w:rPr>
          <w:noProof/>
        </w:rPr>
        <w:lastRenderedPageBreak/>
        <w:drawing>
          <wp:inline distT="0" distB="0" distL="0" distR="0" wp14:anchorId="4251666E" wp14:editId="3CFC67A3">
            <wp:extent cx="4846955" cy="2743200"/>
            <wp:effectExtent l="0" t="0" r="0" b="0"/>
            <wp:docPr id="188595609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46955" cy="2743200"/>
                    </a:xfrm>
                    <a:prstGeom prst="rect">
                      <a:avLst/>
                    </a:prstGeom>
                    <a:noFill/>
                  </pic:spPr>
                </pic:pic>
              </a:graphicData>
            </a:graphic>
          </wp:inline>
        </w:drawing>
      </w:r>
    </w:p>
    <w:p w14:paraId="1F105659" w14:textId="31F820C0" w:rsidR="003D0D6D" w:rsidRDefault="00917367" w:rsidP="00EB1AF2">
      <w:pPr>
        <w:spacing w:line="240" w:lineRule="auto"/>
      </w:pPr>
      <w:r w:rsidRPr="00917367">
        <w:t xml:space="preserve">Figur </w:t>
      </w:r>
      <w:r w:rsidR="00015A4D">
        <w:t>4</w:t>
      </w:r>
      <w:r>
        <w:t>. A</w:t>
      </w:r>
      <w:r w:rsidRPr="00917367">
        <w:t>ndelen offentlig och privat finansiering på Åland och i de nordiska länderna.</w:t>
      </w:r>
    </w:p>
    <w:p w14:paraId="6106D868" w14:textId="6DB579BD" w:rsidR="003D0D6D" w:rsidRPr="00BA5589" w:rsidRDefault="00BA5589" w:rsidP="00EB1AF2">
      <w:pPr>
        <w:spacing w:line="240" w:lineRule="auto"/>
        <w:rPr>
          <w:sz w:val="18"/>
          <w:szCs w:val="18"/>
        </w:rPr>
      </w:pPr>
      <w:r w:rsidRPr="00BA5589">
        <w:rPr>
          <w:sz w:val="18"/>
          <w:szCs w:val="18"/>
        </w:rPr>
        <w:t>Not: Till offentlig finansiering har räknats finansiering via skatt och socialförsäkring samt övrig finansiering och till privat finansiering har räknats finansiering från arbetsgivare, privat sjukförsäkring samt patient- och klientavgifter.</w:t>
      </w:r>
    </w:p>
    <w:p w14:paraId="11E163E4" w14:textId="77777777" w:rsidR="003D0D6D" w:rsidRDefault="003D0D6D" w:rsidP="00EB1AF2">
      <w:pPr>
        <w:spacing w:line="240" w:lineRule="auto"/>
      </w:pPr>
    </w:p>
    <w:p w14:paraId="203536FA" w14:textId="77777777" w:rsidR="00FB1225" w:rsidRDefault="00FB1225" w:rsidP="00EB1AF2">
      <w:pPr>
        <w:spacing w:line="240" w:lineRule="auto"/>
      </w:pPr>
    </w:p>
    <w:p w14:paraId="4D328643" w14:textId="77777777" w:rsidR="00FB1225" w:rsidRDefault="00FB1225" w:rsidP="00EB1AF2">
      <w:pPr>
        <w:spacing w:line="240" w:lineRule="auto"/>
      </w:pPr>
    </w:p>
    <w:p w14:paraId="57A9F7DC" w14:textId="2772914C" w:rsidR="000B4EAC" w:rsidRPr="003115E7" w:rsidRDefault="0019597B" w:rsidP="003115E7">
      <w:pPr>
        <w:pStyle w:val="Rubrik2"/>
        <w:numPr>
          <w:ilvl w:val="0"/>
          <w:numId w:val="16"/>
        </w:numPr>
      </w:pPr>
      <w:bookmarkStart w:id="8" w:name="_Toc242713600"/>
      <w:r w:rsidRPr="003115E7">
        <w:t>S</w:t>
      </w:r>
      <w:r w:rsidR="00B53D92" w:rsidRPr="003115E7">
        <w:t>lutsatser</w:t>
      </w:r>
      <w:bookmarkEnd w:id="8"/>
    </w:p>
    <w:p w14:paraId="641B1E8C" w14:textId="77777777" w:rsidR="000B4EAC" w:rsidRDefault="000B4EAC" w:rsidP="00EB1AF2">
      <w:pPr>
        <w:spacing w:line="240" w:lineRule="auto"/>
      </w:pPr>
    </w:p>
    <w:p w14:paraId="39AA5E01" w14:textId="43711668" w:rsidR="00CD63FE" w:rsidRPr="00CD63FE" w:rsidRDefault="00CD63FE" w:rsidP="00EB1AF2">
      <w:pPr>
        <w:spacing w:line="240" w:lineRule="auto"/>
      </w:pPr>
      <w:r w:rsidRPr="00CD63FE">
        <w:t xml:space="preserve">Kostnaden för </w:t>
      </w:r>
      <w:r w:rsidR="00B53D92">
        <w:t xml:space="preserve">den offentliga sjukvården under </w:t>
      </w:r>
      <w:r w:rsidRPr="00CD63FE">
        <w:t xml:space="preserve">ÅHS per </w:t>
      </w:r>
      <w:r w:rsidR="00B53D92">
        <w:t xml:space="preserve">invånare </w:t>
      </w:r>
      <w:r w:rsidRPr="00CD63FE">
        <w:t>är ungefär samma som rikets genomsnitt för motsvarande verksamhet</w:t>
      </w:r>
      <w:r w:rsidR="00B53D92">
        <w:t>, men k</w:t>
      </w:r>
      <w:r w:rsidRPr="00CD63FE">
        <w:t xml:space="preserve">ostnadsutvecklingen har var </w:t>
      </w:r>
      <w:r w:rsidR="00B53D92">
        <w:t xml:space="preserve">långsammare </w:t>
      </w:r>
      <w:r w:rsidRPr="00CD63FE">
        <w:t>på Åland</w:t>
      </w:r>
      <w:r w:rsidR="00B53D92">
        <w:t xml:space="preserve"> än i </w:t>
      </w:r>
      <w:r w:rsidRPr="00CD63FE">
        <w:t>riket</w:t>
      </w:r>
      <w:r w:rsidR="00DD317D">
        <w:t xml:space="preserve"> de senaste åren</w:t>
      </w:r>
      <w:r w:rsidR="00B53D92">
        <w:t>. Det finns vissa frågor om jämförbarheten i dessa data bland annat på grund av att man i riket har ”</w:t>
      </w:r>
      <w:r w:rsidRPr="00CD63FE">
        <w:t>primärvårdens bäddavdelningar</w:t>
      </w:r>
      <w:r w:rsidR="00B53D92">
        <w:t>” vilka delvis motsvarar den vård som på Åland produceras inom institutionsvården och va</w:t>
      </w:r>
      <w:r w:rsidR="00DD317D">
        <w:t>rs</w:t>
      </w:r>
      <w:r w:rsidR="00B53D92">
        <w:t xml:space="preserve"> kostnader räknas under </w:t>
      </w:r>
      <w:r w:rsidRPr="00CD63FE">
        <w:t>socialvården</w:t>
      </w:r>
      <w:r w:rsidR="00B53D92">
        <w:t>.</w:t>
      </w:r>
    </w:p>
    <w:p w14:paraId="57E512DF" w14:textId="77777777" w:rsidR="00CD63FE" w:rsidRDefault="00CD63FE" w:rsidP="00EB1AF2">
      <w:pPr>
        <w:spacing w:line="240" w:lineRule="auto"/>
      </w:pPr>
    </w:p>
    <w:p w14:paraId="0A11CBEF" w14:textId="08F3EC0B" w:rsidR="00CD63FE" w:rsidRPr="00CD63FE" w:rsidRDefault="00B53D92" w:rsidP="00DD317D">
      <w:pPr>
        <w:spacing w:line="240" w:lineRule="auto"/>
      </w:pPr>
      <w:r>
        <w:t>De totala hälso- och sjukvårdskostnader</w:t>
      </w:r>
      <w:r w:rsidR="00DD317D">
        <w:t>na per invånare</w:t>
      </w:r>
      <w:r>
        <w:t xml:space="preserve"> </w:t>
      </w:r>
      <w:r w:rsidR="00DD317D">
        <w:t xml:space="preserve">på </w:t>
      </w:r>
      <w:r>
        <w:t xml:space="preserve">Åland </w:t>
      </w:r>
      <w:r w:rsidR="00DD317D">
        <w:t>(</w:t>
      </w:r>
      <w:r w:rsidR="00CD63FE" w:rsidRPr="00CD63FE">
        <w:t xml:space="preserve">inklusive </w:t>
      </w:r>
      <w:r w:rsidR="00DD317D">
        <w:t xml:space="preserve">patient- och klientavgifter, </w:t>
      </w:r>
      <w:r w:rsidR="00CD63FE" w:rsidRPr="00CD63FE">
        <w:t>tandvård, privat vård, institutionsvård och boendeservice med heldygnsomsorg</w:t>
      </w:r>
      <w:r w:rsidR="00DD317D">
        <w:t>)</w:t>
      </w:r>
      <w:r w:rsidR="00CD63FE" w:rsidRPr="00CD63FE">
        <w:t xml:space="preserve"> är högre på Åland än i riket men lägre än de nordiska grannländerna</w:t>
      </w:r>
      <w:r w:rsidR="00353AFE">
        <w:t xml:space="preserve"> (eller ungefär samma om man tar hänsyn till köpkraft)</w:t>
      </w:r>
      <w:r w:rsidR="00DD317D">
        <w:t xml:space="preserve">. </w:t>
      </w:r>
      <w:r w:rsidR="00605BD6">
        <w:t xml:space="preserve">I en europeisk kontext ligger hälso- och sjukvårdsfinansieringen </w:t>
      </w:r>
      <w:r w:rsidR="00353AFE">
        <w:t xml:space="preserve">per </w:t>
      </w:r>
      <w:r w:rsidR="00015A4D">
        <w:t>invånare</w:t>
      </w:r>
      <w:r w:rsidR="00605BD6">
        <w:t xml:space="preserve"> på Åland nära ett flertal länder i norra och västra Europa med en lång tradition av allmän, offentligt finansierad hälso- och sjukvård.   </w:t>
      </w:r>
    </w:p>
    <w:p w14:paraId="272E5DF4" w14:textId="77777777" w:rsidR="00CD63FE" w:rsidRDefault="00CD63FE" w:rsidP="00EB1AF2">
      <w:pPr>
        <w:spacing w:line="240" w:lineRule="auto"/>
      </w:pPr>
    </w:p>
    <w:p w14:paraId="1531739B" w14:textId="21E0CC97" w:rsidR="00822892" w:rsidRDefault="00822892" w:rsidP="00EB1AF2">
      <w:pPr>
        <w:spacing w:line="240" w:lineRule="auto"/>
      </w:pPr>
      <w:r>
        <w:t xml:space="preserve">Andelen av hälso- och sjukvården som är offentligt finansierad på Åland är högst bland de nordiska länderna. Liksom i övriga Finland utgör finansiering via socialförsäkringen (FPA) en ganska stor del av </w:t>
      </w:r>
      <w:r w:rsidR="007416CA">
        <w:t xml:space="preserve">den offentliga </w:t>
      </w:r>
      <w:r>
        <w:t>finansiering</w:t>
      </w:r>
      <w:r w:rsidR="00015A4D">
        <w:t>en</w:t>
      </w:r>
      <w:r>
        <w:t xml:space="preserve"> av hälso- och sjukvården. Detta är inte situationen bland de nordiska grannarna men i flera andra </w:t>
      </w:r>
      <w:r w:rsidR="00015A4D">
        <w:t>e</w:t>
      </w:r>
      <w:r>
        <w:t xml:space="preserve">uropeiska länder är en stor del eller huvuddelen av hälso- </w:t>
      </w:r>
      <w:r w:rsidR="007416CA">
        <w:t>o</w:t>
      </w:r>
      <w:r>
        <w:t xml:space="preserve">ch sjukvården finansierad via obligatorisk socialförsäkring.  </w:t>
      </w:r>
    </w:p>
    <w:p w14:paraId="7420BA99" w14:textId="77777777" w:rsidR="00605BD6" w:rsidRDefault="00605BD6" w:rsidP="00EB1AF2">
      <w:pPr>
        <w:spacing w:line="240" w:lineRule="auto"/>
      </w:pPr>
    </w:p>
    <w:p w14:paraId="681CA2C4" w14:textId="50195C69" w:rsidR="00FB1225" w:rsidRDefault="00FB1225">
      <w:pPr>
        <w:autoSpaceDE/>
        <w:autoSpaceDN/>
        <w:adjustRightInd/>
        <w:spacing w:after="160" w:line="259" w:lineRule="auto"/>
        <w:textAlignment w:val="auto"/>
      </w:pPr>
      <w:r>
        <w:br w:type="page"/>
      </w:r>
    </w:p>
    <w:p w14:paraId="77FAF637" w14:textId="77777777" w:rsidR="00605BD6" w:rsidRDefault="00605BD6" w:rsidP="00EB1AF2">
      <w:pPr>
        <w:spacing w:line="240" w:lineRule="auto"/>
      </w:pPr>
    </w:p>
    <w:p w14:paraId="2C443A32" w14:textId="2ADC8C80" w:rsidR="00605BD6" w:rsidRPr="003115E7" w:rsidRDefault="00605BD6" w:rsidP="003115E7">
      <w:pPr>
        <w:pStyle w:val="Rubrik2"/>
        <w:numPr>
          <w:ilvl w:val="0"/>
          <w:numId w:val="16"/>
        </w:numPr>
      </w:pPr>
      <w:bookmarkStart w:id="9" w:name="_Toc242713601"/>
      <w:r w:rsidRPr="003115E7">
        <w:t>Diskussionspunkter</w:t>
      </w:r>
      <w:bookmarkEnd w:id="9"/>
    </w:p>
    <w:p w14:paraId="08FC5115" w14:textId="77777777" w:rsidR="00605BD6" w:rsidRDefault="00605BD6" w:rsidP="00605BD6">
      <w:pPr>
        <w:spacing w:line="240" w:lineRule="auto"/>
      </w:pPr>
    </w:p>
    <w:p w14:paraId="5E127725" w14:textId="0B38DCF6" w:rsidR="00605BD6" w:rsidRDefault="00605BD6" w:rsidP="00D62B8E">
      <w:pPr>
        <w:pStyle w:val="Liststycke"/>
        <w:numPr>
          <w:ilvl w:val="0"/>
          <w:numId w:val="14"/>
        </w:numPr>
        <w:spacing w:line="240" w:lineRule="auto"/>
        <w:ind w:left="360"/>
      </w:pPr>
      <w:r>
        <w:t xml:space="preserve">Kostnaden har länge </w:t>
      </w:r>
      <w:r w:rsidR="00A4397B">
        <w:t>ö</w:t>
      </w:r>
      <w:r>
        <w:t>kat</w:t>
      </w:r>
      <w:r w:rsidR="00FD0E07">
        <w:t xml:space="preserve">. Vi ska förvänta oss fortsatt ökning men </w:t>
      </w:r>
      <w:r w:rsidR="007416CA">
        <w:t xml:space="preserve">ska vi vänta oss </w:t>
      </w:r>
      <w:r w:rsidR="00FD0E07">
        <w:t>samma trend eller snabbare eller långsammare</w:t>
      </w:r>
      <w:r w:rsidR="007416CA">
        <w:t xml:space="preserve"> ökning</w:t>
      </w:r>
      <w:r w:rsidR="00FD0E07">
        <w:t>? Frågan behöver kopplats till scenarier för framtida sluten- och öppenvårdsbehov</w:t>
      </w:r>
      <w:r w:rsidR="007416CA">
        <w:t xml:space="preserve">. Kan vi </w:t>
      </w:r>
      <w:r w:rsidR="00FD0E07">
        <w:t>kan</w:t>
      </w:r>
      <w:r w:rsidR="007416CA">
        <w:t xml:space="preserve">ske till och med kan </w:t>
      </w:r>
      <w:r w:rsidR="00FD0E07">
        <w:t xml:space="preserve">tänka </w:t>
      </w:r>
      <w:r w:rsidR="007416CA">
        <w:t xml:space="preserve">oss </w:t>
      </w:r>
      <w:r w:rsidR="00FD0E07">
        <w:t xml:space="preserve">att </w:t>
      </w:r>
      <w:r w:rsidR="007416CA">
        <w:t xml:space="preserve">en </w:t>
      </w:r>
      <w:r w:rsidR="00FD0E07">
        <w:t>ökad satsning på primärvård och öppenvård kan minska totalkostnaderna genom att snabba på minskning av slutenvården? Allt annat lika kommer emellertid säkert den medicinsk-tekniska utvecklingen driva på kostnadsutvecklingen.</w:t>
      </w:r>
      <w:r>
        <w:t xml:space="preserve"> </w:t>
      </w:r>
    </w:p>
    <w:p w14:paraId="767D1507" w14:textId="77777777" w:rsidR="00605BD6" w:rsidRDefault="00605BD6" w:rsidP="00D62B8E">
      <w:pPr>
        <w:spacing w:line="240" w:lineRule="auto"/>
      </w:pPr>
    </w:p>
    <w:p w14:paraId="0234417A" w14:textId="15F14E82" w:rsidR="00D62B8E" w:rsidRDefault="00FD0E07" w:rsidP="00D62B8E">
      <w:pPr>
        <w:pStyle w:val="Liststycke"/>
        <w:numPr>
          <w:ilvl w:val="0"/>
          <w:numId w:val="14"/>
        </w:numPr>
        <w:spacing w:line="240" w:lineRule="auto"/>
        <w:ind w:left="360"/>
      </w:pPr>
      <w:r>
        <w:t>Hur är f</w:t>
      </w:r>
      <w:r w:rsidR="00605BD6">
        <w:t xml:space="preserve">örutsättningar </w:t>
      </w:r>
      <w:r w:rsidR="00D62B8E">
        <w:t xml:space="preserve">för </w:t>
      </w:r>
      <w:r>
        <w:t xml:space="preserve">ökad </w:t>
      </w:r>
      <w:r w:rsidR="00D62B8E">
        <w:t>offentlig finansiering framåt</w:t>
      </w:r>
      <w:r>
        <w:t xml:space="preserve"> med tanke på samhällsekonomin och den stigande försörjningskvoten?</w:t>
      </w:r>
    </w:p>
    <w:p w14:paraId="5C342179" w14:textId="77777777" w:rsidR="00D62B8E" w:rsidRDefault="00D62B8E" w:rsidP="00D62B8E">
      <w:pPr>
        <w:spacing w:line="240" w:lineRule="auto"/>
      </w:pPr>
    </w:p>
    <w:p w14:paraId="42FFBA14" w14:textId="36326DAE" w:rsidR="00D62B8E" w:rsidRDefault="00FD0E07" w:rsidP="00D62B8E">
      <w:pPr>
        <w:pStyle w:val="Liststycke"/>
        <w:numPr>
          <w:ilvl w:val="0"/>
          <w:numId w:val="14"/>
        </w:numPr>
        <w:spacing w:line="240" w:lineRule="auto"/>
        <w:ind w:left="360"/>
      </w:pPr>
      <w:r>
        <w:t>Ska vi räkna på kostnader för a</w:t>
      </w:r>
      <w:r w:rsidR="00D62B8E">
        <w:t>llmän tandvård</w:t>
      </w:r>
      <w:r>
        <w:t xml:space="preserve"> i framtiden? </w:t>
      </w:r>
      <w:r w:rsidR="00015A4D">
        <w:t>Frågan skulle l</w:t>
      </w:r>
      <w:r>
        <w:t xml:space="preserve">ämpligen </w:t>
      </w:r>
      <w:r w:rsidR="00015A4D">
        <w:t>besvaras genom en</w:t>
      </w:r>
      <w:r>
        <w:t xml:space="preserve"> separat u</w:t>
      </w:r>
      <w:r w:rsidR="00015A4D">
        <w:t>tredning</w:t>
      </w:r>
      <w:r>
        <w:t xml:space="preserve">. </w:t>
      </w:r>
    </w:p>
    <w:p w14:paraId="78DB88B1" w14:textId="77777777" w:rsidR="00D62B8E" w:rsidRDefault="00D62B8E" w:rsidP="00D62B8E">
      <w:pPr>
        <w:spacing w:line="240" w:lineRule="auto"/>
      </w:pPr>
    </w:p>
    <w:p w14:paraId="471C2E27" w14:textId="5FA592DC" w:rsidR="00605BD6" w:rsidRDefault="00FD0E07" w:rsidP="00D62B8E">
      <w:pPr>
        <w:pStyle w:val="Liststycke"/>
        <w:numPr>
          <w:ilvl w:val="0"/>
          <w:numId w:val="14"/>
        </w:numPr>
        <w:spacing w:line="240" w:lineRule="auto"/>
        <w:ind w:left="360"/>
      </w:pPr>
      <w:r>
        <w:t>Vilka förändringar kan vi tänka oss gällande r</w:t>
      </w:r>
      <w:r w:rsidR="00D62B8E">
        <w:t xml:space="preserve">ikets lagstiftning </w:t>
      </w:r>
      <w:r>
        <w:t xml:space="preserve">om </w:t>
      </w:r>
      <w:r w:rsidR="00D62B8E">
        <w:t xml:space="preserve">FPA och företagshälsovården? </w:t>
      </w:r>
      <w:r>
        <w:t xml:space="preserve">Just nu finns en tendens mot ökad FPA ersättning för viss privat sjukvård, men är detta en övergående </w:t>
      </w:r>
      <w:r w:rsidR="007416CA">
        <w:t xml:space="preserve">politisk </w:t>
      </w:r>
      <w:r>
        <w:t>trend? THL har kritiskt lyft frågan om företagshälsovården vid upprepade tillfällen; kommer det ske en ändring mot mindre företagshälsovård och därmed större krav på primärvård inom den allmänna sjukvården?</w:t>
      </w:r>
    </w:p>
    <w:p w14:paraId="2B10693C" w14:textId="77777777" w:rsidR="00605BD6" w:rsidRDefault="00605BD6" w:rsidP="00D62B8E">
      <w:pPr>
        <w:spacing w:line="240" w:lineRule="auto"/>
      </w:pPr>
    </w:p>
    <w:p w14:paraId="72D9A211" w14:textId="11928663" w:rsidR="00D62B8E" w:rsidRDefault="00FD0E07" w:rsidP="00D62B8E">
      <w:pPr>
        <w:pStyle w:val="Liststycke"/>
        <w:numPr>
          <w:ilvl w:val="0"/>
          <w:numId w:val="14"/>
        </w:numPr>
        <w:spacing w:line="240" w:lineRule="auto"/>
        <w:ind w:left="360"/>
      </w:pPr>
      <w:r>
        <w:t xml:space="preserve">Hur kommer </w:t>
      </w:r>
      <w:r w:rsidR="00D62B8E">
        <w:t xml:space="preserve">företagshälsovården </w:t>
      </w:r>
      <w:r>
        <w:t xml:space="preserve">påverka kostnadsutvecklingen </w:t>
      </w:r>
      <w:r w:rsidR="007416CA">
        <w:t xml:space="preserve">för företagshälsovården </w:t>
      </w:r>
      <w:r>
        <w:t xml:space="preserve">(se </w:t>
      </w:r>
      <w:r w:rsidR="004D334B">
        <w:t xml:space="preserve">bilagan </w:t>
      </w:r>
      <w:r>
        <w:t>om privat sjukvård)?</w:t>
      </w:r>
      <w:r w:rsidR="007416CA">
        <w:t xml:space="preserve"> Kommer arbetsgivare </w:t>
      </w:r>
      <w:r w:rsidR="00C65040">
        <w:t xml:space="preserve">fortsätta </w:t>
      </w:r>
      <w:r w:rsidR="007416CA">
        <w:t xml:space="preserve">upphandlad primärvård </w:t>
      </w:r>
      <w:r w:rsidR="00C65040">
        <w:t>på samma nivåer som idag</w:t>
      </w:r>
      <w:r w:rsidR="007416CA">
        <w:t>?</w:t>
      </w:r>
    </w:p>
    <w:p w14:paraId="7199BBE2" w14:textId="77777777" w:rsidR="00D62B8E" w:rsidRDefault="00D62B8E" w:rsidP="00D62B8E">
      <w:pPr>
        <w:spacing w:line="240" w:lineRule="auto"/>
      </w:pPr>
    </w:p>
    <w:p w14:paraId="70CA96CD" w14:textId="48ED5FD4" w:rsidR="00D62B8E" w:rsidRDefault="00FD0E07" w:rsidP="00D62B8E">
      <w:pPr>
        <w:pStyle w:val="Liststycke"/>
        <w:numPr>
          <w:ilvl w:val="0"/>
          <w:numId w:val="14"/>
        </w:numPr>
        <w:spacing w:line="240" w:lineRule="auto"/>
        <w:ind w:left="360"/>
      </w:pPr>
      <w:r>
        <w:t>Vilka k</w:t>
      </w:r>
      <w:r w:rsidR="00D62B8E">
        <w:t xml:space="preserve">ostnadsförskjutningar </w:t>
      </w:r>
      <w:r>
        <w:t xml:space="preserve">kan komma ske mellan </w:t>
      </w:r>
      <w:r w:rsidR="00D62B8E">
        <w:t>hälso- och sjukvården och socialvården</w:t>
      </w:r>
      <w:r>
        <w:t xml:space="preserve"> </w:t>
      </w:r>
      <w:r w:rsidR="005728F1">
        <w:t>och vilka skulle kostnadskonsekvenserna bli av ett gemensamt huvudmannaskap</w:t>
      </w:r>
      <w:r>
        <w:t>?</w:t>
      </w:r>
    </w:p>
    <w:p w14:paraId="237F85C1" w14:textId="77777777" w:rsidR="00BF6AFD" w:rsidRDefault="00BF6AFD" w:rsidP="00BF6AFD">
      <w:pPr>
        <w:pStyle w:val="Liststycke"/>
      </w:pPr>
    </w:p>
    <w:p w14:paraId="6387E3BA" w14:textId="636C0DD7" w:rsidR="00BF6AFD" w:rsidRDefault="00BF6AFD">
      <w:pPr>
        <w:autoSpaceDE/>
        <w:autoSpaceDN/>
        <w:adjustRightInd/>
        <w:spacing w:after="160" w:line="259" w:lineRule="auto"/>
        <w:textAlignment w:val="auto"/>
      </w:pPr>
      <w:r>
        <w:br w:type="page"/>
      </w:r>
    </w:p>
    <w:p w14:paraId="435BE432" w14:textId="1B29459D" w:rsidR="00BF6AFD" w:rsidRDefault="00BF6AFD" w:rsidP="00BF6AFD">
      <w:pPr>
        <w:pStyle w:val="Rubrik2"/>
      </w:pPr>
      <w:bookmarkStart w:id="10" w:name="_Toc242713602"/>
      <w:r>
        <w:lastRenderedPageBreak/>
        <w:t xml:space="preserve">Bilaga: </w:t>
      </w:r>
      <w:r w:rsidRPr="00BF6AFD">
        <w:t>Privat sjukvård på Åland</w:t>
      </w:r>
      <w:bookmarkEnd w:id="10"/>
    </w:p>
    <w:p w14:paraId="0463C5B6" w14:textId="77777777" w:rsidR="00BF6AFD" w:rsidRDefault="00BF6AFD" w:rsidP="00BF6AFD"/>
    <w:p w14:paraId="59019327" w14:textId="77777777" w:rsidR="00A605BA" w:rsidRPr="00CC6D21" w:rsidRDefault="00A605BA" w:rsidP="00CC6D21">
      <w:pPr>
        <w:rPr>
          <w:b/>
          <w:bCs/>
          <w:sz w:val="32"/>
          <w:szCs w:val="32"/>
        </w:rPr>
      </w:pPr>
      <w:r w:rsidRPr="00CC6D21">
        <w:rPr>
          <w:b/>
          <w:bCs/>
          <w:sz w:val="32"/>
          <w:szCs w:val="32"/>
        </w:rPr>
        <w:t xml:space="preserve">Introduktion </w:t>
      </w:r>
    </w:p>
    <w:p w14:paraId="2C772419" w14:textId="77777777" w:rsidR="00A605BA" w:rsidRDefault="00A605BA" w:rsidP="00A605BA">
      <w:pPr>
        <w:spacing w:line="240" w:lineRule="auto"/>
        <w:rPr>
          <w:rFonts w:cstheme="minorHAnsi"/>
        </w:rPr>
      </w:pPr>
    </w:p>
    <w:p w14:paraId="71B0A041" w14:textId="77777777" w:rsidR="00A605BA" w:rsidRDefault="00A605BA" w:rsidP="00A605BA">
      <w:pPr>
        <w:spacing w:line="240" w:lineRule="auto"/>
        <w:rPr>
          <w:rFonts w:cstheme="minorHAnsi"/>
        </w:rPr>
      </w:pPr>
      <w:r>
        <w:rPr>
          <w:rFonts w:cstheme="minorHAnsi"/>
        </w:rPr>
        <w:t>I enlighet med det gällande regeringsprogrammet utvecklar landskapsregeringen</w:t>
      </w:r>
      <w:r w:rsidRPr="00DC1047">
        <w:rPr>
          <w:rFonts w:cstheme="minorHAnsi"/>
        </w:rPr>
        <w:t xml:space="preserve">s </w:t>
      </w:r>
      <w:r>
        <w:rPr>
          <w:rFonts w:cstheme="minorHAnsi"/>
        </w:rPr>
        <w:t xml:space="preserve">hälso- och sjukvårdsbyrå, i samverkan med ÅHS, en strategi för hälso- och sjukvården på Åland fram till 2040. Ett antal analyser görs för att skapa ett underlag för strategin, inklusive analyser av 1) </w:t>
      </w:r>
      <w:r w:rsidRPr="00D746D1">
        <w:rPr>
          <w:rFonts w:cstheme="minorHAnsi"/>
        </w:rPr>
        <w:t>Framtidens vårdbehov</w:t>
      </w:r>
      <w:r>
        <w:rPr>
          <w:rFonts w:cstheme="minorHAnsi"/>
        </w:rPr>
        <w:t xml:space="preserve">, 2) </w:t>
      </w:r>
      <w:r w:rsidRPr="00D746D1">
        <w:rPr>
          <w:rFonts w:cstheme="minorHAnsi"/>
        </w:rPr>
        <w:t>Framtidens hälso- och sjukvårdsfinansiering</w:t>
      </w:r>
      <w:r>
        <w:rPr>
          <w:rFonts w:cstheme="minorHAnsi"/>
        </w:rPr>
        <w:t xml:space="preserve">, 3) </w:t>
      </w:r>
      <w:r w:rsidRPr="00D746D1">
        <w:rPr>
          <w:rFonts w:cstheme="minorHAnsi"/>
        </w:rPr>
        <w:t>Framtidens vårdstrukturer och nivåer</w:t>
      </w:r>
      <w:r>
        <w:rPr>
          <w:rFonts w:cstheme="minorHAnsi"/>
        </w:rPr>
        <w:t xml:space="preserve">, 4) </w:t>
      </w:r>
      <w:r w:rsidRPr="00D746D1">
        <w:rPr>
          <w:rFonts w:cstheme="minorHAnsi"/>
        </w:rPr>
        <w:t>Framtidens digitala vårdinfrastruktur</w:t>
      </w:r>
      <w:r>
        <w:rPr>
          <w:rFonts w:cstheme="minorHAnsi"/>
        </w:rPr>
        <w:t xml:space="preserve">, 5) </w:t>
      </w:r>
      <w:r w:rsidRPr="00D746D1">
        <w:rPr>
          <w:rFonts w:cstheme="minorHAnsi"/>
        </w:rPr>
        <w:t>Kompetensförsörjning</w:t>
      </w:r>
      <w:r>
        <w:rPr>
          <w:rFonts w:cstheme="minorHAnsi"/>
        </w:rPr>
        <w:t xml:space="preserve">, 6) </w:t>
      </w:r>
      <w:r w:rsidRPr="00D746D1">
        <w:rPr>
          <w:rFonts w:cstheme="minorHAnsi"/>
        </w:rPr>
        <w:t>Styrning</w:t>
      </w:r>
      <w:r>
        <w:rPr>
          <w:rFonts w:cstheme="minorHAnsi"/>
        </w:rPr>
        <w:t xml:space="preserve">, 7) </w:t>
      </w:r>
      <w:r w:rsidRPr="00D746D1">
        <w:rPr>
          <w:rFonts w:cstheme="minorHAnsi"/>
        </w:rPr>
        <w:t>Patientsäkerhet</w:t>
      </w:r>
      <w:r>
        <w:rPr>
          <w:rFonts w:cstheme="minorHAnsi"/>
        </w:rPr>
        <w:t xml:space="preserve">, 8) </w:t>
      </w:r>
      <w:r w:rsidRPr="00D746D1">
        <w:rPr>
          <w:rFonts w:cstheme="minorHAnsi"/>
        </w:rPr>
        <w:t>Forskning, utveckling och utbildning på Åland</w:t>
      </w:r>
      <w:r>
        <w:rPr>
          <w:rFonts w:cstheme="minorHAnsi"/>
        </w:rPr>
        <w:t xml:space="preserve">, och 9) </w:t>
      </w:r>
      <w:r w:rsidRPr="00D746D1">
        <w:rPr>
          <w:rFonts w:cstheme="minorHAnsi"/>
        </w:rPr>
        <w:t>Beredskap för hälsokriser</w:t>
      </w:r>
      <w:r>
        <w:rPr>
          <w:rFonts w:cstheme="minorHAnsi"/>
        </w:rPr>
        <w:t>.</w:t>
      </w:r>
      <w:r>
        <w:rPr>
          <w:rStyle w:val="Fotnotsreferens"/>
          <w:rFonts w:cstheme="minorHAnsi"/>
        </w:rPr>
        <w:footnoteReference w:id="6"/>
      </w:r>
      <w:r>
        <w:rPr>
          <w:rFonts w:cstheme="minorHAnsi"/>
        </w:rPr>
        <w:t xml:space="preserve"> Under arbetets gång har det föreslagits att de delar av analyserna som berör privat hälso- och sjukvård bör presenteras i en separat rapport för att skapa en överblick över denna sektor.  </w:t>
      </w:r>
    </w:p>
    <w:p w14:paraId="2000E144" w14:textId="77777777" w:rsidR="00A605BA" w:rsidRDefault="00A605BA" w:rsidP="00A605BA">
      <w:pPr>
        <w:spacing w:line="240" w:lineRule="auto"/>
        <w:rPr>
          <w:rFonts w:cstheme="minorHAnsi"/>
        </w:rPr>
      </w:pPr>
    </w:p>
    <w:p w14:paraId="5CCEA6B9" w14:textId="77777777" w:rsidR="00A605BA" w:rsidRPr="00992BA6" w:rsidRDefault="00A605BA" w:rsidP="00A605BA">
      <w:pPr>
        <w:spacing w:line="240" w:lineRule="auto"/>
        <w:rPr>
          <w:rFonts w:cstheme="minorHAnsi"/>
        </w:rPr>
      </w:pPr>
      <w:r w:rsidRPr="00777B03">
        <w:rPr>
          <w:rFonts w:cstheme="minorHAnsi"/>
        </w:rPr>
        <w:t xml:space="preserve">Den privata </w:t>
      </w:r>
      <w:r>
        <w:rPr>
          <w:rFonts w:cstheme="minorHAnsi"/>
        </w:rPr>
        <w:t xml:space="preserve">hälso- och </w:t>
      </w:r>
      <w:r w:rsidRPr="00777B03">
        <w:rPr>
          <w:rFonts w:cstheme="minorHAnsi"/>
        </w:rPr>
        <w:t xml:space="preserve">sjukvården på Åland består av öppenvård samt viss dagkirurgi. Volymmässigt </w:t>
      </w:r>
      <w:r>
        <w:rPr>
          <w:rFonts w:cstheme="minorHAnsi"/>
        </w:rPr>
        <w:t xml:space="preserve">och kostnadsmässigt </w:t>
      </w:r>
      <w:r w:rsidRPr="00777B03">
        <w:rPr>
          <w:rFonts w:cstheme="minorHAnsi"/>
        </w:rPr>
        <w:t>utgör den privata hälso- och sjukvården en liten del av sjukvården på Åland</w:t>
      </w:r>
      <w:r>
        <w:rPr>
          <w:rFonts w:cstheme="minorHAnsi"/>
        </w:rPr>
        <w:t xml:space="preserve">, </w:t>
      </w:r>
      <w:r w:rsidRPr="00777B03">
        <w:rPr>
          <w:rFonts w:cstheme="minorHAnsi"/>
        </w:rPr>
        <w:t xml:space="preserve">med två undantag: </w:t>
      </w:r>
      <w:r>
        <w:rPr>
          <w:rFonts w:cstheme="minorHAnsi"/>
        </w:rPr>
        <w:t xml:space="preserve">1) </w:t>
      </w:r>
      <w:r w:rsidRPr="00992BA6">
        <w:rPr>
          <w:rFonts w:cstheme="minorHAnsi"/>
        </w:rPr>
        <w:t xml:space="preserve">Privat tandvård dominerar för vuxna, förutom </w:t>
      </w:r>
      <w:r>
        <w:rPr>
          <w:rFonts w:cstheme="minorHAnsi"/>
        </w:rPr>
        <w:t xml:space="preserve">för </w:t>
      </w:r>
      <w:r w:rsidRPr="00992BA6">
        <w:rPr>
          <w:rFonts w:cstheme="minorHAnsi"/>
        </w:rPr>
        <w:t>personer som kvalificeras för offentlig tandvård vid ÅHS</w:t>
      </w:r>
      <w:r>
        <w:rPr>
          <w:rStyle w:val="Fotnotsreferens"/>
          <w:rFonts w:cstheme="minorHAnsi"/>
        </w:rPr>
        <w:footnoteReference w:id="7"/>
      </w:r>
      <w:r>
        <w:rPr>
          <w:rFonts w:cstheme="minorHAnsi"/>
        </w:rPr>
        <w:t xml:space="preserve"> och 2) p</w:t>
      </w:r>
      <w:r w:rsidRPr="00992BA6">
        <w:rPr>
          <w:rFonts w:cstheme="minorHAnsi"/>
        </w:rPr>
        <w:t>rimärvård för personer i sysselsättning produceras i stor utsträckning inom den privata företagshälsovården</w:t>
      </w:r>
      <w:r>
        <w:rPr>
          <w:rFonts w:cstheme="minorHAnsi"/>
        </w:rPr>
        <w:t>.</w:t>
      </w:r>
      <w:r w:rsidRPr="00992BA6">
        <w:rPr>
          <w:rFonts w:cstheme="minorHAnsi"/>
        </w:rPr>
        <w:t xml:space="preserve"> </w:t>
      </w:r>
    </w:p>
    <w:p w14:paraId="7EDEE9CF" w14:textId="77777777" w:rsidR="00A605BA" w:rsidRDefault="00A605BA" w:rsidP="00A605BA">
      <w:pPr>
        <w:spacing w:line="240" w:lineRule="auto"/>
        <w:rPr>
          <w:rFonts w:cstheme="minorHAnsi"/>
        </w:rPr>
      </w:pPr>
    </w:p>
    <w:p w14:paraId="48BCABE6" w14:textId="77777777" w:rsidR="00A605BA" w:rsidRDefault="00A605BA" w:rsidP="00A605BA">
      <w:pPr>
        <w:spacing w:line="240" w:lineRule="auto"/>
        <w:rPr>
          <w:rFonts w:cstheme="minorHAnsi"/>
        </w:rPr>
      </w:pPr>
      <w:r>
        <w:rPr>
          <w:rFonts w:cstheme="minorHAnsi"/>
        </w:rPr>
        <w:t>Det finns trender mot större inslag av privat sjukvårdsproduktion och privat sjukvårdsfinansiering i närregioner som, likt Åland, länge dominerats av offentlig sjukvårdsproduktion och finansiering. Även offentligt finansierad privat sjukvård har ökat. I Finland innebär offentligt finansierad privat sjukvård framför allt vård som är delfinansierad via Folkpensionsanstalten (FPA), som ger ersättningar för delar av kostnaderna för olika typer av sjukvård, tandvård och företagshälsovård. Den förra finska regering sänkte ersättningarna men den sittande regeringen har åter gjort höjningar och planerar ytterligare höjningar, med en uttalad ambition att öka andelen vård som produceras i privat regi. I Sverige har utvecklingen mot offentligt finansierad (regionfinansierad och upphandlad) privat sjukvård gått betydligt längre än i Finland. Även den privata sjukvårdsfinansieringen har ökat i både Finland och Sverige, framför allt via privata försäkringar. I Finland har a</w:t>
      </w:r>
      <w:r w:rsidRPr="0001482C">
        <w:rPr>
          <w:rFonts w:cstheme="minorHAnsi"/>
        </w:rPr>
        <w:t xml:space="preserve">ntalet </w:t>
      </w:r>
      <w:r>
        <w:rPr>
          <w:rFonts w:cstheme="minorHAnsi"/>
        </w:rPr>
        <w:t>med privat sjukvårds</w:t>
      </w:r>
      <w:r w:rsidRPr="0001482C">
        <w:rPr>
          <w:rFonts w:cstheme="minorHAnsi"/>
        </w:rPr>
        <w:t xml:space="preserve">försäkrade </w:t>
      </w:r>
      <w:r>
        <w:rPr>
          <w:rFonts w:cstheme="minorHAnsi"/>
        </w:rPr>
        <w:t xml:space="preserve">ökat </w:t>
      </w:r>
      <w:r w:rsidRPr="0001482C">
        <w:rPr>
          <w:rFonts w:cstheme="minorHAnsi"/>
        </w:rPr>
        <w:t>med 40 procent på tio år</w:t>
      </w:r>
      <w:r>
        <w:rPr>
          <w:rFonts w:cstheme="minorHAnsi"/>
        </w:rPr>
        <w:t>. År 2022 hade 24% av den finska befolkningen en privat sjukvårdsförsäkring.</w:t>
      </w:r>
      <w:r>
        <w:rPr>
          <w:rStyle w:val="Fotnotsreferens"/>
          <w:rFonts w:cstheme="minorHAnsi"/>
        </w:rPr>
        <w:footnoteReference w:id="8"/>
      </w:r>
      <w:r>
        <w:rPr>
          <w:rFonts w:cstheme="minorHAnsi"/>
        </w:rPr>
        <w:t xml:space="preserve"> Det finns inga offentliga uppgifter om andelen på Åland. I Sverige är andelen med sådan försäkring hälften så hög som i Finland, 12%, även om det skedde en tiofaldig ökning av antalet personer med privat sjukförsäkring i Sverige mellan åren 1999 och 2021 (</w:t>
      </w:r>
      <w:r w:rsidRPr="007B2402">
        <w:rPr>
          <w:rFonts w:cstheme="minorHAnsi"/>
        </w:rPr>
        <w:t>i åldrarna 20–64 år</w:t>
      </w:r>
      <w:r>
        <w:rPr>
          <w:rFonts w:cstheme="minorHAnsi"/>
        </w:rPr>
        <w:t>).</w:t>
      </w:r>
      <w:r>
        <w:rPr>
          <w:rStyle w:val="Fotnotsreferens"/>
          <w:rFonts w:cstheme="minorHAnsi"/>
        </w:rPr>
        <w:footnoteReference w:id="9"/>
      </w:r>
      <w:r>
        <w:rPr>
          <w:rFonts w:cstheme="minorHAnsi"/>
        </w:rPr>
        <w:t xml:space="preserve"> </w:t>
      </w:r>
    </w:p>
    <w:p w14:paraId="091B8095" w14:textId="77777777" w:rsidR="00A605BA" w:rsidRDefault="00A605BA" w:rsidP="00A605BA">
      <w:pPr>
        <w:spacing w:line="240" w:lineRule="auto"/>
        <w:rPr>
          <w:rFonts w:cstheme="minorHAnsi"/>
        </w:rPr>
      </w:pPr>
    </w:p>
    <w:p w14:paraId="7F20886D" w14:textId="77777777" w:rsidR="00A605BA" w:rsidRDefault="00A605BA" w:rsidP="00A605BA">
      <w:pPr>
        <w:spacing w:line="240" w:lineRule="auto"/>
        <w:rPr>
          <w:rFonts w:cstheme="minorHAnsi"/>
        </w:rPr>
      </w:pPr>
      <w:r>
        <w:rPr>
          <w:rFonts w:cstheme="minorHAnsi"/>
        </w:rPr>
        <w:t xml:space="preserve">Den privata hälso- och sjukvårdens framtid på Åland behöver analyseras och diskuteras, med utblick mot omvärlden, som en del av det samlade strategiska arbetet för framtidens hälso- och sjukvård. </w:t>
      </w:r>
    </w:p>
    <w:p w14:paraId="1E1EB58F" w14:textId="77777777" w:rsidR="00A605BA" w:rsidRDefault="00A605BA" w:rsidP="00A605BA">
      <w:pPr>
        <w:spacing w:line="240" w:lineRule="auto"/>
        <w:rPr>
          <w:rFonts w:cstheme="minorHAnsi"/>
        </w:rPr>
      </w:pPr>
    </w:p>
    <w:p w14:paraId="1B280173" w14:textId="77777777" w:rsidR="00A605BA" w:rsidRDefault="00A605BA" w:rsidP="00A605BA">
      <w:pPr>
        <w:spacing w:line="240" w:lineRule="auto"/>
        <w:rPr>
          <w:rFonts w:cstheme="minorHAnsi"/>
        </w:rPr>
      </w:pPr>
      <w:r>
        <w:rPr>
          <w:rFonts w:cstheme="minorHAnsi"/>
        </w:rPr>
        <w:t xml:space="preserve"> </w:t>
      </w:r>
    </w:p>
    <w:p w14:paraId="68CC4BBA" w14:textId="77777777" w:rsidR="00A605BA" w:rsidRPr="00CC6D21" w:rsidRDefault="00A605BA" w:rsidP="00CC6D21">
      <w:pPr>
        <w:rPr>
          <w:b/>
          <w:bCs/>
          <w:sz w:val="32"/>
          <w:szCs w:val="32"/>
        </w:rPr>
      </w:pPr>
      <w:r w:rsidRPr="00CC6D21">
        <w:rPr>
          <w:b/>
          <w:bCs/>
          <w:sz w:val="32"/>
          <w:szCs w:val="32"/>
        </w:rPr>
        <w:t>Lagstiftning på Åland</w:t>
      </w:r>
    </w:p>
    <w:p w14:paraId="00820C32" w14:textId="77777777" w:rsidR="00A605BA" w:rsidRDefault="00A605BA" w:rsidP="00A605BA">
      <w:pPr>
        <w:spacing w:line="240" w:lineRule="auto"/>
        <w:rPr>
          <w:rFonts w:cstheme="minorHAnsi"/>
        </w:rPr>
      </w:pPr>
    </w:p>
    <w:p w14:paraId="181A83AD" w14:textId="77777777" w:rsidR="00A605BA" w:rsidRPr="00CC6D21" w:rsidRDefault="00A605BA" w:rsidP="00CC6D21">
      <w:pPr>
        <w:rPr>
          <w:b/>
          <w:bCs/>
          <w:sz w:val="24"/>
          <w:szCs w:val="24"/>
        </w:rPr>
      </w:pPr>
      <w:r w:rsidRPr="00CC6D21">
        <w:rPr>
          <w:b/>
          <w:bCs/>
          <w:sz w:val="24"/>
          <w:szCs w:val="24"/>
        </w:rPr>
        <w:t>Vårdproduktion</w:t>
      </w:r>
    </w:p>
    <w:p w14:paraId="4C3A4F73" w14:textId="77777777" w:rsidR="00A605BA" w:rsidRDefault="00A605BA" w:rsidP="00A605BA">
      <w:pPr>
        <w:spacing w:line="240" w:lineRule="auto"/>
        <w:rPr>
          <w:rFonts w:cstheme="minorHAnsi"/>
        </w:rPr>
      </w:pPr>
      <w:r>
        <w:rPr>
          <w:rFonts w:cstheme="minorHAnsi"/>
        </w:rPr>
        <w:t>Privat hälso- och sjukvårdsproduktion är, liksom övrig hälso- och sjukvård, åländsk behörighet och regleras i l</w:t>
      </w:r>
      <w:r w:rsidRPr="000454B4">
        <w:rPr>
          <w:rFonts w:cstheme="minorHAnsi"/>
        </w:rPr>
        <w:t>andskapslag (2024:29) om privat hälso- och sjukvård</w:t>
      </w:r>
      <w:r>
        <w:rPr>
          <w:rFonts w:cstheme="minorHAnsi"/>
        </w:rPr>
        <w:t xml:space="preserve">. Tillstånd och tillsyn över privat hälso- och sjukvård sköts från och med år 2025 av Ålands Miljö- och hälsoskyddsmyndighet (ÅMHM). Tidigare sköttes tillsynen </w:t>
      </w:r>
      <w:r>
        <w:rPr>
          <w:rFonts w:cstheme="minorHAnsi"/>
        </w:rPr>
        <w:lastRenderedPageBreak/>
        <w:t>av Ålands landskapsregering.</w:t>
      </w:r>
      <w:r>
        <w:rPr>
          <w:rStyle w:val="Fotnotsreferens"/>
          <w:rFonts w:cstheme="minorHAnsi"/>
        </w:rPr>
        <w:footnoteReference w:id="10"/>
      </w:r>
      <w:r>
        <w:rPr>
          <w:rFonts w:cstheme="minorHAnsi"/>
        </w:rPr>
        <w:t xml:space="preserve"> Tjänsteproducenter inom privat hälso- och sjukvård behöver utöver tillstånd från ÅMHM även åländsk </w:t>
      </w:r>
      <w:r w:rsidRPr="006A03BE">
        <w:rPr>
          <w:rFonts w:cstheme="minorHAnsi"/>
        </w:rPr>
        <w:t>näringsrätt, vilket regleras i självstyrelselagen (1991:71) för Åland.</w:t>
      </w:r>
      <w:r w:rsidRPr="006A03BE">
        <w:rPr>
          <w:rFonts w:cstheme="minorHAnsi"/>
          <w:highlight w:val="yellow"/>
        </w:rPr>
        <w:t xml:space="preserve"> </w:t>
      </w:r>
    </w:p>
    <w:p w14:paraId="7406DEAE" w14:textId="77777777" w:rsidR="00A605BA" w:rsidRPr="00CC6D21" w:rsidRDefault="00A605BA" w:rsidP="00CC6D21">
      <w:pPr>
        <w:rPr>
          <w:b/>
          <w:bCs/>
          <w:sz w:val="24"/>
          <w:szCs w:val="24"/>
        </w:rPr>
      </w:pPr>
    </w:p>
    <w:p w14:paraId="4699B0F2" w14:textId="77777777" w:rsidR="00A605BA" w:rsidRPr="00CC6D21" w:rsidRDefault="00A605BA" w:rsidP="00CC6D21">
      <w:pPr>
        <w:rPr>
          <w:b/>
          <w:bCs/>
          <w:sz w:val="24"/>
          <w:szCs w:val="24"/>
        </w:rPr>
      </w:pPr>
      <w:r w:rsidRPr="00CC6D21">
        <w:rPr>
          <w:b/>
          <w:bCs/>
          <w:sz w:val="24"/>
          <w:szCs w:val="24"/>
        </w:rPr>
        <w:t xml:space="preserve">Tillsyn över yrkesverksamma </w:t>
      </w:r>
    </w:p>
    <w:p w14:paraId="112617F2" w14:textId="77777777" w:rsidR="00A605BA" w:rsidRDefault="00A605BA" w:rsidP="00A605BA">
      <w:pPr>
        <w:spacing w:line="240" w:lineRule="auto"/>
        <w:rPr>
          <w:rFonts w:cstheme="minorHAnsi"/>
        </w:rPr>
      </w:pPr>
      <w:r>
        <w:rPr>
          <w:rFonts w:cstheme="minorHAnsi"/>
        </w:rPr>
        <w:t>Tillstånd för och tillsynen av yrkesverksamma inom såväl den privata som offentliga hälso- och sjukvården är riksbehörighet och regleras i rikets L</w:t>
      </w:r>
      <w:r w:rsidRPr="00573BC9">
        <w:rPr>
          <w:rFonts w:cstheme="minorHAnsi"/>
        </w:rPr>
        <w:t>ag om yrkesutbildade personer inom hälso- och sjukvården (FFS 559/1994)</w:t>
      </w:r>
      <w:r>
        <w:rPr>
          <w:rFonts w:cstheme="minorHAnsi"/>
        </w:rPr>
        <w:t xml:space="preserve">. Tillsynen förvaltas delvis av Ålands landskapsregering enligt </w:t>
      </w:r>
      <w:r w:rsidRPr="00573BC9">
        <w:rPr>
          <w:rFonts w:cstheme="minorHAnsi"/>
        </w:rPr>
        <w:t>Republikens presidents förordning (2010:2) om vissa</w:t>
      </w:r>
      <w:r>
        <w:rPr>
          <w:rFonts w:cstheme="minorHAnsi"/>
        </w:rPr>
        <w:t xml:space="preserve"> </w:t>
      </w:r>
      <w:r w:rsidRPr="00573BC9">
        <w:rPr>
          <w:rFonts w:cstheme="minorHAnsi"/>
        </w:rPr>
        <w:t>förvaltningsuppgifter inom hälso- och sjukvården i landskapet Åland</w:t>
      </w:r>
      <w:r>
        <w:rPr>
          <w:rFonts w:cstheme="minorHAnsi"/>
        </w:rPr>
        <w:t>.</w:t>
      </w:r>
      <w:r>
        <w:rPr>
          <w:rStyle w:val="Fotnotsreferens"/>
          <w:rFonts w:cstheme="minorHAnsi"/>
        </w:rPr>
        <w:footnoteReference w:id="11"/>
      </w:r>
      <w:r>
        <w:rPr>
          <w:rFonts w:cstheme="minorHAnsi"/>
        </w:rPr>
        <w:t xml:space="preserve"> </w:t>
      </w:r>
    </w:p>
    <w:p w14:paraId="7D716532" w14:textId="77777777" w:rsidR="00A605BA" w:rsidRDefault="00A605BA" w:rsidP="00A605BA">
      <w:pPr>
        <w:spacing w:line="240" w:lineRule="auto"/>
        <w:rPr>
          <w:rFonts w:cstheme="minorHAnsi"/>
        </w:rPr>
      </w:pPr>
    </w:p>
    <w:p w14:paraId="0244178B" w14:textId="77777777" w:rsidR="00A605BA" w:rsidRPr="00CC6D21" w:rsidRDefault="00A605BA" w:rsidP="00CC6D21">
      <w:pPr>
        <w:rPr>
          <w:b/>
          <w:bCs/>
          <w:sz w:val="24"/>
          <w:szCs w:val="24"/>
        </w:rPr>
      </w:pPr>
      <w:r w:rsidRPr="00CC6D21">
        <w:rPr>
          <w:b/>
          <w:bCs/>
          <w:sz w:val="24"/>
          <w:szCs w:val="24"/>
        </w:rPr>
        <w:t>Finansiering</w:t>
      </w:r>
    </w:p>
    <w:p w14:paraId="0947E406" w14:textId="77777777" w:rsidR="00A605BA" w:rsidRDefault="00A605BA" w:rsidP="00A605BA">
      <w:pPr>
        <w:spacing w:line="240" w:lineRule="auto"/>
        <w:rPr>
          <w:rFonts w:cstheme="minorHAnsi"/>
        </w:rPr>
      </w:pPr>
      <w:r>
        <w:rPr>
          <w:rFonts w:cstheme="minorHAnsi"/>
        </w:rPr>
        <w:t xml:space="preserve">Privat sjukvård finansieras genom Folkpensionsanstaltens (FPA) ersättningssystem för privat sjukvård, privata sjukförsäkringar, upphandlad företagshälsovård, samt patientavgifter. Detta innebär att finansieringen av privat hälso- och sjukvård till stora delar regleras i rikslagstiftning; FPAs ersättningar regleras i Sjukförsäkringslagen (FFS 1224/2004) och företagshälsovård i </w:t>
      </w:r>
      <w:bookmarkStart w:id="11" w:name="_Hlk180053871"/>
      <w:r w:rsidRPr="00965AE6">
        <w:rPr>
          <w:rFonts w:cstheme="minorHAnsi"/>
        </w:rPr>
        <w:t>Lag om företagshälsovård (</w:t>
      </w:r>
      <w:r w:rsidRPr="00F1324C">
        <w:rPr>
          <w:rFonts w:cstheme="minorHAnsi"/>
        </w:rPr>
        <w:t>FFA 1</w:t>
      </w:r>
      <w:r>
        <w:rPr>
          <w:rFonts w:cstheme="minorHAnsi"/>
        </w:rPr>
        <w:t>383/</w:t>
      </w:r>
      <w:r w:rsidRPr="00965AE6">
        <w:rPr>
          <w:rFonts w:cstheme="minorHAnsi"/>
        </w:rPr>
        <w:t>2001</w:t>
      </w:r>
      <w:bookmarkEnd w:id="11"/>
      <w:r>
        <w:rPr>
          <w:rFonts w:cstheme="minorHAnsi"/>
        </w:rPr>
        <w:t xml:space="preserve">). </w:t>
      </w:r>
      <w:r w:rsidRPr="00272510">
        <w:rPr>
          <w:rFonts w:cstheme="minorHAnsi"/>
        </w:rPr>
        <w:t xml:space="preserve">Enligt landskapslag (2011:114) om hälso- och sjukvård </w:t>
      </w:r>
      <w:r>
        <w:rPr>
          <w:rFonts w:cstheme="minorHAnsi"/>
        </w:rPr>
        <w:t>är det möjligt för ÅHS att upphandla vård från privata serviceproducenter</w:t>
      </w:r>
      <w:r w:rsidRPr="007A5EF9">
        <w:rPr>
          <w:rFonts w:cstheme="minorHAnsi"/>
        </w:rPr>
        <w:t>. Detta har hittills skett i begränsad utsträckning. Under Covid-19 pandemin upphandlades till exempel covid-19 provtagning och analyser via det privata laboratoriet Bimelix och viss dagkirurgi utlokaliserades till Medimar. Tjocktarmsscreening är upphandlad av Medimar. ÅHS upphandlar även företagshälsovård via Cityläkarna (se nedan).</w:t>
      </w:r>
      <w:r>
        <w:rPr>
          <w:rFonts w:cstheme="minorHAnsi"/>
        </w:rPr>
        <w:t xml:space="preserve"> </w:t>
      </w:r>
    </w:p>
    <w:p w14:paraId="26037A53" w14:textId="77777777" w:rsidR="00A605BA" w:rsidRDefault="00A605BA" w:rsidP="00A605BA">
      <w:pPr>
        <w:spacing w:line="240" w:lineRule="auto"/>
        <w:rPr>
          <w:rFonts w:cstheme="minorHAnsi"/>
        </w:rPr>
      </w:pPr>
    </w:p>
    <w:p w14:paraId="6E7878D7" w14:textId="77777777" w:rsidR="00A605BA" w:rsidRPr="00CC6D21" w:rsidRDefault="00A605BA" w:rsidP="00CC6D21">
      <w:pPr>
        <w:rPr>
          <w:b/>
          <w:bCs/>
          <w:sz w:val="24"/>
          <w:szCs w:val="24"/>
        </w:rPr>
      </w:pPr>
      <w:r w:rsidRPr="00CC6D21">
        <w:rPr>
          <w:b/>
          <w:bCs/>
          <w:sz w:val="24"/>
          <w:szCs w:val="24"/>
        </w:rPr>
        <w:t>Företagshälsovård</w:t>
      </w:r>
    </w:p>
    <w:p w14:paraId="1EC0B1A1" w14:textId="77777777" w:rsidR="00A605BA" w:rsidRDefault="00A605BA" w:rsidP="00A605BA">
      <w:pPr>
        <w:spacing w:line="240" w:lineRule="auto"/>
        <w:rPr>
          <w:rFonts w:cstheme="minorHAnsi"/>
        </w:rPr>
      </w:pPr>
      <w:r>
        <w:rPr>
          <w:rFonts w:cstheme="minorHAnsi"/>
        </w:rPr>
        <w:t xml:space="preserve">Enligt lagen </w:t>
      </w:r>
      <w:r w:rsidRPr="0042400C">
        <w:rPr>
          <w:rFonts w:cstheme="minorHAnsi"/>
        </w:rPr>
        <w:t xml:space="preserve">om företagshälsovård </w:t>
      </w:r>
      <w:r>
        <w:rPr>
          <w:rFonts w:cstheme="minorHAnsi"/>
        </w:rPr>
        <w:t>(FFA 1383/</w:t>
      </w:r>
      <w:r w:rsidRPr="001E0466">
        <w:rPr>
          <w:rFonts w:cstheme="minorHAnsi"/>
        </w:rPr>
        <w:t>2001</w:t>
      </w:r>
      <w:r>
        <w:rPr>
          <w:rFonts w:cstheme="minorHAnsi"/>
        </w:rPr>
        <w:t>) (vilken ersatte den tidigare lagen om företagshälsovård, FFS 743/</w:t>
      </w:r>
      <w:r w:rsidRPr="001E0466">
        <w:rPr>
          <w:rFonts w:cstheme="minorHAnsi"/>
        </w:rPr>
        <w:t>1978</w:t>
      </w:r>
      <w:r>
        <w:rPr>
          <w:rFonts w:cstheme="minorHAnsi"/>
        </w:rPr>
        <w:t>) ska a</w:t>
      </w:r>
      <w:r w:rsidRPr="0042400C">
        <w:rPr>
          <w:rFonts w:cstheme="minorHAnsi"/>
        </w:rPr>
        <w:t>rbetsgivare på sin bekostnad ordna företagshälsovård för att förebygga och bekämpa risker och olägenheter för hälsan som beror på arbetet och arbetsförhållandena samt för att skydda och främja arbetstagarnas säkerhet, arbetsförmåga och hälsa.</w:t>
      </w:r>
      <w:r>
        <w:rPr>
          <w:rFonts w:cstheme="minorHAnsi"/>
        </w:rPr>
        <w:t xml:space="preserve"> </w:t>
      </w:r>
      <w:r w:rsidRPr="0042400C">
        <w:rPr>
          <w:rFonts w:cstheme="minorHAnsi"/>
        </w:rPr>
        <w:t>Företagshälsovården skall ordnas och genomföras i den omfattning som påkallas av förhållandena på arbetsplatsen.</w:t>
      </w:r>
    </w:p>
    <w:p w14:paraId="616B1D5E" w14:textId="77777777" w:rsidR="00A605BA" w:rsidRDefault="00A605BA" w:rsidP="00A605BA">
      <w:pPr>
        <w:spacing w:line="240" w:lineRule="auto"/>
        <w:rPr>
          <w:rFonts w:cstheme="minorHAnsi"/>
        </w:rPr>
      </w:pPr>
    </w:p>
    <w:p w14:paraId="65527B9C" w14:textId="77777777" w:rsidR="00A605BA" w:rsidRDefault="00A605BA" w:rsidP="00A605BA">
      <w:pPr>
        <w:spacing w:line="240" w:lineRule="auto"/>
        <w:rPr>
          <w:rFonts w:cstheme="minorHAnsi"/>
        </w:rPr>
      </w:pPr>
      <w:r>
        <w:rPr>
          <w:rFonts w:cstheme="minorHAnsi"/>
        </w:rPr>
        <w:t xml:space="preserve">Enligt lagen </w:t>
      </w:r>
      <w:r w:rsidRPr="0042400C">
        <w:rPr>
          <w:rFonts w:cstheme="minorHAnsi"/>
        </w:rPr>
        <w:t xml:space="preserve">om företagshälsovård </w:t>
      </w:r>
      <w:r>
        <w:rPr>
          <w:rFonts w:cstheme="minorHAnsi"/>
        </w:rPr>
        <w:t>kan a</w:t>
      </w:r>
      <w:r w:rsidRPr="00AF69FE">
        <w:rPr>
          <w:rFonts w:cstheme="minorHAnsi"/>
        </w:rPr>
        <w:t>rbetsgivare</w:t>
      </w:r>
      <w:r>
        <w:rPr>
          <w:rFonts w:cstheme="minorHAnsi"/>
        </w:rPr>
        <w:t xml:space="preserve"> </w:t>
      </w:r>
      <w:r w:rsidRPr="00AF69FE">
        <w:rPr>
          <w:rFonts w:cstheme="minorHAnsi"/>
        </w:rPr>
        <w:t xml:space="preserve">ordna </w:t>
      </w:r>
      <w:r>
        <w:rPr>
          <w:rFonts w:cstheme="minorHAnsi"/>
        </w:rPr>
        <w:t>f</w:t>
      </w:r>
      <w:r w:rsidRPr="00AF69FE">
        <w:rPr>
          <w:rFonts w:cstheme="minorHAnsi"/>
        </w:rPr>
        <w:t>öretagshälsovårdstjänster</w:t>
      </w:r>
      <w:r>
        <w:rPr>
          <w:rFonts w:cstheme="minorHAnsi"/>
        </w:rPr>
        <w:t>na</w:t>
      </w:r>
      <w:r w:rsidRPr="00AF69FE">
        <w:rPr>
          <w:rFonts w:cstheme="minorHAnsi"/>
        </w:rPr>
        <w:t xml:space="preserve"> genom </w:t>
      </w:r>
      <w:r>
        <w:rPr>
          <w:rFonts w:cstheme="minorHAnsi"/>
        </w:rPr>
        <w:t>avtal med offentlig (på Åland, ÅHS) eller en privat serviceproducent. Enligt l</w:t>
      </w:r>
      <w:r w:rsidRPr="0042400C">
        <w:rPr>
          <w:rFonts w:cstheme="minorHAnsi"/>
        </w:rPr>
        <w:t>andskapslag (2011:114) om hälso- och sjukvård</w:t>
      </w:r>
      <w:r>
        <w:rPr>
          <w:rFonts w:cstheme="minorHAnsi"/>
        </w:rPr>
        <w:t xml:space="preserve"> ska ÅHS </w:t>
      </w:r>
      <w:r w:rsidRPr="0042400C">
        <w:rPr>
          <w:rFonts w:cstheme="minorHAnsi"/>
        </w:rPr>
        <w:t>inom ramen för givna resurser ordna företagshälsovård i enlighet med lagen om företagshälsovård</w:t>
      </w:r>
      <w:r>
        <w:rPr>
          <w:rFonts w:cstheme="minorHAnsi"/>
        </w:rPr>
        <w:t xml:space="preserve"> f</w:t>
      </w:r>
      <w:r w:rsidRPr="0042400C">
        <w:rPr>
          <w:rFonts w:cstheme="minorHAnsi"/>
        </w:rPr>
        <w:t>ör arbetstagare som arbetar i landskapet</w:t>
      </w:r>
      <w:r>
        <w:rPr>
          <w:rFonts w:cstheme="minorHAnsi"/>
        </w:rPr>
        <w:t xml:space="preserve">, samt för </w:t>
      </w:r>
      <w:r w:rsidRPr="0042400C">
        <w:rPr>
          <w:rFonts w:cstheme="minorHAnsi"/>
        </w:rPr>
        <w:t>företagare och andra som för egen räkning utför arbete i landskapet.</w:t>
      </w:r>
      <w:r>
        <w:rPr>
          <w:rFonts w:cstheme="minorHAnsi"/>
        </w:rPr>
        <w:t xml:space="preserve"> </w:t>
      </w:r>
      <w:r w:rsidRPr="007A5EF9">
        <w:rPr>
          <w:rFonts w:cstheme="minorHAnsi"/>
        </w:rPr>
        <w:t>Fram till år 2019 producerade ÅHS företagshälsovård för sina egna anställda och egenföretagare, men sedan dess har ÅHS upphandlat dessa tjänster hos en privat serviceproducent (i nuläget Cityläkarna). I nuläget finns därför på Åland endast avtal om företagshälsovård med privata serviceproducenter.</w:t>
      </w:r>
      <w:r>
        <w:rPr>
          <w:rFonts w:cstheme="minorHAnsi"/>
        </w:rPr>
        <w:t xml:space="preserve">  </w:t>
      </w:r>
    </w:p>
    <w:p w14:paraId="285CEF0F" w14:textId="77777777" w:rsidR="00A605BA" w:rsidRDefault="00A605BA" w:rsidP="00A605BA">
      <w:pPr>
        <w:spacing w:line="240" w:lineRule="auto"/>
        <w:rPr>
          <w:rFonts w:cstheme="minorHAnsi"/>
        </w:rPr>
      </w:pPr>
      <w:r w:rsidRPr="00AF69FE">
        <w:rPr>
          <w:rFonts w:cstheme="minorHAnsi"/>
        </w:rPr>
        <w:t xml:space="preserve"> </w:t>
      </w:r>
    </w:p>
    <w:p w14:paraId="104BCEB2" w14:textId="77777777" w:rsidR="00A605BA" w:rsidRPr="00AF69FE" w:rsidRDefault="00A605BA" w:rsidP="00A605BA">
      <w:pPr>
        <w:spacing w:line="240" w:lineRule="auto"/>
        <w:rPr>
          <w:rFonts w:cstheme="minorHAnsi"/>
        </w:rPr>
      </w:pPr>
      <w:r>
        <w:rPr>
          <w:rFonts w:cstheme="minorHAnsi"/>
        </w:rPr>
        <w:t xml:space="preserve">De tjänster som en arbetsgivare måste erbjuda (själv producera eller köpa tjänsten) framgår av lagen om företagshälsovård. Enligt </w:t>
      </w:r>
      <w:r w:rsidRPr="00AF69FE">
        <w:rPr>
          <w:rFonts w:cstheme="minorHAnsi"/>
        </w:rPr>
        <w:t xml:space="preserve">12 § </w:t>
      </w:r>
      <w:r>
        <w:rPr>
          <w:rFonts w:cstheme="minorHAnsi"/>
        </w:rPr>
        <w:t xml:space="preserve">måste tjänsterna innefatta bland annat </w:t>
      </w:r>
      <w:r w:rsidRPr="00AF69FE">
        <w:rPr>
          <w:rFonts w:cstheme="minorHAnsi"/>
        </w:rPr>
        <w:t>att</w:t>
      </w:r>
      <w:r>
        <w:rPr>
          <w:rFonts w:cstheme="minorHAnsi"/>
        </w:rPr>
        <w:t>;</w:t>
      </w:r>
    </w:p>
    <w:p w14:paraId="474537A3" w14:textId="77777777" w:rsidR="00A605BA" w:rsidRPr="00682081" w:rsidRDefault="00A605BA" w:rsidP="00A605BA">
      <w:pPr>
        <w:pStyle w:val="Liststycke"/>
        <w:numPr>
          <w:ilvl w:val="0"/>
          <w:numId w:val="17"/>
        </w:numPr>
        <w:spacing w:line="240" w:lineRule="auto"/>
        <w:rPr>
          <w:rFonts w:cstheme="minorHAnsi"/>
        </w:rPr>
      </w:pPr>
      <w:r w:rsidRPr="00682081">
        <w:rPr>
          <w:rFonts w:cstheme="minorHAnsi"/>
        </w:rPr>
        <w:t>utreda och utvärdera hälsan och säkerheten i arbetet och arbetsförhållandena genom upprepade arbetsplatsbesök och andra metoder med beaktande av exponeringarna på arbetsplatsen, arbetets belastning, arbetsarrangemangen samt risken för olycksfall och våld liksom även beaktande av dessa faktorer då arbetet, arbetsmetoderna och arbetslokalerna planeras samt vid förändringar i arbetsförhållandena</w:t>
      </w:r>
    </w:p>
    <w:p w14:paraId="4574522A" w14:textId="77777777" w:rsidR="00A605BA" w:rsidRPr="00682081" w:rsidRDefault="00A605BA" w:rsidP="00A605BA">
      <w:pPr>
        <w:pStyle w:val="Liststycke"/>
        <w:numPr>
          <w:ilvl w:val="0"/>
          <w:numId w:val="17"/>
        </w:numPr>
        <w:spacing w:line="240" w:lineRule="auto"/>
        <w:rPr>
          <w:rFonts w:cstheme="minorHAnsi"/>
        </w:rPr>
      </w:pPr>
      <w:r w:rsidRPr="00682081">
        <w:rPr>
          <w:rFonts w:cstheme="minorHAnsi"/>
        </w:rPr>
        <w:t>utreda, utvärdera och följa risker och men för hälsan till följd av arbetet, arbetstagarnas hälsotillstånd samt arbets- och funktionsförmågan inklusive särskild risk för ohälsa på grund av arbetet och arbetsmiljön samt hälsoundersökningar som följer av ovan nämnda omständigheter med beaktande av arbetstagarens individuella egenskaper.</w:t>
      </w:r>
    </w:p>
    <w:p w14:paraId="1A80E8F5" w14:textId="77777777" w:rsidR="00A605BA" w:rsidRPr="00682081" w:rsidRDefault="00A605BA" w:rsidP="00A605BA">
      <w:pPr>
        <w:pStyle w:val="Liststycke"/>
        <w:numPr>
          <w:ilvl w:val="0"/>
          <w:numId w:val="17"/>
        </w:numPr>
        <w:spacing w:line="240" w:lineRule="auto"/>
        <w:rPr>
          <w:rFonts w:cstheme="minorHAnsi"/>
        </w:rPr>
      </w:pPr>
      <w:r w:rsidRPr="00682081">
        <w:rPr>
          <w:rFonts w:cstheme="minorHAnsi"/>
        </w:rPr>
        <w:lastRenderedPageBreak/>
        <w:t>lägga fram åtgärdsförslag i syfte att förbättra hälsan och säkerheten i arbetet, vid behov för att anpassa arbetet till arbetstagarens förutsättningar, för att bevara och främja arbetstagarnas arbets- och funktionsförmåga samt för att följa hur åtgärdsförslagen genomförs.</w:t>
      </w:r>
    </w:p>
    <w:p w14:paraId="5E75AE5B" w14:textId="77777777" w:rsidR="00A605BA" w:rsidRPr="00682081" w:rsidRDefault="00A605BA" w:rsidP="00A605BA">
      <w:pPr>
        <w:pStyle w:val="Liststycke"/>
        <w:numPr>
          <w:ilvl w:val="0"/>
          <w:numId w:val="17"/>
        </w:numPr>
        <w:spacing w:line="240" w:lineRule="auto"/>
        <w:rPr>
          <w:rFonts w:cstheme="minorHAnsi"/>
        </w:rPr>
      </w:pPr>
      <w:r w:rsidRPr="00682081">
        <w:rPr>
          <w:rFonts w:cstheme="minorHAnsi"/>
        </w:rPr>
        <w:t>ge information, råd och vägledning i frågor som gäller hälsan och säkerheten i arbetet samt arbetstagarnas hälsa inklusive en utredning som arbetstagaren av grundad anledning begär om sin arbetsbelastning,</w:t>
      </w:r>
    </w:p>
    <w:p w14:paraId="63AED177" w14:textId="77777777" w:rsidR="00A605BA" w:rsidRPr="00682081" w:rsidRDefault="00A605BA" w:rsidP="00A605BA">
      <w:pPr>
        <w:pStyle w:val="Liststycke"/>
        <w:numPr>
          <w:ilvl w:val="0"/>
          <w:numId w:val="17"/>
        </w:numPr>
        <w:spacing w:line="240" w:lineRule="auto"/>
        <w:rPr>
          <w:rFonts w:cstheme="minorHAnsi"/>
        </w:rPr>
      </w:pPr>
      <w:r w:rsidRPr="00682081">
        <w:rPr>
          <w:rFonts w:cstheme="minorHAnsi"/>
        </w:rPr>
        <w:t>utarbeta sådana utlåtanden om arbetstagares arbetsförmåga och möjligheter att fortsätta i arbetet som avses i 8 kap. 5 a § i sjukförsäkringslagen (1224/2004).</w:t>
      </w:r>
    </w:p>
    <w:p w14:paraId="44A6BE76" w14:textId="77777777" w:rsidR="00A605BA" w:rsidRDefault="00A605BA" w:rsidP="00A605BA">
      <w:pPr>
        <w:spacing w:line="240" w:lineRule="auto"/>
        <w:rPr>
          <w:rFonts w:cstheme="minorHAnsi"/>
          <w:highlight w:val="yellow"/>
        </w:rPr>
      </w:pPr>
    </w:p>
    <w:p w14:paraId="4BE594DA" w14:textId="77777777" w:rsidR="00A605BA" w:rsidRPr="008D3EA8" w:rsidRDefault="00A605BA" w:rsidP="00A605BA">
      <w:pPr>
        <w:spacing w:line="240" w:lineRule="auto"/>
        <w:rPr>
          <w:rFonts w:cstheme="minorHAnsi"/>
        </w:rPr>
      </w:pPr>
      <w:r>
        <w:rPr>
          <w:rFonts w:cstheme="minorHAnsi"/>
        </w:rPr>
        <w:t>V</w:t>
      </w:r>
      <w:r w:rsidRPr="008D3EA8">
        <w:rPr>
          <w:rFonts w:cstheme="minorHAnsi"/>
        </w:rPr>
        <w:t>ård enligt 12</w:t>
      </w:r>
      <w:r>
        <w:rPr>
          <w:rFonts w:cstheme="minorHAnsi"/>
        </w:rPr>
        <w:t xml:space="preserve"> </w:t>
      </w:r>
      <w:r w:rsidRPr="008D3EA8">
        <w:rPr>
          <w:rFonts w:cstheme="minorHAnsi"/>
        </w:rPr>
        <w:t>§ ersätts via FPA under ersättningsklass I (se nedan).</w:t>
      </w:r>
    </w:p>
    <w:p w14:paraId="418C3CD2" w14:textId="77777777" w:rsidR="00A605BA" w:rsidRDefault="00A605BA" w:rsidP="00A605BA">
      <w:pPr>
        <w:spacing w:line="240" w:lineRule="auto"/>
        <w:rPr>
          <w:rFonts w:cstheme="minorHAnsi"/>
        </w:rPr>
      </w:pPr>
    </w:p>
    <w:p w14:paraId="3C062506" w14:textId="77777777" w:rsidR="00A605BA" w:rsidRDefault="00A605BA" w:rsidP="00A605BA">
      <w:pPr>
        <w:spacing w:line="240" w:lineRule="auto"/>
        <w:rPr>
          <w:rFonts w:cstheme="minorHAnsi"/>
        </w:rPr>
      </w:pPr>
      <w:r>
        <w:rPr>
          <w:rFonts w:cstheme="minorHAnsi"/>
        </w:rPr>
        <w:t>Flera</w:t>
      </w:r>
      <w:r w:rsidRPr="00682081">
        <w:rPr>
          <w:rFonts w:cstheme="minorHAnsi"/>
        </w:rPr>
        <w:t xml:space="preserve"> arbetsgivare </w:t>
      </w:r>
      <w:r>
        <w:rPr>
          <w:rFonts w:cstheme="minorHAnsi"/>
        </w:rPr>
        <w:t xml:space="preserve">på Åland </w:t>
      </w:r>
      <w:r w:rsidRPr="00682081">
        <w:rPr>
          <w:rFonts w:cstheme="minorHAnsi"/>
        </w:rPr>
        <w:t xml:space="preserve">har avtal med privat företagshälsovård som innefattar regelbundna hälsoundersökningar. Som framgår av 12 § är det inte obligatoriskt att erbjuda hälsoundersökningar. </w:t>
      </w:r>
      <w:r>
        <w:rPr>
          <w:rFonts w:cstheme="minorHAnsi"/>
        </w:rPr>
        <w:t xml:space="preserve">I flera av de avtal som åländska arbetsgivare har om företagshälsovård ingår, utöver hälsosamtal med hälsovårdare, mer eller mindre omfattande rutinmässig laboratorieprovtagning. Det finns ingen offentlig statistik över andelen av arbetsgivare som avtalat om olika typer av hälsoundersökningar och provtagningar. Det är inte lagstadgat att laboratorieprover ska tas vid hälsoundersökning. Enligt 7 § i </w:t>
      </w:r>
      <w:r w:rsidRPr="00383E7C">
        <w:rPr>
          <w:rFonts w:cstheme="minorHAnsi"/>
        </w:rPr>
        <w:t>Statsrådets förordning (708/2013) om principerna för god företagshälsovårdspraxis</w:t>
      </w:r>
      <w:r>
        <w:rPr>
          <w:rFonts w:cstheme="minorHAnsi"/>
        </w:rPr>
        <w:t xml:space="preserve"> ska </w:t>
      </w:r>
      <w:r w:rsidRPr="00383E7C">
        <w:rPr>
          <w:rFonts w:cstheme="minorHAnsi"/>
        </w:rPr>
        <w:t>en hälsoundersökning ordnas</w:t>
      </w:r>
      <w:r>
        <w:rPr>
          <w:rFonts w:cstheme="minorHAnsi"/>
        </w:rPr>
        <w:t xml:space="preserve"> under vissa förutsättningar. Det förordnas inte för alla anställda på alla arbetsplatser. </w:t>
      </w:r>
      <w:r w:rsidRPr="00682081">
        <w:rPr>
          <w:rFonts w:cstheme="minorHAnsi"/>
        </w:rPr>
        <w:t xml:space="preserve">Behovet för </w:t>
      </w:r>
      <w:r>
        <w:rPr>
          <w:rFonts w:cstheme="minorHAnsi"/>
        </w:rPr>
        <w:t xml:space="preserve">och innehållet i hälsoundersökningar </w:t>
      </w:r>
      <w:r w:rsidRPr="00682081">
        <w:rPr>
          <w:rFonts w:cstheme="minorHAnsi"/>
        </w:rPr>
        <w:t xml:space="preserve">ska styras av omständigheter </w:t>
      </w:r>
      <w:r>
        <w:rPr>
          <w:rFonts w:cstheme="minorHAnsi"/>
        </w:rPr>
        <w:t xml:space="preserve">på arbetsplatsen </w:t>
      </w:r>
      <w:r w:rsidRPr="00682081">
        <w:rPr>
          <w:rFonts w:cstheme="minorHAnsi"/>
        </w:rPr>
        <w:t>med beaktande av arbetstagarens individuella egenskaper</w:t>
      </w:r>
      <w:r>
        <w:rPr>
          <w:rFonts w:cstheme="minorHAnsi"/>
        </w:rPr>
        <w:t>, samt vetenskap och beprövad erfarenhet gällande nyttan av olika sorters hälsoundersökningar</w:t>
      </w:r>
      <w:r w:rsidRPr="00993322">
        <w:rPr>
          <w:rFonts w:cstheme="minorHAnsi"/>
        </w:rPr>
        <w:t>.</w:t>
      </w:r>
      <w:r>
        <w:rPr>
          <w:rStyle w:val="Fotnotsreferens"/>
          <w:rFonts w:cstheme="minorHAnsi"/>
        </w:rPr>
        <w:footnoteReference w:id="12"/>
      </w:r>
    </w:p>
    <w:p w14:paraId="52C71DC3" w14:textId="77777777" w:rsidR="00A605BA" w:rsidRDefault="00A605BA" w:rsidP="00A605BA">
      <w:pPr>
        <w:spacing w:line="240" w:lineRule="auto"/>
        <w:rPr>
          <w:rFonts w:cstheme="minorHAnsi"/>
        </w:rPr>
      </w:pPr>
    </w:p>
    <w:p w14:paraId="3BCD9FBA" w14:textId="77777777" w:rsidR="00A605BA" w:rsidRDefault="00A605BA" w:rsidP="00A605BA">
      <w:pPr>
        <w:spacing w:line="240" w:lineRule="auto"/>
        <w:rPr>
          <w:rFonts w:cstheme="minorHAnsi"/>
        </w:rPr>
      </w:pPr>
      <w:r>
        <w:rPr>
          <w:rFonts w:cstheme="minorHAnsi"/>
        </w:rPr>
        <w:t>Enligt 14 § kan a</w:t>
      </w:r>
      <w:r w:rsidRPr="00682081">
        <w:rPr>
          <w:rFonts w:cstheme="minorHAnsi"/>
        </w:rPr>
        <w:t xml:space="preserve">rbetsgivare </w:t>
      </w:r>
      <w:r w:rsidRPr="008D3EA8">
        <w:rPr>
          <w:rFonts w:cstheme="minorHAnsi"/>
        </w:rPr>
        <w:t>utöver de tjänster som avses i 12 § ordna sjukvårdstjänster och andra hälsovårdstjänster för sina arbetstagare. Delar av den vården ersätts via FPA under ersättningsklass II (se nedan)</w:t>
      </w:r>
      <w:r>
        <w:rPr>
          <w:rFonts w:cstheme="minorHAnsi"/>
        </w:rPr>
        <w:t xml:space="preserve">. I praktiken innebär detta att arbetsgivare kan ordna eller köpa sedvanlig primärvård och därmed möjliggöra avgiftsfria sjukvårdsbesök för sina anställda, motsvarande den primärvård som för övriga ålänningar erbjuds mot patientavgift vid ÅHS hälsocentral. Det ska noteras att vård enligt 14 § är ett för arbetsgivaren frivilligt arrangemang.  </w:t>
      </w:r>
    </w:p>
    <w:p w14:paraId="5A756CE6" w14:textId="77777777" w:rsidR="00A605BA" w:rsidRDefault="00A605BA" w:rsidP="00A605BA">
      <w:pPr>
        <w:spacing w:line="240" w:lineRule="auto"/>
        <w:rPr>
          <w:rFonts w:cstheme="minorHAnsi"/>
        </w:rPr>
      </w:pPr>
    </w:p>
    <w:p w14:paraId="65DF9496" w14:textId="77777777" w:rsidR="00A605BA" w:rsidRDefault="00A605BA" w:rsidP="00A605BA">
      <w:pPr>
        <w:spacing w:line="240" w:lineRule="auto"/>
        <w:rPr>
          <w:rFonts w:cstheme="minorHAnsi"/>
        </w:rPr>
      </w:pPr>
      <w:r>
        <w:rPr>
          <w:rFonts w:cstheme="minorHAnsi"/>
        </w:rPr>
        <w:t>Ersättningar via FPA</w:t>
      </w:r>
      <w:r w:rsidRPr="008D3EA8">
        <w:rPr>
          <w:rFonts w:cstheme="minorHAnsi"/>
        </w:rPr>
        <w:t xml:space="preserve"> för företagshälsovård delas in i två klasser:</w:t>
      </w:r>
      <w:r>
        <w:rPr>
          <w:rFonts w:cstheme="minorHAnsi"/>
        </w:rPr>
        <w:t xml:space="preserve"> </w:t>
      </w:r>
      <w:r w:rsidRPr="008D3EA8">
        <w:rPr>
          <w:rFonts w:cstheme="minorHAnsi"/>
        </w:rPr>
        <w:t xml:space="preserve">Ersättningsklass I </w:t>
      </w:r>
      <w:r>
        <w:rPr>
          <w:rFonts w:cstheme="minorHAnsi"/>
        </w:rPr>
        <w:t xml:space="preserve">som </w:t>
      </w:r>
      <w:r w:rsidRPr="008D3EA8">
        <w:rPr>
          <w:rFonts w:cstheme="minorHAnsi"/>
        </w:rPr>
        <w:t>omfattar kostnaderna för förebyggande verksamhet och verksamhet som upprätthåller arbetsförmågan</w:t>
      </w:r>
      <w:r>
        <w:rPr>
          <w:rFonts w:cstheme="minorHAnsi"/>
        </w:rPr>
        <w:t xml:space="preserve"> enligt 12 § (</w:t>
      </w:r>
      <w:r w:rsidRPr="008D3EA8">
        <w:rPr>
          <w:rFonts w:cstheme="minorHAnsi"/>
        </w:rPr>
        <w:t>t.ex.</w:t>
      </w:r>
      <w:r>
        <w:rPr>
          <w:rFonts w:cstheme="minorHAnsi"/>
        </w:rPr>
        <w:t xml:space="preserve"> </w:t>
      </w:r>
      <w:r w:rsidRPr="008D3EA8">
        <w:rPr>
          <w:rFonts w:cstheme="minorHAnsi"/>
        </w:rPr>
        <w:t>arbetsplatsutredningar, arbetsplatsbesök, hälsoundersökningar och rådgivning som gäller arbetshälsa</w:t>
      </w:r>
      <w:r>
        <w:rPr>
          <w:rFonts w:cstheme="minorHAnsi"/>
        </w:rPr>
        <w:t>), samt e</w:t>
      </w:r>
      <w:r w:rsidRPr="008D3EA8">
        <w:rPr>
          <w:rFonts w:cstheme="minorHAnsi"/>
        </w:rPr>
        <w:t xml:space="preserve">rsättningsklass II </w:t>
      </w:r>
      <w:r>
        <w:rPr>
          <w:rFonts w:cstheme="minorHAnsi"/>
        </w:rPr>
        <w:t xml:space="preserve">som </w:t>
      </w:r>
      <w:r w:rsidRPr="008D3EA8">
        <w:rPr>
          <w:rFonts w:cstheme="minorHAnsi"/>
        </w:rPr>
        <w:t xml:space="preserve">omfattar kostnader för sjukvård på allmänläkarnivå och kostnader för annan hälso- och sjukvård som erbjuds </w:t>
      </w:r>
      <w:r>
        <w:rPr>
          <w:rFonts w:cstheme="minorHAnsi"/>
        </w:rPr>
        <w:t xml:space="preserve">enligt 14 §, </w:t>
      </w:r>
      <w:r w:rsidRPr="008D3EA8">
        <w:rPr>
          <w:rFonts w:cstheme="minorHAnsi"/>
        </w:rPr>
        <w:t>utöver den förebyggande företagshälsovården.</w:t>
      </w:r>
      <w:r>
        <w:rPr>
          <w:rFonts w:cstheme="minorHAnsi"/>
        </w:rPr>
        <w:t xml:space="preserve"> </w:t>
      </w:r>
      <w:r w:rsidRPr="008D3EA8">
        <w:rPr>
          <w:rFonts w:cstheme="minorHAnsi"/>
        </w:rPr>
        <w:t xml:space="preserve">Ersättningen för </w:t>
      </w:r>
      <w:r>
        <w:rPr>
          <w:rFonts w:cstheme="minorHAnsi"/>
        </w:rPr>
        <w:t xml:space="preserve">ersättningsklass I </w:t>
      </w:r>
      <w:r w:rsidRPr="008D3EA8">
        <w:rPr>
          <w:rFonts w:cstheme="minorHAnsi"/>
        </w:rPr>
        <w:t xml:space="preserve">är 60 % och för </w:t>
      </w:r>
      <w:r>
        <w:rPr>
          <w:rFonts w:cstheme="minorHAnsi"/>
        </w:rPr>
        <w:t xml:space="preserve">ersättningsklass II </w:t>
      </w:r>
      <w:r w:rsidRPr="008D3EA8">
        <w:rPr>
          <w:rFonts w:cstheme="minorHAnsi"/>
        </w:rPr>
        <w:t xml:space="preserve">50 % av de godtagbara kostnaderna. När kostnader för företagshälsovård ersätts kan godtagbara kostnader beaktas högst till ett kalkylerat maximibelopp. Maximibeloppet kan användas i sin helhet för </w:t>
      </w:r>
      <w:r>
        <w:rPr>
          <w:rFonts w:cstheme="minorHAnsi"/>
        </w:rPr>
        <w:t>ersättningsklass I</w:t>
      </w:r>
      <w:r w:rsidRPr="008D3EA8">
        <w:rPr>
          <w:rFonts w:cstheme="minorHAnsi"/>
        </w:rPr>
        <w:t>. Kostnader för ersättningsklass II kan ersättas om maximibeloppet inte har uppnåtts efter att kostnaderna för ersättningsklass I har ersatts, dock med högst 40 procent av det sammanlagda maximibeloppet.</w:t>
      </w:r>
      <w:r>
        <w:rPr>
          <w:rFonts w:cstheme="minorHAnsi"/>
        </w:rPr>
        <w:t xml:space="preserve"> </w:t>
      </w:r>
      <w:r w:rsidRPr="008D3EA8">
        <w:rPr>
          <w:rFonts w:cstheme="minorHAnsi"/>
        </w:rPr>
        <w:t xml:space="preserve">De kalkylerade maximibeloppen </w:t>
      </w:r>
      <w:r>
        <w:rPr>
          <w:rFonts w:cstheme="minorHAnsi"/>
        </w:rPr>
        <w:t xml:space="preserve">per arbetstagare </w:t>
      </w:r>
      <w:r w:rsidRPr="008D3EA8">
        <w:rPr>
          <w:rFonts w:cstheme="minorHAnsi"/>
        </w:rPr>
        <w:t>år 2023</w:t>
      </w:r>
      <w:r>
        <w:rPr>
          <w:rFonts w:cstheme="minorHAnsi"/>
        </w:rPr>
        <w:t xml:space="preserve"> var </w:t>
      </w:r>
      <w:r w:rsidRPr="008D3EA8">
        <w:rPr>
          <w:rFonts w:cstheme="minorHAnsi"/>
        </w:rPr>
        <w:t>470,50 e</w:t>
      </w:r>
      <w:r>
        <w:rPr>
          <w:rFonts w:cstheme="minorHAnsi"/>
        </w:rPr>
        <w:t>uro.</w:t>
      </w:r>
      <w:r>
        <w:rPr>
          <w:rStyle w:val="Fotnotsreferens"/>
          <w:rFonts w:cstheme="minorHAnsi"/>
        </w:rPr>
        <w:footnoteReference w:id="13"/>
      </w:r>
    </w:p>
    <w:p w14:paraId="4D5420F3" w14:textId="77777777" w:rsidR="00A605BA" w:rsidRDefault="00A605BA" w:rsidP="00A605BA">
      <w:pPr>
        <w:spacing w:line="240" w:lineRule="auto"/>
        <w:rPr>
          <w:rFonts w:cstheme="minorHAnsi"/>
        </w:rPr>
      </w:pPr>
    </w:p>
    <w:p w14:paraId="2F80D7AE" w14:textId="77777777" w:rsidR="00A605BA" w:rsidRDefault="00A605BA" w:rsidP="00A605BA">
      <w:pPr>
        <w:spacing w:line="240" w:lineRule="auto"/>
        <w:rPr>
          <w:rFonts w:cstheme="minorHAnsi"/>
        </w:rPr>
      </w:pPr>
    </w:p>
    <w:p w14:paraId="08B616E2" w14:textId="77777777" w:rsidR="000719DE" w:rsidRDefault="000719DE">
      <w:pPr>
        <w:autoSpaceDE/>
        <w:autoSpaceDN/>
        <w:adjustRightInd/>
        <w:spacing w:after="160" w:line="259" w:lineRule="auto"/>
        <w:textAlignment w:val="auto"/>
        <w:rPr>
          <w:b/>
          <w:bCs/>
          <w:sz w:val="32"/>
          <w:szCs w:val="32"/>
        </w:rPr>
      </w:pPr>
      <w:r>
        <w:rPr>
          <w:b/>
          <w:bCs/>
          <w:sz w:val="32"/>
          <w:szCs w:val="32"/>
        </w:rPr>
        <w:br w:type="page"/>
      </w:r>
    </w:p>
    <w:p w14:paraId="7CDEFA09" w14:textId="012BCF23" w:rsidR="00A605BA" w:rsidRPr="00CC6D21" w:rsidRDefault="00A605BA" w:rsidP="00CC6D21">
      <w:pPr>
        <w:rPr>
          <w:b/>
          <w:bCs/>
          <w:sz w:val="32"/>
          <w:szCs w:val="32"/>
        </w:rPr>
      </w:pPr>
      <w:r w:rsidRPr="00CC6D21">
        <w:rPr>
          <w:b/>
          <w:bCs/>
          <w:sz w:val="32"/>
          <w:szCs w:val="32"/>
        </w:rPr>
        <w:lastRenderedPageBreak/>
        <w:t>Privata tjänsteproducenter på Åland</w:t>
      </w:r>
    </w:p>
    <w:p w14:paraId="112B2495" w14:textId="77777777" w:rsidR="00A605BA" w:rsidRDefault="00A605BA" w:rsidP="00A605BA">
      <w:pPr>
        <w:spacing w:line="240" w:lineRule="auto"/>
        <w:rPr>
          <w:rFonts w:cstheme="minorHAnsi"/>
        </w:rPr>
      </w:pPr>
    </w:p>
    <w:p w14:paraId="3F271E9A" w14:textId="77777777" w:rsidR="00A605BA" w:rsidRDefault="00A605BA" w:rsidP="00A605BA">
      <w:pPr>
        <w:spacing w:line="240" w:lineRule="auto"/>
        <w:rPr>
          <w:rFonts w:cstheme="minorHAnsi"/>
        </w:rPr>
      </w:pPr>
      <w:r>
        <w:rPr>
          <w:rFonts w:cstheme="minorHAnsi"/>
        </w:rPr>
        <w:t>Enligt l</w:t>
      </w:r>
      <w:r w:rsidRPr="000454B4">
        <w:rPr>
          <w:rFonts w:cstheme="minorHAnsi"/>
        </w:rPr>
        <w:t>andskapslag om privat hälso- och sjukvård</w:t>
      </w:r>
      <w:r>
        <w:rPr>
          <w:rFonts w:cstheme="minorHAnsi"/>
        </w:rPr>
        <w:t xml:space="preserve"> delas privata </w:t>
      </w:r>
      <w:r w:rsidRPr="000454B4">
        <w:rPr>
          <w:rFonts w:cstheme="minorHAnsi"/>
        </w:rPr>
        <w:t>tjänsteproducent</w:t>
      </w:r>
      <w:r>
        <w:rPr>
          <w:rFonts w:cstheme="minorHAnsi"/>
        </w:rPr>
        <w:t>er</w:t>
      </w:r>
      <w:r w:rsidRPr="000454B4">
        <w:rPr>
          <w:rFonts w:cstheme="minorHAnsi"/>
        </w:rPr>
        <w:t xml:space="preserve"> </w:t>
      </w:r>
      <w:r>
        <w:rPr>
          <w:rFonts w:cstheme="minorHAnsi"/>
        </w:rPr>
        <w:t xml:space="preserve">in i </w:t>
      </w:r>
      <w:r w:rsidRPr="000454B4">
        <w:rPr>
          <w:rFonts w:cstheme="minorHAnsi"/>
        </w:rPr>
        <w:t>serviceproducent</w:t>
      </w:r>
      <w:r>
        <w:rPr>
          <w:rFonts w:cstheme="minorHAnsi"/>
        </w:rPr>
        <w:t>er</w:t>
      </w:r>
      <w:r w:rsidRPr="000454B4">
        <w:rPr>
          <w:rFonts w:cstheme="minorHAnsi"/>
        </w:rPr>
        <w:t xml:space="preserve"> och självständig</w:t>
      </w:r>
      <w:r>
        <w:rPr>
          <w:rFonts w:cstheme="minorHAnsi"/>
        </w:rPr>
        <w:t>a</w:t>
      </w:r>
      <w:r w:rsidRPr="000454B4">
        <w:rPr>
          <w:rFonts w:cstheme="minorHAnsi"/>
        </w:rPr>
        <w:t xml:space="preserve"> yrkesutövare.</w:t>
      </w:r>
      <w:r>
        <w:rPr>
          <w:rFonts w:cstheme="minorHAnsi"/>
        </w:rPr>
        <w:t xml:space="preserve"> </w:t>
      </w:r>
      <w:r w:rsidRPr="00E37A6A">
        <w:rPr>
          <w:rFonts w:cstheme="minorHAnsi"/>
        </w:rPr>
        <w:t xml:space="preserve">Med </w:t>
      </w:r>
      <w:r w:rsidRPr="00E37A6A">
        <w:rPr>
          <w:rFonts w:cstheme="minorHAnsi"/>
          <w:i/>
          <w:iCs/>
        </w:rPr>
        <w:t>serviceproducent</w:t>
      </w:r>
      <w:r w:rsidRPr="00E37A6A">
        <w:rPr>
          <w:rFonts w:cstheme="minorHAnsi"/>
        </w:rPr>
        <w:t xml:space="preserve"> avses en sådan enskild eller ett bolag, ett andelslag, en förening eller någon annan sammanslutning eller stiftelse som har en verksamhetsenhet som tillhandahåller hälso- och sjukvårdstjänster</w:t>
      </w:r>
      <w:r>
        <w:rPr>
          <w:rFonts w:cstheme="minorHAnsi"/>
        </w:rPr>
        <w:t xml:space="preserve">. </w:t>
      </w:r>
      <w:r w:rsidRPr="00E37A6A">
        <w:rPr>
          <w:rFonts w:cstheme="minorHAnsi"/>
        </w:rPr>
        <w:t xml:space="preserve">Med </w:t>
      </w:r>
      <w:r w:rsidRPr="00E37A6A">
        <w:rPr>
          <w:rFonts w:cstheme="minorHAnsi"/>
          <w:i/>
          <w:iCs/>
        </w:rPr>
        <w:t>självständig yrkesutövare</w:t>
      </w:r>
      <w:r w:rsidRPr="00E37A6A">
        <w:rPr>
          <w:rFonts w:cstheme="minorHAnsi"/>
        </w:rPr>
        <w:t xml:space="preserve"> avses en sådan yrkesutbildad person inom hälso- och sjukvården som avses i 2 § 1 mom. i lagen om yrkesutbildade personer inom hälso- och sjukvården och som självständigt utövar sitt yrke.</w:t>
      </w:r>
      <w:r>
        <w:rPr>
          <w:rFonts w:cstheme="minorHAnsi"/>
        </w:rPr>
        <w:t xml:space="preserve"> </w:t>
      </w:r>
    </w:p>
    <w:p w14:paraId="5ACDD5CE" w14:textId="77777777" w:rsidR="00A605BA" w:rsidRDefault="00A605BA" w:rsidP="00A605BA">
      <w:pPr>
        <w:spacing w:line="240" w:lineRule="auto"/>
        <w:rPr>
          <w:rFonts w:cstheme="minorHAnsi"/>
        </w:rPr>
      </w:pPr>
    </w:p>
    <w:p w14:paraId="25903434" w14:textId="77777777" w:rsidR="00A605BA" w:rsidRPr="00CC6D21" w:rsidRDefault="00A605BA" w:rsidP="00CC6D21">
      <w:pPr>
        <w:rPr>
          <w:b/>
          <w:bCs/>
          <w:sz w:val="24"/>
          <w:szCs w:val="24"/>
        </w:rPr>
      </w:pPr>
      <w:r w:rsidRPr="00CC6D21">
        <w:rPr>
          <w:b/>
          <w:bCs/>
          <w:sz w:val="24"/>
          <w:szCs w:val="24"/>
        </w:rPr>
        <w:t>Serviceproducenter, sjukvård</w:t>
      </w:r>
    </w:p>
    <w:p w14:paraId="282F65BD" w14:textId="77777777" w:rsidR="00A605BA" w:rsidRDefault="00A605BA" w:rsidP="00A605BA">
      <w:pPr>
        <w:spacing w:line="240" w:lineRule="auto"/>
        <w:rPr>
          <w:rFonts w:cstheme="minorHAnsi"/>
        </w:rPr>
      </w:pPr>
      <w:r>
        <w:rPr>
          <w:rFonts w:cstheme="minorHAnsi"/>
        </w:rPr>
        <w:t xml:space="preserve">De senaste decennierna har det funnits två privata serviceproducenter som erbjuder sjukvård på Åland, Cityläkarna som etablerades 1990 och Medimar som etablerades 1991. År 2021 köptes Medimar av det finska vårdbolaget Terveystalo. År 2024 köpte Terveystalo även Cityläkarna. Terveystalo är inte registrerad serviceproducent på Åland utan endast ägare.     </w:t>
      </w:r>
    </w:p>
    <w:p w14:paraId="3D5EDC00" w14:textId="77777777" w:rsidR="00A605BA" w:rsidRDefault="00A605BA" w:rsidP="00A605BA">
      <w:pPr>
        <w:spacing w:line="240" w:lineRule="auto"/>
        <w:rPr>
          <w:rFonts w:cstheme="minorHAnsi"/>
        </w:rPr>
      </w:pPr>
    </w:p>
    <w:p w14:paraId="7B2ACBC1" w14:textId="77777777" w:rsidR="00A605BA" w:rsidRDefault="00A605BA" w:rsidP="00A605BA">
      <w:pPr>
        <w:spacing w:line="240" w:lineRule="auto"/>
        <w:rPr>
          <w:rFonts w:cstheme="minorHAnsi"/>
        </w:rPr>
      </w:pPr>
      <w:r>
        <w:rPr>
          <w:rFonts w:cstheme="minorHAnsi"/>
        </w:rPr>
        <w:t xml:space="preserve">År 2022 var ca 90% av alla privata läkarbesök på Åland hos Medimar eller Cityläkarna: knappt 40 000 läkarbesök sammanlagt på Medimar och Cityläkarna, inklusive besök till självständiga yrkesutövare som arbetar inom Medimar eller Cityläkarnas verksamhet. Detta kan jämföras med ca 5 000 läkarbesök till självständiga yrkesutövare. Dominansen beror främst på att Medimar och Cityläkarna sedan år 2019 är de enda producenterna av upphandlad företagshälsovård på Åland. År 2022 erbjöd Medimar och Cityläkarna företagshälsovård till drygt 1 200 företag med totalt ca 13 600 anställda; knappt hälften av Ålands befolkning och drygt 90% av personer som var i sysselsättning år 2022. </w:t>
      </w:r>
      <w:r w:rsidRPr="00263C94">
        <w:rPr>
          <w:rFonts w:cstheme="minorHAnsi"/>
        </w:rPr>
        <w:t xml:space="preserve">Hälso- och sjukvård </w:t>
      </w:r>
      <w:r>
        <w:rPr>
          <w:rFonts w:cstheme="minorHAnsi"/>
        </w:rPr>
        <w:t xml:space="preserve">som </w:t>
      </w:r>
      <w:r w:rsidRPr="00263C94">
        <w:rPr>
          <w:rFonts w:cstheme="minorHAnsi"/>
        </w:rPr>
        <w:t>producera</w:t>
      </w:r>
      <w:r>
        <w:rPr>
          <w:rFonts w:cstheme="minorHAnsi"/>
        </w:rPr>
        <w:t>s</w:t>
      </w:r>
      <w:r w:rsidRPr="00263C94">
        <w:rPr>
          <w:rFonts w:cstheme="minorHAnsi"/>
        </w:rPr>
        <w:t xml:space="preserve"> inom ramen för upphandlad företagshälsovård utgör ca tre fjärdedelar av all privat hälso- och sjukvård som produceras på Åland (74% av de totala kostnaderna för privat hälso- och sjukvård).</w:t>
      </w:r>
      <w:r>
        <w:rPr>
          <w:rFonts w:cstheme="minorHAnsi"/>
        </w:rPr>
        <w:t xml:space="preserve"> Medimar och Cityläkarna producerar även sjukvård utanför ramarna för företagshälsovård. </w:t>
      </w:r>
    </w:p>
    <w:p w14:paraId="33D7B090" w14:textId="77777777" w:rsidR="00A605BA" w:rsidRDefault="00A605BA" w:rsidP="00A605BA">
      <w:pPr>
        <w:spacing w:line="240" w:lineRule="auto"/>
        <w:rPr>
          <w:rFonts w:cstheme="minorHAnsi"/>
        </w:rPr>
      </w:pPr>
    </w:p>
    <w:p w14:paraId="749D4B1E" w14:textId="77777777" w:rsidR="00A605BA" w:rsidRDefault="00A605BA" w:rsidP="00A605BA">
      <w:pPr>
        <w:spacing w:line="240" w:lineRule="auto"/>
        <w:rPr>
          <w:rFonts w:cstheme="minorHAnsi"/>
        </w:rPr>
      </w:pPr>
      <w:r>
        <w:rPr>
          <w:rFonts w:cstheme="minorHAnsi"/>
        </w:rPr>
        <w:t xml:space="preserve">De ca 40 000 läkarbesöken per år till Medimar och Cityläkarna kan jämföras med ca 60 000 besök till ÅHS hälsocentral för personer mellan 18 och 64 år. Grovt kan man därför säga att den primärvård som erbjuds via företagshälsovården på Medimar och Cityläkarna utgör ca 40% av den totala primärvården för personer i ”arbetsför ålder”. </w:t>
      </w:r>
    </w:p>
    <w:p w14:paraId="5157B0B0" w14:textId="77777777" w:rsidR="00A605BA" w:rsidRDefault="00A605BA" w:rsidP="00A605BA">
      <w:pPr>
        <w:spacing w:line="240" w:lineRule="auto"/>
        <w:rPr>
          <w:rFonts w:cstheme="minorHAnsi"/>
        </w:rPr>
      </w:pPr>
    </w:p>
    <w:p w14:paraId="2C223445" w14:textId="77777777" w:rsidR="00A605BA" w:rsidRPr="00CC6D21" w:rsidRDefault="00A605BA" w:rsidP="00CC6D21">
      <w:pPr>
        <w:rPr>
          <w:b/>
          <w:bCs/>
          <w:sz w:val="24"/>
          <w:szCs w:val="24"/>
        </w:rPr>
      </w:pPr>
      <w:r w:rsidRPr="00CC6D21">
        <w:rPr>
          <w:b/>
          <w:bCs/>
          <w:sz w:val="24"/>
          <w:szCs w:val="24"/>
        </w:rPr>
        <w:t>Självständiga yrkesutövare</w:t>
      </w:r>
    </w:p>
    <w:p w14:paraId="373BF6DC" w14:textId="77777777" w:rsidR="00A605BA" w:rsidRDefault="00A605BA" w:rsidP="00A605BA">
      <w:pPr>
        <w:spacing w:line="240" w:lineRule="auto"/>
        <w:rPr>
          <w:rFonts w:cstheme="minorHAnsi"/>
        </w:rPr>
      </w:pPr>
      <w:r>
        <w:rPr>
          <w:rFonts w:cstheme="minorHAnsi"/>
        </w:rPr>
        <w:t xml:space="preserve">År 2023 fanns det 119 registrerade självständiga yrkesutövare, vilka fördelade sig över yrkeskategorier enligt figur 1. </w:t>
      </w:r>
      <w:r w:rsidRPr="00324781">
        <w:rPr>
          <w:rFonts w:cstheme="minorHAnsi"/>
        </w:rPr>
        <w:t>Självständiga yrkesutövare</w:t>
      </w:r>
      <w:r>
        <w:rPr>
          <w:rFonts w:cstheme="minorHAnsi"/>
        </w:rPr>
        <w:t xml:space="preserve"> kan arbeta i en egen lokal eller i en serviceproducents lokal under kontrakt med serviceproducenten. Till exempel arbetar ett flertal självständiga läkare i Medimars och Cityläkarnas lokaler, där de även nyttjar vissa av serviceproducentens funktioner (bland annat utrustning, tidbokning och journalsystem) och förpliktigar sig att följa vissa avtalade stadgar men i övrigt agerar oberoende av serviceproducenten.   </w:t>
      </w:r>
    </w:p>
    <w:p w14:paraId="127A2DD1" w14:textId="77777777" w:rsidR="00A605BA" w:rsidRDefault="00A605BA" w:rsidP="00A605BA">
      <w:pPr>
        <w:spacing w:line="240" w:lineRule="auto"/>
        <w:rPr>
          <w:rFonts w:cstheme="minorHAnsi"/>
        </w:rPr>
      </w:pPr>
    </w:p>
    <w:p w14:paraId="743C60DF" w14:textId="77777777" w:rsidR="00A605BA" w:rsidRDefault="00A605BA" w:rsidP="00A605BA">
      <w:pPr>
        <w:spacing w:line="240" w:lineRule="auto"/>
        <w:rPr>
          <w:rFonts w:cstheme="minorHAnsi"/>
        </w:rPr>
      </w:pPr>
      <w:r>
        <w:rPr>
          <w:rFonts w:cstheme="minorHAnsi"/>
          <w:noProof/>
        </w:rPr>
        <w:lastRenderedPageBreak/>
        <w:drawing>
          <wp:inline distT="0" distB="0" distL="0" distR="0" wp14:anchorId="62367604" wp14:editId="5896B920">
            <wp:extent cx="5231882" cy="3182587"/>
            <wp:effectExtent l="0" t="0" r="6985" b="0"/>
            <wp:docPr id="164283116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5417" cy="3233402"/>
                    </a:xfrm>
                    <a:prstGeom prst="rect">
                      <a:avLst/>
                    </a:prstGeom>
                    <a:noFill/>
                  </pic:spPr>
                </pic:pic>
              </a:graphicData>
            </a:graphic>
          </wp:inline>
        </w:drawing>
      </w:r>
      <w:r>
        <w:rPr>
          <w:rFonts w:cstheme="minorHAnsi"/>
        </w:rPr>
        <w:t xml:space="preserve">  </w:t>
      </w:r>
    </w:p>
    <w:p w14:paraId="4B5D42D2" w14:textId="77777777" w:rsidR="00A605BA" w:rsidRDefault="00A605BA" w:rsidP="00A605BA">
      <w:pPr>
        <w:spacing w:line="240" w:lineRule="auto"/>
        <w:rPr>
          <w:rFonts w:cstheme="minorHAnsi"/>
        </w:rPr>
      </w:pPr>
      <w:r>
        <w:rPr>
          <w:rFonts w:cstheme="minorHAnsi"/>
        </w:rPr>
        <w:t>Figur 1. Antal s</w:t>
      </w:r>
      <w:r w:rsidRPr="00324781">
        <w:rPr>
          <w:rFonts w:cstheme="minorHAnsi"/>
        </w:rPr>
        <w:t>jälvständiga yrkesutövare</w:t>
      </w:r>
      <w:r>
        <w:rPr>
          <w:rFonts w:cstheme="minorHAnsi"/>
        </w:rPr>
        <w:t xml:space="preserve"> registrerade på Åland år 2023.</w:t>
      </w:r>
    </w:p>
    <w:p w14:paraId="53D95D36" w14:textId="77777777" w:rsidR="00A605BA" w:rsidRDefault="00A605BA" w:rsidP="00A605BA">
      <w:pPr>
        <w:spacing w:line="240" w:lineRule="auto"/>
        <w:rPr>
          <w:rFonts w:cstheme="minorHAnsi"/>
        </w:rPr>
      </w:pPr>
    </w:p>
    <w:p w14:paraId="54D9C22C" w14:textId="77777777" w:rsidR="00A605BA" w:rsidRDefault="00A605BA" w:rsidP="00A605BA">
      <w:pPr>
        <w:spacing w:line="240" w:lineRule="auto"/>
        <w:rPr>
          <w:rFonts w:cstheme="minorHAnsi"/>
          <w:b/>
          <w:bCs/>
          <w:i/>
          <w:iCs/>
        </w:rPr>
      </w:pPr>
    </w:p>
    <w:p w14:paraId="40FAFEDB" w14:textId="77777777" w:rsidR="00A605BA" w:rsidRDefault="00A605BA" w:rsidP="00A605BA">
      <w:pPr>
        <w:spacing w:line="240" w:lineRule="auto"/>
        <w:rPr>
          <w:rFonts w:cstheme="minorHAnsi"/>
          <w:b/>
          <w:bCs/>
          <w:i/>
          <w:iCs/>
        </w:rPr>
      </w:pPr>
    </w:p>
    <w:p w14:paraId="780FEE79" w14:textId="77777777" w:rsidR="00A605BA" w:rsidRPr="00CC6D21" w:rsidRDefault="00A605BA" w:rsidP="00CC6D21">
      <w:pPr>
        <w:rPr>
          <w:b/>
          <w:bCs/>
          <w:sz w:val="24"/>
          <w:szCs w:val="24"/>
        </w:rPr>
      </w:pPr>
      <w:r w:rsidRPr="00CC6D21">
        <w:rPr>
          <w:b/>
          <w:bCs/>
          <w:sz w:val="24"/>
          <w:szCs w:val="24"/>
        </w:rPr>
        <w:t>Tandvård</w:t>
      </w:r>
    </w:p>
    <w:p w14:paraId="163C8CC6" w14:textId="77777777" w:rsidR="00A605BA" w:rsidRDefault="00A605BA" w:rsidP="00A605BA">
      <w:pPr>
        <w:spacing w:line="240" w:lineRule="auto"/>
        <w:rPr>
          <w:rFonts w:cstheme="minorHAnsi"/>
        </w:rPr>
      </w:pPr>
      <w:r>
        <w:rPr>
          <w:rFonts w:cstheme="minorHAnsi"/>
        </w:rPr>
        <w:t xml:space="preserve">År 2023 fanns sammanlagt 22 privata tandläkare registrerade på Åland. Det finns fyra serviceproducenter på Åland som erbjuder tandvård, där det arbetar 15 </w:t>
      </w:r>
      <w:r w:rsidRPr="004A2B27">
        <w:rPr>
          <w:rFonts w:cstheme="minorHAnsi"/>
        </w:rPr>
        <w:t>tandläkare.</w:t>
      </w:r>
      <w:r w:rsidRPr="004A2B27">
        <w:rPr>
          <w:rStyle w:val="Fotnotsreferens"/>
          <w:rFonts w:cstheme="minorHAnsi"/>
        </w:rPr>
        <w:footnoteReference w:id="14"/>
      </w:r>
      <w:r w:rsidRPr="004A2B27">
        <w:rPr>
          <w:rFonts w:cstheme="minorHAnsi"/>
        </w:rPr>
        <w:t xml:space="preserve"> Samtliga</w:t>
      </w:r>
      <w:r w:rsidRPr="00A4234B">
        <w:rPr>
          <w:rFonts w:cstheme="minorHAnsi"/>
        </w:rPr>
        <w:t xml:space="preserve"> dessa tandläkare är också registrerade som självständiga yrkesutövare</w:t>
      </w:r>
      <w:r>
        <w:rPr>
          <w:rFonts w:cstheme="minorHAnsi"/>
        </w:rPr>
        <w:t xml:space="preserve"> och har olika sorters överenskommelser med </w:t>
      </w:r>
      <w:r w:rsidRPr="004B298D">
        <w:rPr>
          <w:rFonts w:cstheme="minorHAnsi"/>
        </w:rPr>
        <w:t>serviceproducenten/bolaget.</w:t>
      </w:r>
      <w:r>
        <w:rPr>
          <w:rFonts w:cstheme="minorHAnsi"/>
        </w:rPr>
        <w:t xml:space="preserve"> Utöver dessa finns 7 ytterligare tandläkare registrerade som självständiga yrkesutövare.  </w:t>
      </w:r>
    </w:p>
    <w:p w14:paraId="2BF1424D" w14:textId="77777777" w:rsidR="00A605BA" w:rsidRDefault="00A605BA" w:rsidP="00A605BA">
      <w:pPr>
        <w:spacing w:line="240" w:lineRule="auto"/>
        <w:rPr>
          <w:rFonts w:cstheme="minorHAnsi"/>
        </w:rPr>
      </w:pPr>
    </w:p>
    <w:p w14:paraId="61894A8E" w14:textId="77777777" w:rsidR="00A605BA" w:rsidRDefault="00A605BA" w:rsidP="00A605BA">
      <w:pPr>
        <w:spacing w:line="240" w:lineRule="auto"/>
        <w:rPr>
          <w:rFonts w:cstheme="minorHAnsi"/>
        </w:rPr>
      </w:pPr>
      <w:r>
        <w:rPr>
          <w:rFonts w:cstheme="minorHAnsi"/>
        </w:rPr>
        <w:t>År 2023 var det drygt 26 000 FPA-ersättningsgilla besök till privata tandläkare på Åland.</w:t>
      </w:r>
      <w:r>
        <w:rPr>
          <w:rStyle w:val="Fotnotsreferens"/>
          <w:rFonts w:cstheme="minorHAnsi"/>
        </w:rPr>
        <w:footnoteReference w:id="15"/>
      </w:r>
      <w:r>
        <w:rPr>
          <w:rFonts w:cstheme="minorHAnsi"/>
        </w:rPr>
        <w:t xml:space="preserve"> Dessa besök gjordes av knappt 12 000 ålänningar, vilket utgjorde knappt 40% av ålänningarna. I riket varierar andelen som har privata tandläkarbesök med ersättning från FPA mellan 10 och 20%.</w:t>
      </w:r>
      <w:r>
        <w:rPr>
          <w:rStyle w:val="Fotnotsreferens"/>
          <w:rFonts w:cstheme="minorHAnsi"/>
        </w:rPr>
        <w:footnoteReference w:id="16"/>
      </w:r>
      <w:r>
        <w:rPr>
          <w:rFonts w:cstheme="minorHAnsi"/>
        </w:rPr>
        <w:t xml:space="preserve"> Det finns ingen allmän tandvård för vuxna på Åland och endast vissa grupper har rätt till tandvård via ÅHS</w:t>
      </w:r>
      <w:r w:rsidRPr="004B298D">
        <w:rPr>
          <w:rFonts w:cstheme="minorHAnsi"/>
        </w:rPr>
        <w:t>. Detta skiljer sig från riket.</w:t>
      </w:r>
      <w:r>
        <w:rPr>
          <w:rFonts w:cstheme="minorHAnsi"/>
        </w:rPr>
        <w:t xml:space="preserve"> Den totala FPA ersättning till personer på Åland var drygt 600 000 euro år 2023, vilket motsvarar 53 euro per </w:t>
      </w:r>
      <w:r w:rsidRPr="004B298D">
        <w:rPr>
          <w:rFonts w:cstheme="minorHAnsi"/>
        </w:rPr>
        <w:t xml:space="preserve">mottagare. </w:t>
      </w:r>
      <w:r>
        <w:rPr>
          <w:rFonts w:cstheme="minorHAnsi"/>
        </w:rPr>
        <w:t xml:space="preserve">I riket varierade ersättningen från FPA för privat tandvård mellan 42 och 52 euro per mottagare. Det finns inte uppgifter om patientavgifter som inte ersätts av FPA, men denna kostnad per patient torde vara betydligt högre på Åland än i övriga Finland.     </w:t>
      </w:r>
    </w:p>
    <w:p w14:paraId="6AFE0778" w14:textId="77777777" w:rsidR="00A605BA" w:rsidRDefault="00A605BA" w:rsidP="00A605BA">
      <w:pPr>
        <w:spacing w:line="240" w:lineRule="auto"/>
        <w:rPr>
          <w:rFonts w:cstheme="minorHAnsi"/>
        </w:rPr>
      </w:pPr>
    </w:p>
    <w:p w14:paraId="2E71774A" w14:textId="77777777" w:rsidR="00A605BA" w:rsidRDefault="00A605BA" w:rsidP="00A605BA">
      <w:pPr>
        <w:spacing w:line="240" w:lineRule="auto"/>
        <w:rPr>
          <w:rFonts w:cstheme="minorHAnsi"/>
        </w:rPr>
      </w:pPr>
    </w:p>
    <w:p w14:paraId="51FA0C8D" w14:textId="77777777" w:rsidR="00A605BA" w:rsidRPr="00CC6D21" w:rsidRDefault="00A605BA" w:rsidP="00CC6D21">
      <w:pPr>
        <w:rPr>
          <w:b/>
          <w:bCs/>
          <w:sz w:val="32"/>
          <w:szCs w:val="32"/>
        </w:rPr>
      </w:pPr>
      <w:r w:rsidRPr="00CC6D21">
        <w:rPr>
          <w:b/>
          <w:bCs/>
          <w:sz w:val="32"/>
          <w:szCs w:val="32"/>
        </w:rPr>
        <w:t xml:space="preserve">Trender för vårdvolymer </w:t>
      </w:r>
    </w:p>
    <w:p w14:paraId="00C05FAF" w14:textId="77777777" w:rsidR="00A605BA" w:rsidRDefault="00A605BA" w:rsidP="00A605BA">
      <w:pPr>
        <w:spacing w:line="240" w:lineRule="auto"/>
        <w:rPr>
          <w:rFonts w:cstheme="minorHAnsi"/>
        </w:rPr>
      </w:pPr>
    </w:p>
    <w:p w14:paraId="6F23639C" w14:textId="77777777" w:rsidR="00A605BA" w:rsidRDefault="00A605BA" w:rsidP="00A605BA">
      <w:pPr>
        <w:spacing w:line="240" w:lineRule="auto"/>
        <w:rPr>
          <w:rFonts w:cstheme="minorHAnsi"/>
        </w:rPr>
      </w:pPr>
      <w:r w:rsidRPr="00BA6ED3">
        <w:rPr>
          <w:rFonts w:cstheme="minorHAnsi"/>
        </w:rPr>
        <w:t xml:space="preserve">Antalet läkarbesök hos </w:t>
      </w:r>
      <w:r>
        <w:rPr>
          <w:rFonts w:cstheme="minorHAnsi"/>
        </w:rPr>
        <w:t xml:space="preserve">Medimar och Cityläkarna </w:t>
      </w:r>
      <w:r w:rsidRPr="00BA6ED3">
        <w:rPr>
          <w:rFonts w:cstheme="minorHAnsi"/>
        </w:rPr>
        <w:t>fluktuerade mellan ca 25 000 och ca 40 000 per år under perioden 2015-2022, utan någon tydlig ökande eller minskande trend</w:t>
      </w:r>
      <w:r>
        <w:rPr>
          <w:rFonts w:cstheme="minorHAnsi"/>
        </w:rPr>
        <w:t xml:space="preserve"> (Figur 2)</w:t>
      </w:r>
      <w:r w:rsidRPr="00BA6ED3">
        <w:rPr>
          <w:rFonts w:cstheme="minorHAnsi"/>
        </w:rPr>
        <w:t xml:space="preserve">. </w:t>
      </w:r>
      <w:r>
        <w:rPr>
          <w:rFonts w:cstheme="minorHAnsi"/>
        </w:rPr>
        <w:t xml:space="preserve">Antalet besök till hälsovårdare (framför allt för rutinmässiga hälsokontroller inom företagshälsovården) har däremot ökat (Figur 2). Andelen </w:t>
      </w:r>
      <w:r w:rsidRPr="00BA6ED3">
        <w:rPr>
          <w:rFonts w:cstheme="minorHAnsi"/>
        </w:rPr>
        <w:t>av de privata läkarbesök</w:t>
      </w:r>
      <w:r>
        <w:rPr>
          <w:rFonts w:cstheme="minorHAnsi"/>
        </w:rPr>
        <w:t>en till Medimar och Cityläkarna som</w:t>
      </w:r>
      <w:r w:rsidRPr="00BA6ED3">
        <w:rPr>
          <w:rFonts w:cstheme="minorHAnsi"/>
        </w:rPr>
        <w:t xml:space="preserve"> var inom avtalad företagshälsovård </w:t>
      </w:r>
      <w:r>
        <w:rPr>
          <w:rFonts w:cstheme="minorHAnsi"/>
        </w:rPr>
        <w:t xml:space="preserve">har varit ca två tredjedelar under en längre tid </w:t>
      </w:r>
      <w:r w:rsidRPr="00BA6ED3">
        <w:rPr>
          <w:rFonts w:cstheme="minorHAnsi"/>
        </w:rPr>
        <w:t xml:space="preserve">(Figur </w:t>
      </w:r>
      <w:r>
        <w:rPr>
          <w:rFonts w:cstheme="minorHAnsi"/>
        </w:rPr>
        <w:t>3</w:t>
      </w:r>
      <w:r w:rsidRPr="00BA6ED3">
        <w:rPr>
          <w:rFonts w:cstheme="minorHAnsi"/>
        </w:rPr>
        <w:t xml:space="preserve">). Antalet läkarbesök (alla </w:t>
      </w:r>
      <w:r w:rsidRPr="00BA6ED3">
        <w:rPr>
          <w:rFonts w:cstheme="minorHAnsi"/>
        </w:rPr>
        <w:lastRenderedPageBreak/>
        <w:t>kontakttyper</w:t>
      </w:r>
      <w:r>
        <w:rPr>
          <w:rFonts w:cstheme="minorHAnsi"/>
        </w:rPr>
        <w:t>, alla åldrar</w:t>
      </w:r>
      <w:r w:rsidRPr="00BA6ED3">
        <w:rPr>
          <w:rFonts w:cstheme="minorHAnsi"/>
        </w:rPr>
        <w:t xml:space="preserve">) till Cityläkarna och Medimar </w:t>
      </w:r>
      <w:r>
        <w:rPr>
          <w:rFonts w:cstheme="minorHAnsi"/>
        </w:rPr>
        <w:t>har legat ganska stabilt kring c</w:t>
      </w:r>
      <w:r w:rsidRPr="00BA6ED3">
        <w:rPr>
          <w:rFonts w:cstheme="minorHAnsi"/>
        </w:rPr>
        <w:t xml:space="preserve">a en tredjedel av alla läkarbesök inom den öppna primärvården på Åland (Figur </w:t>
      </w:r>
      <w:r>
        <w:rPr>
          <w:rFonts w:cstheme="minorHAnsi"/>
        </w:rPr>
        <w:t>4</w:t>
      </w:r>
      <w:r w:rsidRPr="00BA6ED3">
        <w:rPr>
          <w:rFonts w:cstheme="minorHAnsi"/>
        </w:rPr>
        <w:t xml:space="preserve">). </w:t>
      </w:r>
    </w:p>
    <w:p w14:paraId="3BB149DD" w14:textId="77777777" w:rsidR="00A605BA" w:rsidRDefault="00A605BA" w:rsidP="00A605BA">
      <w:pPr>
        <w:spacing w:line="240" w:lineRule="auto"/>
        <w:rPr>
          <w:rFonts w:cstheme="minorHAnsi"/>
        </w:rPr>
      </w:pPr>
    </w:p>
    <w:p w14:paraId="1B6B81C6" w14:textId="77777777" w:rsidR="00A605BA" w:rsidRDefault="00A605BA" w:rsidP="00A605BA">
      <w:pPr>
        <w:spacing w:line="240" w:lineRule="auto"/>
        <w:rPr>
          <w:rFonts w:cstheme="minorHAnsi"/>
        </w:rPr>
      </w:pPr>
    </w:p>
    <w:p w14:paraId="065E3E48" w14:textId="77777777" w:rsidR="00A605BA" w:rsidRPr="00BA6ED3" w:rsidRDefault="00A605BA" w:rsidP="00A605BA">
      <w:pPr>
        <w:autoSpaceDE/>
        <w:autoSpaceDN/>
        <w:adjustRightInd/>
        <w:spacing w:line="240" w:lineRule="auto"/>
        <w:textAlignment w:val="auto"/>
        <w:rPr>
          <w:rFonts w:cstheme="minorHAnsi"/>
          <w:b/>
          <w:bCs/>
        </w:rPr>
      </w:pPr>
      <w:r w:rsidRPr="00BA6ED3">
        <w:rPr>
          <w:rFonts w:cstheme="minorHAnsi"/>
          <w:b/>
          <w:bCs/>
          <w:noProof/>
        </w:rPr>
        <w:drawing>
          <wp:inline distT="0" distB="0" distL="0" distR="0" wp14:anchorId="4E73E7CD" wp14:editId="6F7580D6">
            <wp:extent cx="5126957" cy="3063834"/>
            <wp:effectExtent l="0" t="0" r="0" b="3810"/>
            <wp:docPr id="505381359" name="Bildobjekt 2" descr="En bild som visar text, skärmbild, Teckensnitt, Graf&#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81359" name="Bildobjekt 2" descr="En bild som visar text, skärmbild, Teckensnitt, Graf&#10;&#10;Automatiskt genererad beskrivn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3105" cy="3067508"/>
                    </a:xfrm>
                    <a:prstGeom prst="rect">
                      <a:avLst/>
                    </a:prstGeom>
                    <a:noFill/>
                  </pic:spPr>
                </pic:pic>
              </a:graphicData>
            </a:graphic>
          </wp:inline>
        </w:drawing>
      </w:r>
    </w:p>
    <w:p w14:paraId="68881038" w14:textId="77777777" w:rsidR="00A605BA" w:rsidRPr="00BA6ED3" w:rsidRDefault="00A605BA" w:rsidP="00A605BA">
      <w:pPr>
        <w:autoSpaceDE/>
        <w:autoSpaceDN/>
        <w:adjustRightInd/>
        <w:spacing w:line="240" w:lineRule="auto"/>
        <w:textAlignment w:val="auto"/>
        <w:rPr>
          <w:rFonts w:cstheme="minorHAnsi"/>
        </w:rPr>
      </w:pPr>
      <w:r w:rsidRPr="00BA6ED3">
        <w:rPr>
          <w:rFonts w:cstheme="minorHAnsi"/>
        </w:rPr>
        <w:t xml:space="preserve">Figur </w:t>
      </w:r>
      <w:r>
        <w:rPr>
          <w:rFonts w:cstheme="minorHAnsi"/>
        </w:rPr>
        <w:t>2</w:t>
      </w:r>
      <w:r w:rsidRPr="00BA6ED3">
        <w:rPr>
          <w:rFonts w:cstheme="minorHAnsi"/>
        </w:rPr>
        <w:t>. Antal besök till Medimar och Cityläkarna, 2015-2022</w:t>
      </w:r>
    </w:p>
    <w:p w14:paraId="46E319CC" w14:textId="77777777" w:rsidR="00A605BA" w:rsidRPr="00BA6ED3" w:rsidRDefault="00A605BA" w:rsidP="00A605BA">
      <w:pPr>
        <w:autoSpaceDE/>
        <w:autoSpaceDN/>
        <w:adjustRightInd/>
        <w:spacing w:line="240" w:lineRule="auto"/>
        <w:textAlignment w:val="auto"/>
        <w:rPr>
          <w:rFonts w:cstheme="minorHAnsi"/>
          <w:sz w:val="18"/>
          <w:szCs w:val="18"/>
        </w:rPr>
      </w:pPr>
      <w:r w:rsidRPr="00BA6ED3">
        <w:rPr>
          <w:rFonts w:cstheme="minorHAnsi"/>
          <w:sz w:val="18"/>
          <w:szCs w:val="18"/>
        </w:rPr>
        <w:t>Källa: Privata serviceproducenters verksamheters berättelser / Landskapsregeringen</w:t>
      </w:r>
    </w:p>
    <w:p w14:paraId="11617EB4" w14:textId="77777777" w:rsidR="00A605BA" w:rsidRPr="00BA6ED3" w:rsidRDefault="00A605BA" w:rsidP="00A605BA">
      <w:pPr>
        <w:autoSpaceDE/>
        <w:autoSpaceDN/>
        <w:adjustRightInd/>
        <w:spacing w:line="240" w:lineRule="auto"/>
        <w:textAlignment w:val="auto"/>
        <w:rPr>
          <w:rFonts w:cstheme="minorHAnsi"/>
          <w:sz w:val="18"/>
          <w:szCs w:val="18"/>
        </w:rPr>
      </w:pPr>
      <w:r w:rsidRPr="00BA6ED3">
        <w:rPr>
          <w:rFonts w:cstheme="minorHAnsi"/>
          <w:sz w:val="18"/>
          <w:szCs w:val="18"/>
        </w:rPr>
        <w:t xml:space="preserve">Not: Hälsovårdare är en sjukskötare med fördjupad kompetens/specialisering inom hälsofrämjande arbete </w:t>
      </w:r>
    </w:p>
    <w:p w14:paraId="64467FD4" w14:textId="77777777" w:rsidR="00A605BA" w:rsidRDefault="00A605BA" w:rsidP="00A605BA">
      <w:pPr>
        <w:spacing w:line="240" w:lineRule="auto"/>
        <w:rPr>
          <w:rFonts w:cstheme="minorHAnsi"/>
        </w:rPr>
      </w:pPr>
    </w:p>
    <w:p w14:paraId="7FA2C9F1" w14:textId="77777777" w:rsidR="00A605BA" w:rsidRDefault="00A605BA" w:rsidP="00A605BA">
      <w:pPr>
        <w:spacing w:line="240" w:lineRule="auto"/>
        <w:rPr>
          <w:rFonts w:cstheme="minorHAnsi"/>
        </w:rPr>
      </w:pPr>
    </w:p>
    <w:p w14:paraId="232A3244" w14:textId="77777777" w:rsidR="00A605BA" w:rsidRPr="00BA6ED3" w:rsidRDefault="00A605BA" w:rsidP="00A605BA">
      <w:pPr>
        <w:autoSpaceDE/>
        <w:autoSpaceDN/>
        <w:adjustRightInd/>
        <w:spacing w:line="240" w:lineRule="auto"/>
        <w:textAlignment w:val="auto"/>
        <w:rPr>
          <w:rFonts w:cstheme="minorHAnsi"/>
          <w:b/>
          <w:bCs/>
        </w:rPr>
      </w:pPr>
      <w:r w:rsidRPr="00BA6ED3">
        <w:rPr>
          <w:rFonts w:cstheme="minorHAnsi"/>
          <w:b/>
          <w:bCs/>
          <w:noProof/>
        </w:rPr>
        <w:drawing>
          <wp:inline distT="0" distB="0" distL="0" distR="0" wp14:anchorId="7366ABC7" wp14:editId="7DF0FD02">
            <wp:extent cx="4968533" cy="2980706"/>
            <wp:effectExtent l="0" t="0" r="3810" b="0"/>
            <wp:docPr id="1478902667" name="Bildobjekt 7" descr="En bild som visar text, skärmbild, sluttning,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2667" name="Bildobjekt 7" descr="En bild som visar text, skärmbild, sluttning, Teckensnitt&#10;&#10;Automatiskt genererad beskrivni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4056" cy="2984020"/>
                    </a:xfrm>
                    <a:prstGeom prst="rect">
                      <a:avLst/>
                    </a:prstGeom>
                    <a:noFill/>
                  </pic:spPr>
                </pic:pic>
              </a:graphicData>
            </a:graphic>
          </wp:inline>
        </w:drawing>
      </w:r>
    </w:p>
    <w:p w14:paraId="24D71D2B" w14:textId="77777777" w:rsidR="00A605BA" w:rsidRPr="00BA6ED3" w:rsidRDefault="00A605BA" w:rsidP="00A605BA">
      <w:pPr>
        <w:autoSpaceDE/>
        <w:autoSpaceDN/>
        <w:adjustRightInd/>
        <w:spacing w:line="240" w:lineRule="auto"/>
        <w:textAlignment w:val="auto"/>
        <w:rPr>
          <w:rFonts w:cstheme="minorHAnsi"/>
        </w:rPr>
      </w:pPr>
      <w:r w:rsidRPr="00BA6ED3">
        <w:rPr>
          <w:rFonts w:cstheme="minorHAnsi"/>
        </w:rPr>
        <w:t xml:space="preserve">Figur </w:t>
      </w:r>
      <w:r>
        <w:rPr>
          <w:rFonts w:cstheme="minorHAnsi"/>
        </w:rPr>
        <w:t>3</w:t>
      </w:r>
      <w:r w:rsidRPr="00BA6ED3">
        <w:rPr>
          <w:rFonts w:cstheme="minorHAnsi"/>
        </w:rPr>
        <w:t>. Antal läkarbesök till Medimar och Cityläkarna uppdelat i företagshälsovård och annat, 2015-2022</w:t>
      </w:r>
    </w:p>
    <w:p w14:paraId="6B86B284" w14:textId="77777777" w:rsidR="00A605BA" w:rsidRPr="00BA6ED3" w:rsidRDefault="00A605BA" w:rsidP="00A605BA">
      <w:pPr>
        <w:autoSpaceDE/>
        <w:autoSpaceDN/>
        <w:adjustRightInd/>
        <w:spacing w:line="240" w:lineRule="auto"/>
        <w:textAlignment w:val="auto"/>
        <w:rPr>
          <w:rFonts w:cstheme="minorHAnsi"/>
          <w:sz w:val="18"/>
          <w:szCs w:val="18"/>
        </w:rPr>
      </w:pPr>
      <w:r w:rsidRPr="00BA6ED3">
        <w:rPr>
          <w:rFonts w:cstheme="minorHAnsi"/>
          <w:sz w:val="18"/>
          <w:szCs w:val="18"/>
        </w:rPr>
        <w:t xml:space="preserve">Källa: Privata serviceproducenters verksamheters berättelser / Landskapsregeringen </w:t>
      </w:r>
    </w:p>
    <w:p w14:paraId="297B5F20" w14:textId="77777777" w:rsidR="00A605BA" w:rsidRPr="00BA6ED3" w:rsidRDefault="00A605BA" w:rsidP="00A605BA">
      <w:pPr>
        <w:spacing w:line="240" w:lineRule="auto"/>
        <w:rPr>
          <w:rFonts w:cstheme="minorHAnsi"/>
        </w:rPr>
      </w:pPr>
    </w:p>
    <w:p w14:paraId="7CFD1B20" w14:textId="77777777" w:rsidR="00A605BA" w:rsidRPr="00BA6ED3" w:rsidRDefault="00A605BA" w:rsidP="00A605BA">
      <w:pPr>
        <w:spacing w:line="240" w:lineRule="auto"/>
        <w:rPr>
          <w:rFonts w:cstheme="minorHAnsi"/>
        </w:rPr>
      </w:pPr>
    </w:p>
    <w:p w14:paraId="150685ED" w14:textId="77777777" w:rsidR="00A605BA" w:rsidRPr="00BA6ED3" w:rsidRDefault="00A605BA" w:rsidP="00A605BA">
      <w:pPr>
        <w:spacing w:line="240" w:lineRule="auto"/>
        <w:rPr>
          <w:rFonts w:cstheme="minorHAnsi"/>
        </w:rPr>
      </w:pPr>
      <w:r w:rsidRPr="00BA6ED3">
        <w:rPr>
          <w:rFonts w:cstheme="minorHAnsi"/>
          <w:noProof/>
        </w:rPr>
        <w:lastRenderedPageBreak/>
        <w:drawing>
          <wp:inline distT="0" distB="0" distL="0" distR="0" wp14:anchorId="4FA19EE2" wp14:editId="6606738C">
            <wp:extent cx="5206075" cy="3123211"/>
            <wp:effectExtent l="0" t="0" r="0" b="1270"/>
            <wp:docPr id="698588327" name="Bildobjekt 8" descr="En bild som visar text, skärmbild, Teckensnitt, Graf&#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88327" name="Bildobjekt 8" descr="En bild som visar text, skärmbild, Teckensnitt, Graf&#10;&#10;Automatiskt genererad beskrivn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13863" cy="3127883"/>
                    </a:xfrm>
                    <a:prstGeom prst="rect">
                      <a:avLst/>
                    </a:prstGeom>
                    <a:noFill/>
                  </pic:spPr>
                </pic:pic>
              </a:graphicData>
            </a:graphic>
          </wp:inline>
        </w:drawing>
      </w:r>
    </w:p>
    <w:p w14:paraId="364C8CC5" w14:textId="77777777" w:rsidR="00A605BA" w:rsidRPr="00BA6ED3" w:rsidRDefault="00A605BA" w:rsidP="00A605BA">
      <w:pPr>
        <w:spacing w:line="240" w:lineRule="auto"/>
        <w:rPr>
          <w:rFonts w:cstheme="minorHAnsi"/>
        </w:rPr>
      </w:pPr>
      <w:r w:rsidRPr="00BA6ED3">
        <w:rPr>
          <w:rFonts w:cstheme="minorHAnsi"/>
        </w:rPr>
        <w:t xml:space="preserve">Figur </w:t>
      </w:r>
      <w:r>
        <w:rPr>
          <w:rFonts w:cstheme="minorHAnsi"/>
        </w:rPr>
        <w:t>4</w:t>
      </w:r>
      <w:r w:rsidRPr="00BA6ED3">
        <w:rPr>
          <w:rFonts w:cstheme="minorHAnsi"/>
        </w:rPr>
        <w:t>. Antal läkarbesök inom den offentliga och privata primärvården på Åland per 1 000 invånare, 2015-2022</w:t>
      </w:r>
    </w:p>
    <w:p w14:paraId="31C139D5" w14:textId="77777777" w:rsidR="00A605BA" w:rsidRPr="00BA6ED3" w:rsidRDefault="00A605BA" w:rsidP="00A605BA">
      <w:pPr>
        <w:spacing w:line="240" w:lineRule="auto"/>
        <w:rPr>
          <w:rFonts w:cstheme="minorHAnsi"/>
          <w:sz w:val="18"/>
          <w:szCs w:val="18"/>
        </w:rPr>
      </w:pPr>
      <w:r w:rsidRPr="00BA6ED3">
        <w:rPr>
          <w:rFonts w:cstheme="minorHAnsi"/>
          <w:sz w:val="18"/>
          <w:szCs w:val="18"/>
        </w:rPr>
        <w:t>Källa: THL/Sotkanet samt landskapsregeringen (verksamhetsberättelser från privata vårdgivare)</w:t>
      </w:r>
    </w:p>
    <w:p w14:paraId="5CD4792B" w14:textId="77777777" w:rsidR="00A605BA" w:rsidRPr="00BA6ED3" w:rsidRDefault="00A605BA" w:rsidP="00A605BA">
      <w:pPr>
        <w:spacing w:line="240" w:lineRule="auto"/>
        <w:rPr>
          <w:rFonts w:cstheme="minorHAnsi"/>
          <w:sz w:val="18"/>
          <w:szCs w:val="18"/>
        </w:rPr>
      </w:pPr>
      <w:r w:rsidRPr="00BA6ED3">
        <w:rPr>
          <w:rFonts w:cstheme="minorHAnsi"/>
          <w:sz w:val="18"/>
          <w:szCs w:val="18"/>
        </w:rPr>
        <w:t xml:space="preserve">Not: Indikatorn har beräknats med hela befolkning i nämnaren. </w:t>
      </w:r>
    </w:p>
    <w:p w14:paraId="5E3949D3" w14:textId="77777777" w:rsidR="00A605BA" w:rsidRPr="00BA6ED3" w:rsidRDefault="00A605BA" w:rsidP="00A605BA">
      <w:pPr>
        <w:spacing w:line="240" w:lineRule="auto"/>
        <w:rPr>
          <w:rFonts w:cstheme="minorHAnsi"/>
        </w:rPr>
      </w:pPr>
      <w:r w:rsidRPr="00BA6ED3">
        <w:rPr>
          <w:rFonts w:cstheme="minorHAnsi"/>
        </w:rPr>
        <w:t xml:space="preserve"> </w:t>
      </w:r>
    </w:p>
    <w:p w14:paraId="56D2105F" w14:textId="77777777" w:rsidR="00A605BA" w:rsidRPr="00BA6ED3" w:rsidRDefault="00A605BA" w:rsidP="00A605BA">
      <w:pPr>
        <w:spacing w:line="240" w:lineRule="auto"/>
        <w:rPr>
          <w:rFonts w:cstheme="minorHAnsi"/>
          <w:b/>
          <w:bCs/>
        </w:rPr>
      </w:pPr>
    </w:p>
    <w:p w14:paraId="53CAFBDB" w14:textId="77777777" w:rsidR="00A605BA" w:rsidRPr="00BA6ED3" w:rsidRDefault="00A605BA" w:rsidP="00A605BA">
      <w:pPr>
        <w:autoSpaceDE/>
        <w:autoSpaceDN/>
        <w:adjustRightInd/>
        <w:spacing w:line="240" w:lineRule="auto"/>
        <w:textAlignment w:val="auto"/>
        <w:rPr>
          <w:rFonts w:cstheme="minorHAnsi"/>
        </w:rPr>
      </w:pPr>
      <w:r w:rsidRPr="00BA6ED3">
        <w:rPr>
          <w:rFonts w:cstheme="minorHAnsi"/>
        </w:rPr>
        <w:t xml:space="preserve">Antalet privata specialistläkarbesök (ej del av företagshälsovården) minskade från 8 473 år 2015 till 4 951 år 2022, en minskning med 42% (Figur </w:t>
      </w:r>
      <w:r>
        <w:rPr>
          <w:rFonts w:cstheme="minorHAnsi"/>
        </w:rPr>
        <w:t>5</w:t>
      </w:r>
      <w:r w:rsidRPr="00BA6ED3">
        <w:rPr>
          <w:rFonts w:cstheme="minorHAnsi"/>
        </w:rPr>
        <w:t xml:space="preserve">). Minskningen var främst inom </w:t>
      </w:r>
      <w:r>
        <w:rPr>
          <w:rFonts w:cstheme="minorHAnsi"/>
        </w:rPr>
        <w:t>k</w:t>
      </w:r>
      <w:r w:rsidRPr="00BA6ED3">
        <w:rPr>
          <w:rFonts w:cstheme="minorHAnsi"/>
        </w:rPr>
        <w:t xml:space="preserve">irurgi </w:t>
      </w:r>
      <w:r>
        <w:rPr>
          <w:rFonts w:cstheme="minorHAnsi"/>
        </w:rPr>
        <w:t xml:space="preserve">respektive </w:t>
      </w:r>
      <w:r w:rsidRPr="00BA6ED3">
        <w:rPr>
          <w:rFonts w:cstheme="minorHAnsi"/>
        </w:rPr>
        <w:t xml:space="preserve">kvinnosjukdomar och förlossningar. Detta kan jämföras med ca 100 000 specialistläkarbesök årligen inom ÅHS öppenvård. Privata specialistläkarbesök utgjorde således under hela perioden en marginell andel av det totala antalet specialistläkarbesök inom öppenvården. </w:t>
      </w:r>
    </w:p>
    <w:p w14:paraId="2D2CD741" w14:textId="77777777" w:rsidR="00A605BA" w:rsidRPr="00BA6ED3" w:rsidRDefault="00A605BA" w:rsidP="00A605BA">
      <w:pPr>
        <w:autoSpaceDE/>
        <w:autoSpaceDN/>
        <w:adjustRightInd/>
        <w:spacing w:line="240" w:lineRule="auto"/>
        <w:textAlignment w:val="auto"/>
        <w:rPr>
          <w:rFonts w:cstheme="minorHAnsi"/>
        </w:rPr>
      </w:pPr>
    </w:p>
    <w:p w14:paraId="2C4A9229" w14:textId="77777777" w:rsidR="00A605BA" w:rsidRPr="00BA6ED3" w:rsidRDefault="00A605BA" w:rsidP="00A605BA">
      <w:pPr>
        <w:autoSpaceDE/>
        <w:autoSpaceDN/>
        <w:adjustRightInd/>
        <w:spacing w:line="240" w:lineRule="auto"/>
        <w:textAlignment w:val="auto"/>
        <w:rPr>
          <w:rFonts w:cstheme="minorHAnsi"/>
          <w:b/>
          <w:bCs/>
        </w:rPr>
      </w:pPr>
      <w:r w:rsidRPr="00BA6ED3">
        <w:rPr>
          <w:rFonts w:cstheme="minorHAnsi"/>
          <w:b/>
          <w:bCs/>
          <w:noProof/>
        </w:rPr>
        <w:drawing>
          <wp:inline distT="0" distB="0" distL="0" distR="0" wp14:anchorId="2529095A" wp14:editId="2F45A37D">
            <wp:extent cx="5141030" cy="3384467"/>
            <wp:effectExtent l="0" t="0" r="2540" b="6985"/>
            <wp:docPr id="1851281244" name="Bildobjekt 4" descr="En bild som visar skärmbild, text, linje, Graf&#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81244" name="Bildobjekt 4" descr="En bild som visar skärmbild, text, linje, Graf&#10;&#10;Automatiskt genererad beskrivn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99532" cy="3422980"/>
                    </a:xfrm>
                    <a:prstGeom prst="rect">
                      <a:avLst/>
                    </a:prstGeom>
                    <a:noFill/>
                  </pic:spPr>
                </pic:pic>
              </a:graphicData>
            </a:graphic>
          </wp:inline>
        </w:drawing>
      </w:r>
    </w:p>
    <w:p w14:paraId="43D5F58D" w14:textId="77777777" w:rsidR="00A605BA" w:rsidRPr="00BA6ED3" w:rsidRDefault="00A605BA" w:rsidP="00A605BA">
      <w:pPr>
        <w:autoSpaceDE/>
        <w:autoSpaceDN/>
        <w:adjustRightInd/>
        <w:spacing w:line="240" w:lineRule="auto"/>
        <w:textAlignment w:val="auto"/>
        <w:rPr>
          <w:rFonts w:cstheme="minorHAnsi"/>
        </w:rPr>
      </w:pPr>
      <w:r w:rsidRPr="00BA6ED3">
        <w:rPr>
          <w:rFonts w:cstheme="minorHAnsi"/>
        </w:rPr>
        <w:t xml:space="preserve">Figur </w:t>
      </w:r>
      <w:r>
        <w:rPr>
          <w:rFonts w:cstheme="minorHAnsi"/>
        </w:rPr>
        <w:t>5</w:t>
      </w:r>
      <w:r w:rsidRPr="00BA6ED3">
        <w:rPr>
          <w:rFonts w:cstheme="minorHAnsi"/>
        </w:rPr>
        <w:t>. Antal besök till privata specialistläkare på Åland, 2015-2022</w:t>
      </w:r>
    </w:p>
    <w:p w14:paraId="023A0715" w14:textId="77777777" w:rsidR="00A605BA" w:rsidRPr="00BA6ED3" w:rsidRDefault="00A605BA" w:rsidP="00A605BA">
      <w:pPr>
        <w:autoSpaceDE/>
        <w:autoSpaceDN/>
        <w:adjustRightInd/>
        <w:spacing w:line="240" w:lineRule="auto"/>
        <w:textAlignment w:val="auto"/>
        <w:rPr>
          <w:rFonts w:cstheme="minorHAnsi"/>
          <w:sz w:val="18"/>
          <w:szCs w:val="18"/>
        </w:rPr>
      </w:pPr>
      <w:r w:rsidRPr="00BA6ED3">
        <w:rPr>
          <w:rFonts w:cstheme="minorHAnsi"/>
          <w:sz w:val="18"/>
          <w:szCs w:val="18"/>
        </w:rPr>
        <w:t>Källa: ÅSUB/THL/FPA</w:t>
      </w:r>
    </w:p>
    <w:p w14:paraId="072E507A" w14:textId="77777777" w:rsidR="00A605BA" w:rsidRPr="00BA6ED3" w:rsidRDefault="00A605BA" w:rsidP="00A605BA">
      <w:pPr>
        <w:autoSpaceDE/>
        <w:autoSpaceDN/>
        <w:adjustRightInd/>
        <w:spacing w:line="240" w:lineRule="auto"/>
        <w:textAlignment w:val="auto"/>
        <w:rPr>
          <w:rFonts w:cstheme="minorHAnsi"/>
        </w:rPr>
      </w:pPr>
    </w:p>
    <w:p w14:paraId="16D2135E" w14:textId="77777777" w:rsidR="00A605BA" w:rsidRPr="00BA6ED3" w:rsidRDefault="00A605BA" w:rsidP="00A605BA">
      <w:pPr>
        <w:autoSpaceDE/>
        <w:autoSpaceDN/>
        <w:adjustRightInd/>
        <w:spacing w:line="240" w:lineRule="auto"/>
        <w:textAlignment w:val="auto"/>
        <w:rPr>
          <w:rFonts w:cstheme="minorHAnsi"/>
        </w:rPr>
      </w:pPr>
    </w:p>
    <w:p w14:paraId="143DCCB7" w14:textId="77777777" w:rsidR="00A605BA" w:rsidRPr="00BA6ED3" w:rsidRDefault="00A605BA" w:rsidP="00A605BA">
      <w:pPr>
        <w:autoSpaceDE/>
        <w:autoSpaceDN/>
        <w:adjustRightInd/>
        <w:spacing w:line="240" w:lineRule="auto"/>
        <w:textAlignment w:val="auto"/>
        <w:rPr>
          <w:rFonts w:cstheme="minorHAnsi"/>
          <w:b/>
          <w:bCs/>
        </w:rPr>
      </w:pPr>
      <w:r w:rsidRPr="00BA6ED3">
        <w:rPr>
          <w:rFonts w:cstheme="minorHAnsi"/>
        </w:rPr>
        <w:lastRenderedPageBreak/>
        <w:t xml:space="preserve">Besök till privat tandvård har legat på en stabil nivå de senaste åren (Figur </w:t>
      </w:r>
      <w:r>
        <w:rPr>
          <w:rFonts w:cstheme="minorHAnsi"/>
        </w:rPr>
        <w:t>6</w:t>
      </w:r>
      <w:r w:rsidRPr="00BA6ED3">
        <w:rPr>
          <w:rFonts w:cstheme="minorHAnsi"/>
        </w:rPr>
        <w:t>).</w:t>
      </w:r>
      <w:r w:rsidRPr="00BA6ED3">
        <w:rPr>
          <w:rFonts w:cstheme="minorHAnsi"/>
          <w:b/>
          <w:bCs/>
        </w:rPr>
        <w:t xml:space="preserve"> </w:t>
      </w:r>
    </w:p>
    <w:p w14:paraId="21E34F54" w14:textId="77777777" w:rsidR="00A605BA" w:rsidRPr="00BA6ED3" w:rsidRDefault="00A605BA" w:rsidP="00A605BA">
      <w:pPr>
        <w:autoSpaceDE/>
        <w:autoSpaceDN/>
        <w:adjustRightInd/>
        <w:spacing w:line="240" w:lineRule="auto"/>
        <w:textAlignment w:val="auto"/>
        <w:rPr>
          <w:rFonts w:cstheme="minorHAnsi"/>
          <w:b/>
          <w:bCs/>
        </w:rPr>
      </w:pPr>
    </w:p>
    <w:p w14:paraId="2867063F" w14:textId="77777777" w:rsidR="00A605BA" w:rsidRPr="00BA6ED3" w:rsidRDefault="00A605BA" w:rsidP="00A605BA">
      <w:pPr>
        <w:autoSpaceDE/>
        <w:autoSpaceDN/>
        <w:adjustRightInd/>
        <w:spacing w:line="240" w:lineRule="auto"/>
        <w:textAlignment w:val="auto"/>
        <w:rPr>
          <w:rFonts w:cstheme="minorHAnsi"/>
          <w:b/>
          <w:bCs/>
        </w:rPr>
      </w:pPr>
      <w:r w:rsidRPr="00BA6ED3">
        <w:rPr>
          <w:rFonts w:cstheme="minorHAnsi"/>
          <w:b/>
          <w:bCs/>
          <w:noProof/>
        </w:rPr>
        <w:drawing>
          <wp:inline distT="0" distB="0" distL="0" distR="0" wp14:anchorId="0A3A20A1" wp14:editId="13D9D307">
            <wp:extent cx="5189517" cy="3298023"/>
            <wp:effectExtent l="0" t="0" r="0" b="0"/>
            <wp:docPr id="569343677" name="Bildobjekt 5" descr="En bild som visar text, skärmbild, Graf,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43677" name="Bildobjekt 5" descr="En bild som visar text, skärmbild, Graf, Teckensnitt&#10;&#10;Automatiskt genererad beskrivni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34570" cy="3326655"/>
                    </a:xfrm>
                    <a:prstGeom prst="rect">
                      <a:avLst/>
                    </a:prstGeom>
                    <a:noFill/>
                  </pic:spPr>
                </pic:pic>
              </a:graphicData>
            </a:graphic>
          </wp:inline>
        </w:drawing>
      </w:r>
    </w:p>
    <w:p w14:paraId="13676DFA" w14:textId="77777777" w:rsidR="00A605BA" w:rsidRPr="00BA6ED3" w:rsidRDefault="00A605BA" w:rsidP="00A605BA">
      <w:pPr>
        <w:autoSpaceDE/>
        <w:autoSpaceDN/>
        <w:adjustRightInd/>
        <w:spacing w:line="240" w:lineRule="auto"/>
        <w:textAlignment w:val="auto"/>
        <w:rPr>
          <w:rFonts w:cstheme="minorHAnsi"/>
        </w:rPr>
      </w:pPr>
      <w:r w:rsidRPr="00BA6ED3">
        <w:rPr>
          <w:rFonts w:cstheme="minorHAnsi"/>
        </w:rPr>
        <w:t xml:space="preserve">Figur </w:t>
      </w:r>
      <w:r>
        <w:rPr>
          <w:rFonts w:cstheme="minorHAnsi"/>
        </w:rPr>
        <w:t>6</w:t>
      </w:r>
      <w:r w:rsidRPr="00BA6ED3">
        <w:rPr>
          <w:rFonts w:cstheme="minorHAnsi"/>
        </w:rPr>
        <w:t xml:space="preserve">. Antal besök till privat tandvård på Åland, 2015-2022. </w:t>
      </w:r>
    </w:p>
    <w:p w14:paraId="01F2CBCE" w14:textId="77777777" w:rsidR="00A605BA" w:rsidRPr="00BA6ED3" w:rsidRDefault="00A605BA" w:rsidP="00A605BA">
      <w:pPr>
        <w:autoSpaceDE/>
        <w:autoSpaceDN/>
        <w:adjustRightInd/>
        <w:spacing w:line="240" w:lineRule="auto"/>
        <w:textAlignment w:val="auto"/>
        <w:rPr>
          <w:rFonts w:cstheme="minorHAnsi"/>
          <w:sz w:val="18"/>
          <w:szCs w:val="18"/>
        </w:rPr>
      </w:pPr>
      <w:r w:rsidRPr="00BA6ED3">
        <w:rPr>
          <w:rFonts w:cstheme="minorHAnsi"/>
          <w:sz w:val="18"/>
          <w:szCs w:val="18"/>
        </w:rPr>
        <w:t>Källa: ÅSUB/THL/FPA</w:t>
      </w:r>
    </w:p>
    <w:p w14:paraId="5A814D9A" w14:textId="77777777" w:rsidR="00A605BA" w:rsidRPr="00BA6ED3" w:rsidRDefault="00A605BA" w:rsidP="00A605BA">
      <w:pPr>
        <w:autoSpaceDE/>
        <w:autoSpaceDN/>
        <w:adjustRightInd/>
        <w:spacing w:line="240" w:lineRule="auto"/>
        <w:textAlignment w:val="auto"/>
        <w:rPr>
          <w:rFonts w:cstheme="minorHAnsi"/>
          <w:b/>
          <w:bCs/>
        </w:rPr>
      </w:pPr>
    </w:p>
    <w:p w14:paraId="2D8AF224" w14:textId="77777777" w:rsidR="00A605BA" w:rsidRDefault="00A605BA" w:rsidP="00A605BA"/>
    <w:p w14:paraId="46781210" w14:textId="77777777" w:rsidR="00A605BA" w:rsidRDefault="00A605BA" w:rsidP="00A605BA"/>
    <w:p w14:paraId="0759D87E" w14:textId="77777777" w:rsidR="00A605BA" w:rsidRPr="00CC6D21" w:rsidRDefault="00A605BA" w:rsidP="00CC6D21">
      <w:pPr>
        <w:rPr>
          <w:b/>
          <w:bCs/>
          <w:sz w:val="32"/>
          <w:szCs w:val="32"/>
        </w:rPr>
      </w:pPr>
      <w:r w:rsidRPr="00CC6D21">
        <w:rPr>
          <w:b/>
          <w:bCs/>
          <w:sz w:val="32"/>
          <w:szCs w:val="32"/>
        </w:rPr>
        <w:t xml:space="preserve">Kostnader </w:t>
      </w:r>
    </w:p>
    <w:p w14:paraId="1CD303BC" w14:textId="77777777" w:rsidR="00A605BA" w:rsidRDefault="00A605BA" w:rsidP="00A605BA">
      <w:pPr>
        <w:spacing w:line="240" w:lineRule="auto"/>
        <w:rPr>
          <w:rFonts w:cstheme="minorHAnsi"/>
        </w:rPr>
      </w:pPr>
    </w:p>
    <w:p w14:paraId="66431258" w14:textId="77777777" w:rsidR="00A605BA" w:rsidRDefault="00A605BA" w:rsidP="00A605BA">
      <w:pPr>
        <w:spacing w:line="240" w:lineRule="auto"/>
        <w:rPr>
          <w:rFonts w:cstheme="minorHAnsi"/>
        </w:rPr>
      </w:pPr>
      <w:r>
        <w:rPr>
          <w:rFonts w:cstheme="minorHAnsi"/>
        </w:rPr>
        <w:t>Totalkostnaden för privat hälso- och sjukvård (inklusive tandvård) på Åland år 2022 uppskattas till ca 9,7 miljoner euro (ca 8% av totalk</w:t>
      </w:r>
      <w:r w:rsidRPr="00736468">
        <w:rPr>
          <w:rFonts w:cstheme="minorHAnsi"/>
        </w:rPr>
        <w:t>ostnader</w:t>
      </w:r>
      <w:r>
        <w:rPr>
          <w:rFonts w:cstheme="minorHAnsi"/>
        </w:rPr>
        <w:t>na</w:t>
      </w:r>
      <w:r w:rsidRPr="00736468">
        <w:rPr>
          <w:rFonts w:cstheme="minorHAnsi"/>
        </w:rPr>
        <w:t xml:space="preserve"> för offentlig och privat hälso- och sjukvård på Åland år 2022</w:t>
      </w:r>
      <w:r>
        <w:rPr>
          <w:rFonts w:cstheme="minorHAnsi"/>
        </w:rPr>
        <w:t xml:space="preserve">), varav ca 4,1 miljon var för upphandlad företagshälsovård (ca hälften ersatt av FPA och andra hälften av arbetsgivare), 1,4 miljoner för annan privat sjukvård och 4,2 miljoner för privat tandvård. I dessa kostnader räknas inte samtliga patientavgifter eller ersättningar via privata sjukförsäkringar in. Mer information om kostnader och finansiering finns i delanalys 2, </w:t>
      </w:r>
      <w:r w:rsidRPr="00736468">
        <w:rPr>
          <w:rFonts w:cstheme="minorHAnsi"/>
        </w:rPr>
        <w:t>Framtidens hälso- och sjukvårdskostnader och finansiering</w:t>
      </w:r>
      <w:r>
        <w:rPr>
          <w:rFonts w:cstheme="minorHAnsi"/>
        </w:rPr>
        <w:t>.</w:t>
      </w:r>
    </w:p>
    <w:p w14:paraId="3623AC03" w14:textId="77777777" w:rsidR="00A605BA" w:rsidRDefault="00A605BA" w:rsidP="00A605BA">
      <w:pPr>
        <w:spacing w:line="240" w:lineRule="auto"/>
        <w:rPr>
          <w:rFonts w:cstheme="minorHAnsi"/>
        </w:rPr>
      </w:pPr>
    </w:p>
    <w:p w14:paraId="118AB41A" w14:textId="77777777" w:rsidR="00A605BA" w:rsidRDefault="00A605BA" w:rsidP="00A605BA">
      <w:pPr>
        <w:autoSpaceDE/>
        <w:autoSpaceDN/>
        <w:adjustRightInd/>
        <w:spacing w:after="160" w:line="259" w:lineRule="auto"/>
        <w:textAlignment w:val="auto"/>
        <w:rPr>
          <w:rFonts w:cstheme="minorHAnsi"/>
        </w:rPr>
      </w:pPr>
      <w:r>
        <w:rPr>
          <w:rFonts w:cstheme="minorHAnsi"/>
        </w:rPr>
        <w:br w:type="page"/>
      </w:r>
    </w:p>
    <w:p w14:paraId="112C0817" w14:textId="77777777" w:rsidR="00A605BA" w:rsidRPr="00CC6D21" w:rsidRDefault="00A605BA" w:rsidP="00CC6D21">
      <w:pPr>
        <w:rPr>
          <w:b/>
          <w:bCs/>
          <w:sz w:val="32"/>
          <w:szCs w:val="32"/>
        </w:rPr>
      </w:pPr>
      <w:r w:rsidRPr="00CC6D21">
        <w:rPr>
          <w:b/>
          <w:bCs/>
          <w:sz w:val="32"/>
          <w:szCs w:val="32"/>
        </w:rPr>
        <w:lastRenderedPageBreak/>
        <w:t>Diskussionspunkter</w:t>
      </w:r>
    </w:p>
    <w:p w14:paraId="613F0823" w14:textId="77777777" w:rsidR="00A605BA" w:rsidRDefault="00A605BA" w:rsidP="00A605BA">
      <w:pPr>
        <w:spacing w:line="240" w:lineRule="auto"/>
        <w:rPr>
          <w:rFonts w:cstheme="minorHAnsi"/>
        </w:rPr>
      </w:pPr>
    </w:p>
    <w:p w14:paraId="4A27FFE1" w14:textId="77777777" w:rsidR="00A605BA" w:rsidRPr="00CC6D21" w:rsidRDefault="00A605BA" w:rsidP="00CC6D21">
      <w:pPr>
        <w:rPr>
          <w:b/>
          <w:bCs/>
          <w:sz w:val="24"/>
          <w:szCs w:val="24"/>
        </w:rPr>
      </w:pPr>
      <w:r w:rsidRPr="00CC6D21">
        <w:rPr>
          <w:b/>
          <w:bCs/>
          <w:sz w:val="24"/>
          <w:szCs w:val="24"/>
        </w:rPr>
        <w:t>Hälsokontroller inom företagshälsovården</w:t>
      </w:r>
    </w:p>
    <w:p w14:paraId="7B903A6B" w14:textId="7212BB6F" w:rsidR="00A605BA" w:rsidRDefault="00A605BA" w:rsidP="00A605BA">
      <w:pPr>
        <w:spacing w:line="240" w:lineRule="auto"/>
        <w:rPr>
          <w:rFonts w:cstheme="minorHAnsi"/>
        </w:rPr>
      </w:pPr>
      <w:r>
        <w:rPr>
          <w:rFonts w:cstheme="minorHAnsi"/>
        </w:rPr>
        <w:t xml:space="preserve">Endast vissa yrkesgrupper ska genomgå regelbundna hälsokontroller enligt lag och endast vissa av dem behöver screenas med olika tester. Det finns ingen god vetenskaplig evidens för att det är någon nytta med hälsoundersökningar och allmän hälsoscreening av arbetstagare inom branscher som inte är förknippade med några särskilda risker för yrkessjukdomar. Stora inbesparing skulle kunna göras genom att minska på onödiga hälsoundersökningar och onödig provtagning. Kostnadsminskningen skulle främst gälla arbetsgivare.  </w:t>
      </w:r>
    </w:p>
    <w:p w14:paraId="671E1959" w14:textId="77777777" w:rsidR="00A605BA" w:rsidRDefault="00A605BA" w:rsidP="00A605BA">
      <w:pPr>
        <w:spacing w:line="240" w:lineRule="auto"/>
        <w:rPr>
          <w:rFonts w:cstheme="minorHAnsi"/>
        </w:rPr>
      </w:pPr>
    </w:p>
    <w:p w14:paraId="08BF5C8D" w14:textId="1C637798" w:rsidR="00A605BA" w:rsidRPr="00CC6D21" w:rsidRDefault="00A605BA" w:rsidP="00CC6D21">
      <w:pPr>
        <w:rPr>
          <w:b/>
          <w:bCs/>
          <w:sz w:val="24"/>
          <w:szCs w:val="24"/>
        </w:rPr>
      </w:pPr>
      <w:r w:rsidRPr="00CC6D21">
        <w:rPr>
          <w:b/>
          <w:bCs/>
          <w:sz w:val="24"/>
          <w:szCs w:val="24"/>
        </w:rPr>
        <w:t>Upphandlade sjukvårdstjänster inom företagshälsovården</w:t>
      </w:r>
    </w:p>
    <w:p w14:paraId="304E524F" w14:textId="77777777" w:rsidR="00A605BA" w:rsidRDefault="00A605BA" w:rsidP="00A605BA">
      <w:pPr>
        <w:spacing w:line="240" w:lineRule="auto"/>
        <w:rPr>
          <w:rFonts w:cstheme="minorHAnsi"/>
        </w:rPr>
      </w:pPr>
      <w:r>
        <w:rPr>
          <w:rFonts w:cstheme="minorHAnsi"/>
        </w:rPr>
        <w:t xml:space="preserve">En minskning av upphandlad sjukvård (Ersättningsklass II) inom företagshälsovården skulle innebära en besparing för arbetsgivare och en minskad kostnad för den nationella sjukförsäkringen. Samtidigt skulle det innebära en kraftigt minskad produktion av primärvård, vilket skulle ställa krav på ÅHS att öka primärvårdstjänsterna. Det är emellertid inte givet att den kompensatoriska ökning som skulle krävas av ÅHS helt skulle motsvara minskningen inom företagshälsovården eftersom det är möjligt att det sker en överproduktion av sjukvård inom den privata företagshälsovården på grund av ekonomiska incitament när serviceproducenten ersätts för ökade volymer samtidigt som arbetstagaren/patienten inte betalat något ur egen ficka, vilket innebär låga trösklar för att söka och få vård.    </w:t>
      </w:r>
    </w:p>
    <w:p w14:paraId="47B8664F" w14:textId="77777777" w:rsidR="00A605BA" w:rsidRPr="00CC6D21" w:rsidRDefault="00A605BA" w:rsidP="00CC6D21">
      <w:pPr>
        <w:rPr>
          <w:b/>
          <w:bCs/>
          <w:sz w:val="24"/>
          <w:szCs w:val="24"/>
        </w:rPr>
      </w:pPr>
    </w:p>
    <w:p w14:paraId="0839B4BA" w14:textId="77777777" w:rsidR="00A605BA" w:rsidRPr="00CC6D21" w:rsidRDefault="00A605BA" w:rsidP="00CC6D21">
      <w:pPr>
        <w:rPr>
          <w:b/>
          <w:bCs/>
          <w:sz w:val="24"/>
          <w:szCs w:val="24"/>
        </w:rPr>
      </w:pPr>
      <w:r w:rsidRPr="00CC6D21">
        <w:rPr>
          <w:b/>
          <w:bCs/>
          <w:sz w:val="24"/>
          <w:szCs w:val="24"/>
        </w:rPr>
        <w:t>Konsekvenser av ändrade FPA ersättningar privat sjukvård</w:t>
      </w:r>
    </w:p>
    <w:p w14:paraId="28D6F6C0" w14:textId="77777777" w:rsidR="00A605BA" w:rsidRDefault="00A605BA" w:rsidP="00A605BA">
      <w:pPr>
        <w:spacing w:line="240" w:lineRule="auto"/>
        <w:rPr>
          <w:rFonts w:cstheme="minorHAnsi"/>
        </w:rPr>
      </w:pPr>
      <w:r>
        <w:rPr>
          <w:rFonts w:cstheme="minorHAnsi"/>
        </w:rPr>
        <w:t>De ökade FPA ersättningar som den sittande finska regeringen föreslagit kan innebära en ökning av privat sjukvård utanför företagshälsovården. Det ska noteras att ä</w:t>
      </w:r>
      <w:r w:rsidRPr="006A03BE">
        <w:rPr>
          <w:rFonts w:cstheme="minorHAnsi"/>
        </w:rPr>
        <w:t xml:space="preserve">ven om FPA ersättningarna ökar så kommer det ändå att vara en liten del av vad ett besök </w:t>
      </w:r>
      <w:r>
        <w:rPr>
          <w:rFonts w:cstheme="minorHAnsi"/>
        </w:rPr>
        <w:t xml:space="preserve">normalt </w:t>
      </w:r>
      <w:r w:rsidRPr="00424E82">
        <w:rPr>
          <w:rFonts w:cstheme="minorHAnsi"/>
        </w:rPr>
        <w:t xml:space="preserve">kostar inom privat hälso- </w:t>
      </w:r>
      <w:r>
        <w:rPr>
          <w:rFonts w:cstheme="minorHAnsi"/>
        </w:rPr>
        <w:t xml:space="preserve">och </w:t>
      </w:r>
      <w:r w:rsidRPr="00424E82">
        <w:rPr>
          <w:rFonts w:cstheme="minorHAnsi"/>
        </w:rPr>
        <w:t>sjukvård</w:t>
      </w:r>
      <w:r>
        <w:rPr>
          <w:rFonts w:cstheme="minorHAnsi"/>
        </w:rPr>
        <w:t>.</w:t>
      </w:r>
      <w:r w:rsidRPr="00424E82">
        <w:rPr>
          <w:rFonts w:cstheme="minorHAnsi"/>
        </w:rPr>
        <w:t xml:space="preserve"> Vilken </w:t>
      </w:r>
      <w:r>
        <w:rPr>
          <w:rFonts w:cstheme="minorHAnsi"/>
        </w:rPr>
        <w:t xml:space="preserve">effekt det kan få för utbudet av privata vårdtjänster på Åland är beroende av vilket utbud som erbjuds för motsvarande tjänster framför allt inom ÅHS. I nuläget är tillgängligheten till offentlig specialiserad öppenvård mycket god på Åland (se delanalys 1 och 3). En fördel med en ökning av ersättningen för privat sjukvård skulle vara en ökad finansiering av sjukvården på Åland via rikets socialförsäkring, vilket å andra sidan skulle innebära ett ökat finansieringsbehov i riket, med indirekta konsekvenser för Åland. En nackdel kunde vara en fragmentering av sjukvården på Åland, vilken å andra sidan kan stävjas genom samarbete mellan privata aktörer och ÅHS. Även ersättningsmodellerna för företagshälsovården kan komma att ändras, med konsekvenser för vilken primärvård som ordnas via företagshälsovården.      </w:t>
      </w:r>
    </w:p>
    <w:p w14:paraId="59C4D98C" w14:textId="77777777" w:rsidR="00A605BA" w:rsidRDefault="00A605BA" w:rsidP="00A605BA">
      <w:pPr>
        <w:spacing w:line="240" w:lineRule="auto"/>
        <w:rPr>
          <w:rFonts w:cstheme="minorHAnsi"/>
        </w:rPr>
      </w:pPr>
    </w:p>
    <w:p w14:paraId="6FDAB9BB" w14:textId="77777777" w:rsidR="00A605BA" w:rsidRPr="00CC6D21" w:rsidRDefault="00A605BA" w:rsidP="00CC6D21">
      <w:pPr>
        <w:rPr>
          <w:b/>
          <w:bCs/>
          <w:sz w:val="24"/>
          <w:szCs w:val="24"/>
        </w:rPr>
      </w:pPr>
      <w:r w:rsidRPr="00CC6D21">
        <w:rPr>
          <w:b/>
          <w:bCs/>
          <w:sz w:val="24"/>
          <w:szCs w:val="24"/>
        </w:rPr>
        <w:t>Konsekvenser av ökningen av privata sjukförsäkringar</w:t>
      </w:r>
    </w:p>
    <w:p w14:paraId="35142E06" w14:textId="77777777" w:rsidR="00A605BA" w:rsidRDefault="00A605BA" w:rsidP="00A605BA">
      <w:pPr>
        <w:spacing w:line="240" w:lineRule="auto"/>
        <w:rPr>
          <w:rFonts w:cstheme="minorHAnsi"/>
        </w:rPr>
      </w:pPr>
      <w:r>
        <w:rPr>
          <w:rFonts w:cstheme="minorHAnsi"/>
        </w:rPr>
        <w:t xml:space="preserve">En ökad andel av befolkningen med privat sjukförsäkring innebär dels ett ökat utbud av privata sjukvårdstjänster, dels en ökad ojämlikhet i tillgång till hälso- och sjukvårdstjänster. Det kan i förlängningen också leda till en minskad vilja att bidra till finansieringen av den allmänna sjukvården i den delen av befolkningen som har en privat försäkring. Samtidigt skulle en ökning kunna innebära en avlastning av den offentliga vården. En avlastning är emellertid inte garanterad. Det finns en risk att en ökad täckningsgrad av privata försäkringar leder till ökad produktion av vård av mindre essentiell karaktär för den friskare delen av befolkningen, samtidigt som det kvalificerade vårdbehovet som behöver produceras av den offentliga vården kvarstår oförändrad. Det mest effektiva sättet att hindra en ökning av privata sjukvårdsförsäkringar är att erbjuda god tillgänglighet till vård av hög kvalitet inom den offentliga sjukvården.    </w:t>
      </w:r>
    </w:p>
    <w:p w14:paraId="7FC71F78" w14:textId="77777777" w:rsidR="00BF6AFD" w:rsidRPr="00BF6AFD" w:rsidRDefault="00BF6AFD" w:rsidP="00BF6AFD"/>
    <w:sectPr w:rsidR="00BF6AFD" w:rsidRPr="00BF6AFD" w:rsidSect="00EF7D2F">
      <w:headerReference w:type="even" r:id="rId26"/>
      <w:headerReference w:type="default" r:id="rId27"/>
      <w:footerReference w:type="even" r:id="rId28"/>
      <w:footerReference w:type="default" r:id="rId29"/>
      <w:headerReference w:type="first" r:id="rId30"/>
      <w:footerReference w:type="first" r:id="rId31"/>
      <w:pgSz w:w="11906" w:h="16838" w:code="9"/>
      <w:pgMar w:top="1134" w:right="1134" w:bottom="1134" w:left="1134" w:header="85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D617F" w14:textId="77777777" w:rsidR="00887388" w:rsidRDefault="00887388" w:rsidP="00B3473A">
      <w:r>
        <w:separator/>
      </w:r>
    </w:p>
  </w:endnote>
  <w:endnote w:type="continuationSeparator" w:id="0">
    <w:p w14:paraId="3427666B" w14:textId="77777777" w:rsidR="00887388" w:rsidRDefault="00887388"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DCC9" w14:textId="77777777" w:rsidR="00D040F0" w:rsidRDefault="00D040F0">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7774" w14:textId="65227C85" w:rsidR="00E3159F" w:rsidRPr="007D281B" w:rsidRDefault="00D4793B" w:rsidP="007D281B">
    <w:pPr>
      <w:pStyle w:val="Sidfot"/>
      <w:rPr>
        <w:lang w:val="sv-SE"/>
      </w:rPr>
    </w:pPr>
    <w:r w:rsidRPr="00D4793B">
      <w:rPr>
        <w:lang w:val="sv-SE"/>
      </w:rPr>
      <w:fldChar w:fldCharType="begin"/>
    </w:r>
    <w:r w:rsidRPr="00D4793B">
      <w:rPr>
        <w:lang w:val="sv-SE"/>
      </w:rPr>
      <w:instrText xml:space="preserve"> PAGE   \* MERGEFORMAT </w:instrText>
    </w:r>
    <w:r w:rsidRPr="00D4793B">
      <w:rPr>
        <w:lang w:val="sv-SE"/>
      </w:rPr>
      <w:fldChar w:fldCharType="separate"/>
    </w:r>
    <w:r w:rsidRPr="00D4793B">
      <w:rPr>
        <w:lang w:val="sv-SE"/>
      </w:rPr>
      <w:t>2</w:t>
    </w:r>
    <w:r w:rsidRPr="00D4793B">
      <w:rPr>
        <w:lang w:val="sv-SE"/>
      </w:rPr>
      <w:fldChar w:fldCharType="end"/>
    </w:r>
    <w:r w:rsidRPr="00D4793B">
      <w:rPr>
        <w:lang w:val="sv-SE"/>
      </w:rPr>
      <w:t xml:space="preserve"> (</w:t>
    </w:r>
    <w:r w:rsidRPr="00D4793B">
      <w:rPr>
        <w:lang w:val="sv-SE"/>
      </w:rPr>
      <w:fldChar w:fldCharType="begin"/>
    </w:r>
    <w:r w:rsidRPr="00D4793B">
      <w:rPr>
        <w:lang w:val="sv-SE"/>
      </w:rPr>
      <w:instrText xml:space="preserve"> NUMPAGES   \* MERGEFORMAT </w:instrText>
    </w:r>
    <w:r w:rsidRPr="00D4793B">
      <w:rPr>
        <w:lang w:val="sv-SE"/>
      </w:rPr>
      <w:fldChar w:fldCharType="separate"/>
    </w:r>
    <w:r w:rsidRPr="00D4793B">
      <w:rPr>
        <w:lang w:val="sv-SE"/>
      </w:rPr>
      <w:t>4</w:t>
    </w:r>
    <w:r w:rsidRPr="00D4793B">
      <w:rPr>
        <w:lang w:val="sv-SE"/>
      </w:rPr>
      <w:fldChar w:fldCharType="end"/>
    </w:r>
    <w:r w:rsidRPr="00D4793B">
      <w:rPr>
        <w:lang w:val="sv-S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41C1"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9341C" w14:textId="77777777" w:rsidR="00887388" w:rsidRDefault="00887388" w:rsidP="00B3473A">
      <w:r>
        <w:separator/>
      </w:r>
    </w:p>
  </w:footnote>
  <w:footnote w:type="continuationSeparator" w:id="0">
    <w:p w14:paraId="664A7F4B" w14:textId="77777777" w:rsidR="00887388" w:rsidRDefault="00887388" w:rsidP="00B3473A">
      <w:r>
        <w:continuationSeparator/>
      </w:r>
    </w:p>
  </w:footnote>
  <w:footnote w:id="1">
    <w:p w14:paraId="5D97E5C4" w14:textId="1D00837B" w:rsidR="008D24E1" w:rsidRPr="00825A0F" w:rsidRDefault="008D24E1">
      <w:pPr>
        <w:pStyle w:val="Fotnotstext"/>
        <w:rPr>
          <w:sz w:val="18"/>
          <w:szCs w:val="18"/>
          <w:lang w:val="en-GB"/>
        </w:rPr>
      </w:pPr>
      <w:r w:rsidRPr="004735B0">
        <w:rPr>
          <w:rStyle w:val="Fotnotsreferens"/>
          <w:sz w:val="18"/>
          <w:szCs w:val="18"/>
        </w:rPr>
        <w:footnoteRef/>
      </w:r>
      <w:r w:rsidRPr="004735B0">
        <w:rPr>
          <w:sz w:val="18"/>
          <w:szCs w:val="18"/>
        </w:rPr>
        <w:t xml:space="preserve"> Privat sjukvård på Åland</w:t>
      </w:r>
      <w:r w:rsidR="00973CD8">
        <w:rPr>
          <w:sz w:val="18"/>
          <w:szCs w:val="18"/>
        </w:rPr>
        <w:t xml:space="preserve"> - </w:t>
      </w:r>
      <w:r w:rsidR="00973CD8" w:rsidRPr="00973CD8">
        <w:rPr>
          <w:sz w:val="18"/>
          <w:szCs w:val="18"/>
        </w:rPr>
        <w:t>bilaga till delanalys 2 för framtagande av hälso- och sjukvårdsstrategi till 2040</w:t>
      </w:r>
      <w:r w:rsidRPr="004735B0">
        <w:rPr>
          <w:sz w:val="18"/>
          <w:szCs w:val="18"/>
        </w:rPr>
        <w:t xml:space="preserve">. </w:t>
      </w:r>
      <w:r w:rsidRPr="00825A0F">
        <w:rPr>
          <w:sz w:val="18"/>
          <w:szCs w:val="18"/>
          <w:lang w:val="en-GB"/>
        </w:rPr>
        <w:t>Hälso- och sjukvårdsbyrån</w:t>
      </w:r>
      <w:r w:rsidR="00973CD8" w:rsidRPr="00825A0F">
        <w:rPr>
          <w:sz w:val="18"/>
          <w:szCs w:val="18"/>
          <w:lang w:val="en-GB"/>
        </w:rPr>
        <w:t>, 2025</w:t>
      </w:r>
      <w:r w:rsidRPr="00825A0F">
        <w:rPr>
          <w:sz w:val="18"/>
          <w:szCs w:val="18"/>
          <w:lang w:val="en-GB"/>
        </w:rPr>
        <w:t>.</w:t>
      </w:r>
    </w:p>
  </w:footnote>
  <w:footnote w:id="2">
    <w:p w14:paraId="02243EAD" w14:textId="574B370D" w:rsidR="00FE4ED6" w:rsidRPr="00825A0F" w:rsidRDefault="00FE4ED6">
      <w:pPr>
        <w:pStyle w:val="Fotnotstext"/>
        <w:rPr>
          <w:sz w:val="18"/>
          <w:szCs w:val="18"/>
          <w:lang w:val="en-GB"/>
        </w:rPr>
      </w:pPr>
      <w:r w:rsidRPr="004735B0">
        <w:rPr>
          <w:rStyle w:val="Fotnotsreferens"/>
          <w:sz w:val="18"/>
          <w:szCs w:val="18"/>
        </w:rPr>
        <w:footnoteRef/>
      </w:r>
      <w:r w:rsidRPr="00825A0F">
        <w:rPr>
          <w:sz w:val="18"/>
          <w:szCs w:val="18"/>
          <w:lang w:val="en-GB"/>
        </w:rPr>
        <w:t xml:space="preserve"> </w:t>
      </w:r>
      <w:hyperlink r:id="rId1" w:history="1">
        <w:r w:rsidRPr="00825A0F">
          <w:rPr>
            <w:rStyle w:val="Hyperlnk"/>
            <w:sz w:val="18"/>
            <w:szCs w:val="18"/>
            <w:lang w:val="en-GB"/>
          </w:rPr>
          <w:t>https://tietotarjotin.fi/sv/statistikdata/2051231/statistikdatabasen-kelasto</w:t>
        </w:r>
      </w:hyperlink>
      <w:r w:rsidRPr="00825A0F">
        <w:rPr>
          <w:sz w:val="18"/>
          <w:szCs w:val="18"/>
          <w:lang w:val="en-GB"/>
        </w:rPr>
        <w:t xml:space="preserve"> </w:t>
      </w:r>
    </w:p>
  </w:footnote>
  <w:footnote w:id="3">
    <w:p w14:paraId="1DEB85A8" w14:textId="4C084D6F" w:rsidR="00FE4ED6" w:rsidRPr="004735B0" w:rsidRDefault="00FE4ED6">
      <w:pPr>
        <w:pStyle w:val="Fotnotstext"/>
        <w:rPr>
          <w:sz w:val="18"/>
          <w:szCs w:val="18"/>
          <w:lang w:val="sv-FI"/>
        </w:rPr>
      </w:pPr>
      <w:r w:rsidRPr="004735B0">
        <w:rPr>
          <w:rStyle w:val="Fotnotsreferens"/>
          <w:sz w:val="18"/>
          <w:szCs w:val="18"/>
        </w:rPr>
        <w:footnoteRef/>
      </w:r>
      <w:r w:rsidRPr="00825A0F">
        <w:rPr>
          <w:sz w:val="18"/>
          <w:szCs w:val="18"/>
          <w:lang w:val="en-GB"/>
        </w:rPr>
        <w:t xml:space="preserve"> A system of health accounts.  OECD, WHO and Eurostat, 2011. </w:t>
      </w:r>
      <w:hyperlink r:id="rId2" w:history="1">
        <w:r w:rsidRPr="004735B0">
          <w:rPr>
            <w:rStyle w:val="Hyperlnk"/>
            <w:sz w:val="18"/>
            <w:szCs w:val="18"/>
          </w:rPr>
          <w:t>https://www.oecd.org/content/dam/oecd/en/publications/reports/2017/03/a-system-of-health-accounts-2011_g1g75c9d/9789264270985-en.pdf</w:t>
        </w:r>
      </w:hyperlink>
      <w:r w:rsidRPr="004735B0">
        <w:rPr>
          <w:sz w:val="18"/>
          <w:szCs w:val="18"/>
        </w:rPr>
        <w:t xml:space="preserve"> </w:t>
      </w:r>
    </w:p>
  </w:footnote>
  <w:footnote w:id="4">
    <w:p w14:paraId="050B95E7" w14:textId="4470C1D5" w:rsidR="00B06CAA" w:rsidRPr="00825A0F" w:rsidRDefault="00B06CAA" w:rsidP="00B06CAA">
      <w:pPr>
        <w:pStyle w:val="Fotnotstext"/>
        <w:rPr>
          <w:sz w:val="18"/>
          <w:szCs w:val="18"/>
          <w:lang w:val="en-GB"/>
        </w:rPr>
      </w:pPr>
      <w:r w:rsidRPr="004735B0">
        <w:rPr>
          <w:rStyle w:val="Fotnotsreferens"/>
          <w:sz w:val="18"/>
          <w:szCs w:val="18"/>
        </w:rPr>
        <w:footnoteRef/>
      </w:r>
      <w:r w:rsidRPr="004735B0">
        <w:rPr>
          <w:sz w:val="18"/>
          <w:szCs w:val="18"/>
        </w:rPr>
        <w:t xml:space="preserve"> Kommunernas och kommunalförbundens ekonomi och verksamhet 2022. </w:t>
      </w:r>
      <w:r w:rsidRPr="00825A0F">
        <w:rPr>
          <w:sz w:val="18"/>
          <w:szCs w:val="18"/>
          <w:lang w:val="en-GB"/>
        </w:rPr>
        <w:t>Statistik 2023:2. ÅSUB, 2023</w:t>
      </w:r>
    </w:p>
  </w:footnote>
  <w:footnote w:id="5">
    <w:p w14:paraId="15887501" w14:textId="2C8CEA49" w:rsidR="00330C7F" w:rsidRPr="00825A0F" w:rsidRDefault="00330C7F" w:rsidP="00330C7F">
      <w:pPr>
        <w:pStyle w:val="Fotnotstext"/>
        <w:rPr>
          <w:lang w:val="en-GB"/>
        </w:rPr>
      </w:pPr>
      <w:r w:rsidRPr="004735B0">
        <w:rPr>
          <w:rStyle w:val="Fotnotsreferens"/>
          <w:sz w:val="18"/>
          <w:szCs w:val="18"/>
        </w:rPr>
        <w:footnoteRef/>
      </w:r>
      <w:r w:rsidRPr="00825A0F">
        <w:rPr>
          <w:sz w:val="18"/>
          <w:szCs w:val="18"/>
          <w:lang w:val="en-GB"/>
        </w:rPr>
        <w:t xml:space="preserve"> Enligt de anvisningar som används för Eurostat, OECD och WHO (A system of health accounts) ska till sjukvård räknas </w:t>
      </w:r>
      <w:r w:rsidRPr="004735B0">
        <w:rPr>
          <w:sz w:val="18"/>
          <w:szCs w:val="18"/>
          <w:lang w:val="en-GB"/>
        </w:rPr>
        <w:t>“Long-term care with the primary goal of alleviating pain and suffering and reducing or managing the deterioration in health status in patients with a degree of long-term dependency.” (</w:t>
      </w:r>
      <w:r w:rsidRPr="00825A0F">
        <w:rPr>
          <w:sz w:val="18"/>
          <w:szCs w:val="18"/>
          <w:lang w:val="en-GB"/>
        </w:rPr>
        <w:t>till exempel åtgärder för att säkra näringsintag, hygien, rörlighet, sömn etc)</w:t>
      </w:r>
      <w:r w:rsidRPr="004735B0">
        <w:rPr>
          <w:sz w:val="18"/>
          <w:szCs w:val="18"/>
          <w:lang w:val="en-GB"/>
        </w:rPr>
        <w:t>, men inte “Contact with the primary purpose of enabling independent living and interaction with the environment, such as shopping, laundry, vacuuming, cooking and performing housework, managing finances, using the telephone, etc”.</w:t>
      </w:r>
    </w:p>
  </w:footnote>
  <w:footnote w:id="6">
    <w:p w14:paraId="4097B75C" w14:textId="77777777" w:rsidR="00A605BA" w:rsidRPr="006A03BE" w:rsidRDefault="00A605BA" w:rsidP="00A605BA">
      <w:pPr>
        <w:pStyle w:val="Fotnotstext"/>
        <w:rPr>
          <w:sz w:val="18"/>
          <w:szCs w:val="18"/>
          <w:lang w:val="sv-FI"/>
        </w:rPr>
      </w:pPr>
      <w:r w:rsidRPr="006A03BE">
        <w:rPr>
          <w:rStyle w:val="Fotnotsreferens"/>
          <w:sz w:val="18"/>
          <w:szCs w:val="18"/>
        </w:rPr>
        <w:footnoteRef/>
      </w:r>
      <w:r w:rsidRPr="006A03BE">
        <w:rPr>
          <w:sz w:val="18"/>
          <w:szCs w:val="18"/>
        </w:rPr>
        <w:t xml:space="preserve"> </w:t>
      </w:r>
      <w:r w:rsidRPr="006A03BE">
        <w:rPr>
          <w:sz w:val="18"/>
          <w:szCs w:val="18"/>
          <w:lang w:val="sv-FI"/>
        </w:rPr>
        <w:t>Färdplan för framtagande av en hälso- och sjukvårdsstrategi för Åland, 2025-2040. Landskapsregeringen, 2024.</w:t>
      </w:r>
    </w:p>
  </w:footnote>
  <w:footnote w:id="7">
    <w:p w14:paraId="1762169F" w14:textId="77777777" w:rsidR="00A605BA" w:rsidRPr="006A03BE" w:rsidRDefault="00A605BA" w:rsidP="00A605BA">
      <w:pPr>
        <w:pStyle w:val="Fotnotstext"/>
        <w:rPr>
          <w:sz w:val="18"/>
          <w:szCs w:val="18"/>
          <w:lang w:val="sv-FI"/>
        </w:rPr>
      </w:pPr>
      <w:r w:rsidRPr="006A03BE">
        <w:rPr>
          <w:rStyle w:val="Fotnotsreferens"/>
          <w:sz w:val="18"/>
          <w:szCs w:val="18"/>
        </w:rPr>
        <w:footnoteRef/>
      </w:r>
      <w:r w:rsidRPr="006A03BE">
        <w:rPr>
          <w:sz w:val="18"/>
          <w:szCs w:val="18"/>
        </w:rPr>
        <w:t xml:space="preserve"> ÅHS ska ordna mun- och tandvård för patientgrupper som i enlighet med landskapsregeringens beslut är prioriterade av medicinska eller sociala skäl. Även barn och unga till han el hon fyller 27 år har rätt till tandvård vid ÅHS. Samt bastandvård för den som har sin hemvist i Brändö, Föglö, Kumlinge, Kökar och Sottunga.</w:t>
      </w:r>
      <w:r>
        <w:rPr>
          <w:sz w:val="18"/>
          <w:szCs w:val="18"/>
        </w:rPr>
        <w:t xml:space="preserve"> </w:t>
      </w:r>
      <w:r w:rsidRPr="006A03BE">
        <w:rPr>
          <w:sz w:val="18"/>
          <w:szCs w:val="18"/>
        </w:rPr>
        <w:t xml:space="preserve">ÅHS </w:t>
      </w:r>
      <w:r>
        <w:rPr>
          <w:sz w:val="18"/>
          <w:szCs w:val="18"/>
        </w:rPr>
        <w:t>måste även ordna j</w:t>
      </w:r>
      <w:r w:rsidRPr="006A03BE">
        <w:rPr>
          <w:sz w:val="18"/>
          <w:szCs w:val="18"/>
        </w:rPr>
        <w:t xml:space="preserve">ourtandvård </w:t>
      </w:r>
      <w:r>
        <w:rPr>
          <w:sz w:val="18"/>
          <w:szCs w:val="18"/>
        </w:rPr>
        <w:t xml:space="preserve">för </w:t>
      </w:r>
      <w:r w:rsidRPr="006A03BE">
        <w:rPr>
          <w:sz w:val="18"/>
          <w:szCs w:val="18"/>
        </w:rPr>
        <w:t xml:space="preserve">alla invånare </w:t>
      </w:r>
      <w:r>
        <w:rPr>
          <w:sz w:val="18"/>
          <w:szCs w:val="18"/>
        </w:rPr>
        <w:t xml:space="preserve">och tillfälliga besökare </w:t>
      </w:r>
      <w:r w:rsidRPr="006A03BE">
        <w:rPr>
          <w:sz w:val="18"/>
          <w:szCs w:val="18"/>
        </w:rPr>
        <w:t>i landskapet.</w:t>
      </w:r>
    </w:p>
  </w:footnote>
  <w:footnote w:id="8">
    <w:p w14:paraId="290A8F34" w14:textId="77777777" w:rsidR="00A605BA" w:rsidRPr="006A03BE" w:rsidRDefault="00A605BA" w:rsidP="00A605BA">
      <w:pPr>
        <w:pStyle w:val="Fotnotstext"/>
        <w:rPr>
          <w:sz w:val="18"/>
          <w:szCs w:val="18"/>
          <w:lang w:val="sv-FI"/>
        </w:rPr>
      </w:pPr>
      <w:r w:rsidRPr="006A03BE">
        <w:rPr>
          <w:rStyle w:val="Fotnotsreferens"/>
          <w:sz w:val="18"/>
          <w:szCs w:val="18"/>
        </w:rPr>
        <w:footnoteRef/>
      </w:r>
      <w:r w:rsidRPr="006A03BE">
        <w:rPr>
          <w:sz w:val="18"/>
          <w:szCs w:val="18"/>
        </w:rPr>
        <w:t xml:space="preserve"> </w:t>
      </w:r>
      <w:hyperlink r:id="rId3" w:history="1">
        <w:r w:rsidRPr="006A03BE">
          <w:rPr>
            <w:rStyle w:val="Hyperlnk"/>
            <w:sz w:val="18"/>
            <w:szCs w:val="18"/>
          </w:rPr>
          <w:t>https://svenska.yle.fi/a/7-10038536</w:t>
        </w:r>
      </w:hyperlink>
      <w:r w:rsidRPr="006A03BE">
        <w:rPr>
          <w:sz w:val="18"/>
          <w:szCs w:val="18"/>
        </w:rPr>
        <w:t xml:space="preserve"> </w:t>
      </w:r>
    </w:p>
  </w:footnote>
  <w:footnote w:id="9">
    <w:p w14:paraId="152495A2" w14:textId="77777777" w:rsidR="00A605BA" w:rsidRPr="0001482C" w:rsidRDefault="00A605BA" w:rsidP="00A605BA">
      <w:pPr>
        <w:pStyle w:val="Fotnotstext"/>
        <w:rPr>
          <w:lang w:val="sv-FI"/>
        </w:rPr>
      </w:pPr>
      <w:r w:rsidRPr="006A03BE">
        <w:rPr>
          <w:rStyle w:val="Fotnotsreferens"/>
          <w:sz w:val="18"/>
          <w:szCs w:val="18"/>
        </w:rPr>
        <w:footnoteRef/>
      </w:r>
      <w:r w:rsidRPr="006A03BE">
        <w:rPr>
          <w:sz w:val="18"/>
          <w:szCs w:val="18"/>
        </w:rPr>
        <w:t xml:space="preserve"> </w:t>
      </w:r>
      <w:hyperlink r:id="rId4" w:history="1">
        <w:r w:rsidRPr="006A03BE">
          <w:rPr>
            <w:rStyle w:val="Hyperlnk"/>
            <w:sz w:val="18"/>
            <w:szCs w:val="18"/>
          </w:rPr>
          <w:t>https://ratio.se/ny-rapport-privata-sjukvardsforsakringar-en-del-av-arbetsmarknaden-och-sveriges-konkurrenskraft</w:t>
        </w:r>
      </w:hyperlink>
      <w:r>
        <w:t xml:space="preserve"> </w:t>
      </w:r>
    </w:p>
  </w:footnote>
  <w:footnote w:id="10">
    <w:p w14:paraId="378D363A" w14:textId="77777777" w:rsidR="00A605BA" w:rsidRPr="00DC1047" w:rsidRDefault="00A605BA" w:rsidP="00A605BA">
      <w:pPr>
        <w:pStyle w:val="Fotnotstext"/>
        <w:rPr>
          <w:sz w:val="18"/>
          <w:szCs w:val="18"/>
          <w:lang w:val="sv-FI"/>
        </w:rPr>
      </w:pPr>
      <w:r w:rsidRPr="00DC1047">
        <w:rPr>
          <w:rStyle w:val="Fotnotsreferens"/>
          <w:sz w:val="18"/>
          <w:szCs w:val="18"/>
        </w:rPr>
        <w:footnoteRef/>
      </w:r>
      <w:r w:rsidRPr="00DC1047">
        <w:rPr>
          <w:sz w:val="18"/>
          <w:szCs w:val="18"/>
        </w:rPr>
        <w:t xml:space="preserve"> Då privat hälso- och sjukvårds </w:t>
      </w:r>
      <w:r w:rsidRPr="00466186">
        <w:rPr>
          <w:sz w:val="18"/>
          <w:szCs w:val="18"/>
        </w:rPr>
        <w:t xml:space="preserve">fram till 2023 </w:t>
      </w:r>
      <w:r w:rsidRPr="00DC1047">
        <w:rPr>
          <w:sz w:val="18"/>
          <w:szCs w:val="18"/>
        </w:rPr>
        <w:t xml:space="preserve">hanterades som rikets behörighet sköttes </w:t>
      </w:r>
      <w:r w:rsidRPr="00466186">
        <w:rPr>
          <w:sz w:val="18"/>
          <w:szCs w:val="18"/>
        </w:rPr>
        <w:t xml:space="preserve">tillstånd och tillsyn gällande </w:t>
      </w:r>
      <w:r w:rsidRPr="00DC1047">
        <w:rPr>
          <w:sz w:val="18"/>
          <w:szCs w:val="18"/>
        </w:rPr>
        <w:t>privat hälso- och sjukvård av Ålands landskapsregering enligt överenskommelseförordningen om vissa förvaltningsuppgifter inom hälso- och sjukvården i landskapet Åland</w:t>
      </w:r>
      <w:r w:rsidRPr="00466186">
        <w:rPr>
          <w:sz w:val="18"/>
          <w:szCs w:val="18"/>
        </w:rPr>
        <w:t>.</w:t>
      </w:r>
    </w:p>
  </w:footnote>
  <w:footnote w:id="11">
    <w:p w14:paraId="3F6628C3" w14:textId="77777777" w:rsidR="00A605BA" w:rsidRPr="00466186" w:rsidRDefault="00A605BA" w:rsidP="00A605BA">
      <w:pPr>
        <w:pStyle w:val="Fotnotstext"/>
        <w:rPr>
          <w:lang w:val="sv-FI"/>
        </w:rPr>
      </w:pPr>
      <w:r w:rsidRPr="00466186">
        <w:rPr>
          <w:rStyle w:val="Fotnotsreferens"/>
          <w:sz w:val="18"/>
          <w:szCs w:val="18"/>
        </w:rPr>
        <w:footnoteRef/>
      </w:r>
      <w:r w:rsidRPr="00466186">
        <w:rPr>
          <w:sz w:val="18"/>
          <w:szCs w:val="18"/>
        </w:rPr>
        <w:t xml:space="preserve"> 1 § Ålands landskapsregering ska sköta de uppgifter inom hälso- och sjukvården i landskapet Åland som enligt i landskapet gällande rikslagstiftning hör till regionförvaltningsverken.</w:t>
      </w:r>
    </w:p>
  </w:footnote>
  <w:footnote w:id="12">
    <w:p w14:paraId="4D368493" w14:textId="0352F375" w:rsidR="00A605BA" w:rsidRPr="0049779F" w:rsidRDefault="00A605BA" w:rsidP="00A605BA">
      <w:pPr>
        <w:pStyle w:val="Fotnotstext"/>
        <w:rPr>
          <w:sz w:val="18"/>
          <w:szCs w:val="18"/>
          <w:lang w:val="sv-FI"/>
        </w:rPr>
      </w:pPr>
      <w:r w:rsidRPr="0049779F">
        <w:rPr>
          <w:rStyle w:val="Fotnotsreferens"/>
          <w:sz w:val="18"/>
          <w:szCs w:val="18"/>
        </w:rPr>
        <w:footnoteRef/>
      </w:r>
      <w:r w:rsidRPr="0049779F">
        <w:rPr>
          <w:sz w:val="18"/>
          <w:szCs w:val="18"/>
        </w:rPr>
        <w:t xml:space="preserve"> </w:t>
      </w:r>
      <w:r w:rsidR="00CE2B0C" w:rsidRPr="00CE2B0C">
        <w:rPr>
          <w:sz w:val="18"/>
          <w:szCs w:val="18"/>
          <w:lang w:val="sv-FI"/>
        </w:rPr>
        <w:t>Promemoria om hälsoundersökningar inom företagshälsovården</w:t>
      </w:r>
      <w:r w:rsidRPr="0049779F">
        <w:rPr>
          <w:sz w:val="18"/>
          <w:szCs w:val="18"/>
          <w:lang w:val="sv-FI"/>
        </w:rPr>
        <w:t xml:space="preserve">. </w:t>
      </w:r>
      <w:r w:rsidR="00FE2EBB" w:rsidRPr="00FE2EBB">
        <w:rPr>
          <w:sz w:val="18"/>
          <w:szCs w:val="18"/>
          <w:lang w:val="sv-FI"/>
        </w:rPr>
        <w:t>ÅLR 2025/7824</w:t>
      </w:r>
      <w:r w:rsidR="00FE2EBB">
        <w:rPr>
          <w:sz w:val="18"/>
          <w:szCs w:val="18"/>
          <w:lang w:val="sv-FI"/>
        </w:rPr>
        <w:t xml:space="preserve">. </w:t>
      </w:r>
      <w:r w:rsidRPr="0049779F">
        <w:rPr>
          <w:sz w:val="18"/>
          <w:szCs w:val="18"/>
          <w:lang w:val="sv-FI"/>
        </w:rPr>
        <w:t>Ålands landskapsregering, 2025</w:t>
      </w:r>
    </w:p>
  </w:footnote>
  <w:footnote w:id="13">
    <w:p w14:paraId="3F88DD09" w14:textId="77777777" w:rsidR="00A605BA" w:rsidRPr="00DC1047" w:rsidRDefault="00A605BA" w:rsidP="00A605BA">
      <w:pPr>
        <w:pStyle w:val="Fotnotstext"/>
        <w:rPr>
          <w:sz w:val="18"/>
          <w:szCs w:val="18"/>
          <w:lang w:val="sv-FI"/>
        </w:rPr>
      </w:pPr>
      <w:r w:rsidRPr="00DC1047">
        <w:rPr>
          <w:rStyle w:val="Fotnotsreferens"/>
          <w:sz w:val="18"/>
          <w:szCs w:val="18"/>
        </w:rPr>
        <w:footnoteRef/>
      </w:r>
      <w:r w:rsidRPr="00DC1047">
        <w:rPr>
          <w:sz w:val="18"/>
          <w:szCs w:val="18"/>
        </w:rPr>
        <w:t xml:space="preserve"> </w:t>
      </w:r>
      <w:hyperlink r:id="rId5" w:history="1">
        <w:r w:rsidRPr="00DC1047">
          <w:rPr>
            <w:rStyle w:val="Hyperlnk"/>
            <w:sz w:val="18"/>
            <w:szCs w:val="18"/>
          </w:rPr>
          <w:t>https://www.kela.fi/arbetsgivare-foretagshalsovard-ersattningens-belopp</w:t>
        </w:r>
      </w:hyperlink>
      <w:r w:rsidRPr="00DC1047">
        <w:rPr>
          <w:sz w:val="18"/>
          <w:szCs w:val="18"/>
        </w:rPr>
        <w:t xml:space="preserve"> </w:t>
      </w:r>
    </w:p>
  </w:footnote>
  <w:footnote w:id="14">
    <w:p w14:paraId="00946FC0" w14:textId="77777777" w:rsidR="00A605BA" w:rsidRPr="004B298D" w:rsidRDefault="00A605BA" w:rsidP="00A605BA">
      <w:pPr>
        <w:pStyle w:val="Fotnotstext"/>
        <w:rPr>
          <w:sz w:val="18"/>
          <w:szCs w:val="18"/>
          <w:lang w:val="sv-FI"/>
        </w:rPr>
      </w:pPr>
      <w:r w:rsidRPr="004B298D">
        <w:rPr>
          <w:rStyle w:val="Fotnotsreferens"/>
          <w:sz w:val="18"/>
          <w:szCs w:val="18"/>
        </w:rPr>
        <w:footnoteRef/>
      </w:r>
      <w:r w:rsidRPr="004B298D">
        <w:rPr>
          <w:sz w:val="18"/>
          <w:szCs w:val="18"/>
        </w:rPr>
        <w:t xml:space="preserve"> Vissa är bolag som inte är registrerade som serviceproducenter</w:t>
      </w:r>
      <w:r>
        <w:rPr>
          <w:sz w:val="18"/>
          <w:szCs w:val="18"/>
        </w:rPr>
        <w:t>,</w:t>
      </w:r>
      <w:r w:rsidRPr="004B298D">
        <w:rPr>
          <w:sz w:val="18"/>
          <w:szCs w:val="18"/>
        </w:rPr>
        <w:t xml:space="preserve"> där ett flertal självständiga yrkesutövare samverkar. Vanligtvis är en av dessa även registrerade som serviceproducent. Det råder således otydlighet gällande strukturen för vissa tandläkarmottagningar.  </w:t>
      </w:r>
    </w:p>
  </w:footnote>
  <w:footnote w:id="15">
    <w:p w14:paraId="598FC52E" w14:textId="77777777" w:rsidR="00A605BA" w:rsidRPr="00404D77" w:rsidRDefault="00A605BA" w:rsidP="00A605BA">
      <w:pPr>
        <w:pStyle w:val="Fotnotstext"/>
        <w:rPr>
          <w:sz w:val="18"/>
          <w:szCs w:val="18"/>
          <w:lang w:val="sv-FI"/>
        </w:rPr>
      </w:pPr>
      <w:r w:rsidRPr="00404D77">
        <w:rPr>
          <w:rStyle w:val="Fotnotsreferens"/>
          <w:sz w:val="18"/>
          <w:szCs w:val="18"/>
        </w:rPr>
        <w:footnoteRef/>
      </w:r>
      <w:r w:rsidRPr="00404D77">
        <w:rPr>
          <w:sz w:val="18"/>
          <w:szCs w:val="18"/>
        </w:rPr>
        <w:t xml:space="preserve"> </w:t>
      </w:r>
      <w:hyperlink r:id="rId6" w:history="1">
        <w:r w:rsidRPr="00404D77">
          <w:rPr>
            <w:rStyle w:val="Hyperlnk"/>
            <w:sz w:val="18"/>
            <w:szCs w:val="18"/>
          </w:rPr>
          <w:t>https://www.asub.ax/sv/halso-och-sjukvard-tabeller</w:t>
        </w:r>
      </w:hyperlink>
      <w:r w:rsidRPr="00404D77">
        <w:rPr>
          <w:sz w:val="18"/>
          <w:szCs w:val="18"/>
        </w:rPr>
        <w:t xml:space="preserve"> </w:t>
      </w:r>
    </w:p>
  </w:footnote>
  <w:footnote w:id="16">
    <w:p w14:paraId="7B8C6AE6" w14:textId="77777777" w:rsidR="00A605BA" w:rsidRPr="00592067" w:rsidRDefault="00A605BA" w:rsidP="00A605BA">
      <w:pPr>
        <w:pStyle w:val="Fotnotstext"/>
        <w:rPr>
          <w:lang w:val="sv-FI"/>
        </w:rPr>
      </w:pPr>
      <w:r w:rsidRPr="00404D77">
        <w:rPr>
          <w:rStyle w:val="Fotnotsreferens"/>
          <w:sz w:val="18"/>
          <w:szCs w:val="18"/>
        </w:rPr>
        <w:footnoteRef/>
      </w:r>
      <w:r w:rsidRPr="00404D77">
        <w:rPr>
          <w:sz w:val="18"/>
          <w:szCs w:val="18"/>
        </w:rPr>
        <w:t xml:space="preserve"> </w:t>
      </w:r>
      <w:hyperlink r:id="rId7" w:history="1">
        <w:r w:rsidRPr="00404D77">
          <w:rPr>
            <w:rStyle w:val="Hyperlnk"/>
            <w:sz w:val="18"/>
            <w:szCs w:val="18"/>
          </w:rPr>
          <w:t>https://hva-tietopaketti.kela.fi/</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0EA9" w14:textId="77777777" w:rsidR="00D040F0" w:rsidRDefault="00D040F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33AF" w14:textId="77777777" w:rsidR="00E3159F" w:rsidRDefault="00E3159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B26C" w14:textId="5A182CC2" w:rsidR="00E3159F" w:rsidRPr="00816005" w:rsidRDefault="00E3159F" w:rsidP="00C21358">
    <w:pPr>
      <w:pStyle w:val="Sidhuvud"/>
      <w:rPr>
        <w:sz w:val="2"/>
        <w:szCs w:val="2"/>
      </w:rPr>
    </w:pPr>
  </w:p>
  <w:p w14:paraId="33C27DA7"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61A63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94.5pt" o:bullet="t">
        <v:imagedata r:id="rId1" o:title="Gul ruta"/>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09792D"/>
    <w:multiLevelType w:val="hybridMultilevel"/>
    <w:tmpl w:val="9D007E92"/>
    <w:lvl w:ilvl="0" w:tplc="081D000F">
      <w:start w:val="1"/>
      <w:numFmt w:val="decimal"/>
      <w:lvlText w:val="%1."/>
      <w:lvlJc w:val="left"/>
      <w:pPr>
        <w:ind w:left="360" w:hanging="360"/>
      </w:pPr>
      <w:rPr>
        <w:rFonts w:hint="default"/>
      </w:r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11" w15:restartNumberingAfterBreak="0">
    <w:nsid w:val="2B261C7C"/>
    <w:multiLevelType w:val="multilevel"/>
    <w:tmpl w:val="1A5A482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3B2B1F53"/>
    <w:multiLevelType w:val="hybridMultilevel"/>
    <w:tmpl w:val="BA606B9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3" w15:restartNumberingAfterBreak="0">
    <w:nsid w:val="3CB34EF8"/>
    <w:multiLevelType w:val="multilevel"/>
    <w:tmpl w:val="344CC08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D358CF"/>
    <w:multiLevelType w:val="hybridMultilevel"/>
    <w:tmpl w:val="A4888036"/>
    <w:lvl w:ilvl="0" w:tplc="081D000F">
      <w:start w:val="1"/>
      <w:numFmt w:val="decimal"/>
      <w:lvlText w:val="%1."/>
      <w:lvlJc w:val="left"/>
      <w:pPr>
        <w:ind w:left="360" w:hanging="360"/>
      </w:p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17" w15:restartNumberingAfterBreak="0">
    <w:nsid w:val="73345AAE"/>
    <w:multiLevelType w:val="hybridMultilevel"/>
    <w:tmpl w:val="10D404DE"/>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num w:numId="1" w16cid:durableId="1229732491">
    <w:abstractNumId w:val="8"/>
  </w:num>
  <w:num w:numId="2" w16cid:durableId="1082605475">
    <w:abstractNumId w:val="3"/>
  </w:num>
  <w:num w:numId="3" w16cid:durableId="8651447">
    <w:abstractNumId w:val="2"/>
  </w:num>
  <w:num w:numId="4" w16cid:durableId="719593579">
    <w:abstractNumId w:val="1"/>
  </w:num>
  <w:num w:numId="5" w16cid:durableId="258805374">
    <w:abstractNumId w:val="0"/>
  </w:num>
  <w:num w:numId="6" w16cid:durableId="1230771394">
    <w:abstractNumId w:val="9"/>
  </w:num>
  <w:num w:numId="7" w16cid:durableId="1423180924">
    <w:abstractNumId w:val="7"/>
  </w:num>
  <w:num w:numId="8" w16cid:durableId="900558551">
    <w:abstractNumId w:val="6"/>
  </w:num>
  <w:num w:numId="9" w16cid:durableId="656809274">
    <w:abstractNumId w:val="5"/>
  </w:num>
  <w:num w:numId="10" w16cid:durableId="1401709331">
    <w:abstractNumId w:val="4"/>
  </w:num>
  <w:num w:numId="11" w16cid:durableId="291601286">
    <w:abstractNumId w:val="15"/>
  </w:num>
  <w:num w:numId="12" w16cid:durableId="590044911">
    <w:abstractNumId w:val="14"/>
  </w:num>
  <w:num w:numId="13" w16cid:durableId="1408376909">
    <w:abstractNumId w:val="16"/>
  </w:num>
  <w:num w:numId="14" w16cid:durableId="8064962">
    <w:abstractNumId w:val="12"/>
  </w:num>
  <w:num w:numId="15" w16cid:durableId="932979659">
    <w:abstractNumId w:val="10"/>
  </w:num>
  <w:num w:numId="16" w16cid:durableId="1617177043">
    <w:abstractNumId w:val="11"/>
  </w:num>
  <w:num w:numId="17" w16cid:durableId="1410540698">
    <w:abstractNumId w:val="17"/>
  </w:num>
  <w:num w:numId="18" w16cid:durableId="17913130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66B"/>
    <w:rsid w:val="000002F2"/>
    <w:rsid w:val="00001CE2"/>
    <w:rsid w:val="00003A95"/>
    <w:rsid w:val="00004127"/>
    <w:rsid w:val="00007A66"/>
    <w:rsid w:val="00015A4D"/>
    <w:rsid w:val="00017A6C"/>
    <w:rsid w:val="000213ED"/>
    <w:rsid w:val="00025B54"/>
    <w:rsid w:val="0003042A"/>
    <w:rsid w:val="00032492"/>
    <w:rsid w:val="00034E91"/>
    <w:rsid w:val="00037BF8"/>
    <w:rsid w:val="00060FB8"/>
    <w:rsid w:val="00062819"/>
    <w:rsid w:val="00062E0C"/>
    <w:rsid w:val="000719DE"/>
    <w:rsid w:val="00073F0E"/>
    <w:rsid w:val="00075793"/>
    <w:rsid w:val="000757BA"/>
    <w:rsid w:val="00076AB1"/>
    <w:rsid w:val="000914E4"/>
    <w:rsid w:val="0009512C"/>
    <w:rsid w:val="000A12D3"/>
    <w:rsid w:val="000A2EC8"/>
    <w:rsid w:val="000A4CA2"/>
    <w:rsid w:val="000B137A"/>
    <w:rsid w:val="000B24EF"/>
    <w:rsid w:val="000B4EAC"/>
    <w:rsid w:val="000B66FF"/>
    <w:rsid w:val="000D0F28"/>
    <w:rsid w:val="000D1FC3"/>
    <w:rsid w:val="000D409C"/>
    <w:rsid w:val="000F24F9"/>
    <w:rsid w:val="000F38BC"/>
    <w:rsid w:val="000F4626"/>
    <w:rsid w:val="000F4AF8"/>
    <w:rsid w:val="000F71F6"/>
    <w:rsid w:val="00101F15"/>
    <w:rsid w:val="001023E9"/>
    <w:rsid w:val="00103E1A"/>
    <w:rsid w:val="001079FA"/>
    <w:rsid w:val="00107CD4"/>
    <w:rsid w:val="001112D6"/>
    <w:rsid w:val="001200AB"/>
    <w:rsid w:val="00121EDA"/>
    <w:rsid w:val="0012364E"/>
    <w:rsid w:val="00126B25"/>
    <w:rsid w:val="00131ADF"/>
    <w:rsid w:val="00132F44"/>
    <w:rsid w:val="00133CB3"/>
    <w:rsid w:val="0013495A"/>
    <w:rsid w:val="00137379"/>
    <w:rsid w:val="0015465C"/>
    <w:rsid w:val="00156828"/>
    <w:rsid w:val="001573BC"/>
    <w:rsid w:val="001637C4"/>
    <w:rsid w:val="00167D90"/>
    <w:rsid w:val="00177383"/>
    <w:rsid w:val="001957EB"/>
    <w:rsid w:val="0019597B"/>
    <w:rsid w:val="001B30CB"/>
    <w:rsid w:val="001C4F70"/>
    <w:rsid w:val="001E032B"/>
    <w:rsid w:val="001E2384"/>
    <w:rsid w:val="001E3B4B"/>
    <w:rsid w:val="001F3BC7"/>
    <w:rsid w:val="0020106C"/>
    <w:rsid w:val="002021D8"/>
    <w:rsid w:val="00206F66"/>
    <w:rsid w:val="00221A54"/>
    <w:rsid w:val="00240535"/>
    <w:rsid w:val="002458D2"/>
    <w:rsid w:val="002462D1"/>
    <w:rsid w:val="00246600"/>
    <w:rsid w:val="0024707D"/>
    <w:rsid w:val="002509CA"/>
    <w:rsid w:val="002511F1"/>
    <w:rsid w:val="00253B4B"/>
    <w:rsid w:val="00273C58"/>
    <w:rsid w:val="00274639"/>
    <w:rsid w:val="00275374"/>
    <w:rsid w:val="002811C6"/>
    <w:rsid w:val="002835A2"/>
    <w:rsid w:val="00287B71"/>
    <w:rsid w:val="002956B0"/>
    <w:rsid w:val="002A0944"/>
    <w:rsid w:val="002A62A6"/>
    <w:rsid w:val="002B1E10"/>
    <w:rsid w:val="002C1907"/>
    <w:rsid w:val="002C39AA"/>
    <w:rsid w:val="002C5134"/>
    <w:rsid w:val="002C58C4"/>
    <w:rsid w:val="002D2B9B"/>
    <w:rsid w:val="002E3BE4"/>
    <w:rsid w:val="002E63CA"/>
    <w:rsid w:val="002F3B5A"/>
    <w:rsid w:val="002F571C"/>
    <w:rsid w:val="0030156D"/>
    <w:rsid w:val="003115E7"/>
    <w:rsid w:val="003153DD"/>
    <w:rsid w:val="00317CFB"/>
    <w:rsid w:val="00323B2E"/>
    <w:rsid w:val="00330C7F"/>
    <w:rsid w:val="00330F38"/>
    <w:rsid w:val="00333143"/>
    <w:rsid w:val="00334A68"/>
    <w:rsid w:val="003402AF"/>
    <w:rsid w:val="0034151C"/>
    <w:rsid w:val="00346785"/>
    <w:rsid w:val="00353AFE"/>
    <w:rsid w:val="00354BDE"/>
    <w:rsid w:val="00363340"/>
    <w:rsid w:val="00371242"/>
    <w:rsid w:val="00377FCD"/>
    <w:rsid w:val="00381B65"/>
    <w:rsid w:val="003833D5"/>
    <w:rsid w:val="00385D63"/>
    <w:rsid w:val="00387780"/>
    <w:rsid w:val="00397323"/>
    <w:rsid w:val="00397FB5"/>
    <w:rsid w:val="003A23F8"/>
    <w:rsid w:val="003A2B40"/>
    <w:rsid w:val="003A4FE3"/>
    <w:rsid w:val="003A6459"/>
    <w:rsid w:val="003B1DF3"/>
    <w:rsid w:val="003B6954"/>
    <w:rsid w:val="003C079B"/>
    <w:rsid w:val="003C3C27"/>
    <w:rsid w:val="003C5F15"/>
    <w:rsid w:val="003C7797"/>
    <w:rsid w:val="003D0D6D"/>
    <w:rsid w:val="003D451C"/>
    <w:rsid w:val="003E2127"/>
    <w:rsid w:val="003F0CDC"/>
    <w:rsid w:val="003F660A"/>
    <w:rsid w:val="003F73DE"/>
    <w:rsid w:val="003F79A4"/>
    <w:rsid w:val="0040173E"/>
    <w:rsid w:val="00407000"/>
    <w:rsid w:val="00410FE5"/>
    <w:rsid w:val="00412468"/>
    <w:rsid w:val="004150A3"/>
    <w:rsid w:val="004155EB"/>
    <w:rsid w:val="004216B2"/>
    <w:rsid w:val="00424156"/>
    <w:rsid w:val="00424A3C"/>
    <w:rsid w:val="004255ED"/>
    <w:rsid w:val="00426B24"/>
    <w:rsid w:val="0043385F"/>
    <w:rsid w:val="00436881"/>
    <w:rsid w:val="0044235B"/>
    <w:rsid w:val="004451EA"/>
    <w:rsid w:val="00446AB6"/>
    <w:rsid w:val="004527C5"/>
    <w:rsid w:val="004547CE"/>
    <w:rsid w:val="00455D68"/>
    <w:rsid w:val="00470D8C"/>
    <w:rsid w:val="004735B0"/>
    <w:rsid w:val="00473BDF"/>
    <w:rsid w:val="00475D68"/>
    <w:rsid w:val="00475EE7"/>
    <w:rsid w:val="004804C4"/>
    <w:rsid w:val="00483AF0"/>
    <w:rsid w:val="004906B0"/>
    <w:rsid w:val="004A0FE6"/>
    <w:rsid w:val="004A11CA"/>
    <w:rsid w:val="004A1DD2"/>
    <w:rsid w:val="004A3B50"/>
    <w:rsid w:val="004A51F6"/>
    <w:rsid w:val="004A7C8D"/>
    <w:rsid w:val="004B087A"/>
    <w:rsid w:val="004B35E9"/>
    <w:rsid w:val="004C1831"/>
    <w:rsid w:val="004C1D7F"/>
    <w:rsid w:val="004C1E37"/>
    <w:rsid w:val="004C390C"/>
    <w:rsid w:val="004C4178"/>
    <w:rsid w:val="004D334B"/>
    <w:rsid w:val="004D590D"/>
    <w:rsid w:val="004D6BC9"/>
    <w:rsid w:val="004D78A4"/>
    <w:rsid w:val="004D7E25"/>
    <w:rsid w:val="004E1808"/>
    <w:rsid w:val="004F4713"/>
    <w:rsid w:val="0052430B"/>
    <w:rsid w:val="005256D0"/>
    <w:rsid w:val="00536366"/>
    <w:rsid w:val="005463F9"/>
    <w:rsid w:val="00547098"/>
    <w:rsid w:val="005512D3"/>
    <w:rsid w:val="00554F93"/>
    <w:rsid w:val="005728F1"/>
    <w:rsid w:val="005733CF"/>
    <w:rsid w:val="00573790"/>
    <w:rsid w:val="0057416A"/>
    <w:rsid w:val="00580CA3"/>
    <w:rsid w:val="00585218"/>
    <w:rsid w:val="00586C29"/>
    <w:rsid w:val="005871DA"/>
    <w:rsid w:val="005925AE"/>
    <w:rsid w:val="0059308E"/>
    <w:rsid w:val="0059675B"/>
    <w:rsid w:val="005969DC"/>
    <w:rsid w:val="005B607E"/>
    <w:rsid w:val="005B6D6C"/>
    <w:rsid w:val="005B7545"/>
    <w:rsid w:val="005C2C8C"/>
    <w:rsid w:val="005D79CE"/>
    <w:rsid w:val="005E2781"/>
    <w:rsid w:val="005E2B1A"/>
    <w:rsid w:val="005E354B"/>
    <w:rsid w:val="005F00DC"/>
    <w:rsid w:val="005F5E74"/>
    <w:rsid w:val="005F6ACA"/>
    <w:rsid w:val="00605BD6"/>
    <w:rsid w:val="00606CB9"/>
    <w:rsid w:val="00613AF4"/>
    <w:rsid w:val="00616B2D"/>
    <w:rsid w:val="00630B91"/>
    <w:rsid w:val="00631FDA"/>
    <w:rsid w:val="006406FE"/>
    <w:rsid w:val="0064189D"/>
    <w:rsid w:val="00644161"/>
    <w:rsid w:val="00650250"/>
    <w:rsid w:val="006502B3"/>
    <w:rsid w:val="00651042"/>
    <w:rsid w:val="006559D4"/>
    <w:rsid w:val="00661183"/>
    <w:rsid w:val="00662B6D"/>
    <w:rsid w:val="00667C1C"/>
    <w:rsid w:val="006759AA"/>
    <w:rsid w:val="00683004"/>
    <w:rsid w:val="00683114"/>
    <w:rsid w:val="00684C96"/>
    <w:rsid w:val="00684DAB"/>
    <w:rsid w:val="006907DA"/>
    <w:rsid w:val="00691E39"/>
    <w:rsid w:val="006B1CC0"/>
    <w:rsid w:val="006B3483"/>
    <w:rsid w:val="006B6373"/>
    <w:rsid w:val="006D06C3"/>
    <w:rsid w:val="006D1763"/>
    <w:rsid w:val="006D43BB"/>
    <w:rsid w:val="006D6DEA"/>
    <w:rsid w:val="006E232E"/>
    <w:rsid w:val="006E2C9C"/>
    <w:rsid w:val="006E2D26"/>
    <w:rsid w:val="006E3E1C"/>
    <w:rsid w:val="0070124A"/>
    <w:rsid w:val="0070582E"/>
    <w:rsid w:val="00716641"/>
    <w:rsid w:val="00720AF5"/>
    <w:rsid w:val="007240FD"/>
    <w:rsid w:val="00724B6D"/>
    <w:rsid w:val="00724F7C"/>
    <w:rsid w:val="00727134"/>
    <w:rsid w:val="00731C00"/>
    <w:rsid w:val="00733E3A"/>
    <w:rsid w:val="007356E9"/>
    <w:rsid w:val="00740701"/>
    <w:rsid w:val="007416CA"/>
    <w:rsid w:val="0074660B"/>
    <w:rsid w:val="00753A06"/>
    <w:rsid w:val="007658FF"/>
    <w:rsid w:val="0076671E"/>
    <w:rsid w:val="00766B6A"/>
    <w:rsid w:val="007705F5"/>
    <w:rsid w:val="00783D68"/>
    <w:rsid w:val="00793459"/>
    <w:rsid w:val="00793D67"/>
    <w:rsid w:val="007A1A23"/>
    <w:rsid w:val="007A782D"/>
    <w:rsid w:val="007B2031"/>
    <w:rsid w:val="007B516A"/>
    <w:rsid w:val="007C0F8D"/>
    <w:rsid w:val="007C19B5"/>
    <w:rsid w:val="007D146E"/>
    <w:rsid w:val="007D15C9"/>
    <w:rsid w:val="007D281B"/>
    <w:rsid w:val="007D3790"/>
    <w:rsid w:val="007D380D"/>
    <w:rsid w:val="007E6E5D"/>
    <w:rsid w:val="007F0973"/>
    <w:rsid w:val="007F1595"/>
    <w:rsid w:val="007F5486"/>
    <w:rsid w:val="00804CEB"/>
    <w:rsid w:val="00806607"/>
    <w:rsid w:val="008075F5"/>
    <w:rsid w:val="00816005"/>
    <w:rsid w:val="00820434"/>
    <w:rsid w:val="00821D76"/>
    <w:rsid w:val="00822892"/>
    <w:rsid w:val="008231D0"/>
    <w:rsid w:val="00825A0F"/>
    <w:rsid w:val="0083027A"/>
    <w:rsid w:val="00832479"/>
    <w:rsid w:val="008328F7"/>
    <w:rsid w:val="00835006"/>
    <w:rsid w:val="0083546B"/>
    <w:rsid w:val="00853612"/>
    <w:rsid w:val="008573F8"/>
    <w:rsid w:val="00860EE9"/>
    <w:rsid w:val="008616D9"/>
    <w:rsid w:val="00864677"/>
    <w:rsid w:val="0086568C"/>
    <w:rsid w:val="00867A54"/>
    <w:rsid w:val="008707D4"/>
    <w:rsid w:val="00870B9F"/>
    <w:rsid w:val="0088717B"/>
    <w:rsid w:val="00887388"/>
    <w:rsid w:val="0089045C"/>
    <w:rsid w:val="00891289"/>
    <w:rsid w:val="00892C48"/>
    <w:rsid w:val="00892E3C"/>
    <w:rsid w:val="00893720"/>
    <w:rsid w:val="008937C5"/>
    <w:rsid w:val="00894554"/>
    <w:rsid w:val="00895771"/>
    <w:rsid w:val="008A4FFC"/>
    <w:rsid w:val="008B5DD1"/>
    <w:rsid w:val="008C3F0E"/>
    <w:rsid w:val="008C46D6"/>
    <w:rsid w:val="008D1C4F"/>
    <w:rsid w:val="008D24E1"/>
    <w:rsid w:val="008D54CC"/>
    <w:rsid w:val="008D701C"/>
    <w:rsid w:val="008E3B4A"/>
    <w:rsid w:val="008F1D13"/>
    <w:rsid w:val="008F78BB"/>
    <w:rsid w:val="00917367"/>
    <w:rsid w:val="009220CD"/>
    <w:rsid w:val="00923E43"/>
    <w:rsid w:val="0093513E"/>
    <w:rsid w:val="00935D87"/>
    <w:rsid w:val="009372FF"/>
    <w:rsid w:val="00940A13"/>
    <w:rsid w:val="0094287E"/>
    <w:rsid w:val="00943EC9"/>
    <w:rsid w:val="00945947"/>
    <w:rsid w:val="0096246E"/>
    <w:rsid w:val="009662A9"/>
    <w:rsid w:val="00970994"/>
    <w:rsid w:val="00970BB1"/>
    <w:rsid w:val="009736BF"/>
    <w:rsid w:val="00973CD8"/>
    <w:rsid w:val="00983EB3"/>
    <w:rsid w:val="00983FBE"/>
    <w:rsid w:val="00984F4F"/>
    <w:rsid w:val="0099059E"/>
    <w:rsid w:val="009906BF"/>
    <w:rsid w:val="00994D7E"/>
    <w:rsid w:val="009A2047"/>
    <w:rsid w:val="009A7FA3"/>
    <w:rsid w:val="009B02C9"/>
    <w:rsid w:val="009B26EE"/>
    <w:rsid w:val="009B35AA"/>
    <w:rsid w:val="009C2C7A"/>
    <w:rsid w:val="009C4973"/>
    <w:rsid w:val="009C6188"/>
    <w:rsid w:val="009F2AC3"/>
    <w:rsid w:val="009F5FC7"/>
    <w:rsid w:val="00A00292"/>
    <w:rsid w:val="00A11FFB"/>
    <w:rsid w:val="00A15C95"/>
    <w:rsid w:val="00A315BD"/>
    <w:rsid w:val="00A34CCA"/>
    <w:rsid w:val="00A34EE9"/>
    <w:rsid w:val="00A34F46"/>
    <w:rsid w:val="00A368EE"/>
    <w:rsid w:val="00A3743F"/>
    <w:rsid w:val="00A4397B"/>
    <w:rsid w:val="00A44E45"/>
    <w:rsid w:val="00A46EA8"/>
    <w:rsid w:val="00A54E56"/>
    <w:rsid w:val="00A56937"/>
    <w:rsid w:val="00A605BA"/>
    <w:rsid w:val="00A63D4D"/>
    <w:rsid w:val="00A73FC4"/>
    <w:rsid w:val="00A74409"/>
    <w:rsid w:val="00A7505A"/>
    <w:rsid w:val="00A76748"/>
    <w:rsid w:val="00A76A11"/>
    <w:rsid w:val="00A81F77"/>
    <w:rsid w:val="00A83A59"/>
    <w:rsid w:val="00A92243"/>
    <w:rsid w:val="00A92ED7"/>
    <w:rsid w:val="00A966ED"/>
    <w:rsid w:val="00A96BC3"/>
    <w:rsid w:val="00AA32B6"/>
    <w:rsid w:val="00AA5F59"/>
    <w:rsid w:val="00AA6739"/>
    <w:rsid w:val="00AA6AFD"/>
    <w:rsid w:val="00AA6BC9"/>
    <w:rsid w:val="00AB02F3"/>
    <w:rsid w:val="00AB0B3C"/>
    <w:rsid w:val="00AB1D74"/>
    <w:rsid w:val="00AB3716"/>
    <w:rsid w:val="00AC4990"/>
    <w:rsid w:val="00AC6889"/>
    <w:rsid w:val="00AD11A8"/>
    <w:rsid w:val="00AD6DFF"/>
    <w:rsid w:val="00AF200B"/>
    <w:rsid w:val="00AF3093"/>
    <w:rsid w:val="00AF639C"/>
    <w:rsid w:val="00B03DBB"/>
    <w:rsid w:val="00B0460F"/>
    <w:rsid w:val="00B05548"/>
    <w:rsid w:val="00B06CAA"/>
    <w:rsid w:val="00B13A5E"/>
    <w:rsid w:val="00B17F92"/>
    <w:rsid w:val="00B2366E"/>
    <w:rsid w:val="00B244EA"/>
    <w:rsid w:val="00B315E9"/>
    <w:rsid w:val="00B3473A"/>
    <w:rsid w:val="00B43177"/>
    <w:rsid w:val="00B53D92"/>
    <w:rsid w:val="00B56C25"/>
    <w:rsid w:val="00B67C02"/>
    <w:rsid w:val="00B73CE1"/>
    <w:rsid w:val="00B81248"/>
    <w:rsid w:val="00B87FFD"/>
    <w:rsid w:val="00BA5589"/>
    <w:rsid w:val="00BA5CCE"/>
    <w:rsid w:val="00BA73C9"/>
    <w:rsid w:val="00BB1DF9"/>
    <w:rsid w:val="00BB2440"/>
    <w:rsid w:val="00BB25F0"/>
    <w:rsid w:val="00BB265B"/>
    <w:rsid w:val="00BC53F5"/>
    <w:rsid w:val="00BD04D7"/>
    <w:rsid w:val="00BF231A"/>
    <w:rsid w:val="00BF6AFD"/>
    <w:rsid w:val="00C04A94"/>
    <w:rsid w:val="00C051DA"/>
    <w:rsid w:val="00C05EE3"/>
    <w:rsid w:val="00C12E9B"/>
    <w:rsid w:val="00C1683D"/>
    <w:rsid w:val="00C17451"/>
    <w:rsid w:val="00C21358"/>
    <w:rsid w:val="00C24A2A"/>
    <w:rsid w:val="00C26091"/>
    <w:rsid w:val="00C26C1C"/>
    <w:rsid w:val="00C45468"/>
    <w:rsid w:val="00C45E08"/>
    <w:rsid w:val="00C60820"/>
    <w:rsid w:val="00C61CDC"/>
    <w:rsid w:val="00C65040"/>
    <w:rsid w:val="00C964D7"/>
    <w:rsid w:val="00C96F6A"/>
    <w:rsid w:val="00CB0BCB"/>
    <w:rsid w:val="00CB1350"/>
    <w:rsid w:val="00CB5A09"/>
    <w:rsid w:val="00CC0EB0"/>
    <w:rsid w:val="00CC1437"/>
    <w:rsid w:val="00CC6D21"/>
    <w:rsid w:val="00CD225A"/>
    <w:rsid w:val="00CD63FE"/>
    <w:rsid w:val="00CE2B0C"/>
    <w:rsid w:val="00CE7169"/>
    <w:rsid w:val="00D00B6C"/>
    <w:rsid w:val="00D02E74"/>
    <w:rsid w:val="00D03F86"/>
    <w:rsid w:val="00D040F0"/>
    <w:rsid w:val="00D058DB"/>
    <w:rsid w:val="00D11A39"/>
    <w:rsid w:val="00D13C13"/>
    <w:rsid w:val="00D13FE9"/>
    <w:rsid w:val="00D177CD"/>
    <w:rsid w:val="00D20FE5"/>
    <w:rsid w:val="00D22226"/>
    <w:rsid w:val="00D27D1E"/>
    <w:rsid w:val="00D34D2B"/>
    <w:rsid w:val="00D4793B"/>
    <w:rsid w:val="00D47FA8"/>
    <w:rsid w:val="00D52A56"/>
    <w:rsid w:val="00D52CFA"/>
    <w:rsid w:val="00D549D0"/>
    <w:rsid w:val="00D62B8E"/>
    <w:rsid w:val="00D65F81"/>
    <w:rsid w:val="00D67EE8"/>
    <w:rsid w:val="00D80488"/>
    <w:rsid w:val="00D92006"/>
    <w:rsid w:val="00D93059"/>
    <w:rsid w:val="00D936A4"/>
    <w:rsid w:val="00D93D5F"/>
    <w:rsid w:val="00DA1DB4"/>
    <w:rsid w:val="00DA2411"/>
    <w:rsid w:val="00DA2A59"/>
    <w:rsid w:val="00DA666B"/>
    <w:rsid w:val="00DB539F"/>
    <w:rsid w:val="00DC338B"/>
    <w:rsid w:val="00DC3CF5"/>
    <w:rsid w:val="00DC46BF"/>
    <w:rsid w:val="00DD317D"/>
    <w:rsid w:val="00DD3F6E"/>
    <w:rsid w:val="00E00D0F"/>
    <w:rsid w:val="00E015F6"/>
    <w:rsid w:val="00E05574"/>
    <w:rsid w:val="00E20499"/>
    <w:rsid w:val="00E22EA7"/>
    <w:rsid w:val="00E23459"/>
    <w:rsid w:val="00E3159F"/>
    <w:rsid w:val="00E360B2"/>
    <w:rsid w:val="00E37F56"/>
    <w:rsid w:val="00E5115A"/>
    <w:rsid w:val="00E55012"/>
    <w:rsid w:val="00E61E61"/>
    <w:rsid w:val="00E6283C"/>
    <w:rsid w:val="00E67CD6"/>
    <w:rsid w:val="00E70509"/>
    <w:rsid w:val="00E81CCC"/>
    <w:rsid w:val="00E841B3"/>
    <w:rsid w:val="00EA0DAC"/>
    <w:rsid w:val="00EB1AF2"/>
    <w:rsid w:val="00EB3404"/>
    <w:rsid w:val="00ED36D5"/>
    <w:rsid w:val="00EE4FB9"/>
    <w:rsid w:val="00EE6C01"/>
    <w:rsid w:val="00EE6CBC"/>
    <w:rsid w:val="00EF1BDE"/>
    <w:rsid w:val="00EF2708"/>
    <w:rsid w:val="00EF6907"/>
    <w:rsid w:val="00EF7D2F"/>
    <w:rsid w:val="00F01FE3"/>
    <w:rsid w:val="00F02958"/>
    <w:rsid w:val="00F15934"/>
    <w:rsid w:val="00F17BE2"/>
    <w:rsid w:val="00F20D25"/>
    <w:rsid w:val="00F22F50"/>
    <w:rsid w:val="00F26C55"/>
    <w:rsid w:val="00F30473"/>
    <w:rsid w:val="00F34DAC"/>
    <w:rsid w:val="00F35D68"/>
    <w:rsid w:val="00F40FAA"/>
    <w:rsid w:val="00F468B1"/>
    <w:rsid w:val="00F468C6"/>
    <w:rsid w:val="00F51C39"/>
    <w:rsid w:val="00F555D1"/>
    <w:rsid w:val="00F60C2E"/>
    <w:rsid w:val="00F631FC"/>
    <w:rsid w:val="00F838DC"/>
    <w:rsid w:val="00F922ED"/>
    <w:rsid w:val="00F93FA8"/>
    <w:rsid w:val="00FA0279"/>
    <w:rsid w:val="00FB06A6"/>
    <w:rsid w:val="00FB09C7"/>
    <w:rsid w:val="00FB1225"/>
    <w:rsid w:val="00FB5FC8"/>
    <w:rsid w:val="00FC11D0"/>
    <w:rsid w:val="00FC380E"/>
    <w:rsid w:val="00FC7514"/>
    <w:rsid w:val="00FD0E07"/>
    <w:rsid w:val="00FE0968"/>
    <w:rsid w:val="00FE2E61"/>
    <w:rsid w:val="00FE2EBB"/>
    <w:rsid w:val="00FE4ED6"/>
    <w:rsid w:val="00FE5117"/>
    <w:rsid w:val="00FE5EA2"/>
    <w:rsid w:val="00FE6C0F"/>
    <w:rsid w:val="00FF3B8E"/>
    <w:rsid w:val="00FF5348"/>
    <w:rsid w:val="00FF65BC"/>
    <w:rsid w:val="00FF711B"/>
    <w:rsid w:val="00FF728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9C70C"/>
  <w15:chartTrackingRefBased/>
  <w15:docId w15:val="{0AB95DD9-3D33-4299-ADC1-58EF6F811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6BF"/>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DC46BF"/>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paragraph" w:styleId="Rubrik7">
    <w:name w:val="heading 7"/>
    <w:basedOn w:val="Normal"/>
    <w:next w:val="Normal"/>
    <w:link w:val="Rubrik7Char"/>
    <w:uiPriority w:val="9"/>
    <w:semiHidden/>
    <w:unhideWhenUsed/>
    <w:rsid w:val="00DA666B"/>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rsid w:val="00DA666B"/>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rsid w:val="00DA666B"/>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DC46BF"/>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character" w:customStyle="1" w:styleId="Rubrik7Char">
    <w:name w:val="Rubrik 7 Char"/>
    <w:basedOn w:val="Standardstycketeckensnitt"/>
    <w:link w:val="Rubrik7"/>
    <w:uiPriority w:val="9"/>
    <w:semiHidden/>
    <w:rsid w:val="00DA666B"/>
    <w:rPr>
      <w:rFonts w:eastAsiaTheme="majorEastAsia" w:cstheme="majorBidi"/>
      <w:color w:val="595959" w:themeColor="text1" w:themeTint="A6"/>
      <w:kern w:val="0"/>
      <w:sz w:val="20"/>
      <w:szCs w:val="20"/>
      <w:lang w:val="sv-SE"/>
      <w14:ligatures w14:val="none"/>
    </w:rPr>
  </w:style>
  <w:style w:type="character" w:customStyle="1" w:styleId="Rubrik8Char">
    <w:name w:val="Rubrik 8 Char"/>
    <w:basedOn w:val="Standardstycketeckensnitt"/>
    <w:link w:val="Rubrik8"/>
    <w:uiPriority w:val="9"/>
    <w:semiHidden/>
    <w:rsid w:val="00DA666B"/>
    <w:rPr>
      <w:rFonts w:eastAsiaTheme="majorEastAsia" w:cstheme="majorBidi"/>
      <w:i/>
      <w:iCs/>
      <w:color w:val="272727" w:themeColor="text1" w:themeTint="D8"/>
      <w:kern w:val="0"/>
      <w:sz w:val="20"/>
      <w:szCs w:val="20"/>
      <w:lang w:val="sv-SE"/>
      <w14:ligatures w14:val="none"/>
    </w:rPr>
  </w:style>
  <w:style w:type="character" w:customStyle="1" w:styleId="Rubrik9Char">
    <w:name w:val="Rubrik 9 Char"/>
    <w:basedOn w:val="Standardstycketeckensnitt"/>
    <w:link w:val="Rubrik9"/>
    <w:uiPriority w:val="9"/>
    <w:semiHidden/>
    <w:rsid w:val="00DA666B"/>
    <w:rPr>
      <w:rFonts w:eastAsiaTheme="majorEastAsia" w:cstheme="majorBidi"/>
      <w:color w:val="272727" w:themeColor="text1" w:themeTint="D8"/>
      <w:kern w:val="0"/>
      <w:sz w:val="20"/>
      <w:szCs w:val="20"/>
      <w:lang w:val="sv-SE"/>
      <w14:ligatures w14:val="none"/>
    </w:rPr>
  </w:style>
  <w:style w:type="paragraph" w:styleId="Underrubrik">
    <w:name w:val="Subtitle"/>
    <w:basedOn w:val="Normal"/>
    <w:next w:val="Normal"/>
    <w:link w:val="UnderrubrikChar"/>
    <w:uiPriority w:val="11"/>
    <w:rsid w:val="00DA666B"/>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A666B"/>
    <w:rPr>
      <w:rFonts w:eastAsiaTheme="majorEastAsia" w:cstheme="majorBidi"/>
      <w:color w:val="595959" w:themeColor="text1" w:themeTint="A6"/>
      <w:spacing w:val="15"/>
      <w:kern w:val="0"/>
      <w:sz w:val="28"/>
      <w:szCs w:val="28"/>
      <w:lang w:val="sv-SE"/>
      <w14:ligatures w14:val="none"/>
    </w:rPr>
  </w:style>
  <w:style w:type="paragraph" w:styleId="Liststycke">
    <w:name w:val="List Paragraph"/>
    <w:basedOn w:val="Normal"/>
    <w:uiPriority w:val="34"/>
    <w:rsid w:val="00DA666B"/>
    <w:pPr>
      <w:ind w:left="720"/>
      <w:contextualSpacing/>
    </w:pPr>
  </w:style>
  <w:style w:type="character" w:styleId="Starkreferens">
    <w:name w:val="Intense Reference"/>
    <w:basedOn w:val="Standardstycketeckensnitt"/>
    <w:uiPriority w:val="32"/>
    <w:rsid w:val="00DA666B"/>
    <w:rPr>
      <w:b/>
      <w:bCs/>
      <w:smallCaps/>
      <w:color w:val="004A82" w:themeColor="accent1" w:themeShade="BF"/>
      <w:spacing w:val="5"/>
    </w:rPr>
  </w:style>
  <w:style w:type="paragraph" w:styleId="Fotnotstext">
    <w:name w:val="footnote text"/>
    <w:basedOn w:val="Normal"/>
    <w:link w:val="FotnotstextChar"/>
    <w:uiPriority w:val="99"/>
    <w:semiHidden/>
    <w:unhideWhenUsed/>
    <w:rsid w:val="00FE4ED6"/>
    <w:pPr>
      <w:spacing w:line="240" w:lineRule="auto"/>
    </w:pPr>
  </w:style>
  <w:style w:type="character" w:customStyle="1" w:styleId="FotnotstextChar">
    <w:name w:val="Fotnotstext Char"/>
    <w:basedOn w:val="Standardstycketeckensnitt"/>
    <w:link w:val="Fotnotstext"/>
    <w:uiPriority w:val="99"/>
    <w:semiHidden/>
    <w:rsid w:val="00FE4ED6"/>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FE4E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1663">
      <w:bodyDiv w:val="1"/>
      <w:marLeft w:val="0"/>
      <w:marRight w:val="0"/>
      <w:marTop w:val="0"/>
      <w:marBottom w:val="0"/>
      <w:divBdr>
        <w:top w:val="none" w:sz="0" w:space="0" w:color="auto"/>
        <w:left w:val="none" w:sz="0" w:space="0" w:color="auto"/>
        <w:bottom w:val="none" w:sz="0" w:space="0" w:color="auto"/>
        <w:right w:val="none" w:sz="0" w:space="0" w:color="auto"/>
      </w:divBdr>
    </w:div>
    <w:div w:id="36862262">
      <w:bodyDiv w:val="1"/>
      <w:marLeft w:val="0"/>
      <w:marRight w:val="0"/>
      <w:marTop w:val="0"/>
      <w:marBottom w:val="0"/>
      <w:divBdr>
        <w:top w:val="none" w:sz="0" w:space="0" w:color="auto"/>
        <w:left w:val="none" w:sz="0" w:space="0" w:color="auto"/>
        <w:bottom w:val="none" w:sz="0" w:space="0" w:color="auto"/>
        <w:right w:val="none" w:sz="0" w:space="0" w:color="auto"/>
      </w:divBdr>
    </w:div>
    <w:div w:id="244531947">
      <w:bodyDiv w:val="1"/>
      <w:marLeft w:val="0"/>
      <w:marRight w:val="0"/>
      <w:marTop w:val="0"/>
      <w:marBottom w:val="0"/>
      <w:divBdr>
        <w:top w:val="none" w:sz="0" w:space="0" w:color="auto"/>
        <w:left w:val="none" w:sz="0" w:space="0" w:color="auto"/>
        <w:bottom w:val="none" w:sz="0" w:space="0" w:color="auto"/>
        <w:right w:val="none" w:sz="0" w:space="0" w:color="auto"/>
      </w:divBdr>
    </w:div>
    <w:div w:id="450905059">
      <w:bodyDiv w:val="1"/>
      <w:marLeft w:val="0"/>
      <w:marRight w:val="0"/>
      <w:marTop w:val="0"/>
      <w:marBottom w:val="0"/>
      <w:divBdr>
        <w:top w:val="none" w:sz="0" w:space="0" w:color="auto"/>
        <w:left w:val="none" w:sz="0" w:space="0" w:color="auto"/>
        <w:bottom w:val="none" w:sz="0" w:space="0" w:color="auto"/>
        <w:right w:val="none" w:sz="0" w:space="0" w:color="auto"/>
      </w:divBdr>
    </w:div>
    <w:div w:id="728651331">
      <w:bodyDiv w:val="1"/>
      <w:marLeft w:val="0"/>
      <w:marRight w:val="0"/>
      <w:marTop w:val="0"/>
      <w:marBottom w:val="0"/>
      <w:divBdr>
        <w:top w:val="none" w:sz="0" w:space="0" w:color="auto"/>
        <w:left w:val="none" w:sz="0" w:space="0" w:color="auto"/>
        <w:bottom w:val="none" w:sz="0" w:space="0" w:color="auto"/>
        <w:right w:val="none" w:sz="0" w:space="0" w:color="auto"/>
      </w:divBdr>
    </w:div>
    <w:div w:id="1173644699">
      <w:bodyDiv w:val="1"/>
      <w:marLeft w:val="0"/>
      <w:marRight w:val="0"/>
      <w:marTop w:val="0"/>
      <w:marBottom w:val="0"/>
      <w:divBdr>
        <w:top w:val="none" w:sz="0" w:space="0" w:color="auto"/>
        <w:left w:val="none" w:sz="0" w:space="0" w:color="auto"/>
        <w:bottom w:val="none" w:sz="0" w:space="0" w:color="auto"/>
        <w:right w:val="none" w:sz="0" w:space="0" w:color="auto"/>
      </w:divBdr>
    </w:div>
    <w:div w:id="1218273773">
      <w:bodyDiv w:val="1"/>
      <w:marLeft w:val="0"/>
      <w:marRight w:val="0"/>
      <w:marTop w:val="0"/>
      <w:marBottom w:val="0"/>
      <w:divBdr>
        <w:top w:val="none" w:sz="0" w:space="0" w:color="auto"/>
        <w:left w:val="none" w:sz="0" w:space="0" w:color="auto"/>
        <w:bottom w:val="none" w:sz="0" w:space="0" w:color="auto"/>
        <w:right w:val="none" w:sz="0" w:space="0" w:color="auto"/>
      </w:divBdr>
    </w:div>
    <w:div w:id="1255623729">
      <w:bodyDiv w:val="1"/>
      <w:marLeft w:val="0"/>
      <w:marRight w:val="0"/>
      <w:marTop w:val="0"/>
      <w:marBottom w:val="0"/>
      <w:divBdr>
        <w:top w:val="none" w:sz="0" w:space="0" w:color="auto"/>
        <w:left w:val="none" w:sz="0" w:space="0" w:color="auto"/>
        <w:bottom w:val="none" w:sz="0" w:space="0" w:color="auto"/>
        <w:right w:val="none" w:sz="0" w:space="0" w:color="auto"/>
      </w:divBdr>
    </w:div>
    <w:div w:id="1277564131">
      <w:bodyDiv w:val="1"/>
      <w:marLeft w:val="0"/>
      <w:marRight w:val="0"/>
      <w:marTop w:val="0"/>
      <w:marBottom w:val="0"/>
      <w:divBdr>
        <w:top w:val="none" w:sz="0" w:space="0" w:color="auto"/>
        <w:left w:val="none" w:sz="0" w:space="0" w:color="auto"/>
        <w:bottom w:val="none" w:sz="0" w:space="0" w:color="auto"/>
        <w:right w:val="none" w:sz="0" w:space="0" w:color="auto"/>
      </w:divBdr>
    </w:div>
    <w:div w:id="1440448236">
      <w:bodyDiv w:val="1"/>
      <w:marLeft w:val="0"/>
      <w:marRight w:val="0"/>
      <w:marTop w:val="0"/>
      <w:marBottom w:val="0"/>
      <w:divBdr>
        <w:top w:val="none" w:sz="0" w:space="0" w:color="auto"/>
        <w:left w:val="none" w:sz="0" w:space="0" w:color="auto"/>
        <w:bottom w:val="none" w:sz="0" w:space="0" w:color="auto"/>
        <w:right w:val="none" w:sz="0" w:space="0" w:color="auto"/>
      </w:divBdr>
    </w:div>
    <w:div w:id="1916668124">
      <w:bodyDiv w:val="1"/>
      <w:marLeft w:val="0"/>
      <w:marRight w:val="0"/>
      <w:marTop w:val="0"/>
      <w:marBottom w:val="0"/>
      <w:divBdr>
        <w:top w:val="none" w:sz="0" w:space="0" w:color="auto"/>
        <w:left w:val="none" w:sz="0" w:space="0" w:color="auto"/>
        <w:bottom w:val="none" w:sz="0" w:space="0" w:color="auto"/>
        <w:right w:val="none" w:sz="0" w:space="0" w:color="auto"/>
      </w:divBdr>
    </w:div>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 w:id="204586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sv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9.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svenska.yle.fi/a/7-10038536" TargetMode="External"/><Relationship Id="rId7" Type="http://schemas.openxmlformats.org/officeDocument/2006/relationships/hyperlink" Target="https://hva-tietopaketti.kela.fi/" TargetMode="External"/><Relationship Id="rId2" Type="http://schemas.openxmlformats.org/officeDocument/2006/relationships/hyperlink" Target="https://www.oecd.org/content/dam/oecd/en/publications/reports/2017/03/a-system-of-health-accounts-2011_g1g75c9d/9789264270985-en.pdf" TargetMode="External"/><Relationship Id="rId1" Type="http://schemas.openxmlformats.org/officeDocument/2006/relationships/hyperlink" Target="https://tietotarjotin.fi/sv/statistikdata/2051231/statistikdatabasen-kelasto" TargetMode="External"/><Relationship Id="rId6" Type="http://schemas.openxmlformats.org/officeDocument/2006/relationships/hyperlink" Target="https://www.asub.ax/sv/halso-och-sjukvard-tabeller" TargetMode="External"/><Relationship Id="rId5" Type="http://schemas.openxmlformats.org/officeDocument/2006/relationships/hyperlink" Target="https://www.kela.fi/arbetsgivare-foretagshalsovard-ersattningens-belopp" TargetMode="External"/><Relationship Id="rId4" Type="http://schemas.openxmlformats.org/officeDocument/2006/relationships/hyperlink" Target="https://ratio.se/ny-rapport-privata-sjukvardsforsakringar-en-del-av-arbetsmarknaden-och-sveriges-konkurrenskraf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1B7BFA-27FF-452B-835D-DCD7F66900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33D15C-2CF8-49BE-A77C-6E6A6A1B9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39180C-76F0-4B86-BE7D-082D1B704FFD}">
  <ds:schemaRefs>
    <ds:schemaRef ds:uri="http://schemas.microsoft.com/sharepoint/v3/contenttype/forms"/>
  </ds:schemaRefs>
</ds:datastoreItem>
</file>

<file path=customXml/itemProps5.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6529</Words>
  <Characters>34606</Characters>
  <Application>Microsoft Office Word</Application>
  <DocSecurity>0</DocSecurity>
  <Lines>288</Lines>
  <Paragraphs>82</Paragraphs>
  <ScaleCrop>false</ScaleCrop>
  <HeadingPairs>
    <vt:vector size="2" baseType="variant">
      <vt:variant>
        <vt:lpstr>Rubrik</vt:lpstr>
      </vt:variant>
      <vt:variant>
        <vt:i4>1</vt:i4>
      </vt:variant>
    </vt:vector>
  </HeadingPairs>
  <TitlesOfParts>
    <vt:vector size="1" baseType="lpstr">
      <vt:lpstr>Exempel på dokumenttitel</vt:lpstr>
    </vt:vector>
  </TitlesOfParts>
  <Company/>
  <LinksUpToDate>false</LinksUpToDate>
  <CharactersWithSpaces>41053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Hälso- och sjukvårdskostnader och finansiering</dc:title>
  <dc:subject>Delanalys 2 för framtagande av hälso- och sjukvårdsstrategi till 2040</dc:subject>
  <dc:creator>Knut Lönnroth</dc:creator>
  <cp:keywords/>
  <dc:description/>
  <cp:lastModifiedBy>Jessica Laaksonen</cp:lastModifiedBy>
  <cp:revision>2</cp:revision>
  <cp:lastPrinted>2025-03-03T06:38:00Z</cp:lastPrinted>
  <dcterms:created xsi:type="dcterms:W3CDTF">2026-10-29T12:06:00Z</dcterms:created>
  <dcterms:modified xsi:type="dcterms:W3CDTF">2026-10-29T12:06:00Z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