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1" w:type="pct"/>
        <w:tblLayout w:type="fixed"/>
        <w:tblCellMar>
          <w:left w:w="0" w:type="dxa"/>
          <w:right w:w="0" w:type="dxa"/>
        </w:tblCellMar>
        <w:tblLook w:val="0000" w:firstRow="0" w:lastRow="0" w:firstColumn="0" w:lastColumn="0" w:noHBand="0" w:noVBand="0"/>
      </w:tblPr>
      <w:tblGrid>
        <w:gridCol w:w="614"/>
        <w:gridCol w:w="3158"/>
        <w:gridCol w:w="1228"/>
        <w:gridCol w:w="1825"/>
      </w:tblGrid>
      <w:tr w:rsidR="000B3F00" w14:paraId="6E31860B" w14:textId="77777777" w:rsidTr="005768CF">
        <w:trPr>
          <w:cantSplit/>
          <w:trHeight w:val="22"/>
        </w:trPr>
        <w:tc>
          <w:tcPr>
            <w:tcW w:w="873" w:type="dxa"/>
            <w:vMerge w:val="restart"/>
          </w:tcPr>
          <w:p w14:paraId="75F3CE4F" w14:textId="1DFD5D9D" w:rsidR="000B3F00" w:rsidRDefault="00DE5BE8">
            <w:pPr>
              <w:pStyle w:val="xLedtext"/>
              <w:rPr>
                <w:noProof/>
              </w:rPr>
            </w:pPr>
            <w:bookmarkStart w:id="0" w:name="_top"/>
            <w:bookmarkEnd w:id="0"/>
            <w:r>
              <w:rPr>
                <w:noProof/>
              </w:rPr>
              <w:drawing>
                <wp:inline distT="0" distB="0" distL="0" distR="0" wp14:anchorId="04D91A6B" wp14:editId="7445275C">
                  <wp:extent cx="386080" cy="602553"/>
                  <wp:effectExtent l="0" t="0" r="0" b="762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144" cy="607336"/>
                          </a:xfrm>
                          <a:prstGeom prst="rect">
                            <a:avLst/>
                          </a:prstGeom>
                          <a:noFill/>
                          <a:ln>
                            <a:noFill/>
                          </a:ln>
                        </pic:spPr>
                      </pic:pic>
                    </a:graphicData>
                  </a:graphic>
                </wp:inline>
              </w:drawing>
            </w:r>
          </w:p>
        </w:tc>
        <w:tc>
          <w:tcPr>
            <w:tcW w:w="8902" w:type="dxa"/>
            <w:gridSpan w:val="3"/>
            <w:vAlign w:val="bottom"/>
          </w:tcPr>
          <w:p w14:paraId="253E9D9E" w14:textId="3B8169B3" w:rsidR="000B3F00" w:rsidRDefault="00DE5BE8">
            <w:pPr>
              <w:pStyle w:val="xMellanrum"/>
            </w:pPr>
            <w:r>
              <w:rPr>
                <w:noProof/>
              </w:rPr>
              <w:drawing>
                <wp:inline distT="0" distB="0" distL="0" distR="0" wp14:anchorId="17D72A4E" wp14:editId="45752E63">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3D10E4F8" w14:textId="77777777" w:rsidTr="005768CF">
        <w:trPr>
          <w:cantSplit/>
          <w:trHeight w:val="339"/>
        </w:trPr>
        <w:tc>
          <w:tcPr>
            <w:tcW w:w="873" w:type="dxa"/>
            <w:vMerge/>
          </w:tcPr>
          <w:p w14:paraId="7CF0576B" w14:textId="77777777" w:rsidR="000B3F00" w:rsidRDefault="000B3F00">
            <w:pPr>
              <w:pStyle w:val="xLedtext"/>
            </w:pPr>
          </w:p>
        </w:tc>
        <w:tc>
          <w:tcPr>
            <w:tcW w:w="4531" w:type="dxa"/>
            <w:vAlign w:val="bottom"/>
          </w:tcPr>
          <w:p w14:paraId="2B5694CA" w14:textId="77777777" w:rsidR="000B3F00" w:rsidRDefault="000B3F00">
            <w:pPr>
              <w:pStyle w:val="xAvsandare1"/>
            </w:pPr>
            <w:r>
              <w:t>Ålands lagting</w:t>
            </w:r>
          </w:p>
        </w:tc>
        <w:tc>
          <w:tcPr>
            <w:tcW w:w="4371" w:type="dxa"/>
            <w:gridSpan w:val="2"/>
            <w:vAlign w:val="bottom"/>
          </w:tcPr>
          <w:p w14:paraId="3396D908" w14:textId="77777777" w:rsidR="000B3F00" w:rsidRDefault="00D34F0A" w:rsidP="00377141">
            <w:pPr>
              <w:pStyle w:val="xDokTypNr"/>
            </w:pPr>
            <w:r>
              <w:t>RESERVATION</w:t>
            </w:r>
          </w:p>
        </w:tc>
      </w:tr>
      <w:tr w:rsidR="000B3F00" w14:paraId="63C753AD" w14:textId="77777777" w:rsidTr="005768CF">
        <w:trPr>
          <w:cantSplit/>
          <w:trHeight w:val="269"/>
        </w:trPr>
        <w:tc>
          <w:tcPr>
            <w:tcW w:w="873" w:type="dxa"/>
            <w:vMerge/>
          </w:tcPr>
          <w:p w14:paraId="4C2CC87F" w14:textId="77777777" w:rsidR="000B3F00" w:rsidRDefault="000B3F00">
            <w:pPr>
              <w:pStyle w:val="xLedtext"/>
            </w:pPr>
          </w:p>
        </w:tc>
        <w:tc>
          <w:tcPr>
            <w:tcW w:w="4531" w:type="dxa"/>
            <w:vAlign w:val="bottom"/>
          </w:tcPr>
          <w:p w14:paraId="6D149822" w14:textId="77777777" w:rsidR="000B3F00" w:rsidRDefault="000B3F00">
            <w:pPr>
              <w:pStyle w:val="xLedtext"/>
            </w:pPr>
            <w:r>
              <w:t xml:space="preserve">Lagtingsledamot </w:t>
            </w:r>
          </w:p>
        </w:tc>
        <w:tc>
          <w:tcPr>
            <w:tcW w:w="1757" w:type="dxa"/>
            <w:vAlign w:val="bottom"/>
          </w:tcPr>
          <w:p w14:paraId="4A1D550D" w14:textId="77777777" w:rsidR="000B3F00" w:rsidRDefault="000B3F00">
            <w:pPr>
              <w:pStyle w:val="xLedtext"/>
            </w:pPr>
            <w:r>
              <w:t>Datum</w:t>
            </w:r>
          </w:p>
        </w:tc>
        <w:tc>
          <w:tcPr>
            <w:tcW w:w="2614" w:type="dxa"/>
            <w:vAlign w:val="bottom"/>
          </w:tcPr>
          <w:p w14:paraId="6254A192" w14:textId="77777777" w:rsidR="000B3F00" w:rsidRDefault="000B3F00">
            <w:pPr>
              <w:pStyle w:val="xLedtext"/>
            </w:pPr>
          </w:p>
        </w:tc>
      </w:tr>
      <w:tr w:rsidR="000B3F00" w14:paraId="11F4E299" w14:textId="77777777" w:rsidTr="005768CF">
        <w:trPr>
          <w:cantSplit/>
          <w:trHeight w:val="269"/>
        </w:trPr>
        <w:tc>
          <w:tcPr>
            <w:tcW w:w="873" w:type="dxa"/>
            <w:vMerge/>
          </w:tcPr>
          <w:p w14:paraId="70E1F46D" w14:textId="77777777" w:rsidR="000B3F00" w:rsidRDefault="000B3F00">
            <w:pPr>
              <w:pStyle w:val="xAvsandare2"/>
            </w:pPr>
          </w:p>
        </w:tc>
        <w:tc>
          <w:tcPr>
            <w:tcW w:w="4531" w:type="dxa"/>
            <w:vAlign w:val="center"/>
          </w:tcPr>
          <w:p w14:paraId="276AFEF9" w14:textId="5389BE31" w:rsidR="000B3F00" w:rsidRDefault="00ED4AF7" w:rsidP="00377141">
            <w:pPr>
              <w:pStyle w:val="xAvsandare2"/>
            </w:pPr>
            <w:r>
              <w:t>Wille Valve</w:t>
            </w:r>
          </w:p>
        </w:tc>
        <w:tc>
          <w:tcPr>
            <w:tcW w:w="1757" w:type="dxa"/>
            <w:vAlign w:val="center"/>
          </w:tcPr>
          <w:p w14:paraId="4EC45638" w14:textId="08E319D7" w:rsidR="000B3F00" w:rsidRDefault="00293016" w:rsidP="0012085E">
            <w:pPr>
              <w:pStyle w:val="xDatum1"/>
            </w:pPr>
            <w:r w:rsidRPr="00962677">
              <w:t>2026-05-</w:t>
            </w:r>
            <w:r w:rsidR="00687B42">
              <w:t>21</w:t>
            </w:r>
          </w:p>
        </w:tc>
        <w:tc>
          <w:tcPr>
            <w:tcW w:w="2614" w:type="dxa"/>
            <w:vAlign w:val="center"/>
          </w:tcPr>
          <w:p w14:paraId="5D2C9249" w14:textId="77777777" w:rsidR="000B3F00" w:rsidRDefault="000B3F00">
            <w:pPr>
              <w:pStyle w:val="xBeteckning1"/>
            </w:pPr>
          </w:p>
        </w:tc>
      </w:tr>
      <w:tr w:rsidR="000B3F00" w14:paraId="25AC304B" w14:textId="77777777" w:rsidTr="005768CF">
        <w:trPr>
          <w:cantSplit/>
          <w:trHeight w:val="269"/>
        </w:trPr>
        <w:tc>
          <w:tcPr>
            <w:tcW w:w="873" w:type="dxa"/>
            <w:vMerge/>
          </w:tcPr>
          <w:p w14:paraId="7AA5C685" w14:textId="77777777" w:rsidR="000B3F00" w:rsidRDefault="000B3F00">
            <w:pPr>
              <w:pStyle w:val="xLedtext"/>
            </w:pPr>
          </w:p>
        </w:tc>
        <w:tc>
          <w:tcPr>
            <w:tcW w:w="4531" w:type="dxa"/>
            <w:vAlign w:val="bottom"/>
          </w:tcPr>
          <w:p w14:paraId="44BDCC56" w14:textId="77777777" w:rsidR="000B3F00" w:rsidRDefault="000B3F00">
            <w:pPr>
              <w:pStyle w:val="xLedtext"/>
            </w:pPr>
          </w:p>
        </w:tc>
        <w:tc>
          <w:tcPr>
            <w:tcW w:w="1757" w:type="dxa"/>
            <w:vAlign w:val="bottom"/>
          </w:tcPr>
          <w:p w14:paraId="4054C7FF" w14:textId="77777777" w:rsidR="000B3F00" w:rsidRDefault="000B3F00">
            <w:pPr>
              <w:pStyle w:val="xLedtext"/>
            </w:pPr>
          </w:p>
        </w:tc>
        <w:tc>
          <w:tcPr>
            <w:tcW w:w="2614" w:type="dxa"/>
            <w:vAlign w:val="bottom"/>
          </w:tcPr>
          <w:p w14:paraId="0F8969CA" w14:textId="77777777" w:rsidR="000B3F00" w:rsidRDefault="000B3F00">
            <w:pPr>
              <w:pStyle w:val="xLedtext"/>
            </w:pPr>
          </w:p>
        </w:tc>
      </w:tr>
      <w:tr w:rsidR="000B3F00" w14:paraId="5D6D74A9" w14:textId="77777777" w:rsidTr="005768CF">
        <w:trPr>
          <w:cantSplit/>
          <w:trHeight w:val="269"/>
        </w:trPr>
        <w:tc>
          <w:tcPr>
            <w:tcW w:w="873" w:type="dxa"/>
            <w:vMerge/>
            <w:tcBorders>
              <w:bottom w:val="single" w:sz="4" w:space="0" w:color="auto"/>
            </w:tcBorders>
          </w:tcPr>
          <w:p w14:paraId="59C572C7" w14:textId="77777777" w:rsidR="000B3F00" w:rsidRDefault="000B3F00">
            <w:pPr>
              <w:pStyle w:val="xAvsandare3"/>
            </w:pPr>
          </w:p>
        </w:tc>
        <w:tc>
          <w:tcPr>
            <w:tcW w:w="4531" w:type="dxa"/>
            <w:tcBorders>
              <w:bottom w:val="single" w:sz="4" w:space="0" w:color="auto"/>
            </w:tcBorders>
            <w:vAlign w:val="center"/>
          </w:tcPr>
          <w:p w14:paraId="06D12BB7" w14:textId="77777777" w:rsidR="000B3F00" w:rsidRDefault="000B3F00">
            <w:pPr>
              <w:pStyle w:val="xAvsandare3"/>
            </w:pPr>
          </w:p>
        </w:tc>
        <w:tc>
          <w:tcPr>
            <w:tcW w:w="1757" w:type="dxa"/>
            <w:tcBorders>
              <w:bottom w:val="single" w:sz="4" w:space="0" w:color="auto"/>
            </w:tcBorders>
            <w:vAlign w:val="center"/>
          </w:tcPr>
          <w:p w14:paraId="2186C2C8" w14:textId="77777777" w:rsidR="000B3F00" w:rsidRDefault="000B3F00">
            <w:pPr>
              <w:pStyle w:val="xDatum2"/>
            </w:pPr>
          </w:p>
        </w:tc>
        <w:tc>
          <w:tcPr>
            <w:tcW w:w="2614" w:type="dxa"/>
            <w:tcBorders>
              <w:bottom w:val="single" w:sz="4" w:space="0" w:color="auto"/>
            </w:tcBorders>
            <w:vAlign w:val="center"/>
          </w:tcPr>
          <w:p w14:paraId="49EB2814" w14:textId="77777777" w:rsidR="000B3F00" w:rsidRDefault="000B3F00">
            <w:pPr>
              <w:pStyle w:val="xBeteckning2"/>
            </w:pPr>
          </w:p>
        </w:tc>
      </w:tr>
      <w:tr w:rsidR="000B3F00" w14:paraId="638E060C" w14:textId="77777777" w:rsidTr="005768CF">
        <w:trPr>
          <w:cantSplit/>
          <w:trHeight w:val="269"/>
        </w:trPr>
        <w:tc>
          <w:tcPr>
            <w:tcW w:w="873" w:type="dxa"/>
            <w:tcBorders>
              <w:top w:val="single" w:sz="4" w:space="0" w:color="auto"/>
            </w:tcBorders>
            <w:vAlign w:val="bottom"/>
          </w:tcPr>
          <w:p w14:paraId="4B2158BA" w14:textId="77777777" w:rsidR="000B3F00" w:rsidRDefault="000B3F00">
            <w:pPr>
              <w:pStyle w:val="xLedtext"/>
            </w:pPr>
          </w:p>
        </w:tc>
        <w:tc>
          <w:tcPr>
            <w:tcW w:w="4531" w:type="dxa"/>
            <w:tcBorders>
              <w:top w:val="single" w:sz="4" w:space="0" w:color="auto"/>
            </w:tcBorders>
            <w:vAlign w:val="bottom"/>
          </w:tcPr>
          <w:p w14:paraId="5955AF89" w14:textId="77777777" w:rsidR="000B3F00" w:rsidRDefault="000B3F00">
            <w:pPr>
              <w:pStyle w:val="xLedtext"/>
            </w:pPr>
          </w:p>
        </w:tc>
        <w:tc>
          <w:tcPr>
            <w:tcW w:w="4371" w:type="dxa"/>
            <w:gridSpan w:val="2"/>
            <w:tcBorders>
              <w:top w:val="single" w:sz="4" w:space="0" w:color="auto"/>
            </w:tcBorders>
            <w:vAlign w:val="bottom"/>
          </w:tcPr>
          <w:p w14:paraId="473BFE0D" w14:textId="77777777" w:rsidR="000B3F00" w:rsidRDefault="000B3F00">
            <w:pPr>
              <w:pStyle w:val="xLedtext"/>
            </w:pPr>
          </w:p>
        </w:tc>
      </w:tr>
      <w:tr w:rsidR="000B3F00" w14:paraId="57DCE7A3" w14:textId="77777777" w:rsidTr="005768CF">
        <w:trPr>
          <w:cantSplit/>
          <w:trHeight w:val="269"/>
        </w:trPr>
        <w:tc>
          <w:tcPr>
            <w:tcW w:w="873" w:type="dxa"/>
          </w:tcPr>
          <w:p w14:paraId="5A8AE595" w14:textId="77777777" w:rsidR="000B3F00" w:rsidRDefault="000B3F00">
            <w:pPr>
              <w:pStyle w:val="xCelltext"/>
            </w:pPr>
          </w:p>
        </w:tc>
        <w:tc>
          <w:tcPr>
            <w:tcW w:w="4531" w:type="dxa"/>
            <w:vMerge w:val="restart"/>
          </w:tcPr>
          <w:p w14:paraId="1D965C33" w14:textId="7EE4FAF7" w:rsidR="005768CF" w:rsidRPr="005768CF" w:rsidRDefault="000B3F00" w:rsidP="005768CF">
            <w:pPr>
              <w:pStyle w:val="xMottagare1"/>
              <w:tabs>
                <w:tab w:val="left" w:pos="3200"/>
              </w:tabs>
            </w:pPr>
            <w:r>
              <w:t>Till Ålands lagting</w:t>
            </w:r>
            <w:r w:rsidR="005768CF">
              <w:tab/>
            </w:r>
          </w:p>
        </w:tc>
        <w:tc>
          <w:tcPr>
            <w:tcW w:w="4371" w:type="dxa"/>
            <w:gridSpan w:val="2"/>
            <w:vMerge w:val="restart"/>
          </w:tcPr>
          <w:p w14:paraId="2C5BC68D" w14:textId="77777777" w:rsidR="000B3F00" w:rsidRDefault="000B3F00">
            <w:pPr>
              <w:pStyle w:val="xMottagare1"/>
              <w:tabs>
                <w:tab w:val="left" w:pos="2349"/>
              </w:tabs>
            </w:pPr>
          </w:p>
        </w:tc>
      </w:tr>
      <w:tr w:rsidR="000B3F00" w14:paraId="698408D2" w14:textId="77777777" w:rsidTr="005768CF">
        <w:trPr>
          <w:cantSplit/>
          <w:trHeight w:val="269"/>
        </w:trPr>
        <w:tc>
          <w:tcPr>
            <w:tcW w:w="873" w:type="dxa"/>
          </w:tcPr>
          <w:p w14:paraId="50AF3EF1" w14:textId="77777777" w:rsidR="000B3F00" w:rsidRDefault="000B3F00">
            <w:pPr>
              <w:pStyle w:val="xCelltext"/>
            </w:pPr>
          </w:p>
        </w:tc>
        <w:tc>
          <w:tcPr>
            <w:tcW w:w="4531" w:type="dxa"/>
            <w:vMerge/>
            <w:vAlign w:val="center"/>
          </w:tcPr>
          <w:p w14:paraId="6E0E7E83" w14:textId="77777777" w:rsidR="000B3F00" w:rsidRDefault="000B3F00">
            <w:pPr>
              <w:pStyle w:val="xCelltext"/>
            </w:pPr>
          </w:p>
        </w:tc>
        <w:tc>
          <w:tcPr>
            <w:tcW w:w="4371" w:type="dxa"/>
            <w:gridSpan w:val="2"/>
            <w:vMerge/>
            <w:vAlign w:val="center"/>
          </w:tcPr>
          <w:p w14:paraId="3D185510" w14:textId="77777777" w:rsidR="000B3F00" w:rsidRDefault="000B3F00">
            <w:pPr>
              <w:pStyle w:val="xCelltext"/>
            </w:pPr>
          </w:p>
        </w:tc>
      </w:tr>
      <w:tr w:rsidR="000B3F00" w14:paraId="42EAA0B2" w14:textId="77777777" w:rsidTr="005768CF">
        <w:trPr>
          <w:cantSplit/>
          <w:trHeight w:val="269"/>
        </w:trPr>
        <w:tc>
          <w:tcPr>
            <w:tcW w:w="873" w:type="dxa"/>
          </w:tcPr>
          <w:p w14:paraId="09536178" w14:textId="77777777" w:rsidR="000B3F00" w:rsidRDefault="000B3F00">
            <w:pPr>
              <w:pStyle w:val="xCelltext"/>
            </w:pPr>
          </w:p>
        </w:tc>
        <w:tc>
          <w:tcPr>
            <w:tcW w:w="4531" w:type="dxa"/>
            <w:vMerge/>
            <w:vAlign w:val="center"/>
          </w:tcPr>
          <w:p w14:paraId="5ECEF1C3" w14:textId="77777777" w:rsidR="000B3F00" w:rsidRDefault="000B3F00">
            <w:pPr>
              <w:pStyle w:val="xCelltext"/>
            </w:pPr>
          </w:p>
        </w:tc>
        <w:tc>
          <w:tcPr>
            <w:tcW w:w="4371" w:type="dxa"/>
            <w:gridSpan w:val="2"/>
            <w:vMerge/>
            <w:vAlign w:val="center"/>
          </w:tcPr>
          <w:p w14:paraId="441DB662" w14:textId="77777777" w:rsidR="000B3F00" w:rsidRDefault="000B3F00">
            <w:pPr>
              <w:pStyle w:val="xCelltext"/>
            </w:pPr>
          </w:p>
        </w:tc>
      </w:tr>
      <w:tr w:rsidR="000B3F00" w14:paraId="1559C1E5" w14:textId="77777777" w:rsidTr="005768CF">
        <w:trPr>
          <w:cantSplit/>
          <w:trHeight w:val="269"/>
        </w:trPr>
        <w:tc>
          <w:tcPr>
            <w:tcW w:w="873" w:type="dxa"/>
          </w:tcPr>
          <w:p w14:paraId="3E23B75D" w14:textId="77777777" w:rsidR="000B3F00" w:rsidRDefault="000B3F00">
            <w:pPr>
              <w:pStyle w:val="xCelltext"/>
            </w:pPr>
          </w:p>
        </w:tc>
        <w:tc>
          <w:tcPr>
            <w:tcW w:w="4531" w:type="dxa"/>
            <w:vMerge/>
            <w:vAlign w:val="center"/>
          </w:tcPr>
          <w:p w14:paraId="7B3E376F" w14:textId="77777777" w:rsidR="000B3F00" w:rsidRDefault="000B3F00">
            <w:pPr>
              <w:pStyle w:val="xCelltext"/>
            </w:pPr>
          </w:p>
        </w:tc>
        <w:tc>
          <w:tcPr>
            <w:tcW w:w="4371" w:type="dxa"/>
            <w:gridSpan w:val="2"/>
            <w:vMerge/>
            <w:vAlign w:val="center"/>
          </w:tcPr>
          <w:p w14:paraId="1CE19690" w14:textId="77777777" w:rsidR="000B3F00" w:rsidRDefault="000B3F00">
            <w:pPr>
              <w:pStyle w:val="xCelltext"/>
            </w:pPr>
          </w:p>
        </w:tc>
      </w:tr>
      <w:tr w:rsidR="000B3F00" w14:paraId="62C74F6C" w14:textId="77777777" w:rsidTr="005768CF">
        <w:trPr>
          <w:cantSplit/>
          <w:trHeight w:val="269"/>
        </w:trPr>
        <w:tc>
          <w:tcPr>
            <w:tcW w:w="873" w:type="dxa"/>
          </w:tcPr>
          <w:p w14:paraId="2F702EC8" w14:textId="77777777" w:rsidR="000B3F00" w:rsidRDefault="000B3F00">
            <w:pPr>
              <w:pStyle w:val="xCelltext"/>
            </w:pPr>
          </w:p>
        </w:tc>
        <w:tc>
          <w:tcPr>
            <w:tcW w:w="4531" w:type="dxa"/>
            <w:vMerge/>
            <w:vAlign w:val="center"/>
          </w:tcPr>
          <w:p w14:paraId="7DBF7828" w14:textId="77777777" w:rsidR="000B3F00" w:rsidRDefault="000B3F00">
            <w:pPr>
              <w:pStyle w:val="xCelltext"/>
            </w:pPr>
          </w:p>
        </w:tc>
        <w:tc>
          <w:tcPr>
            <w:tcW w:w="4371" w:type="dxa"/>
            <w:gridSpan w:val="2"/>
            <w:vMerge/>
            <w:vAlign w:val="center"/>
          </w:tcPr>
          <w:p w14:paraId="35719E01" w14:textId="77777777" w:rsidR="000B3F00" w:rsidRDefault="000B3F00">
            <w:pPr>
              <w:pStyle w:val="xCelltext"/>
            </w:pPr>
          </w:p>
        </w:tc>
      </w:tr>
    </w:tbl>
    <w:p w14:paraId="6C0670F0" w14:textId="6D2D8158" w:rsidR="000B3F00" w:rsidRDefault="00293016">
      <w:pPr>
        <w:pStyle w:val="ArendeRubrik"/>
      </w:pPr>
      <w:r>
        <w:t>Reservation mot Finans- och näringsutskottet betänkande nr 13/2025-2026</w:t>
      </w:r>
      <w:r w:rsidR="0084698E">
        <w:t xml:space="preserve"> </w:t>
      </w:r>
      <w:r>
        <w:t xml:space="preserve">gällande Meddelande angående Utvecklings- och </w:t>
      </w:r>
      <w:proofErr w:type="spellStart"/>
      <w:r>
        <w:t>hållbarhetsagandan</w:t>
      </w:r>
      <w:proofErr w:type="spellEnd"/>
      <w:r>
        <w:t xml:space="preserve">  Landskapsregeringens meddelande nr 3/2025-2026</w:t>
      </w:r>
    </w:p>
    <w:p w14:paraId="217CE85E" w14:textId="77777777" w:rsidR="00630D93" w:rsidRDefault="00630D93" w:rsidP="00372D27">
      <w:pPr>
        <w:pStyle w:val="ANormal"/>
      </w:pPr>
    </w:p>
    <w:p w14:paraId="7BD82FFC" w14:textId="4FEB1140" w:rsidR="00372D27" w:rsidRPr="00372D27" w:rsidRDefault="00630D93" w:rsidP="00372D27">
      <w:pPr>
        <w:pStyle w:val="ANormal"/>
        <w:rPr>
          <w:lang w:val="sv-FI"/>
        </w:rPr>
      </w:pPr>
      <w:r>
        <w:t>H</w:t>
      </w:r>
      <w:proofErr w:type="spellStart"/>
      <w:r w:rsidR="00372D27" w:rsidRPr="00372D27">
        <w:rPr>
          <w:lang w:val="sv-FI"/>
        </w:rPr>
        <w:t>ållbar</w:t>
      </w:r>
      <w:proofErr w:type="spellEnd"/>
      <w:r w:rsidR="00372D27" w:rsidRPr="00372D27">
        <w:rPr>
          <w:lang w:val="sv-FI"/>
        </w:rPr>
        <w:t xml:space="preserve"> utveckling är en viktig och nödvändig del av Ålands framtida samhällsutveckling. Ett hållbart samhälle förutsätter dock balans mellan ekologisk, social och ekonomisk hållbarhet. Det offentliga Ålands hållbarhetsarbete måste vila på realism, effektiv resursanvändning, personligt ansvarstagande och goda förutsättningar för företagande, arbete och tillväxt.</w:t>
      </w:r>
    </w:p>
    <w:p w14:paraId="2FB5D387" w14:textId="77777777" w:rsidR="00372D27" w:rsidRPr="00372D27" w:rsidRDefault="00372D27" w:rsidP="00372D27">
      <w:pPr>
        <w:pStyle w:val="ANormal"/>
        <w:rPr>
          <w:lang w:val="sv-FI"/>
        </w:rPr>
      </w:pPr>
      <w:r w:rsidRPr="00372D27">
        <w:rPr>
          <w:lang w:val="sv-FI"/>
        </w:rPr>
        <w:t> </w:t>
      </w:r>
    </w:p>
    <w:p w14:paraId="6D80BAFB" w14:textId="4EA65FE3" w:rsidR="00372D27" w:rsidRPr="00372D27" w:rsidRDefault="00630D93" w:rsidP="00372D27">
      <w:pPr>
        <w:pStyle w:val="ANormal"/>
        <w:rPr>
          <w:lang w:val="sv-FI"/>
        </w:rPr>
      </w:pPr>
      <w:r>
        <w:rPr>
          <w:lang w:val="sv-FI"/>
        </w:rPr>
        <w:t>Utvecklings</w:t>
      </w:r>
      <w:r w:rsidR="00372D27" w:rsidRPr="00372D27">
        <w:rPr>
          <w:lang w:val="sv-FI"/>
        </w:rPr>
        <w:t xml:space="preserve">- och hållbarhetsagendan </w:t>
      </w:r>
      <w:r>
        <w:rPr>
          <w:lang w:val="sv-FI"/>
        </w:rPr>
        <w:t xml:space="preserve">präglas, </w:t>
      </w:r>
      <w:r w:rsidR="00372D27" w:rsidRPr="00372D27">
        <w:rPr>
          <w:lang w:val="sv-FI"/>
        </w:rPr>
        <w:t>efter mer än ett decennium</w:t>
      </w:r>
      <w:r>
        <w:rPr>
          <w:lang w:val="sv-FI"/>
        </w:rPr>
        <w:t>,</w:t>
      </w:r>
      <w:r w:rsidR="00372D27" w:rsidRPr="00372D27">
        <w:rPr>
          <w:lang w:val="sv-FI"/>
        </w:rPr>
        <w:t xml:space="preserve"> i alltför hög grad av övergripande visioner, internationell profilering och processarbete, samtidigt som kopplingen till konkreta och mätbara resultat för det åländska samhället framstår som otillräcklig.</w:t>
      </w:r>
    </w:p>
    <w:p w14:paraId="7E922052" w14:textId="77777777" w:rsidR="00372D27" w:rsidRPr="00372D27" w:rsidRDefault="00372D27" w:rsidP="00372D27">
      <w:pPr>
        <w:pStyle w:val="ANormal"/>
        <w:rPr>
          <w:lang w:val="sv-FI"/>
        </w:rPr>
      </w:pPr>
      <w:r w:rsidRPr="00372D27">
        <w:t> </w:t>
      </w:r>
    </w:p>
    <w:p w14:paraId="46EEF4C8" w14:textId="77777777" w:rsidR="00372D27" w:rsidRPr="00372D27" w:rsidRDefault="00372D27" w:rsidP="00372D27">
      <w:pPr>
        <w:pStyle w:val="ANormal"/>
        <w:rPr>
          <w:lang w:val="sv-FI"/>
        </w:rPr>
      </w:pPr>
      <w:r w:rsidRPr="00372D27">
        <w:rPr>
          <w:i/>
          <w:iCs/>
        </w:rPr>
        <w:t>Konkreta resultat</w:t>
      </w:r>
    </w:p>
    <w:p w14:paraId="58317465" w14:textId="290C9548" w:rsidR="00372D27" w:rsidRPr="00630D93" w:rsidRDefault="00630D93" w:rsidP="00372D27">
      <w:pPr>
        <w:pStyle w:val="ANormal"/>
      </w:pPr>
      <w:r>
        <w:t>Landskapets begränsade resurser bör riktas mot åtgärder med direkt nytta för det åländska samhället. Konkreta och verksamhetsnä</w:t>
      </w:r>
      <w:r w:rsidR="00687B42">
        <w:t>r</w:t>
      </w:r>
      <w:r>
        <w:t>a angreppssätt tenderar att i större utsträckning engagera och motivera aktörer att delta i utvecklings- och hållbarhetsarbetet än vad ett alltför omfattande fokus på övergripande gör. Ålänningarna</w:t>
      </w:r>
      <w:r w:rsidR="00372D27" w:rsidRPr="00372D27">
        <w:t xml:space="preserve"> förtjänar efter 12 år att se konkreta</w:t>
      </w:r>
      <w:r>
        <w:t>, påvisbara</w:t>
      </w:r>
      <w:r w:rsidR="00372D27" w:rsidRPr="00372D27">
        <w:t xml:space="preserve"> resultat.</w:t>
      </w:r>
    </w:p>
    <w:p w14:paraId="7C4B3B6D" w14:textId="77777777" w:rsidR="00372D27" w:rsidRPr="00372D27" w:rsidRDefault="00372D27" w:rsidP="00372D27">
      <w:pPr>
        <w:pStyle w:val="ANormal"/>
        <w:rPr>
          <w:lang w:val="sv-FI"/>
        </w:rPr>
      </w:pPr>
      <w:r w:rsidRPr="00372D27">
        <w:t> </w:t>
      </w:r>
    </w:p>
    <w:p w14:paraId="6D33C4A6" w14:textId="45B66D4D" w:rsidR="00372D27" w:rsidRPr="00372D27" w:rsidRDefault="00372D27" w:rsidP="00372D27">
      <w:pPr>
        <w:pStyle w:val="ANormal"/>
        <w:rPr>
          <w:lang w:val="sv-FI"/>
        </w:rPr>
      </w:pPr>
      <w:r w:rsidRPr="00372D27">
        <w:t xml:space="preserve">Beaktat det som framkommit i utskottsbehandlingen </w:t>
      </w:r>
      <w:r w:rsidR="00630D93">
        <w:t xml:space="preserve">räcker </w:t>
      </w:r>
      <w:r w:rsidRPr="00372D27">
        <w:t xml:space="preserve">det inte med någon liten översyn av Utvecklings- och hållbarhetsagendans målantal. </w:t>
      </w:r>
      <w:r w:rsidR="00630D93">
        <w:t xml:space="preserve">I första hand </w:t>
      </w:r>
      <w:r w:rsidRPr="00372D27">
        <w:t>förespråka</w:t>
      </w:r>
      <w:r w:rsidR="00630D93">
        <w:t>s</w:t>
      </w:r>
      <w:r w:rsidRPr="00372D27">
        <w:t xml:space="preserve"> en radikal omstöpning av Ålands hållbarhetsarbete. I andra hand en nedläggning av Utvecklings- och hållbarhetsagendan i dess nuvarande form.</w:t>
      </w:r>
    </w:p>
    <w:p w14:paraId="760BFE7A" w14:textId="77777777" w:rsidR="00372D27" w:rsidRPr="00372D27" w:rsidRDefault="00372D27" w:rsidP="00372D27">
      <w:pPr>
        <w:pStyle w:val="ANormal"/>
        <w:rPr>
          <w:lang w:val="sv-FI"/>
        </w:rPr>
      </w:pPr>
      <w:r w:rsidRPr="00372D27">
        <w:t> </w:t>
      </w:r>
    </w:p>
    <w:p w14:paraId="452E76FF" w14:textId="77777777" w:rsidR="00372D27" w:rsidRPr="00372D27" w:rsidRDefault="00372D27" w:rsidP="00372D27">
      <w:pPr>
        <w:pStyle w:val="ANormal"/>
        <w:rPr>
          <w:lang w:val="sv-FI"/>
        </w:rPr>
      </w:pPr>
      <w:r w:rsidRPr="00372D27">
        <w:t xml:space="preserve">Nuvarande hållbarhetsarbete fokuserar oskäligt mycket på ”story </w:t>
      </w:r>
      <w:proofErr w:type="spellStart"/>
      <w:r w:rsidRPr="00372D27">
        <w:t>telling</w:t>
      </w:r>
      <w:proofErr w:type="spellEnd"/>
      <w:r w:rsidRPr="00372D27">
        <w:t>” om Åland internationellt sett, vilket i sig är ett högriskprojekt då varje berättelse om Åland måste ha täckning i konkreta och tydliga resultat.</w:t>
      </w:r>
    </w:p>
    <w:p w14:paraId="2297E509" w14:textId="77777777" w:rsidR="00372D27" w:rsidRPr="00372D27" w:rsidRDefault="00372D27" w:rsidP="00372D27">
      <w:pPr>
        <w:pStyle w:val="ANormal"/>
        <w:rPr>
          <w:lang w:val="sv-FI"/>
        </w:rPr>
      </w:pPr>
      <w:r w:rsidRPr="00372D27">
        <w:t> </w:t>
      </w:r>
    </w:p>
    <w:p w14:paraId="5C72BA6F" w14:textId="1E96AE99" w:rsidR="00372D27" w:rsidRPr="00630D93" w:rsidRDefault="00372D27" w:rsidP="00372D27">
      <w:pPr>
        <w:pStyle w:val="ANormal"/>
        <w:rPr>
          <w:lang w:val="sv-FI"/>
        </w:rPr>
      </w:pPr>
      <w:r w:rsidRPr="00372D27">
        <w:t>Det finns tydliga tecken på att delar av näringslivets engagemang är i avtagande, vilket bör sporra till att utan dröjsmål göra hållbarhetsarbetet mera konkret och relevant för det åländska näringslivet.</w:t>
      </w:r>
      <w:r w:rsidR="00630D93">
        <w:rPr>
          <w:lang w:val="sv-FI"/>
        </w:rPr>
        <w:t xml:space="preserve"> </w:t>
      </w:r>
      <w:r w:rsidRPr="00372D27">
        <w:t>För att nå konkreta resultat måste fokus läggas på att stödja det åländska näringslivets hållbarhetssatsningar. När åländska företag lyckas med hållbarhetsarbetet skapar det framgångs</w:t>
      </w:r>
      <w:r w:rsidR="00630D93">
        <w:t>berättelser</w:t>
      </w:r>
      <w:r w:rsidRPr="00372D27">
        <w:t xml:space="preserve"> om Åland, mervärde och konkreta exempel som engagerar och kan marknadsföras. </w:t>
      </w:r>
      <w:r w:rsidR="00630D93">
        <w:t>F</w:t>
      </w:r>
      <w:r w:rsidRPr="00372D27">
        <w:t>öreslå</w:t>
      </w:r>
      <w:r w:rsidR="00630D93">
        <w:t>s</w:t>
      </w:r>
      <w:r w:rsidRPr="00372D27">
        <w:t xml:space="preserve"> därför att utvecklings- och hållbarhetsagendan flyttas till näringsavdelningen med det uttalade målet främja företagens hållbarhetssatsningar.</w:t>
      </w:r>
    </w:p>
    <w:p w14:paraId="6B69EF95" w14:textId="77777777" w:rsidR="00DE462A" w:rsidRDefault="00DE462A" w:rsidP="00372D27">
      <w:pPr>
        <w:pStyle w:val="ANormal"/>
      </w:pPr>
    </w:p>
    <w:p w14:paraId="0DC82A84" w14:textId="77777777" w:rsidR="00DE462A" w:rsidRPr="00372D27" w:rsidRDefault="00DE462A" w:rsidP="00372D27">
      <w:pPr>
        <w:pStyle w:val="ANormal"/>
        <w:rPr>
          <w:lang w:val="sv-FI"/>
        </w:rPr>
      </w:pPr>
    </w:p>
    <w:p w14:paraId="386715CF" w14:textId="77777777" w:rsidR="00372D27" w:rsidRPr="00372D27" w:rsidRDefault="00372D27" w:rsidP="00372D27">
      <w:pPr>
        <w:pStyle w:val="ANormal"/>
        <w:rPr>
          <w:lang w:val="sv-FI"/>
        </w:rPr>
      </w:pPr>
      <w:r w:rsidRPr="00372D27">
        <w:lastRenderedPageBreak/>
        <w:t> </w:t>
      </w:r>
    </w:p>
    <w:p w14:paraId="65BC65BD" w14:textId="77777777" w:rsidR="00372D27" w:rsidRPr="00372D27" w:rsidRDefault="00372D27" w:rsidP="00372D27">
      <w:pPr>
        <w:pStyle w:val="ANormal"/>
        <w:rPr>
          <w:lang w:val="sv-FI"/>
        </w:rPr>
      </w:pPr>
      <w:r w:rsidRPr="00372D27">
        <w:t> </w:t>
      </w:r>
    </w:p>
    <w:p w14:paraId="0797DEB4" w14:textId="77777777" w:rsidR="00372D27" w:rsidRDefault="00372D27" w:rsidP="00372D27">
      <w:pPr>
        <w:pStyle w:val="ANormal"/>
        <w:rPr>
          <w:i/>
          <w:iCs/>
        </w:rPr>
      </w:pPr>
      <w:r w:rsidRPr="00372D27">
        <w:rPr>
          <w:i/>
          <w:iCs/>
        </w:rPr>
        <w:t>Tillväxt och bibehållande av näringsgrenarnas konkurrenskraft</w:t>
      </w:r>
    </w:p>
    <w:p w14:paraId="360C6582" w14:textId="77777777" w:rsidR="00DE462A" w:rsidRPr="00372D27" w:rsidRDefault="00DE462A" w:rsidP="00372D27">
      <w:pPr>
        <w:pStyle w:val="ANormal"/>
        <w:rPr>
          <w:lang w:val="sv-FI"/>
        </w:rPr>
      </w:pPr>
    </w:p>
    <w:p w14:paraId="6847471A" w14:textId="77777777" w:rsidR="00372D27" w:rsidRPr="00372D27" w:rsidRDefault="00372D27" w:rsidP="00372D27">
      <w:pPr>
        <w:pStyle w:val="ANormal"/>
        <w:rPr>
          <w:lang w:val="sv-FI"/>
        </w:rPr>
      </w:pPr>
      <w:r w:rsidRPr="00372D27">
        <w:t>Ett enhälligt Finans- och näringsutskott slog i sitt betänkande (14/</w:t>
      </w:r>
      <w:proofErr w:type="gramStart"/>
      <w:r w:rsidRPr="00372D27">
        <w:t>2013-2014</w:t>
      </w:r>
      <w:proofErr w:type="gramEnd"/>
      <w:r w:rsidRPr="00372D27">
        <w:t>) den 4:e september 2014 fast att:</w:t>
      </w:r>
    </w:p>
    <w:p w14:paraId="117F94A1" w14:textId="77777777" w:rsidR="00372D27" w:rsidRPr="00372D27" w:rsidRDefault="00372D27" w:rsidP="00372D27">
      <w:pPr>
        <w:pStyle w:val="ANormal"/>
        <w:rPr>
          <w:lang w:val="sv-FI"/>
        </w:rPr>
      </w:pPr>
      <w:r w:rsidRPr="00372D27">
        <w:t> </w:t>
      </w:r>
    </w:p>
    <w:p w14:paraId="66759258" w14:textId="77777777" w:rsidR="00372D27" w:rsidRPr="00372D27" w:rsidRDefault="00372D27" w:rsidP="00372D27">
      <w:pPr>
        <w:pStyle w:val="ANormal"/>
        <w:rPr>
          <w:lang w:val="sv-FI"/>
        </w:rPr>
      </w:pPr>
      <w:r w:rsidRPr="00372D27">
        <w:t>”Vidare är det viktigt att landskapsregeringen utarbetar en femte hållbarhetsprincip som beaktar behovet av BNP tillväxt i samhället samt vikten av att alla näringsgrenars konkurrenskraft bibehålls i jämförelse med motsvarande näringsgrenar i våra närområden.”</w:t>
      </w:r>
    </w:p>
    <w:p w14:paraId="477C1A1A" w14:textId="77777777" w:rsidR="00372D27" w:rsidRPr="00372D27" w:rsidRDefault="00372D27" w:rsidP="00372D27">
      <w:pPr>
        <w:pStyle w:val="ANormal"/>
        <w:rPr>
          <w:lang w:val="sv-FI"/>
        </w:rPr>
      </w:pPr>
      <w:r w:rsidRPr="00372D27">
        <w:t> </w:t>
      </w:r>
    </w:p>
    <w:p w14:paraId="7F023301" w14:textId="0AE00F31" w:rsidR="00372D27" w:rsidRPr="00630D93" w:rsidRDefault="00372D27" w:rsidP="00372D27">
      <w:pPr>
        <w:pStyle w:val="ANormal"/>
      </w:pPr>
      <w:r w:rsidRPr="00372D27">
        <w:t>Ovanstående godkändes av ett enhälligt lagting, vilket gör att detta måste ses som det politiska fundamentet för hållbarhetsarbetet. Det som då kallades den femte hållbarhetsprincipen är alltså en entydig politisk beställning från ett enigt lagting, en förutsättning för Ålands hållbarhets- och utvecklingsarbete. En politisk beställning av</w:t>
      </w:r>
      <w:r w:rsidR="00630D93">
        <w:t xml:space="preserve"> detta slag måste hörsammas, då den är sprungen ur </w:t>
      </w:r>
      <w:r w:rsidRPr="00372D27">
        <w:t>ett enigt lagting</w:t>
      </w:r>
      <w:r w:rsidR="00630D93">
        <w:t xml:space="preserve">, </w:t>
      </w:r>
      <w:r w:rsidRPr="00372D27">
        <w:t xml:space="preserve">ur insikten att vi bor på en ö och </w:t>
      </w:r>
      <w:r w:rsidR="00630D93">
        <w:t xml:space="preserve">att vi </w:t>
      </w:r>
      <w:r w:rsidRPr="00372D27">
        <w:t>måste kunna hävda oss i konkurrens</w:t>
      </w:r>
      <w:r w:rsidR="00630D93">
        <w:t>kraft</w:t>
      </w:r>
      <w:r w:rsidRPr="00372D27">
        <w:t xml:space="preserve"> med andra</w:t>
      </w:r>
      <w:r w:rsidR="00630D93">
        <w:t xml:space="preserve">, </w:t>
      </w:r>
      <w:r w:rsidRPr="00372D27">
        <w:t>omkringliggande områden.</w:t>
      </w:r>
    </w:p>
    <w:p w14:paraId="126BAC38" w14:textId="77777777" w:rsidR="00372D27" w:rsidRPr="00372D27" w:rsidRDefault="00372D27" w:rsidP="00372D27">
      <w:pPr>
        <w:pStyle w:val="ANormal"/>
        <w:rPr>
          <w:lang w:val="sv-FI"/>
        </w:rPr>
      </w:pPr>
      <w:r w:rsidRPr="00372D27">
        <w:t> </w:t>
      </w:r>
    </w:p>
    <w:p w14:paraId="47BAA7C0" w14:textId="2CB49D11" w:rsidR="00372D27" w:rsidRPr="00372D27" w:rsidRDefault="00372D27" w:rsidP="00372D27">
      <w:pPr>
        <w:pStyle w:val="ANormal"/>
        <w:rPr>
          <w:lang w:val="sv-FI"/>
        </w:rPr>
      </w:pPr>
      <w:r w:rsidRPr="00372D27">
        <w:t xml:space="preserve">Fokus på tillväxt och bibehållande av näringsgrenarnas konkurrenskraft utgör </w:t>
      </w:r>
      <w:r w:rsidR="00630D93">
        <w:t xml:space="preserve">även </w:t>
      </w:r>
      <w:r w:rsidRPr="00372D27">
        <w:t>en förutsättning för det fortsatta hållbarhetsarbetet, inte minst den vision om en ”krokodilekonomi” som beskrivs i meddelandet.</w:t>
      </w:r>
    </w:p>
    <w:p w14:paraId="5EC24E8F" w14:textId="77777777" w:rsidR="00372D27" w:rsidRPr="00372D27" w:rsidRDefault="00372D27" w:rsidP="00372D27">
      <w:pPr>
        <w:pStyle w:val="ANormal"/>
        <w:rPr>
          <w:lang w:val="sv-FI"/>
        </w:rPr>
      </w:pPr>
      <w:r w:rsidRPr="00372D27">
        <w:t> </w:t>
      </w:r>
    </w:p>
    <w:p w14:paraId="5F4CADAC" w14:textId="7ED5D044" w:rsidR="00372D27" w:rsidRPr="00372D27" w:rsidRDefault="00372D27" w:rsidP="00372D27">
      <w:pPr>
        <w:pStyle w:val="ANormal"/>
        <w:rPr>
          <w:lang w:val="sv-FI"/>
        </w:rPr>
      </w:pPr>
      <w:r w:rsidRPr="00372D27">
        <w:rPr>
          <w:lang w:val="sv-FI"/>
        </w:rPr>
        <w:t>Betydelsen av arbetsplatser, en ekonomiskt välmående befolkning och åländska företags möjligheter att konkurrera ska inte underskattas. Tillväxtfrågor bör därför integreras tydligt i det fortsatta utvecklings- och hållbarhetsarbetet</w:t>
      </w:r>
      <w:r w:rsidR="00630D93">
        <w:rPr>
          <w:lang w:val="sv-FI"/>
        </w:rPr>
        <w:t>. F</w:t>
      </w:r>
      <w:proofErr w:type="spellStart"/>
      <w:r w:rsidRPr="00372D27">
        <w:t>öreslå</w:t>
      </w:r>
      <w:r w:rsidR="00630D93">
        <w:t>s</w:t>
      </w:r>
      <w:proofErr w:type="spellEnd"/>
      <w:r w:rsidR="00630D93">
        <w:t xml:space="preserve"> därför</w:t>
      </w:r>
      <w:r w:rsidRPr="00372D27">
        <w:t xml:space="preserve"> att lagtinget sätter ett mål om ekonomisk tillväxt på 2,5 procent per år till år 2035.</w:t>
      </w:r>
    </w:p>
    <w:p w14:paraId="1BAF84A4" w14:textId="77777777" w:rsidR="00372D27" w:rsidRPr="00372D27" w:rsidRDefault="00372D27" w:rsidP="00372D27">
      <w:pPr>
        <w:pStyle w:val="ANormal"/>
        <w:rPr>
          <w:lang w:val="sv-FI"/>
        </w:rPr>
      </w:pPr>
      <w:r w:rsidRPr="00372D27">
        <w:t> </w:t>
      </w:r>
    </w:p>
    <w:p w14:paraId="3780434C" w14:textId="77777777" w:rsidR="00372D27" w:rsidRPr="00372D27" w:rsidRDefault="00372D27" w:rsidP="00372D27">
      <w:pPr>
        <w:pStyle w:val="ANormal"/>
        <w:rPr>
          <w:lang w:val="sv-FI"/>
        </w:rPr>
      </w:pPr>
      <w:r w:rsidRPr="00372D27">
        <w:rPr>
          <w:i/>
          <w:iCs/>
        </w:rPr>
        <w:t>En hållbarhetsagenda som lever sitt eget liv</w:t>
      </w:r>
    </w:p>
    <w:p w14:paraId="4EA28B88" w14:textId="77777777" w:rsidR="00372D27" w:rsidRPr="00372D27" w:rsidRDefault="00372D27" w:rsidP="00372D27">
      <w:pPr>
        <w:pStyle w:val="ANormal"/>
        <w:rPr>
          <w:lang w:val="sv-FI"/>
        </w:rPr>
      </w:pPr>
      <w:r w:rsidRPr="00372D27">
        <w:t>Hållbarhetsagendan har pågått i över ett decennium, det är inte ett gott tecken att aktörerna fortfarande funderar på hur man ska skapa engagemang kring hållbarhetsagendan. </w:t>
      </w:r>
    </w:p>
    <w:p w14:paraId="4CCFC0D7" w14:textId="77777777" w:rsidR="00372D27" w:rsidRPr="00372D27" w:rsidRDefault="00372D27" w:rsidP="00372D27">
      <w:pPr>
        <w:pStyle w:val="ANormal"/>
        <w:rPr>
          <w:lang w:val="sv-FI"/>
        </w:rPr>
      </w:pPr>
      <w:r w:rsidRPr="00372D27">
        <w:t> </w:t>
      </w:r>
    </w:p>
    <w:p w14:paraId="5925C92D" w14:textId="77777777" w:rsidR="00372D27" w:rsidRPr="00372D27" w:rsidRDefault="00372D27" w:rsidP="00372D27">
      <w:pPr>
        <w:pStyle w:val="ANormal"/>
        <w:rPr>
          <w:lang w:val="sv-FI"/>
        </w:rPr>
      </w:pPr>
      <w:r w:rsidRPr="00372D27">
        <w:t>Dagens hållbarhetsarbete har börjat leva sitt eget liv i förhållande till landskapsregeringen, vilket blivit tydligt i diskussionerna om ö-undantaget. Landskapsregeringens storsatsningar på konkurrenskraft (ex. 40 miljoner till Kraftnät Åland) nämns inte som något med relevans i meddelandet. </w:t>
      </w:r>
    </w:p>
    <w:p w14:paraId="19A3B1B8" w14:textId="77777777" w:rsidR="00372D27" w:rsidRPr="00372D27" w:rsidRDefault="00372D27" w:rsidP="00372D27">
      <w:pPr>
        <w:pStyle w:val="ANormal"/>
        <w:rPr>
          <w:lang w:val="sv-FI"/>
        </w:rPr>
      </w:pPr>
      <w:r w:rsidRPr="00372D27">
        <w:t> </w:t>
      </w:r>
    </w:p>
    <w:p w14:paraId="37E5A8AD" w14:textId="77777777" w:rsidR="00372D27" w:rsidRPr="00372D27" w:rsidRDefault="00372D27" w:rsidP="00372D27">
      <w:pPr>
        <w:pStyle w:val="ANormal"/>
        <w:rPr>
          <w:lang w:val="sv-FI"/>
        </w:rPr>
      </w:pPr>
      <w:r w:rsidRPr="00372D27">
        <w:t>Dagens modell bygger också på en icke överskådlig organisationsstruktur där ansvarsutkrävande är komplicerat, budskap ofta saknar en tydlig avsändare och anmärkningsvärt många involverade saknar överblick över den totala projektbudgeten. I revisionssammanhang brukar frågan ställas om medlen används i enlighet med principerna om sparsamhet, effektivitet och ändamålsenlighet. Beaktat vad som framkommit i utskottsbehandlingen anser jag att Finans- och näringsutskottet bör sätta ett stort frågetecken kring ändamålsenligheten.</w:t>
      </w:r>
    </w:p>
    <w:p w14:paraId="0084BD9B" w14:textId="77777777" w:rsidR="00372D27" w:rsidRPr="00372D27" w:rsidRDefault="00372D27" w:rsidP="00372D27">
      <w:pPr>
        <w:pStyle w:val="ANormal"/>
        <w:rPr>
          <w:lang w:val="sv-FI"/>
        </w:rPr>
      </w:pPr>
      <w:r w:rsidRPr="00372D27">
        <w:t> </w:t>
      </w:r>
    </w:p>
    <w:p w14:paraId="7F6AA518" w14:textId="77777777" w:rsidR="00372D27" w:rsidRPr="00372D27" w:rsidRDefault="00372D27" w:rsidP="00372D27">
      <w:pPr>
        <w:pStyle w:val="ANormal"/>
        <w:rPr>
          <w:lang w:val="sv-FI"/>
        </w:rPr>
      </w:pPr>
      <w:r w:rsidRPr="00372D27">
        <w:t>H</w:t>
      </w:r>
      <w:proofErr w:type="spellStart"/>
      <w:r w:rsidRPr="00372D27">
        <w:rPr>
          <w:lang w:val="sv-FI"/>
        </w:rPr>
        <w:t>ållbarhetsarbetet</w:t>
      </w:r>
      <w:proofErr w:type="spellEnd"/>
      <w:r w:rsidRPr="00372D27">
        <w:rPr>
          <w:lang w:val="sv-FI"/>
        </w:rPr>
        <w:t xml:space="preserve"> ska vara ett verktyg för att stärka Åland, inte ett självändamål.</w:t>
      </w:r>
    </w:p>
    <w:p w14:paraId="242B7BCA" w14:textId="77777777" w:rsidR="000B3F00" w:rsidRDefault="000B3F00">
      <w:pPr>
        <w:pStyle w:val="ANormal"/>
        <w:rPr>
          <w:lang w:val="sv-FI"/>
        </w:rPr>
      </w:pPr>
    </w:p>
    <w:p w14:paraId="141A61CF" w14:textId="77777777" w:rsidR="00DE462A" w:rsidRPr="00DE462A" w:rsidRDefault="00DE462A" w:rsidP="00DE462A">
      <w:pPr>
        <w:pStyle w:val="ANormal"/>
        <w:rPr>
          <w:lang w:val="sv-FI"/>
        </w:rPr>
      </w:pPr>
      <w:r w:rsidRPr="00DE462A">
        <w:rPr>
          <w:lang w:val="sv-FI"/>
        </w:rPr>
        <w:t>Med hänvisning till det anförda föreslår undertecknad att utskottets kläm ersätts med en kläm av följande lydelse:</w:t>
      </w:r>
    </w:p>
    <w:p w14:paraId="532705C9" w14:textId="77777777" w:rsidR="00DE462A" w:rsidRPr="00DE462A" w:rsidRDefault="00DE462A" w:rsidP="00DE462A">
      <w:pPr>
        <w:pStyle w:val="ANormal"/>
        <w:rPr>
          <w:lang w:val="sv-FI"/>
        </w:rPr>
      </w:pPr>
      <w:r w:rsidRPr="00DE462A">
        <w:rPr>
          <w:lang w:val="sv-FI"/>
        </w:rPr>
        <w:t> </w:t>
      </w:r>
    </w:p>
    <w:p w14:paraId="1B15C3B8" w14:textId="77777777" w:rsidR="00DE462A" w:rsidRPr="00DE462A" w:rsidRDefault="00DE462A" w:rsidP="00DE462A">
      <w:pPr>
        <w:pStyle w:val="ANormal"/>
        <w:numPr>
          <w:ilvl w:val="0"/>
          <w:numId w:val="47"/>
        </w:numPr>
        <w:rPr>
          <w:lang w:val="sv-FI"/>
        </w:rPr>
      </w:pPr>
      <w:r w:rsidRPr="00DE462A">
        <w:rPr>
          <w:lang w:val="sv-FI"/>
        </w:rPr>
        <w:t>Att landskapsregeringen hörsammar det enhälliga betänkandet från (14/</w:t>
      </w:r>
      <w:proofErr w:type="gramStart"/>
      <w:r w:rsidRPr="00DE462A">
        <w:rPr>
          <w:lang w:val="sv-FI"/>
        </w:rPr>
        <w:t>2013-2014</w:t>
      </w:r>
      <w:proofErr w:type="gramEnd"/>
      <w:r w:rsidRPr="00DE462A">
        <w:rPr>
          <w:lang w:val="sv-FI"/>
        </w:rPr>
        <w:t xml:space="preserve">) och härefter utgår ifrån det åländska näringslivets </w:t>
      </w:r>
      <w:r w:rsidRPr="00DE462A">
        <w:rPr>
          <w:lang w:val="sv-FI"/>
        </w:rPr>
        <w:lastRenderedPageBreak/>
        <w:t>konkurrenskraft samt behovet av tillväxt i Utvecklings- och hållbarhetsagendan.</w:t>
      </w:r>
    </w:p>
    <w:p w14:paraId="2D021933" w14:textId="48D9A807" w:rsidR="00DE462A" w:rsidRPr="00DE462A" w:rsidRDefault="00DE462A" w:rsidP="00DE462A">
      <w:pPr>
        <w:pStyle w:val="ANormal"/>
        <w:numPr>
          <w:ilvl w:val="0"/>
          <w:numId w:val="47"/>
        </w:numPr>
        <w:rPr>
          <w:lang w:val="sv-FI"/>
        </w:rPr>
      </w:pPr>
      <w:r w:rsidRPr="00DE462A">
        <w:rPr>
          <w:lang w:val="sv-FI"/>
        </w:rPr>
        <w:t xml:space="preserve">Att utvecklings- och hållbarhetsagendan flyttas till näringsavdelningen med det uttalade målet </w:t>
      </w:r>
      <w:r w:rsidR="00687B42">
        <w:rPr>
          <w:lang w:val="sv-FI"/>
        </w:rPr>
        <w:t xml:space="preserve">att </w:t>
      </w:r>
      <w:r w:rsidRPr="00DE462A">
        <w:rPr>
          <w:lang w:val="sv-FI"/>
        </w:rPr>
        <w:t>främja hållbar tillväxt och företagens hållbarhetssatsningar.</w:t>
      </w:r>
    </w:p>
    <w:p w14:paraId="448D8B93" w14:textId="77777777" w:rsidR="00DE462A" w:rsidRPr="00DE462A" w:rsidRDefault="00DE462A" w:rsidP="00DE462A">
      <w:pPr>
        <w:pStyle w:val="ANormal"/>
        <w:numPr>
          <w:ilvl w:val="0"/>
          <w:numId w:val="47"/>
        </w:numPr>
        <w:rPr>
          <w:lang w:val="sv-FI"/>
        </w:rPr>
      </w:pPr>
      <w:r w:rsidRPr="00DE462A">
        <w:rPr>
          <w:lang w:val="sv-FI"/>
        </w:rPr>
        <w:t>Att Ålands lagting sätter ett mål om ekonomisk tillväxt på 2,5% procent per år till år 2035.</w:t>
      </w:r>
    </w:p>
    <w:p w14:paraId="05305C46" w14:textId="77777777" w:rsidR="00DE462A" w:rsidRPr="00DE462A" w:rsidRDefault="00DE462A" w:rsidP="00DE462A">
      <w:pPr>
        <w:pStyle w:val="ANormal"/>
        <w:numPr>
          <w:ilvl w:val="0"/>
          <w:numId w:val="47"/>
        </w:numPr>
        <w:rPr>
          <w:lang w:val="sv-FI"/>
        </w:rPr>
      </w:pPr>
      <w:r w:rsidRPr="00DE462A">
        <w:rPr>
          <w:lang w:val="sv-FI"/>
        </w:rPr>
        <w:t>Att lagtinget antecknar sig landskapsregeringens meddelande nr </w:t>
      </w:r>
      <w:hyperlink r:id="rId12" w:tooltip="tel:+358320252026" w:history="1">
        <w:r w:rsidRPr="00DE462A">
          <w:rPr>
            <w:rStyle w:val="Hyperlnk"/>
            <w:lang w:val="sv-FI"/>
          </w:rPr>
          <w:t>3/</w:t>
        </w:r>
        <w:proofErr w:type="gramStart"/>
        <w:r w:rsidRPr="00DE462A">
          <w:rPr>
            <w:rStyle w:val="Hyperlnk"/>
            <w:lang w:val="sv-FI"/>
          </w:rPr>
          <w:t>2025-2026</w:t>
        </w:r>
        <w:proofErr w:type="gramEnd"/>
      </w:hyperlink>
      <w:r w:rsidRPr="00DE462A">
        <w:rPr>
          <w:lang w:val="sv-FI"/>
        </w:rPr>
        <w:t> för kännedom och bringar betänkandets motivering till landskapsregeringens kännedom.</w:t>
      </w:r>
    </w:p>
    <w:p w14:paraId="13FBAF80" w14:textId="77777777" w:rsidR="00DE462A" w:rsidRDefault="00DE462A">
      <w:pPr>
        <w:pStyle w:val="ANormal"/>
        <w:rPr>
          <w:lang w:val="sv-FI"/>
        </w:rPr>
      </w:pPr>
    </w:p>
    <w:p w14:paraId="46B6C18E" w14:textId="77777777" w:rsidR="00DE462A" w:rsidRPr="00372D27" w:rsidRDefault="00DE462A">
      <w:pPr>
        <w:pStyle w:val="ANormal"/>
        <w:rPr>
          <w:lang w:val="sv-FI"/>
        </w:rPr>
      </w:pPr>
    </w:p>
    <w:p w14:paraId="3338AD68" w14:textId="77777777" w:rsidR="000B3F00" w:rsidRDefault="000B3F0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377141" w:rsidRPr="0023049D" w14:paraId="4ABC6084" w14:textId="77777777" w:rsidTr="00381DC7">
        <w:trPr>
          <w:cantSplit/>
        </w:trPr>
        <w:tc>
          <w:tcPr>
            <w:tcW w:w="7931" w:type="dxa"/>
            <w:gridSpan w:val="2"/>
          </w:tcPr>
          <w:p w14:paraId="20612B07" w14:textId="73953047" w:rsidR="00377141" w:rsidRPr="0023049D" w:rsidRDefault="00293016" w:rsidP="00377141">
            <w:pPr>
              <w:pStyle w:val="ANormal"/>
              <w:keepNext/>
              <w:rPr>
                <w:lang w:val="en-US"/>
              </w:rPr>
            </w:pPr>
            <w:r w:rsidRPr="0023049D">
              <w:rPr>
                <w:lang w:val="en-US"/>
              </w:rPr>
              <w:t xml:space="preserve">Mariehamn den </w:t>
            </w:r>
            <w:r w:rsidR="00687B42">
              <w:rPr>
                <w:lang w:val="en-US"/>
              </w:rPr>
              <w:t>21</w:t>
            </w:r>
            <w:r w:rsidRPr="0023049D">
              <w:rPr>
                <w:lang w:val="en-US"/>
              </w:rPr>
              <w:t xml:space="preserve"> maj 2026</w:t>
            </w:r>
          </w:p>
        </w:tc>
      </w:tr>
      <w:tr w:rsidR="00377141" w:rsidRPr="0023049D" w14:paraId="65EAD2C3" w14:textId="77777777" w:rsidTr="00381DC7">
        <w:tc>
          <w:tcPr>
            <w:tcW w:w="4454" w:type="dxa"/>
            <w:vAlign w:val="bottom"/>
          </w:tcPr>
          <w:p w14:paraId="37CF91E7" w14:textId="77777777" w:rsidR="00377141" w:rsidRPr="0023049D" w:rsidRDefault="00377141" w:rsidP="00381DC7">
            <w:pPr>
              <w:pStyle w:val="ANormal"/>
              <w:rPr>
                <w:lang w:val="en-US"/>
              </w:rPr>
            </w:pPr>
          </w:p>
          <w:p w14:paraId="311D1E9D" w14:textId="77777777" w:rsidR="00293016" w:rsidRPr="0023049D" w:rsidRDefault="00293016" w:rsidP="00381DC7">
            <w:pPr>
              <w:pStyle w:val="ANormal"/>
              <w:rPr>
                <w:lang w:val="en-US"/>
              </w:rPr>
            </w:pPr>
          </w:p>
        </w:tc>
        <w:tc>
          <w:tcPr>
            <w:tcW w:w="3477" w:type="dxa"/>
            <w:vAlign w:val="bottom"/>
          </w:tcPr>
          <w:p w14:paraId="452C42C1" w14:textId="77777777" w:rsidR="00377141" w:rsidRPr="0023049D" w:rsidRDefault="00377141" w:rsidP="00381DC7">
            <w:pPr>
              <w:pStyle w:val="ANormal"/>
              <w:rPr>
                <w:lang w:val="en-US"/>
              </w:rPr>
            </w:pPr>
          </w:p>
          <w:p w14:paraId="4E09B829" w14:textId="77777777" w:rsidR="00377141" w:rsidRPr="0023049D" w:rsidRDefault="00377141" w:rsidP="00381DC7">
            <w:pPr>
              <w:pStyle w:val="ANormal"/>
              <w:rPr>
                <w:lang w:val="en-US"/>
              </w:rPr>
            </w:pPr>
          </w:p>
        </w:tc>
      </w:tr>
    </w:tbl>
    <w:p w14:paraId="7CA462D2" w14:textId="77777777" w:rsidR="00293016" w:rsidRPr="0023049D" w:rsidRDefault="00293016" w:rsidP="00293016">
      <w:pPr>
        <w:pStyle w:val="ANormal"/>
        <w:rPr>
          <w:lang w:val="en-US"/>
        </w:rPr>
      </w:pPr>
    </w:p>
    <w:p w14:paraId="49700647" w14:textId="51172E30" w:rsidR="00293016" w:rsidRDefault="00BA7827" w:rsidP="00293016">
      <w:pPr>
        <w:pStyle w:val="ANormal"/>
      </w:pPr>
      <w:r>
        <w:t>Wille Valve</w:t>
      </w:r>
    </w:p>
    <w:p w14:paraId="69ADB286" w14:textId="77777777" w:rsidR="00293016" w:rsidRDefault="00293016" w:rsidP="00293016">
      <w:pPr>
        <w:pStyle w:val="ANormal"/>
      </w:pPr>
    </w:p>
    <w:p w14:paraId="47A6ABA0" w14:textId="77777777" w:rsidR="000B3F00" w:rsidRDefault="000B3F00">
      <w:pPr>
        <w:pStyle w:val="ANormal"/>
      </w:pPr>
    </w:p>
    <w:sectPr w:rsidR="000B3F00">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7DB8" w14:textId="77777777" w:rsidR="0008385B" w:rsidRDefault="0008385B">
      <w:r>
        <w:separator/>
      </w:r>
    </w:p>
  </w:endnote>
  <w:endnote w:type="continuationSeparator" w:id="0">
    <w:p w14:paraId="26709F00" w14:textId="77777777" w:rsidR="0008385B" w:rsidRDefault="0008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4418"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D74D" w14:textId="77777777" w:rsidR="0008385B" w:rsidRDefault="0008385B">
      <w:r>
        <w:separator/>
      </w:r>
    </w:p>
  </w:footnote>
  <w:footnote w:type="continuationSeparator" w:id="0">
    <w:p w14:paraId="43A77CB6" w14:textId="77777777" w:rsidR="0008385B" w:rsidRDefault="0008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334D"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87ADD54" w14:textId="77777777" w:rsidR="003011C1" w:rsidRDefault="0030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05DF"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F41D9"/>
    <w:multiLevelType w:val="multilevel"/>
    <w:tmpl w:val="DE7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75250483">
    <w:abstractNumId w:val="6"/>
  </w:num>
  <w:num w:numId="2" w16cid:durableId="872810401">
    <w:abstractNumId w:val="3"/>
  </w:num>
  <w:num w:numId="3" w16cid:durableId="833181124">
    <w:abstractNumId w:val="2"/>
  </w:num>
  <w:num w:numId="4" w16cid:durableId="1908228074">
    <w:abstractNumId w:val="1"/>
  </w:num>
  <w:num w:numId="5" w16cid:durableId="2117745035">
    <w:abstractNumId w:val="0"/>
  </w:num>
  <w:num w:numId="6" w16cid:durableId="446778158">
    <w:abstractNumId w:val="7"/>
  </w:num>
  <w:num w:numId="7" w16cid:durableId="383994335">
    <w:abstractNumId w:val="5"/>
  </w:num>
  <w:num w:numId="8" w16cid:durableId="265160702">
    <w:abstractNumId w:val="4"/>
  </w:num>
  <w:num w:numId="9" w16cid:durableId="1191380382">
    <w:abstractNumId w:val="12"/>
  </w:num>
  <w:num w:numId="10" w16cid:durableId="1952933860">
    <w:abstractNumId w:val="15"/>
  </w:num>
  <w:num w:numId="11" w16cid:durableId="260653181">
    <w:abstractNumId w:val="14"/>
  </w:num>
  <w:num w:numId="12" w16cid:durableId="1315064518">
    <w:abstractNumId w:val="18"/>
  </w:num>
  <w:num w:numId="13" w16cid:durableId="636224290">
    <w:abstractNumId w:val="13"/>
  </w:num>
  <w:num w:numId="14" w16cid:durableId="1377697971">
    <w:abstractNumId w:val="17"/>
  </w:num>
  <w:num w:numId="15" w16cid:durableId="1626740077">
    <w:abstractNumId w:val="11"/>
  </w:num>
  <w:num w:numId="16" w16cid:durableId="2050033155">
    <w:abstractNumId w:val="23"/>
  </w:num>
  <w:num w:numId="17" w16cid:durableId="644970041">
    <w:abstractNumId w:val="9"/>
  </w:num>
  <w:num w:numId="18" w16cid:durableId="1420784954">
    <w:abstractNumId w:val="19"/>
  </w:num>
  <w:num w:numId="19" w16cid:durableId="775446119">
    <w:abstractNumId w:val="22"/>
  </w:num>
  <w:num w:numId="20" w16cid:durableId="830296278">
    <w:abstractNumId w:val="25"/>
  </w:num>
  <w:num w:numId="21" w16cid:durableId="241335887">
    <w:abstractNumId w:val="24"/>
  </w:num>
  <w:num w:numId="22" w16cid:durableId="1968201094">
    <w:abstractNumId w:val="16"/>
  </w:num>
  <w:num w:numId="23" w16cid:durableId="1497502760">
    <w:abstractNumId w:val="20"/>
  </w:num>
  <w:num w:numId="24" w16cid:durableId="852576848">
    <w:abstractNumId w:val="20"/>
  </w:num>
  <w:num w:numId="25" w16cid:durableId="2105225027">
    <w:abstractNumId w:val="21"/>
  </w:num>
  <w:num w:numId="26" w16cid:durableId="880098722">
    <w:abstractNumId w:val="16"/>
  </w:num>
  <w:num w:numId="27" w16cid:durableId="1485003137">
    <w:abstractNumId w:val="16"/>
  </w:num>
  <w:num w:numId="28" w16cid:durableId="414284882">
    <w:abstractNumId w:val="16"/>
  </w:num>
  <w:num w:numId="29" w16cid:durableId="1649166040">
    <w:abstractNumId w:val="16"/>
  </w:num>
  <w:num w:numId="30" w16cid:durableId="1281761488">
    <w:abstractNumId w:val="16"/>
  </w:num>
  <w:num w:numId="31" w16cid:durableId="1244802776">
    <w:abstractNumId w:val="16"/>
  </w:num>
  <w:num w:numId="32" w16cid:durableId="1786656446">
    <w:abstractNumId w:val="16"/>
  </w:num>
  <w:num w:numId="33" w16cid:durableId="159590902">
    <w:abstractNumId w:val="16"/>
  </w:num>
  <w:num w:numId="34" w16cid:durableId="259220822">
    <w:abstractNumId w:val="16"/>
  </w:num>
  <w:num w:numId="35" w16cid:durableId="1723409690">
    <w:abstractNumId w:val="20"/>
  </w:num>
  <w:num w:numId="36" w16cid:durableId="1435125111">
    <w:abstractNumId w:val="21"/>
  </w:num>
  <w:num w:numId="37" w16cid:durableId="2018266325">
    <w:abstractNumId w:val="16"/>
  </w:num>
  <w:num w:numId="38" w16cid:durableId="410464241">
    <w:abstractNumId w:val="16"/>
  </w:num>
  <w:num w:numId="39" w16cid:durableId="580943446">
    <w:abstractNumId w:val="16"/>
  </w:num>
  <w:num w:numId="40" w16cid:durableId="1733653681">
    <w:abstractNumId w:val="16"/>
  </w:num>
  <w:num w:numId="41" w16cid:durableId="151916505">
    <w:abstractNumId w:val="16"/>
  </w:num>
  <w:num w:numId="42" w16cid:durableId="804663601">
    <w:abstractNumId w:val="16"/>
  </w:num>
  <w:num w:numId="43" w16cid:durableId="1732077961">
    <w:abstractNumId w:val="16"/>
  </w:num>
  <w:num w:numId="44" w16cid:durableId="1314527187">
    <w:abstractNumId w:val="16"/>
  </w:num>
  <w:num w:numId="45" w16cid:durableId="445658148">
    <w:abstractNumId w:val="16"/>
  </w:num>
  <w:num w:numId="46" w16cid:durableId="790367354">
    <w:abstractNumId w:val="8"/>
  </w:num>
  <w:num w:numId="47" w16cid:durableId="1385063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16"/>
    <w:rsid w:val="00030472"/>
    <w:rsid w:val="00045708"/>
    <w:rsid w:val="00050F1E"/>
    <w:rsid w:val="0008385B"/>
    <w:rsid w:val="000B3F00"/>
    <w:rsid w:val="001120C3"/>
    <w:rsid w:val="0012085E"/>
    <w:rsid w:val="001840E5"/>
    <w:rsid w:val="0019442B"/>
    <w:rsid w:val="0022280E"/>
    <w:rsid w:val="0023049D"/>
    <w:rsid w:val="0023720F"/>
    <w:rsid w:val="00293016"/>
    <w:rsid w:val="002D7F1A"/>
    <w:rsid w:val="002F50E4"/>
    <w:rsid w:val="003011C1"/>
    <w:rsid w:val="0036587F"/>
    <w:rsid w:val="00372D27"/>
    <w:rsid w:val="00376F07"/>
    <w:rsid w:val="00377141"/>
    <w:rsid w:val="00381DC7"/>
    <w:rsid w:val="0038300C"/>
    <w:rsid w:val="00490737"/>
    <w:rsid w:val="004C3639"/>
    <w:rsid w:val="005768CF"/>
    <w:rsid w:val="00596487"/>
    <w:rsid w:val="00612A82"/>
    <w:rsid w:val="00630D93"/>
    <w:rsid w:val="00663FC5"/>
    <w:rsid w:val="00687918"/>
    <w:rsid w:val="00687B42"/>
    <w:rsid w:val="0071193D"/>
    <w:rsid w:val="00723893"/>
    <w:rsid w:val="007B1D60"/>
    <w:rsid w:val="0084359B"/>
    <w:rsid w:val="0084698E"/>
    <w:rsid w:val="00851833"/>
    <w:rsid w:val="00883434"/>
    <w:rsid w:val="008B1AD5"/>
    <w:rsid w:val="008C0EEE"/>
    <w:rsid w:val="009044DF"/>
    <w:rsid w:val="00935A18"/>
    <w:rsid w:val="00936AF6"/>
    <w:rsid w:val="0094413E"/>
    <w:rsid w:val="00984FFB"/>
    <w:rsid w:val="00987A6E"/>
    <w:rsid w:val="009D01AC"/>
    <w:rsid w:val="00A16986"/>
    <w:rsid w:val="00A716AD"/>
    <w:rsid w:val="00AB47CC"/>
    <w:rsid w:val="00AF314A"/>
    <w:rsid w:val="00B94374"/>
    <w:rsid w:val="00BA7827"/>
    <w:rsid w:val="00BB7311"/>
    <w:rsid w:val="00BD0794"/>
    <w:rsid w:val="00C205EC"/>
    <w:rsid w:val="00D0061B"/>
    <w:rsid w:val="00D10E5F"/>
    <w:rsid w:val="00D2147C"/>
    <w:rsid w:val="00D27AA6"/>
    <w:rsid w:val="00D3286C"/>
    <w:rsid w:val="00D34F0A"/>
    <w:rsid w:val="00DE462A"/>
    <w:rsid w:val="00DE5BE8"/>
    <w:rsid w:val="00E100E9"/>
    <w:rsid w:val="00E131E0"/>
    <w:rsid w:val="00E34491"/>
    <w:rsid w:val="00E47C21"/>
    <w:rsid w:val="00E5793F"/>
    <w:rsid w:val="00EB5F02"/>
    <w:rsid w:val="00ED4AF7"/>
    <w:rsid w:val="00FD73E1"/>
    <w:rsid w:val="00FE7B0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65DA1"/>
  <w15:docId w15:val="{7683C310-DC0B-45D1-B5AA-880CE18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character" w:styleId="Olstomnmnande">
    <w:name w:val="Unresolved Mention"/>
    <w:basedOn w:val="Standardstycketeckensnitt"/>
    <w:uiPriority w:val="99"/>
    <w:semiHidden/>
    <w:unhideWhenUsed/>
    <w:rsid w:val="00DE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35832025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2C685-EF01-4D37-9D48-46771016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1E69B-AACE-4A71-9F40-BA75625D5F8B}">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3.xml><?xml version="1.0" encoding="utf-8"?>
<ds:datastoreItem xmlns:ds="http://schemas.openxmlformats.org/officeDocument/2006/customXml" ds:itemID="{B33C5178-4934-4145-B1A9-433D8FC32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5087</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Reservation</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dc:title>
  <dc:creator>Malin Nordlund</dc:creator>
  <cp:lastModifiedBy>Jessica Laaksonen</cp:lastModifiedBy>
  <cp:revision>4</cp:revision>
  <cp:lastPrinted>2026-05-21T11:32:00Z</cp:lastPrinted>
  <dcterms:created xsi:type="dcterms:W3CDTF">2026-05-21T12:14:00Z</dcterms:created>
  <dcterms:modified xsi:type="dcterms:W3CDTF">2026-05-21T12:42:00Z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ies>
</file>