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14:paraId="0C4697A3" w14:textId="77777777">
        <w:trPr>
          <w:cantSplit/>
          <w:trHeight w:val="20"/>
        </w:trPr>
        <w:tc>
          <w:tcPr>
            <w:tcW w:w="861" w:type="dxa"/>
            <w:vMerge w:val="restart"/>
          </w:tcPr>
          <w:p w14:paraId="32B00D37" w14:textId="19F2010E" w:rsidR="00AF3004" w:rsidRDefault="007B0EBD">
            <w:pPr>
              <w:pStyle w:val="xLedtext"/>
              <w:keepNext/>
              <w:rPr>
                <w:noProof/>
              </w:rPr>
            </w:pPr>
            <w:r>
              <w:rPr>
                <w:noProof/>
                <w:sz w:val="20"/>
              </w:rPr>
              <w:drawing>
                <wp:anchor distT="0" distB="0" distL="114300" distR="114300" simplePos="0" relativeHeight="251657728" behindDoc="0" locked="0" layoutInCell="1" allowOverlap="1" wp14:anchorId="09E5B608" wp14:editId="741F31CD">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26F7D22C" w14:textId="2AD76EC3" w:rsidR="00AF3004" w:rsidRDefault="007B0EBD">
            <w:pPr>
              <w:pStyle w:val="xMellanrum"/>
            </w:pPr>
            <w:r>
              <w:rPr>
                <w:noProof/>
              </w:rPr>
              <w:drawing>
                <wp:inline distT="0" distB="0" distL="0" distR="0" wp14:anchorId="4C850BB9" wp14:editId="63F78C8A">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14:paraId="460F33BC" w14:textId="77777777">
        <w:trPr>
          <w:cantSplit/>
          <w:trHeight w:val="299"/>
        </w:trPr>
        <w:tc>
          <w:tcPr>
            <w:tcW w:w="861" w:type="dxa"/>
            <w:vMerge/>
          </w:tcPr>
          <w:p w14:paraId="0B33FDCB" w14:textId="77777777" w:rsidR="00AF3004" w:rsidRDefault="00AF3004">
            <w:pPr>
              <w:pStyle w:val="xLedtext"/>
            </w:pPr>
          </w:p>
        </w:tc>
        <w:tc>
          <w:tcPr>
            <w:tcW w:w="4448" w:type="dxa"/>
            <w:vAlign w:val="bottom"/>
          </w:tcPr>
          <w:p w14:paraId="649C0359" w14:textId="77777777" w:rsidR="00AF3004" w:rsidRDefault="00AF3004">
            <w:pPr>
              <w:pStyle w:val="xAvsandare1"/>
            </w:pPr>
          </w:p>
        </w:tc>
        <w:tc>
          <w:tcPr>
            <w:tcW w:w="4288" w:type="dxa"/>
            <w:gridSpan w:val="2"/>
            <w:vAlign w:val="bottom"/>
          </w:tcPr>
          <w:p w14:paraId="50396CC9" w14:textId="18C36C37" w:rsidR="00AF3004" w:rsidRDefault="00364756">
            <w:pPr>
              <w:pStyle w:val="xDokTypNr"/>
            </w:pPr>
            <w:r>
              <w:t>LAGFÖRSLAG</w:t>
            </w:r>
            <w:r w:rsidR="00AF3004">
              <w:t xml:space="preserve"> nr </w:t>
            </w:r>
            <w:r w:rsidR="001B7831">
              <w:t>22</w:t>
            </w:r>
            <w:r w:rsidR="00AF3004">
              <w:t>/</w:t>
            </w:r>
            <w:proofErr w:type="gramStart"/>
            <w:r w:rsidR="00AF3004">
              <w:t>20</w:t>
            </w:r>
            <w:r w:rsidR="001B7831">
              <w:t>25</w:t>
            </w:r>
            <w:r w:rsidR="00AF3004">
              <w:t>-20</w:t>
            </w:r>
            <w:r w:rsidR="001B7831">
              <w:t>26</w:t>
            </w:r>
            <w:proofErr w:type="gramEnd"/>
          </w:p>
        </w:tc>
      </w:tr>
      <w:tr w:rsidR="00AF3004" w14:paraId="6FCB8914" w14:textId="77777777">
        <w:trPr>
          <w:cantSplit/>
          <w:trHeight w:val="238"/>
        </w:trPr>
        <w:tc>
          <w:tcPr>
            <w:tcW w:w="861" w:type="dxa"/>
            <w:vMerge/>
          </w:tcPr>
          <w:p w14:paraId="50408F88" w14:textId="77777777" w:rsidR="00AF3004" w:rsidRDefault="00AF3004">
            <w:pPr>
              <w:pStyle w:val="xLedtext"/>
            </w:pPr>
          </w:p>
        </w:tc>
        <w:tc>
          <w:tcPr>
            <w:tcW w:w="4448" w:type="dxa"/>
            <w:vAlign w:val="bottom"/>
          </w:tcPr>
          <w:p w14:paraId="57CF453F" w14:textId="77777777" w:rsidR="00AF3004" w:rsidRDefault="00AF3004">
            <w:pPr>
              <w:pStyle w:val="xLedtext"/>
            </w:pPr>
          </w:p>
        </w:tc>
        <w:tc>
          <w:tcPr>
            <w:tcW w:w="1725" w:type="dxa"/>
            <w:vAlign w:val="bottom"/>
          </w:tcPr>
          <w:p w14:paraId="45A070DB" w14:textId="77777777" w:rsidR="00AF3004" w:rsidRDefault="00AF3004">
            <w:pPr>
              <w:pStyle w:val="xLedtext"/>
              <w:rPr>
                <w:lang w:val="de-DE"/>
              </w:rPr>
            </w:pPr>
            <w:r>
              <w:rPr>
                <w:lang w:val="de-DE"/>
              </w:rPr>
              <w:t>Datum</w:t>
            </w:r>
          </w:p>
        </w:tc>
        <w:tc>
          <w:tcPr>
            <w:tcW w:w="2563" w:type="dxa"/>
            <w:vAlign w:val="bottom"/>
          </w:tcPr>
          <w:p w14:paraId="37165BC6" w14:textId="77777777" w:rsidR="00AF3004" w:rsidRDefault="00AF3004">
            <w:pPr>
              <w:pStyle w:val="xLedtext"/>
              <w:rPr>
                <w:lang w:val="de-DE"/>
              </w:rPr>
            </w:pPr>
          </w:p>
        </w:tc>
      </w:tr>
      <w:tr w:rsidR="00AF3004" w14:paraId="5789A046" w14:textId="77777777">
        <w:trPr>
          <w:cantSplit/>
          <w:trHeight w:val="238"/>
        </w:trPr>
        <w:tc>
          <w:tcPr>
            <w:tcW w:w="861" w:type="dxa"/>
            <w:vMerge/>
          </w:tcPr>
          <w:p w14:paraId="6E56AF69" w14:textId="77777777" w:rsidR="00AF3004" w:rsidRDefault="00AF3004">
            <w:pPr>
              <w:pStyle w:val="xAvsandare2"/>
              <w:rPr>
                <w:lang w:val="de-DE"/>
              </w:rPr>
            </w:pPr>
          </w:p>
        </w:tc>
        <w:tc>
          <w:tcPr>
            <w:tcW w:w="4448" w:type="dxa"/>
            <w:vAlign w:val="center"/>
          </w:tcPr>
          <w:p w14:paraId="0E9445C2" w14:textId="77777777" w:rsidR="00AF3004" w:rsidRDefault="00AF3004">
            <w:pPr>
              <w:pStyle w:val="xAvsandare2"/>
              <w:rPr>
                <w:lang w:val="de-DE"/>
              </w:rPr>
            </w:pPr>
          </w:p>
        </w:tc>
        <w:tc>
          <w:tcPr>
            <w:tcW w:w="1725" w:type="dxa"/>
            <w:vAlign w:val="center"/>
          </w:tcPr>
          <w:p w14:paraId="717CADFC" w14:textId="5DA26586" w:rsidR="00AF3004" w:rsidRDefault="00AF3004">
            <w:pPr>
              <w:pStyle w:val="xDatum1"/>
              <w:rPr>
                <w:lang w:val="de-DE"/>
              </w:rPr>
            </w:pPr>
            <w:r>
              <w:rPr>
                <w:lang w:val="de-DE"/>
              </w:rPr>
              <w:t>20</w:t>
            </w:r>
            <w:r w:rsidR="00364756">
              <w:rPr>
                <w:lang w:val="de-DE"/>
              </w:rPr>
              <w:t>2</w:t>
            </w:r>
            <w:r w:rsidR="003C3576">
              <w:rPr>
                <w:lang w:val="de-DE"/>
              </w:rPr>
              <w:t>6</w:t>
            </w:r>
            <w:r>
              <w:rPr>
                <w:lang w:val="de-DE"/>
              </w:rPr>
              <w:t>-</w:t>
            </w:r>
            <w:r w:rsidR="00364756">
              <w:rPr>
                <w:lang w:val="de-DE"/>
              </w:rPr>
              <w:t>0</w:t>
            </w:r>
            <w:r w:rsidR="008E42A9">
              <w:rPr>
                <w:lang w:val="de-DE"/>
              </w:rPr>
              <w:t>5</w:t>
            </w:r>
            <w:r>
              <w:rPr>
                <w:lang w:val="de-DE"/>
              </w:rPr>
              <w:t>-</w:t>
            </w:r>
            <w:r w:rsidR="00EF1FC4">
              <w:rPr>
                <w:lang w:val="de-DE"/>
              </w:rPr>
              <w:t>2</w:t>
            </w:r>
            <w:r w:rsidR="001B7831">
              <w:rPr>
                <w:lang w:val="de-DE"/>
              </w:rPr>
              <w:t>8</w:t>
            </w:r>
          </w:p>
          <w:p w14:paraId="6944EBA1" w14:textId="6AEE4DE3" w:rsidR="00381029" w:rsidRDefault="00381029">
            <w:pPr>
              <w:pStyle w:val="xDatum1"/>
              <w:rPr>
                <w:lang w:val="de-DE"/>
              </w:rPr>
            </w:pPr>
          </w:p>
        </w:tc>
        <w:tc>
          <w:tcPr>
            <w:tcW w:w="2563" w:type="dxa"/>
            <w:vAlign w:val="center"/>
          </w:tcPr>
          <w:p w14:paraId="14107C9F" w14:textId="77777777" w:rsidR="00AF3004" w:rsidRDefault="00AF3004">
            <w:pPr>
              <w:pStyle w:val="xBeteckning1"/>
              <w:rPr>
                <w:lang w:val="de-DE"/>
              </w:rPr>
            </w:pPr>
          </w:p>
        </w:tc>
      </w:tr>
      <w:tr w:rsidR="00AF3004" w14:paraId="35D18A46" w14:textId="77777777">
        <w:trPr>
          <w:cantSplit/>
          <w:trHeight w:val="238"/>
        </w:trPr>
        <w:tc>
          <w:tcPr>
            <w:tcW w:w="861" w:type="dxa"/>
            <w:vMerge/>
          </w:tcPr>
          <w:p w14:paraId="55D68654" w14:textId="77777777" w:rsidR="00AF3004" w:rsidRDefault="00AF3004">
            <w:pPr>
              <w:pStyle w:val="xLedtext"/>
              <w:rPr>
                <w:lang w:val="de-DE"/>
              </w:rPr>
            </w:pPr>
          </w:p>
        </w:tc>
        <w:tc>
          <w:tcPr>
            <w:tcW w:w="4448" w:type="dxa"/>
            <w:vAlign w:val="bottom"/>
          </w:tcPr>
          <w:p w14:paraId="21EC29BF" w14:textId="77777777" w:rsidR="00AF3004" w:rsidRDefault="00AF3004">
            <w:pPr>
              <w:pStyle w:val="xLedtext"/>
              <w:rPr>
                <w:lang w:val="de-DE"/>
              </w:rPr>
            </w:pPr>
          </w:p>
        </w:tc>
        <w:tc>
          <w:tcPr>
            <w:tcW w:w="1725" w:type="dxa"/>
            <w:vAlign w:val="bottom"/>
          </w:tcPr>
          <w:p w14:paraId="7C0A4712" w14:textId="77777777" w:rsidR="00AF3004" w:rsidRDefault="00AF3004">
            <w:pPr>
              <w:pStyle w:val="xLedtext"/>
              <w:rPr>
                <w:lang w:val="de-DE"/>
              </w:rPr>
            </w:pPr>
          </w:p>
        </w:tc>
        <w:tc>
          <w:tcPr>
            <w:tcW w:w="2563" w:type="dxa"/>
            <w:vAlign w:val="bottom"/>
          </w:tcPr>
          <w:p w14:paraId="315570B4" w14:textId="77777777" w:rsidR="00AF3004" w:rsidRDefault="00AF3004">
            <w:pPr>
              <w:pStyle w:val="xLedtext"/>
              <w:rPr>
                <w:lang w:val="de-DE"/>
              </w:rPr>
            </w:pPr>
          </w:p>
        </w:tc>
      </w:tr>
      <w:tr w:rsidR="00AF3004" w14:paraId="4F5857D5" w14:textId="77777777">
        <w:trPr>
          <w:cantSplit/>
          <w:trHeight w:val="238"/>
        </w:trPr>
        <w:tc>
          <w:tcPr>
            <w:tcW w:w="861" w:type="dxa"/>
            <w:vMerge/>
            <w:tcBorders>
              <w:bottom w:val="single" w:sz="4" w:space="0" w:color="auto"/>
            </w:tcBorders>
          </w:tcPr>
          <w:p w14:paraId="42B273F3" w14:textId="77777777" w:rsidR="00AF3004" w:rsidRDefault="00AF3004">
            <w:pPr>
              <w:pStyle w:val="xAvsandare3"/>
              <w:rPr>
                <w:lang w:val="de-DE"/>
              </w:rPr>
            </w:pPr>
          </w:p>
        </w:tc>
        <w:tc>
          <w:tcPr>
            <w:tcW w:w="4448" w:type="dxa"/>
            <w:tcBorders>
              <w:bottom w:val="single" w:sz="4" w:space="0" w:color="auto"/>
            </w:tcBorders>
            <w:vAlign w:val="center"/>
          </w:tcPr>
          <w:p w14:paraId="531706EB" w14:textId="77777777" w:rsidR="00AF3004" w:rsidRDefault="00AF3004">
            <w:pPr>
              <w:pStyle w:val="xAvsandare3"/>
              <w:rPr>
                <w:lang w:val="de-DE"/>
              </w:rPr>
            </w:pPr>
          </w:p>
        </w:tc>
        <w:tc>
          <w:tcPr>
            <w:tcW w:w="1725" w:type="dxa"/>
            <w:tcBorders>
              <w:bottom w:val="single" w:sz="4" w:space="0" w:color="auto"/>
            </w:tcBorders>
            <w:vAlign w:val="center"/>
          </w:tcPr>
          <w:p w14:paraId="357156D0" w14:textId="77777777" w:rsidR="00AF3004" w:rsidRDefault="00AF3004">
            <w:pPr>
              <w:pStyle w:val="xDatum2"/>
              <w:rPr>
                <w:lang w:val="de-DE"/>
              </w:rPr>
            </w:pPr>
          </w:p>
        </w:tc>
        <w:tc>
          <w:tcPr>
            <w:tcW w:w="2563" w:type="dxa"/>
            <w:tcBorders>
              <w:bottom w:val="single" w:sz="4" w:space="0" w:color="auto"/>
            </w:tcBorders>
            <w:vAlign w:val="center"/>
          </w:tcPr>
          <w:p w14:paraId="581C438D" w14:textId="77777777" w:rsidR="00AF3004" w:rsidRDefault="00AF3004">
            <w:pPr>
              <w:pStyle w:val="xBeteckning2"/>
              <w:rPr>
                <w:lang w:val="de-DE"/>
              </w:rPr>
            </w:pPr>
          </w:p>
        </w:tc>
      </w:tr>
      <w:tr w:rsidR="00AF3004" w14:paraId="38D4852C" w14:textId="77777777">
        <w:trPr>
          <w:cantSplit/>
          <w:trHeight w:val="238"/>
        </w:trPr>
        <w:tc>
          <w:tcPr>
            <w:tcW w:w="861" w:type="dxa"/>
            <w:tcBorders>
              <w:top w:val="single" w:sz="4" w:space="0" w:color="auto"/>
            </w:tcBorders>
            <w:vAlign w:val="bottom"/>
          </w:tcPr>
          <w:p w14:paraId="0B2E5788" w14:textId="77777777" w:rsidR="00AF3004" w:rsidRDefault="00AF3004">
            <w:pPr>
              <w:pStyle w:val="xLedtext"/>
              <w:rPr>
                <w:lang w:val="de-DE"/>
              </w:rPr>
            </w:pPr>
          </w:p>
        </w:tc>
        <w:tc>
          <w:tcPr>
            <w:tcW w:w="4448" w:type="dxa"/>
            <w:tcBorders>
              <w:top w:val="single" w:sz="4" w:space="0" w:color="auto"/>
            </w:tcBorders>
            <w:vAlign w:val="bottom"/>
          </w:tcPr>
          <w:p w14:paraId="0BE0A505" w14:textId="77777777" w:rsidR="00AF3004" w:rsidRDefault="00AF3004">
            <w:pPr>
              <w:pStyle w:val="xLedtext"/>
              <w:rPr>
                <w:lang w:val="de-DE"/>
              </w:rPr>
            </w:pPr>
          </w:p>
        </w:tc>
        <w:tc>
          <w:tcPr>
            <w:tcW w:w="4288" w:type="dxa"/>
            <w:gridSpan w:val="2"/>
            <w:tcBorders>
              <w:top w:val="single" w:sz="4" w:space="0" w:color="auto"/>
            </w:tcBorders>
            <w:vAlign w:val="bottom"/>
          </w:tcPr>
          <w:p w14:paraId="44277587" w14:textId="77777777" w:rsidR="00AF3004" w:rsidRDefault="00AF3004">
            <w:pPr>
              <w:pStyle w:val="xLedtext"/>
              <w:rPr>
                <w:lang w:val="de-DE"/>
              </w:rPr>
            </w:pPr>
          </w:p>
        </w:tc>
      </w:tr>
      <w:tr w:rsidR="00AF3004" w14:paraId="2554FEEC" w14:textId="77777777">
        <w:trPr>
          <w:cantSplit/>
          <w:trHeight w:val="238"/>
        </w:trPr>
        <w:tc>
          <w:tcPr>
            <w:tcW w:w="861" w:type="dxa"/>
          </w:tcPr>
          <w:p w14:paraId="4C05CD9D" w14:textId="77777777" w:rsidR="00AF3004" w:rsidRDefault="00AF3004">
            <w:pPr>
              <w:pStyle w:val="xCelltext"/>
              <w:rPr>
                <w:lang w:val="de-DE"/>
              </w:rPr>
            </w:pPr>
          </w:p>
        </w:tc>
        <w:tc>
          <w:tcPr>
            <w:tcW w:w="4448" w:type="dxa"/>
            <w:vMerge w:val="restart"/>
          </w:tcPr>
          <w:p w14:paraId="15ADD7B4" w14:textId="77777777" w:rsidR="00AF3004" w:rsidRDefault="00AF3004">
            <w:pPr>
              <w:pStyle w:val="xMottagare1"/>
            </w:pPr>
            <w:bookmarkStart w:id="0" w:name="_top"/>
            <w:bookmarkEnd w:id="0"/>
            <w:r>
              <w:t>Till Ålands lagting</w:t>
            </w:r>
          </w:p>
        </w:tc>
        <w:tc>
          <w:tcPr>
            <w:tcW w:w="4288" w:type="dxa"/>
            <w:gridSpan w:val="2"/>
            <w:vMerge w:val="restart"/>
          </w:tcPr>
          <w:p w14:paraId="4938DBCC" w14:textId="77777777" w:rsidR="00AF3004" w:rsidRDefault="00AF3004">
            <w:pPr>
              <w:pStyle w:val="xMottagare1"/>
              <w:tabs>
                <w:tab w:val="left" w:pos="2349"/>
              </w:tabs>
            </w:pPr>
          </w:p>
        </w:tc>
      </w:tr>
      <w:tr w:rsidR="00AF3004" w14:paraId="4AD98AA4" w14:textId="77777777">
        <w:trPr>
          <w:cantSplit/>
          <w:trHeight w:val="238"/>
        </w:trPr>
        <w:tc>
          <w:tcPr>
            <w:tcW w:w="861" w:type="dxa"/>
          </w:tcPr>
          <w:p w14:paraId="48C46718" w14:textId="77777777" w:rsidR="00AF3004" w:rsidRDefault="00AF3004">
            <w:pPr>
              <w:pStyle w:val="xCelltext"/>
            </w:pPr>
          </w:p>
        </w:tc>
        <w:tc>
          <w:tcPr>
            <w:tcW w:w="4448" w:type="dxa"/>
            <w:vMerge/>
            <w:vAlign w:val="center"/>
          </w:tcPr>
          <w:p w14:paraId="31B3E8E0" w14:textId="77777777" w:rsidR="00AF3004" w:rsidRDefault="00AF3004">
            <w:pPr>
              <w:pStyle w:val="xCelltext"/>
            </w:pPr>
          </w:p>
        </w:tc>
        <w:tc>
          <w:tcPr>
            <w:tcW w:w="4288" w:type="dxa"/>
            <w:gridSpan w:val="2"/>
            <w:vMerge/>
            <w:vAlign w:val="center"/>
          </w:tcPr>
          <w:p w14:paraId="5DF99517" w14:textId="77777777" w:rsidR="00AF3004" w:rsidRDefault="00AF3004">
            <w:pPr>
              <w:pStyle w:val="xCelltext"/>
            </w:pPr>
          </w:p>
        </w:tc>
      </w:tr>
      <w:tr w:rsidR="00AF3004" w14:paraId="52F03288" w14:textId="77777777">
        <w:trPr>
          <w:cantSplit/>
          <w:trHeight w:val="238"/>
        </w:trPr>
        <w:tc>
          <w:tcPr>
            <w:tcW w:w="861" w:type="dxa"/>
          </w:tcPr>
          <w:p w14:paraId="16A89604" w14:textId="77777777" w:rsidR="00AF3004" w:rsidRDefault="00AF3004">
            <w:pPr>
              <w:pStyle w:val="xCelltext"/>
            </w:pPr>
          </w:p>
        </w:tc>
        <w:tc>
          <w:tcPr>
            <w:tcW w:w="4448" w:type="dxa"/>
            <w:vMerge/>
            <w:vAlign w:val="center"/>
          </w:tcPr>
          <w:p w14:paraId="5C8FC229" w14:textId="77777777" w:rsidR="00AF3004" w:rsidRDefault="00AF3004">
            <w:pPr>
              <w:pStyle w:val="xCelltext"/>
            </w:pPr>
          </w:p>
        </w:tc>
        <w:tc>
          <w:tcPr>
            <w:tcW w:w="4288" w:type="dxa"/>
            <w:gridSpan w:val="2"/>
            <w:vMerge/>
            <w:vAlign w:val="center"/>
          </w:tcPr>
          <w:p w14:paraId="12188D44" w14:textId="77777777" w:rsidR="00AF3004" w:rsidRDefault="00AF3004">
            <w:pPr>
              <w:pStyle w:val="xCelltext"/>
            </w:pPr>
          </w:p>
        </w:tc>
      </w:tr>
      <w:tr w:rsidR="00AF3004" w14:paraId="5FE9676A" w14:textId="77777777">
        <w:trPr>
          <w:cantSplit/>
          <w:trHeight w:val="238"/>
        </w:trPr>
        <w:tc>
          <w:tcPr>
            <w:tcW w:w="861" w:type="dxa"/>
          </w:tcPr>
          <w:p w14:paraId="63CF7A86" w14:textId="77777777" w:rsidR="00AF3004" w:rsidRDefault="00AF3004">
            <w:pPr>
              <w:pStyle w:val="xCelltext"/>
            </w:pPr>
          </w:p>
        </w:tc>
        <w:tc>
          <w:tcPr>
            <w:tcW w:w="4448" w:type="dxa"/>
            <w:vMerge/>
            <w:vAlign w:val="center"/>
          </w:tcPr>
          <w:p w14:paraId="299C4ED5" w14:textId="77777777" w:rsidR="00AF3004" w:rsidRDefault="00AF3004">
            <w:pPr>
              <w:pStyle w:val="xCelltext"/>
            </w:pPr>
          </w:p>
        </w:tc>
        <w:tc>
          <w:tcPr>
            <w:tcW w:w="4288" w:type="dxa"/>
            <w:gridSpan w:val="2"/>
            <w:vMerge/>
            <w:vAlign w:val="center"/>
          </w:tcPr>
          <w:p w14:paraId="6C890749" w14:textId="77777777" w:rsidR="00AF3004" w:rsidRDefault="00AF3004">
            <w:pPr>
              <w:pStyle w:val="xCelltext"/>
            </w:pPr>
          </w:p>
        </w:tc>
      </w:tr>
      <w:tr w:rsidR="00AF3004" w14:paraId="0615C2BD" w14:textId="77777777">
        <w:trPr>
          <w:cantSplit/>
          <w:trHeight w:val="238"/>
        </w:trPr>
        <w:tc>
          <w:tcPr>
            <w:tcW w:w="861" w:type="dxa"/>
          </w:tcPr>
          <w:p w14:paraId="18313CEE" w14:textId="77777777" w:rsidR="00AF3004" w:rsidRDefault="00AF3004">
            <w:pPr>
              <w:pStyle w:val="xCelltext"/>
            </w:pPr>
          </w:p>
        </w:tc>
        <w:tc>
          <w:tcPr>
            <w:tcW w:w="4448" w:type="dxa"/>
            <w:vMerge/>
            <w:vAlign w:val="center"/>
          </w:tcPr>
          <w:p w14:paraId="33FB2DC2" w14:textId="77777777" w:rsidR="00AF3004" w:rsidRDefault="00AF3004">
            <w:pPr>
              <w:pStyle w:val="xCelltext"/>
            </w:pPr>
          </w:p>
        </w:tc>
        <w:tc>
          <w:tcPr>
            <w:tcW w:w="4288" w:type="dxa"/>
            <w:gridSpan w:val="2"/>
            <w:vMerge/>
            <w:vAlign w:val="center"/>
          </w:tcPr>
          <w:p w14:paraId="46174744" w14:textId="77777777" w:rsidR="00AF3004" w:rsidRDefault="00AF3004">
            <w:pPr>
              <w:pStyle w:val="xCelltext"/>
            </w:pPr>
          </w:p>
        </w:tc>
      </w:tr>
    </w:tbl>
    <w:p w14:paraId="0BDC87A2" w14:textId="77777777" w:rsidR="00AF3004" w:rsidRDefault="00AF3004">
      <w:pPr>
        <w:rPr>
          <w:b/>
          <w:bCs/>
        </w:rPr>
        <w:sectPr w:rsidR="00AF3004">
          <w:footerReference w:type="even" r:id="rId10"/>
          <w:footerReference w:type="default" r:id="rId11"/>
          <w:pgSz w:w="11906" w:h="16838" w:code="9"/>
          <w:pgMar w:top="567" w:right="1134" w:bottom="1134" w:left="1191" w:header="624" w:footer="851" w:gutter="0"/>
          <w:cols w:space="708"/>
          <w:docGrid w:linePitch="360"/>
        </w:sectPr>
      </w:pPr>
    </w:p>
    <w:p w14:paraId="264C0375" w14:textId="1E50CCC2" w:rsidR="00AF3004" w:rsidRDefault="002E5A0F">
      <w:pPr>
        <w:pStyle w:val="ArendeRubrik"/>
      </w:pPr>
      <w:r>
        <w:t>Genomförande av direktivet om energieffektivitet</w:t>
      </w:r>
    </w:p>
    <w:p w14:paraId="4D2D5C6C" w14:textId="77777777" w:rsidR="00AF3004" w:rsidRDefault="00AF3004">
      <w:pPr>
        <w:pStyle w:val="ANormal"/>
      </w:pPr>
    </w:p>
    <w:p w14:paraId="603F688F" w14:textId="77777777" w:rsidR="00AF3004" w:rsidRDefault="00AF3004">
      <w:pPr>
        <w:pStyle w:val="ANormal"/>
      </w:pPr>
    </w:p>
    <w:p w14:paraId="7B9B212B" w14:textId="77777777" w:rsidR="00AF3004" w:rsidRDefault="00AF3004">
      <w:pPr>
        <w:pStyle w:val="RubrikA"/>
      </w:pPr>
      <w:bookmarkStart w:id="1" w:name="_Toc230359336"/>
      <w:r>
        <w:t>Huvudsakligt innehåll</w:t>
      </w:r>
      <w:bookmarkEnd w:id="1"/>
    </w:p>
    <w:p w14:paraId="09546C0E" w14:textId="77777777" w:rsidR="00AF3004" w:rsidRDefault="00AF3004">
      <w:pPr>
        <w:pStyle w:val="Rubrikmellanrum"/>
      </w:pPr>
    </w:p>
    <w:p w14:paraId="0077C3B0" w14:textId="171E95CE" w:rsidR="005B69D9" w:rsidRDefault="00FF3FF3" w:rsidP="00FF3FF3">
      <w:pPr>
        <w:pStyle w:val="ANormal"/>
      </w:pPr>
      <w:r>
        <w:t xml:space="preserve">Landskapsregeringen föreslår ändringar i </w:t>
      </w:r>
      <w:r w:rsidR="002E5A0F">
        <w:t xml:space="preserve">ett antal </w:t>
      </w:r>
      <w:r>
        <w:t>lag</w:t>
      </w:r>
      <w:r w:rsidR="002E5A0F">
        <w:t xml:space="preserve">ar som har samband med energieffektivitet inom bostads och byggnadsområdet. </w:t>
      </w:r>
      <w:r w:rsidR="00C62E92">
        <w:t>E</w:t>
      </w:r>
      <w:r w:rsidR="005B69D9">
        <w:t xml:space="preserve">nergieffektivitetsdirektivet </w:t>
      </w:r>
      <w:r w:rsidR="005B69D9" w:rsidRPr="005B69D9">
        <w:t>2012/27/EU</w:t>
      </w:r>
      <w:r w:rsidR="005B69D9">
        <w:t xml:space="preserve"> har ersatts av ett nytt energieffektivitetsdirektiv (EU) 2023/1791 </w:t>
      </w:r>
      <w:r w:rsidR="00C62E92">
        <w:t xml:space="preserve">och </w:t>
      </w:r>
      <w:r w:rsidR="005B69D9">
        <w:t xml:space="preserve">den åländska lagstiftningen </w:t>
      </w:r>
      <w:r w:rsidR="00C62E92">
        <w:t xml:space="preserve">behöver </w:t>
      </w:r>
      <w:r w:rsidR="00FB4036">
        <w:t>uppdateras</w:t>
      </w:r>
      <w:r w:rsidR="005B69D9">
        <w:t>.</w:t>
      </w:r>
      <w:r w:rsidR="00FB4036">
        <w:t xml:space="preserve"> </w:t>
      </w:r>
      <w:r w:rsidR="00C62E92">
        <w:t>Direktiv 2023/1791 skärper EU:s bindande energisparmål och ställer bland annat nya krav på nationella energisparåtgärder, information- och rådgivningsinsatser</w:t>
      </w:r>
      <w:r w:rsidR="002C7DEA">
        <w:t>,</w:t>
      </w:r>
      <w:r w:rsidR="00C62E92">
        <w:t xml:space="preserve"> energieffektivitet, offentliga upphandlingar och regler för fjärrvärme, fjärrkyla och datacenter. Lagändringarna bör behandlas skyndsamt eftersom bestämmelserna skulle ha varit införda i lagstiftningen i oktober 2025.</w:t>
      </w:r>
    </w:p>
    <w:p w14:paraId="5D36C954" w14:textId="66396857" w:rsidR="00AF3004" w:rsidRDefault="00FF3FF3" w:rsidP="00FF3FF3">
      <w:pPr>
        <w:pStyle w:val="ANormal"/>
      </w:pPr>
      <w:r>
        <w:t xml:space="preserve"> </w:t>
      </w:r>
    </w:p>
    <w:p w14:paraId="19D67A01" w14:textId="77777777" w:rsidR="00AF3004" w:rsidRDefault="00AF3004">
      <w:pPr>
        <w:pStyle w:val="ANormal"/>
        <w:jc w:val="center"/>
      </w:pPr>
      <w:hyperlink w:anchor="_top" w:tooltip="Klicka för att gå till toppen av dokumentet" w:history="1">
        <w:r>
          <w:rPr>
            <w:rStyle w:val="Hyperlnk"/>
          </w:rPr>
          <w:t>__________________</w:t>
        </w:r>
      </w:hyperlink>
    </w:p>
    <w:p w14:paraId="54132DB6" w14:textId="77777777" w:rsidR="00AF3004" w:rsidRDefault="00AF3004">
      <w:pPr>
        <w:pStyle w:val="ANormal"/>
      </w:pPr>
    </w:p>
    <w:p w14:paraId="7ECD858A" w14:textId="77777777" w:rsidR="00AF3004" w:rsidRDefault="00AF3004">
      <w:pPr>
        <w:pStyle w:val="ANormal"/>
      </w:pPr>
      <w:r>
        <w:br w:type="page"/>
      </w:r>
    </w:p>
    <w:p w14:paraId="2D890AF3" w14:textId="77777777" w:rsidR="00AF3004" w:rsidRDefault="00AF3004">
      <w:pPr>
        <w:pStyle w:val="Innehll1"/>
      </w:pPr>
      <w:r>
        <w:lastRenderedPageBreak/>
        <w:t>INNEHÅLL</w:t>
      </w:r>
    </w:p>
    <w:p w14:paraId="0C354015" w14:textId="66A71DE3" w:rsidR="00B01F70" w:rsidRDefault="00AF3004">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"1-3" \h \z </w:instrText>
      </w:r>
      <w:r>
        <w:fldChar w:fldCharType="separate"/>
      </w:r>
      <w:hyperlink w:anchor="_Toc230359336" w:history="1">
        <w:r w:rsidR="00B01F70" w:rsidRPr="001D4FCC">
          <w:rPr>
            <w:rStyle w:val="Hyperlnk"/>
          </w:rPr>
          <w:t>Huvudsakligt innehåll</w:t>
        </w:r>
        <w:r w:rsidR="00B01F70">
          <w:rPr>
            <w:webHidden/>
          </w:rPr>
          <w:tab/>
        </w:r>
        <w:r w:rsidR="00B01F70">
          <w:rPr>
            <w:webHidden/>
          </w:rPr>
          <w:fldChar w:fldCharType="begin"/>
        </w:r>
        <w:r w:rsidR="00B01F70">
          <w:rPr>
            <w:webHidden/>
          </w:rPr>
          <w:instrText xml:space="preserve"> PAGEREF _Toc230359336 \h </w:instrText>
        </w:r>
        <w:r w:rsidR="00B01F70">
          <w:rPr>
            <w:webHidden/>
          </w:rPr>
        </w:r>
        <w:r w:rsidR="00B01F70">
          <w:rPr>
            <w:webHidden/>
          </w:rPr>
          <w:fldChar w:fldCharType="separate"/>
        </w:r>
        <w:r w:rsidR="00B01F70">
          <w:rPr>
            <w:webHidden/>
          </w:rPr>
          <w:t>1</w:t>
        </w:r>
        <w:r w:rsidR="00B01F70">
          <w:rPr>
            <w:webHidden/>
          </w:rPr>
          <w:fldChar w:fldCharType="end"/>
        </w:r>
      </w:hyperlink>
    </w:p>
    <w:p w14:paraId="71E82996" w14:textId="0DF3DE87" w:rsidR="00B01F70" w:rsidRDefault="00B01F70">
      <w:pPr>
        <w:pStyle w:val="Innehll1"/>
        <w:rPr>
          <w:rFonts w:asciiTheme="minorHAnsi" w:eastAsiaTheme="minorEastAsia" w:hAnsiTheme="minorHAnsi" w:cstheme="minorBidi"/>
          <w:kern w:val="2"/>
          <w:sz w:val="24"/>
          <w:szCs w:val="24"/>
          <w:lang w:val="sv-FI" w:eastAsia="sv-FI"/>
          <w14:ligatures w14:val="standardContextual"/>
        </w:rPr>
      </w:pPr>
      <w:hyperlink w:anchor="_Toc230359337" w:history="1">
        <w:r w:rsidRPr="001D4FCC">
          <w:rPr>
            <w:rStyle w:val="Hyperlnk"/>
          </w:rPr>
          <w:t>Allmän motivering</w:t>
        </w:r>
        <w:r>
          <w:rPr>
            <w:webHidden/>
          </w:rPr>
          <w:tab/>
        </w:r>
        <w:r>
          <w:rPr>
            <w:webHidden/>
          </w:rPr>
          <w:fldChar w:fldCharType="begin"/>
        </w:r>
        <w:r>
          <w:rPr>
            <w:webHidden/>
          </w:rPr>
          <w:instrText xml:space="preserve"> PAGEREF _Toc230359337 \h </w:instrText>
        </w:r>
        <w:r>
          <w:rPr>
            <w:webHidden/>
          </w:rPr>
        </w:r>
        <w:r>
          <w:rPr>
            <w:webHidden/>
          </w:rPr>
          <w:fldChar w:fldCharType="separate"/>
        </w:r>
        <w:r>
          <w:rPr>
            <w:webHidden/>
          </w:rPr>
          <w:t>3</w:t>
        </w:r>
        <w:r>
          <w:rPr>
            <w:webHidden/>
          </w:rPr>
          <w:fldChar w:fldCharType="end"/>
        </w:r>
      </w:hyperlink>
    </w:p>
    <w:p w14:paraId="72905607" w14:textId="7A8B46D5" w:rsidR="00B01F70" w:rsidRDefault="00B01F70">
      <w:pPr>
        <w:pStyle w:val="Innehll2"/>
        <w:rPr>
          <w:rFonts w:asciiTheme="minorHAnsi" w:eastAsiaTheme="minorEastAsia" w:hAnsiTheme="minorHAnsi" w:cstheme="minorBidi"/>
          <w:kern w:val="2"/>
          <w:sz w:val="24"/>
          <w:szCs w:val="24"/>
          <w:lang w:val="sv-FI" w:eastAsia="sv-FI"/>
          <w14:ligatures w14:val="standardContextual"/>
        </w:rPr>
      </w:pPr>
      <w:hyperlink w:anchor="_Toc230359338" w:history="1">
        <w:r w:rsidRPr="001D4FCC">
          <w:rPr>
            <w:rStyle w:val="Hyperlnk"/>
          </w:rPr>
          <w:t>1. Bakgrund</w:t>
        </w:r>
        <w:r>
          <w:rPr>
            <w:webHidden/>
          </w:rPr>
          <w:tab/>
        </w:r>
        <w:r>
          <w:rPr>
            <w:webHidden/>
          </w:rPr>
          <w:fldChar w:fldCharType="begin"/>
        </w:r>
        <w:r>
          <w:rPr>
            <w:webHidden/>
          </w:rPr>
          <w:instrText xml:space="preserve"> PAGEREF _Toc230359338 \h </w:instrText>
        </w:r>
        <w:r>
          <w:rPr>
            <w:webHidden/>
          </w:rPr>
        </w:r>
        <w:r>
          <w:rPr>
            <w:webHidden/>
          </w:rPr>
          <w:fldChar w:fldCharType="separate"/>
        </w:r>
        <w:r>
          <w:rPr>
            <w:webHidden/>
          </w:rPr>
          <w:t>3</w:t>
        </w:r>
        <w:r>
          <w:rPr>
            <w:webHidden/>
          </w:rPr>
          <w:fldChar w:fldCharType="end"/>
        </w:r>
      </w:hyperlink>
    </w:p>
    <w:p w14:paraId="2641322C" w14:textId="65A425CF" w:rsidR="00B01F70" w:rsidRDefault="00B01F70">
      <w:pPr>
        <w:pStyle w:val="Innehll2"/>
        <w:rPr>
          <w:rFonts w:asciiTheme="minorHAnsi" w:eastAsiaTheme="minorEastAsia" w:hAnsiTheme="minorHAnsi" w:cstheme="minorBidi"/>
          <w:kern w:val="2"/>
          <w:sz w:val="24"/>
          <w:szCs w:val="24"/>
          <w:lang w:val="sv-FI" w:eastAsia="sv-FI"/>
          <w14:ligatures w14:val="standardContextual"/>
        </w:rPr>
      </w:pPr>
      <w:hyperlink w:anchor="_Toc230359339" w:history="1">
        <w:r w:rsidRPr="001D4FCC">
          <w:rPr>
            <w:rStyle w:val="Hyperlnk"/>
          </w:rPr>
          <w:t>2. Genomförande av energieffektivitetsdirektivets artikel 22 – Information och medvetandehöjande</w:t>
        </w:r>
        <w:r>
          <w:rPr>
            <w:webHidden/>
          </w:rPr>
          <w:tab/>
        </w:r>
        <w:r>
          <w:rPr>
            <w:webHidden/>
          </w:rPr>
          <w:fldChar w:fldCharType="begin"/>
        </w:r>
        <w:r>
          <w:rPr>
            <w:webHidden/>
          </w:rPr>
          <w:instrText xml:space="preserve"> PAGEREF _Toc230359339 \h </w:instrText>
        </w:r>
        <w:r>
          <w:rPr>
            <w:webHidden/>
          </w:rPr>
        </w:r>
        <w:r>
          <w:rPr>
            <w:webHidden/>
          </w:rPr>
          <w:fldChar w:fldCharType="separate"/>
        </w:r>
        <w:r>
          <w:rPr>
            <w:webHidden/>
          </w:rPr>
          <w:t>4</w:t>
        </w:r>
        <w:r>
          <w:rPr>
            <w:webHidden/>
          </w:rPr>
          <w:fldChar w:fldCharType="end"/>
        </w:r>
      </w:hyperlink>
    </w:p>
    <w:p w14:paraId="2E2E7D8E" w14:textId="1A15CA16" w:rsidR="00B01F70" w:rsidRDefault="00B01F70">
      <w:pPr>
        <w:pStyle w:val="Innehll3"/>
        <w:rPr>
          <w:rFonts w:asciiTheme="minorHAnsi" w:eastAsiaTheme="minorEastAsia" w:hAnsiTheme="minorHAnsi" w:cstheme="minorBidi"/>
          <w:kern w:val="2"/>
          <w:sz w:val="24"/>
          <w:szCs w:val="24"/>
          <w:lang w:val="sv-FI" w:eastAsia="sv-FI"/>
          <w14:ligatures w14:val="standardContextual"/>
        </w:rPr>
      </w:pPr>
      <w:hyperlink w:anchor="_Toc230359340" w:history="1">
        <w:r w:rsidRPr="001D4FCC">
          <w:rPr>
            <w:rStyle w:val="Hyperlnk"/>
          </w:rPr>
          <w:t>2.1 Artikelns innehåll och innebörd – översikt</w:t>
        </w:r>
        <w:r>
          <w:rPr>
            <w:webHidden/>
          </w:rPr>
          <w:tab/>
        </w:r>
        <w:r>
          <w:rPr>
            <w:webHidden/>
          </w:rPr>
          <w:fldChar w:fldCharType="begin"/>
        </w:r>
        <w:r>
          <w:rPr>
            <w:webHidden/>
          </w:rPr>
          <w:instrText xml:space="preserve"> PAGEREF _Toc230359340 \h </w:instrText>
        </w:r>
        <w:r>
          <w:rPr>
            <w:webHidden/>
          </w:rPr>
        </w:r>
        <w:r>
          <w:rPr>
            <w:webHidden/>
          </w:rPr>
          <w:fldChar w:fldCharType="separate"/>
        </w:r>
        <w:r>
          <w:rPr>
            <w:webHidden/>
          </w:rPr>
          <w:t>4</w:t>
        </w:r>
        <w:r>
          <w:rPr>
            <w:webHidden/>
          </w:rPr>
          <w:fldChar w:fldCharType="end"/>
        </w:r>
      </w:hyperlink>
    </w:p>
    <w:p w14:paraId="48937392" w14:textId="17B56261" w:rsidR="00B01F70" w:rsidRDefault="00B01F70">
      <w:pPr>
        <w:pStyle w:val="Innehll3"/>
        <w:rPr>
          <w:rFonts w:asciiTheme="minorHAnsi" w:eastAsiaTheme="minorEastAsia" w:hAnsiTheme="minorHAnsi" w:cstheme="minorBidi"/>
          <w:kern w:val="2"/>
          <w:sz w:val="24"/>
          <w:szCs w:val="24"/>
          <w:lang w:val="sv-FI" w:eastAsia="sv-FI"/>
          <w14:ligatures w14:val="standardContextual"/>
        </w:rPr>
      </w:pPr>
      <w:hyperlink w:anchor="_Toc230359341" w:history="1">
        <w:r w:rsidRPr="001D4FCC">
          <w:rPr>
            <w:rStyle w:val="Hyperlnk"/>
          </w:rPr>
          <w:t>2.2 Nuvarande läge och förslag på lagstiftning</w:t>
        </w:r>
        <w:r>
          <w:rPr>
            <w:webHidden/>
          </w:rPr>
          <w:tab/>
        </w:r>
        <w:r>
          <w:rPr>
            <w:webHidden/>
          </w:rPr>
          <w:fldChar w:fldCharType="begin"/>
        </w:r>
        <w:r>
          <w:rPr>
            <w:webHidden/>
          </w:rPr>
          <w:instrText xml:space="preserve"> PAGEREF _Toc230359341 \h </w:instrText>
        </w:r>
        <w:r>
          <w:rPr>
            <w:webHidden/>
          </w:rPr>
        </w:r>
        <w:r>
          <w:rPr>
            <w:webHidden/>
          </w:rPr>
          <w:fldChar w:fldCharType="separate"/>
        </w:r>
        <w:r>
          <w:rPr>
            <w:webHidden/>
          </w:rPr>
          <w:t>4</w:t>
        </w:r>
        <w:r>
          <w:rPr>
            <w:webHidden/>
          </w:rPr>
          <w:fldChar w:fldCharType="end"/>
        </w:r>
      </w:hyperlink>
    </w:p>
    <w:p w14:paraId="5BC590B6" w14:textId="2639FF51" w:rsidR="00B01F70" w:rsidRDefault="00B01F70">
      <w:pPr>
        <w:pStyle w:val="Innehll3"/>
        <w:rPr>
          <w:rFonts w:asciiTheme="minorHAnsi" w:eastAsiaTheme="minorEastAsia" w:hAnsiTheme="minorHAnsi" w:cstheme="minorBidi"/>
          <w:kern w:val="2"/>
          <w:sz w:val="24"/>
          <w:szCs w:val="24"/>
          <w:lang w:val="sv-FI" w:eastAsia="sv-FI"/>
          <w14:ligatures w14:val="standardContextual"/>
        </w:rPr>
      </w:pPr>
      <w:hyperlink w:anchor="_Toc230359342" w:history="1">
        <w:r w:rsidRPr="001D4FCC">
          <w:rPr>
            <w:rStyle w:val="Hyperlnk"/>
          </w:rPr>
          <w:t>2.3 Ändring av förvaltningsuppgifter</w:t>
        </w:r>
        <w:r>
          <w:rPr>
            <w:webHidden/>
          </w:rPr>
          <w:tab/>
        </w:r>
        <w:r>
          <w:rPr>
            <w:webHidden/>
          </w:rPr>
          <w:fldChar w:fldCharType="begin"/>
        </w:r>
        <w:r>
          <w:rPr>
            <w:webHidden/>
          </w:rPr>
          <w:instrText xml:space="preserve"> PAGEREF _Toc230359342 \h </w:instrText>
        </w:r>
        <w:r>
          <w:rPr>
            <w:webHidden/>
          </w:rPr>
        </w:r>
        <w:r>
          <w:rPr>
            <w:webHidden/>
          </w:rPr>
          <w:fldChar w:fldCharType="separate"/>
        </w:r>
        <w:r>
          <w:rPr>
            <w:webHidden/>
          </w:rPr>
          <w:t>4</w:t>
        </w:r>
        <w:r>
          <w:rPr>
            <w:webHidden/>
          </w:rPr>
          <w:fldChar w:fldCharType="end"/>
        </w:r>
      </w:hyperlink>
    </w:p>
    <w:p w14:paraId="454D8CCE" w14:textId="38F64264" w:rsidR="00B01F70" w:rsidRDefault="00B01F70">
      <w:pPr>
        <w:pStyle w:val="Innehll2"/>
        <w:rPr>
          <w:rFonts w:asciiTheme="minorHAnsi" w:eastAsiaTheme="minorEastAsia" w:hAnsiTheme="minorHAnsi" w:cstheme="minorBidi"/>
          <w:kern w:val="2"/>
          <w:sz w:val="24"/>
          <w:szCs w:val="24"/>
          <w:lang w:val="sv-FI" w:eastAsia="sv-FI"/>
          <w14:ligatures w14:val="standardContextual"/>
        </w:rPr>
      </w:pPr>
      <w:hyperlink w:anchor="_Toc230359343" w:history="1">
        <w:r w:rsidRPr="001D4FCC">
          <w:rPr>
            <w:rStyle w:val="Hyperlnk"/>
          </w:rPr>
          <w:t>3. Ändring av 7 § landskapslagen om kontaktpunkt, tillståndsprocesser för förnybar energi och områden för främjande av förnybar energi</w:t>
        </w:r>
        <w:r>
          <w:rPr>
            <w:webHidden/>
          </w:rPr>
          <w:tab/>
        </w:r>
        <w:r>
          <w:rPr>
            <w:webHidden/>
          </w:rPr>
          <w:fldChar w:fldCharType="begin"/>
        </w:r>
        <w:r>
          <w:rPr>
            <w:webHidden/>
          </w:rPr>
          <w:instrText xml:space="preserve"> PAGEREF _Toc230359343 \h </w:instrText>
        </w:r>
        <w:r>
          <w:rPr>
            <w:webHidden/>
          </w:rPr>
        </w:r>
        <w:r>
          <w:rPr>
            <w:webHidden/>
          </w:rPr>
          <w:fldChar w:fldCharType="separate"/>
        </w:r>
        <w:r>
          <w:rPr>
            <w:webHidden/>
          </w:rPr>
          <w:t>5</w:t>
        </w:r>
        <w:r>
          <w:rPr>
            <w:webHidden/>
          </w:rPr>
          <w:fldChar w:fldCharType="end"/>
        </w:r>
      </w:hyperlink>
    </w:p>
    <w:p w14:paraId="4B1F89E3" w14:textId="5CF6688F" w:rsidR="00B01F70" w:rsidRDefault="00B01F70">
      <w:pPr>
        <w:pStyle w:val="Innehll2"/>
        <w:rPr>
          <w:rFonts w:asciiTheme="minorHAnsi" w:eastAsiaTheme="minorEastAsia" w:hAnsiTheme="minorHAnsi" w:cstheme="minorBidi"/>
          <w:kern w:val="2"/>
          <w:sz w:val="24"/>
          <w:szCs w:val="24"/>
          <w:lang w:val="sv-FI" w:eastAsia="sv-FI"/>
          <w14:ligatures w14:val="standardContextual"/>
        </w:rPr>
      </w:pPr>
      <w:hyperlink w:anchor="_Toc230359344" w:history="1">
        <w:r w:rsidRPr="001D4FCC">
          <w:rPr>
            <w:rStyle w:val="Hyperlnk"/>
          </w:rPr>
          <w:t>4. Lagstiftningsbehörigheten</w:t>
        </w:r>
        <w:r>
          <w:rPr>
            <w:webHidden/>
          </w:rPr>
          <w:tab/>
        </w:r>
        <w:r>
          <w:rPr>
            <w:webHidden/>
          </w:rPr>
          <w:fldChar w:fldCharType="begin"/>
        </w:r>
        <w:r>
          <w:rPr>
            <w:webHidden/>
          </w:rPr>
          <w:instrText xml:space="preserve"> PAGEREF _Toc230359344 \h </w:instrText>
        </w:r>
        <w:r>
          <w:rPr>
            <w:webHidden/>
          </w:rPr>
        </w:r>
        <w:r>
          <w:rPr>
            <w:webHidden/>
          </w:rPr>
          <w:fldChar w:fldCharType="separate"/>
        </w:r>
        <w:r>
          <w:rPr>
            <w:webHidden/>
          </w:rPr>
          <w:t>5</w:t>
        </w:r>
        <w:r>
          <w:rPr>
            <w:webHidden/>
          </w:rPr>
          <w:fldChar w:fldCharType="end"/>
        </w:r>
      </w:hyperlink>
    </w:p>
    <w:p w14:paraId="13F99525" w14:textId="0DD2E546" w:rsidR="00B01F70" w:rsidRDefault="00B01F70">
      <w:pPr>
        <w:pStyle w:val="Innehll2"/>
        <w:rPr>
          <w:rFonts w:asciiTheme="minorHAnsi" w:eastAsiaTheme="minorEastAsia" w:hAnsiTheme="minorHAnsi" w:cstheme="minorBidi"/>
          <w:kern w:val="2"/>
          <w:sz w:val="24"/>
          <w:szCs w:val="24"/>
          <w:lang w:val="sv-FI" w:eastAsia="sv-FI"/>
          <w14:ligatures w14:val="standardContextual"/>
        </w:rPr>
      </w:pPr>
      <w:hyperlink w:anchor="_Toc230359345" w:history="1">
        <w:r w:rsidRPr="001D4FCC">
          <w:rPr>
            <w:rStyle w:val="Hyperlnk"/>
          </w:rPr>
          <w:t>5. Förslagets konsekvenser</w:t>
        </w:r>
        <w:r>
          <w:rPr>
            <w:webHidden/>
          </w:rPr>
          <w:tab/>
        </w:r>
        <w:r>
          <w:rPr>
            <w:webHidden/>
          </w:rPr>
          <w:fldChar w:fldCharType="begin"/>
        </w:r>
        <w:r>
          <w:rPr>
            <w:webHidden/>
          </w:rPr>
          <w:instrText xml:space="preserve"> PAGEREF _Toc230359345 \h </w:instrText>
        </w:r>
        <w:r>
          <w:rPr>
            <w:webHidden/>
          </w:rPr>
        </w:r>
        <w:r>
          <w:rPr>
            <w:webHidden/>
          </w:rPr>
          <w:fldChar w:fldCharType="separate"/>
        </w:r>
        <w:r>
          <w:rPr>
            <w:webHidden/>
          </w:rPr>
          <w:t>6</w:t>
        </w:r>
        <w:r>
          <w:rPr>
            <w:webHidden/>
          </w:rPr>
          <w:fldChar w:fldCharType="end"/>
        </w:r>
      </w:hyperlink>
    </w:p>
    <w:p w14:paraId="68DB7173" w14:textId="4C79D1EB" w:rsidR="00B01F70" w:rsidRDefault="00B01F70">
      <w:pPr>
        <w:pStyle w:val="Innehll2"/>
        <w:rPr>
          <w:rFonts w:asciiTheme="minorHAnsi" w:eastAsiaTheme="minorEastAsia" w:hAnsiTheme="minorHAnsi" w:cstheme="minorBidi"/>
          <w:kern w:val="2"/>
          <w:sz w:val="24"/>
          <w:szCs w:val="24"/>
          <w:lang w:val="sv-FI" w:eastAsia="sv-FI"/>
          <w14:ligatures w14:val="standardContextual"/>
        </w:rPr>
      </w:pPr>
      <w:hyperlink w:anchor="_Toc230359346" w:history="1">
        <w:r w:rsidRPr="001D4FCC">
          <w:rPr>
            <w:rStyle w:val="Hyperlnk"/>
          </w:rPr>
          <w:t>6. Ärendets beredning</w:t>
        </w:r>
        <w:r>
          <w:rPr>
            <w:webHidden/>
          </w:rPr>
          <w:tab/>
        </w:r>
        <w:r>
          <w:rPr>
            <w:webHidden/>
          </w:rPr>
          <w:fldChar w:fldCharType="begin"/>
        </w:r>
        <w:r>
          <w:rPr>
            <w:webHidden/>
          </w:rPr>
          <w:instrText xml:space="preserve"> PAGEREF _Toc230359346 \h </w:instrText>
        </w:r>
        <w:r>
          <w:rPr>
            <w:webHidden/>
          </w:rPr>
        </w:r>
        <w:r>
          <w:rPr>
            <w:webHidden/>
          </w:rPr>
          <w:fldChar w:fldCharType="separate"/>
        </w:r>
        <w:r>
          <w:rPr>
            <w:webHidden/>
          </w:rPr>
          <w:t>6</w:t>
        </w:r>
        <w:r>
          <w:rPr>
            <w:webHidden/>
          </w:rPr>
          <w:fldChar w:fldCharType="end"/>
        </w:r>
      </w:hyperlink>
    </w:p>
    <w:p w14:paraId="459C2DC8" w14:textId="08C6A680" w:rsidR="00B01F70" w:rsidRDefault="00B01F70">
      <w:pPr>
        <w:pStyle w:val="Innehll1"/>
        <w:rPr>
          <w:rFonts w:asciiTheme="minorHAnsi" w:eastAsiaTheme="minorEastAsia" w:hAnsiTheme="minorHAnsi" w:cstheme="minorBidi"/>
          <w:kern w:val="2"/>
          <w:sz w:val="24"/>
          <w:szCs w:val="24"/>
          <w:lang w:val="sv-FI" w:eastAsia="sv-FI"/>
          <w14:ligatures w14:val="standardContextual"/>
        </w:rPr>
      </w:pPr>
      <w:hyperlink w:anchor="_Toc230359347" w:history="1">
        <w:r w:rsidRPr="001D4FCC">
          <w:rPr>
            <w:rStyle w:val="Hyperlnk"/>
          </w:rPr>
          <w:t>Detaljmotivering</w:t>
        </w:r>
        <w:r>
          <w:rPr>
            <w:webHidden/>
          </w:rPr>
          <w:tab/>
        </w:r>
        <w:r>
          <w:rPr>
            <w:webHidden/>
          </w:rPr>
          <w:fldChar w:fldCharType="begin"/>
        </w:r>
        <w:r>
          <w:rPr>
            <w:webHidden/>
          </w:rPr>
          <w:instrText xml:space="preserve"> PAGEREF _Toc230359347 \h </w:instrText>
        </w:r>
        <w:r>
          <w:rPr>
            <w:webHidden/>
          </w:rPr>
        </w:r>
        <w:r>
          <w:rPr>
            <w:webHidden/>
          </w:rPr>
          <w:fldChar w:fldCharType="separate"/>
        </w:r>
        <w:r>
          <w:rPr>
            <w:webHidden/>
          </w:rPr>
          <w:t>6</w:t>
        </w:r>
        <w:r>
          <w:rPr>
            <w:webHidden/>
          </w:rPr>
          <w:fldChar w:fldCharType="end"/>
        </w:r>
      </w:hyperlink>
    </w:p>
    <w:p w14:paraId="139525CE" w14:textId="15E77030" w:rsidR="00B01F70" w:rsidRDefault="00B01F70">
      <w:pPr>
        <w:pStyle w:val="Innehll2"/>
        <w:rPr>
          <w:rFonts w:asciiTheme="minorHAnsi" w:eastAsiaTheme="minorEastAsia" w:hAnsiTheme="minorHAnsi" w:cstheme="minorBidi"/>
          <w:kern w:val="2"/>
          <w:sz w:val="24"/>
          <w:szCs w:val="24"/>
          <w:lang w:val="sv-FI" w:eastAsia="sv-FI"/>
          <w14:ligatures w14:val="standardContextual"/>
        </w:rPr>
      </w:pPr>
      <w:hyperlink w:anchor="_Toc230359348" w:history="1">
        <w:r w:rsidRPr="001D4FCC">
          <w:rPr>
            <w:rStyle w:val="Hyperlnk"/>
          </w:rPr>
          <w:t>1. Ändring av landskapslagen om energieffektivitet</w:t>
        </w:r>
        <w:r>
          <w:rPr>
            <w:webHidden/>
          </w:rPr>
          <w:tab/>
        </w:r>
        <w:r>
          <w:rPr>
            <w:webHidden/>
          </w:rPr>
          <w:fldChar w:fldCharType="begin"/>
        </w:r>
        <w:r>
          <w:rPr>
            <w:webHidden/>
          </w:rPr>
          <w:instrText xml:space="preserve"> PAGEREF _Toc230359348 \h </w:instrText>
        </w:r>
        <w:r>
          <w:rPr>
            <w:webHidden/>
          </w:rPr>
        </w:r>
        <w:r>
          <w:rPr>
            <w:webHidden/>
          </w:rPr>
          <w:fldChar w:fldCharType="separate"/>
        </w:r>
        <w:r>
          <w:rPr>
            <w:webHidden/>
          </w:rPr>
          <w:t>6</w:t>
        </w:r>
        <w:r>
          <w:rPr>
            <w:webHidden/>
          </w:rPr>
          <w:fldChar w:fldCharType="end"/>
        </w:r>
      </w:hyperlink>
    </w:p>
    <w:p w14:paraId="5BD802A3" w14:textId="06AB5B0B" w:rsidR="00B01F70" w:rsidRDefault="00B01F70">
      <w:pPr>
        <w:pStyle w:val="Innehll2"/>
        <w:rPr>
          <w:rFonts w:asciiTheme="minorHAnsi" w:eastAsiaTheme="minorEastAsia" w:hAnsiTheme="minorHAnsi" w:cstheme="minorBidi"/>
          <w:kern w:val="2"/>
          <w:sz w:val="24"/>
          <w:szCs w:val="24"/>
          <w:lang w:val="sv-FI" w:eastAsia="sv-FI"/>
          <w14:ligatures w14:val="standardContextual"/>
        </w:rPr>
      </w:pPr>
      <w:hyperlink w:anchor="_Toc230359349" w:history="1">
        <w:r w:rsidRPr="001D4FCC">
          <w:rPr>
            <w:rStyle w:val="Hyperlnk"/>
          </w:rPr>
          <w:t>2. Ändring av 1 § landskapslagen om Ålands energimyndighet</w:t>
        </w:r>
        <w:r>
          <w:rPr>
            <w:webHidden/>
          </w:rPr>
          <w:tab/>
        </w:r>
        <w:r>
          <w:rPr>
            <w:webHidden/>
          </w:rPr>
          <w:fldChar w:fldCharType="begin"/>
        </w:r>
        <w:r>
          <w:rPr>
            <w:webHidden/>
          </w:rPr>
          <w:instrText xml:space="preserve"> PAGEREF _Toc230359349 \h </w:instrText>
        </w:r>
        <w:r>
          <w:rPr>
            <w:webHidden/>
          </w:rPr>
        </w:r>
        <w:r>
          <w:rPr>
            <w:webHidden/>
          </w:rPr>
          <w:fldChar w:fldCharType="separate"/>
        </w:r>
        <w:r>
          <w:rPr>
            <w:webHidden/>
          </w:rPr>
          <w:t>7</w:t>
        </w:r>
        <w:r>
          <w:rPr>
            <w:webHidden/>
          </w:rPr>
          <w:fldChar w:fldCharType="end"/>
        </w:r>
      </w:hyperlink>
    </w:p>
    <w:p w14:paraId="08EA06E7" w14:textId="361C266C" w:rsidR="00B01F70" w:rsidRDefault="00B01F70">
      <w:pPr>
        <w:pStyle w:val="Innehll2"/>
        <w:rPr>
          <w:rFonts w:asciiTheme="minorHAnsi" w:eastAsiaTheme="minorEastAsia" w:hAnsiTheme="minorHAnsi" w:cstheme="minorBidi"/>
          <w:kern w:val="2"/>
          <w:sz w:val="24"/>
          <w:szCs w:val="24"/>
          <w:lang w:val="sv-FI" w:eastAsia="sv-FI"/>
          <w14:ligatures w14:val="standardContextual"/>
        </w:rPr>
      </w:pPr>
      <w:hyperlink w:anchor="_Toc230359350" w:history="1">
        <w:r w:rsidRPr="001D4FCC">
          <w:rPr>
            <w:rStyle w:val="Hyperlnk"/>
          </w:rPr>
          <w:t>3. Ändring av 7 § landskapslagen om kontaktpunkt, tillståndsprocesser för förnybar energi och områden för främjande av förnybar energi</w:t>
        </w:r>
        <w:r>
          <w:rPr>
            <w:webHidden/>
          </w:rPr>
          <w:tab/>
        </w:r>
        <w:r>
          <w:rPr>
            <w:webHidden/>
          </w:rPr>
          <w:fldChar w:fldCharType="begin"/>
        </w:r>
        <w:r>
          <w:rPr>
            <w:webHidden/>
          </w:rPr>
          <w:instrText xml:space="preserve"> PAGEREF _Toc230359350 \h </w:instrText>
        </w:r>
        <w:r>
          <w:rPr>
            <w:webHidden/>
          </w:rPr>
        </w:r>
        <w:r>
          <w:rPr>
            <w:webHidden/>
          </w:rPr>
          <w:fldChar w:fldCharType="separate"/>
        </w:r>
        <w:r>
          <w:rPr>
            <w:webHidden/>
          </w:rPr>
          <w:t>7</w:t>
        </w:r>
        <w:r>
          <w:rPr>
            <w:webHidden/>
          </w:rPr>
          <w:fldChar w:fldCharType="end"/>
        </w:r>
      </w:hyperlink>
    </w:p>
    <w:p w14:paraId="15177DAC" w14:textId="5E81EEF5" w:rsidR="00B01F70" w:rsidRDefault="00B01F70">
      <w:pPr>
        <w:pStyle w:val="Innehll1"/>
        <w:rPr>
          <w:rFonts w:asciiTheme="minorHAnsi" w:eastAsiaTheme="minorEastAsia" w:hAnsiTheme="minorHAnsi" w:cstheme="minorBidi"/>
          <w:kern w:val="2"/>
          <w:sz w:val="24"/>
          <w:szCs w:val="24"/>
          <w:lang w:val="sv-FI" w:eastAsia="sv-FI"/>
          <w14:ligatures w14:val="standardContextual"/>
        </w:rPr>
      </w:pPr>
      <w:hyperlink w:anchor="_Toc230359351" w:history="1">
        <w:r w:rsidRPr="001D4FCC">
          <w:rPr>
            <w:rStyle w:val="Hyperlnk"/>
          </w:rPr>
          <w:t>Lagtext</w:t>
        </w:r>
        <w:r>
          <w:rPr>
            <w:webHidden/>
          </w:rPr>
          <w:tab/>
        </w:r>
        <w:r>
          <w:rPr>
            <w:webHidden/>
          </w:rPr>
          <w:fldChar w:fldCharType="begin"/>
        </w:r>
        <w:r>
          <w:rPr>
            <w:webHidden/>
          </w:rPr>
          <w:instrText xml:space="preserve"> PAGEREF _Toc230359351 \h </w:instrText>
        </w:r>
        <w:r>
          <w:rPr>
            <w:webHidden/>
          </w:rPr>
        </w:r>
        <w:r>
          <w:rPr>
            <w:webHidden/>
          </w:rPr>
          <w:fldChar w:fldCharType="separate"/>
        </w:r>
        <w:r>
          <w:rPr>
            <w:webHidden/>
          </w:rPr>
          <w:t>9</w:t>
        </w:r>
        <w:r>
          <w:rPr>
            <w:webHidden/>
          </w:rPr>
          <w:fldChar w:fldCharType="end"/>
        </w:r>
      </w:hyperlink>
    </w:p>
    <w:p w14:paraId="413CFA57" w14:textId="0C64C5D5" w:rsidR="00B01F70" w:rsidRDefault="00B01F70">
      <w:pPr>
        <w:pStyle w:val="Innehll2"/>
        <w:rPr>
          <w:rFonts w:asciiTheme="minorHAnsi" w:eastAsiaTheme="minorEastAsia" w:hAnsiTheme="minorHAnsi" w:cstheme="minorBidi"/>
          <w:kern w:val="2"/>
          <w:sz w:val="24"/>
          <w:szCs w:val="24"/>
          <w:lang w:val="sv-FI" w:eastAsia="sv-FI"/>
          <w14:ligatures w14:val="standardContextual"/>
        </w:rPr>
      </w:pPr>
      <w:hyperlink w:anchor="_Toc230359352" w:history="1">
        <w:r w:rsidRPr="001D4FCC">
          <w:rPr>
            <w:rStyle w:val="Hyperlnk"/>
          </w:rPr>
          <w:t>L A N D S K A P S L A G om ändring av landskapslagen om energieffektivitet</w:t>
        </w:r>
        <w:r>
          <w:rPr>
            <w:webHidden/>
          </w:rPr>
          <w:tab/>
        </w:r>
        <w:r>
          <w:rPr>
            <w:webHidden/>
          </w:rPr>
          <w:fldChar w:fldCharType="begin"/>
        </w:r>
        <w:r>
          <w:rPr>
            <w:webHidden/>
          </w:rPr>
          <w:instrText xml:space="preserve"> PAGEREF _Toc230359352 \h </w:instrText>
        </w:r>
        <w:r>
          <w:rPr>
            <w:webHidden/>
          </w:rPr>
        </w:r>
        <w:r>
          <w:rPr>
            <w:webHidden/>
          </w:rPr>
          <w:fldChar w:fldCharType="separate"/>
        </w:r>
        <w:r>
          <w:rPr>
            <w:webHidden/>
          </w:rPr>
          <w:t>9</w:t>
        </w:r>
        <w:r>
          <w:rPr>
            <w:webHidden/>
          </w:rPr>
          <w:fldChar w:fldCharType="end"/>
        </w:r>
      </w:hyperlink>
    </w:p>
    <w:p w14:paraId="5B5CA0B0" w14:textId="343603F1" w:rsidR="00B01F70" w:rsidRDefault="00B01F70">
      <w:pPr>
        <w:pStyle w:val="Innehll2"/>
        <w:rPr>
          <w:rFonts w:asciiTheme="minorHAnsi" w:eastAsiaTheme="minorEastAsia" w:hAnsiTheme="minorHAnsi" w:cstheme="minorBidi"/>
          <w:kern w:val="2"/>
          <w:sz w:val="24"/>
          <w:szCs w:val="24"/>
          <w:lang w:val="sv-FI" w:eastAsia="sv-FI"/>
          <w14:ligatures w14:val="standardContextual"/>
        </w:rPr>
      </w:pPr>
      <w:hyperlink w:anchor="_Toc230359353" w:history="1">
        <w:r w:rsidRPr="001D4FCC">
          <w:rPr>
            <w:rStyle w:val="Hyperlnk"/>
          </w:rPr>
          <w:t>L A N D S K A P S L A G om ändring av 1 § landskapslagen om Ålands energimyndighet</w:t>
        </w:r>
        <w:r>
          <w:rPr>
            <w:webHidden/>
          </w:rPr>
          <w:tab/>
        </w:r>
        <w:r>
          <w:rPr>
            <w:webHidden/>
          </w:rPr>
          <w:fldChar w:fldCharType="begin"/>
        </w:r>
        <w:r>
          <w:rPr>
            <w:webHidden/>
          </w:rPr>
          <w:instrText xml:space="preserve"> PAGEREF _Toc230359353 \h </w:instrText>
        </w:r>
        <w:r>
          <w:rPr>
            <w:webHidden/>
          </w:rPr>
        </w:r>
        <w:r>
          <w:rPr>
            <w:webHidden/>
          </w:rPr>
          <w:fldChar w:fldCharType="separate"/>
        </w:r>
        <w:r>
          <w:rPr>
            <w:webHidden/>
          </w:rPr>
          <w:t>10</w:t>
        </w:r>
        <w:r>
          <w:rPr>
            <w:webHidden/>
          </w:rPr>
          <w:fldChar w:fldCharType="end"/>
        </w:r>
      </w:hyperlink>
    </w:p>
    <w:p w14:paraId="0B8D6BEA" w14:textId="58970D62" w:rsidR="00B01F70" w:rsidRDefault="00B01F70">
      <w:pPr>
        <w:pStyle w:val="Innehll2"/>
        <w:rPr>
          <w:rFonts w:asciiTheme="minorHAnsi" w:eastAsiaTheme="minorEastAsia" w:hAnsiTheme="minorHAnsi" w:cstheme="minorBidi"/>
          <w:kern w:val="2"/>
          <w:sz w:val="24"/>
          <w:szCs w:val="24"/>
          <w:lang w:val="sv-FI" w:eastAsia="sv-FI"/>
          <w14:ligatures w14:val="standardContextual"/>
        </w:rPr>
      </w:pPr>
      <w:hyperlink w:anchor="_Toc230359354" w:history="1">
        <w:r w:rsidRPr="001D4FCC">
          <w:rPr>
            <w:rStyle w:val="Hyperlnk"/>
          </w:rPr>
          <w:t>L A N D S K A P S L A G om ändring av 7 § landskapslagen om kontaktpunkt, tillståndsprocesser för förnybar energi och områden för främjande av förnybar energi</w:t>
        </w:r>
        <w:r>
          <w:rPr>
            <w:webHidden/>
          </w:rPr>
          <w:tab/>
        </w:r>
        <w:r>
          <w:rPr>
            <w:webHidden/>
          </w:rPr>
          <w:fldChar w:fldCharType="begin"/>
        </w:r>
        <w:r>
          <w:rPr>
            <w:webHidden/>
          </w:rPr>
          <w:instrText xml:space="preserve"> PAGEREF _Toc230359354 \h </w:instrText>
        </w:r>
        <w:r>
          <w:rPr>
            <w:webHidden/>
          </w:rPr>
        </w:r>
        <w:r>
          <w:rPr>
            <w:webHidden/>
          </w:rPr>
          <w:fldChar w:fldCharType="separate"/>
        </w:r>
        <w:r>
          <w:rPr>
            <w:webHidden/>
          </w:rPr>
          <w:t>11</w:t>
        </w:r>
        <w:r>
          <w:rPr>
            <w:webHidden/>
          </w:rPr>
          <w:fldChar w:fldCharType="end"/>
        </w:r>
      </w:hyperlink>
    </w:p>
    <w:p w14:paraId="4B7199AB" w14:textId="52BD62AB" w:rsidR="00B01F70" w:rsidRDefault="00B01F70">
      <w:pPr>
        <w:pStyle w:val="Innehll1"/>
        <w:rPr>
          <w:rFonts w:asciiTheme="minorHAnsi" w:eastAsiaTheme="minorEastAsia" w:hAnsiTheme="minorHAnsi" w:cstheme="minorBidi"/>
          <w:kern w:val="2"/>
          <w:sz w:val="24"/>
          <w:szCs w:val="24"/>
          <w:lang w:val="sv-FI" w:eastAsia="sv-FI"/>
          <w14:ligatures w14:val="standardContextual"/>
        </w:rPr>
      </w:pPr>
      <w:hyperlink w:anchor="_Toc230359355" w:history="1">
        <w:r w:rsidRPr="001D4FCC">
          <w:rPr>
            <w:rStyle w:val="Hyperlnk"/>
          </w:rPr>
          <w:t>Parallelltexter</w:t>
        </w:r>
        <w:r>
          <w:rPr>
            <w:webHidden/>
          </w:rPr>
          <w:tab/>
        </w:r>
        <w:r>
          <w:rPr>
            <w:webHidden/>
          </w:rPr>
          <w:fldChar w:fldCharType="begin"/>
        </w:r>
        <w:r>
          <w:rPr>
            <w:webHidden/>
          </w:rPr>
          <w:instrText xml:space="preserve"> PAGEREF _Toc230359355 \h </w:instrText>
        </w:r>
        <w:r>
          <w:rPr>
            <w:webHidden/>
          </w:rPr>
        </w:r>
        <w:r>
          <w:rPr>
            <w:webHidden/>
          </w:rPr>
          <w:fldChar w:fldCharType="separate"/>
        </w:r>
        <w:r>
          <w:rPr>
            <w:webHidden/>
          </w:rPr>
          <w:t>12</w:t>
        </w:r>
        <w:r>
          <w:rPr>
            <w:webHidden/>
          </w:rPr>
          <w:fldChar w:fldCharType="end"/>
        </w:r>
      </w:hyperlink>
    </w:p>
    <w:p w14:paraId="3DC82B43" w14:textId="60210EA9" w:rsidR="00AF3004" w:rsidRDefault="00AF3004">
      <w:pPr>
        <w:pStyle w:val="ANormal"/>
        <w:rPr>
          <w:noProof/>
        </w:rPr>
      </w:pPr>
      <w:r>
        <w:rPr>
          <w:rFonts w:ascii="Verdana" w:hAnsi="Verdana"/>
          <w:noProof/>
          <w:sz w:val="16"/>
          <w:szCs w:val="36"/>
        </w:rPr>
        <w:fldChar w:fldCharType="end"/>
      </w:r>
    </w:p>
    <w:p w14:paraId="43307DDC" w14:textId="77777777" w:rsidR="00AF3004" w:rsidRDefault="00AF3004">
      <w:pPr>
        <w:pStyle w:val="ANormal"/>
      </w:pPr>
      <w:r>
        <w:br w:type="page"/>
      </w:r>
    </w:p>
    <w:p w14:paraId="36593691" w14:textId="77777777" w:rsidR="00AF3004" w:rsidRDefault="00AF3004">
      <w:pPr>
        <w:pStyle w:val="RubrikA"/>
      </w:pPr>
      <w:bookmarkStart w:id="2" w:name="_Toc230359337"/>
      <w:r>
        <w:lastRenderedPageBreak/>
        <w:t>Allmän motivering</w:t>
      </w:r>
      <w:bookmarkEnd w:id="2"/>
    </w:p>
    <w:p w14:paraId="178F23C2" w14:textId="77777777" w:rsidR="00AF3004" w:rsidRDefault="00AF3004">
      <w:pPr>
        <w:pStyle w:val="Rubrikmellanrum"/>
      </w:pPr>
    </w:p>
    <w:p w14:paraId="695B7D1A" w14:textId="348CC65C" w:rsidR="00AF3004" w:rsidRDefault="00AF3004">
      <w:pPr>
        <w:pStyle w:val="RubrikB"/>
      </w:pPr>
      <w:bookmarkStart w:id="3" w:name="_Toc230359338"/>
      <w:r>
        <w:t>1. Bakgrund</w:t>
      </w:r>
      <w:bookmarkEnd w:id="3"/>
    </w:p>
    <w:p w14:paraId="17976A38" w14:textId="77777777" w:rsidR="000D6BB1" w:rsidRDefault="000D6BB1" w:rsidP="000D6BB1">
      <w:pPr>
        <w:pStyle w:val="Rubrikmellanrum"/>
      </w:pPr>
    </w:p>
    <w:p w14:paraId="7BE5B5B0" w14:textId="6D308100" w:rsidR="003D528B" w:rsidRDefault="002C7DEA" w:rsidP="003D528B">
      <w:pPr>
        <w:pStyle w:val="ANormal"/>
      </w:pPr>
      <w:r>
        <w:t>Direktiv (EU) 2023/1791</w:t>
      </w:r>
      <w:r>
        <w:rPr>
          <w:rStyle w:val="Fotnotsreferens"/>
        </w:rPr>
        <w:footnoteReference w:id="1"/>
      </w:r>
      <w:r>
        <w:t xml:space="preserve"> publicerades den 13 september 2023 och ersätter energieffektivitetsdirektivet 2012/27/EU. Direktivet skärper EU:s energisparmål och introducerar nya krav på bland annat konsumenträttigheter och harmoniserade primärenergifaktorer för rapportering av energibesparingar. </w:t>
      </w:r>
      <w:r w:rsidR="003D528B">
        <w:t xml:space="preserve">Huvudnyheterna omfattar principen "energieffektivitet först" </w:t>
      </w:r>
      <w:r w:rsidR="003D528B" w:rsidRPr="003D528B">
        <w:t>som grundläggande princip för EU:s energipolitik</w:t>
      </w:r>
      <w:r w:rsidR="003D528B">
        <w:t>, tuffare krav på energiledningssystem för storföretag och utökad energikartläggning</w:t>
      </w:r>
      <w:r w:rsidR="00672CAC">
        <w:t xml:space="preserve"> (energikartläggning benämndes energibesiktning i direktiv 2012/27/EU och benämns energibesiktning i rikets energieffektivitetslag)</w:t>
      </w:r>
      <w:r w:rsidR="003D528B">
        <w:t>. Direktivet skulle varit genomfört senast den 11 oktober 2025.</w:t>
      </w:r>
    </w:p>
    <w:p w14:paraId="04AF7135" w14:textId="3678251D" w:rsidR="003D528B" w:rsidRDefault="003D528B" w:rsidP="003D528B">
      <w:pPr>
        <w:pStyle w:val="ANormal"/>
      </w:pPr>
      <w:r>
        <w:tab/>
        <w:t>Viktiga nyheter och förändringar:</w:t>
      </w:r>
    </w:p>
    <w:p w14:paraId="1A705617" w14:textId="768E179E" w:rsidR="00E909D5" w:rsidRDefault="002D0F00" w:rsidP="003D528B">
      <w:pPr>
        <w:pStyle w:val="ANormal"/>
      </w:pPr>
      <w:r>
        <w:rPr>
          <w:i/>
          <w:iCs/>
        </w:rPr>
        <w:tab/>
      </w:r>
      <w:r w:rsidR="003D528B" w:rsidRPr="003D528B">
        <w:rPr>
          <w:i/>
          <w:iCs/>
        </w:rPr>
        <w:t>Ökade energieffektiviseringsmål</w:t>
      </w:r>
      <w:r w:rsidR="003D528B">
        <w:t xml:space="preserve">: </w:t>
      </w:r>
      <w:r w:rsidR="00E909D5" w:rsidRPr="00E909D5">
        <w:t>Som en del av den europeiska gröna given och i enlighet med målen i Parisavtalet har Europeiska kommissionen föreslagit en plan när det gäller klimatmålen för att höja EU:s mål för växthusgasutsläpp till minst 55 % under 1990 års nivåer senast 2030.</w:t>
      </w:r>
    </w:p>
    <w:p w14:paraId="05C85DA0" w14:textId="442D0022" w:rsidR="003D528B" w:rsidRDefault="002D0F00" w:rsidP="003D528B">
      <w:pPr>
        <w:pStyle w:val="ANormal"/>
      </w:pPr>
      <w:r>
        <w:rPr>
          <w:i/>
          <w:iCs/>
        </w:rPr>
        <w:tab/>
      </w:r>
      <w:r w:rsidR="003D528B" w:rsidRPr="003D528B">
        <w:rPr>
          <w:i/>
          <w:iCs/>
        </w:rPr>
        <w:t>Energieffektivitet först</w:t>
      </w:r>
      <w:r w:rsidR="003D528B">
        <w:t>: Principen blir rättsligt bindande i energipolitik och investeringsbeslut.</w:t>
      </w:r>
    </w:p>
    <w:p w14:paraId="72BC7DCB" w14:textId="0D6AFC62" w:rsidR="003D528B" w:rsidRDefault="002D0F00" w:rsidP="003D528B">
      <w:pPr>
        <w:pStyle w:val="ANormal"/>
      </w:pPr>
      <w:r>
        <w:rPr>
          <w:i/>
          <w:iCs/>
        </w:rPr>
        <w:tab/>
      </w:r>
      <w:r w:rsidR="003D528B" w:rsidRPr="003D528B">
        <w:rPr>
          <w:i/>
          <w:iCs/>
        </w:rPr>
        <w:t>Krav på storföretag</w:t>
      </w:r>
      <w:r w:rsidR="003D528B">
        <w:t>: Företag med en årlig energianvändning över 23,6 GWh måste införa ett energiledningssystem. Företag mellan 2,8 och 23,6 GWh måste göra energikartläggningar.</w:t>
      </w:r>
    </w:p>
    <w:p w14:paraId="4432B734" w14:textId="5C6101E2" w:rsidR="003D528B" w:rsidRDefault="002D0F00" w:rsidP="003D528B">
      <w:pPr>
        <w:pStyle w:val="ANormal"/>
      </w:pPr>
      <w:r>
        <w:rPr>
          <w:i/>
          <w:iCs/>
        </w:rPr>
        <w:tab/>
      </w:r>
      <w:r w:rsidR="003D528B" w:rsidRPr="003D528B">
        <w:rPr>
          <w:i/>
          <w:iCs/>
        </w:rPr>
        <w:t>Offentlig sektor ska föregå med gott exempel</w:t>
      </w:r>
      <w:r w:rsidR="003D528B">
        <w:t>: Offentliga organ måste minska sin totala energianvändning med 1,9 % per år (jämfört med 2021).</w:t>
      </w:r>
    </w:p>
    <w:p w14:paraId="68AB1370" w14:textId="1092237B" w:rsidR="003D528B" w:rsidRDefault="002D0F00" w:rsidP="003D528B">
      <w:pPr>
        <w:pStyle w:val="ANormal"/>
      </w:pPr>
      <w:r>
        <w:rPr>
          <w:i/>
          <w:iCs/>
        </w:rPr>
        <w:tab/>
      </w:r>
      <w:r w:rsidR="003D528B" w:rsidRPr="003D528B">
        <w:rPr>
          <w:i/>
          <w:iCs/>
        </w:rPr>
        <w:t>Fokus på spillvärme</w:t>
      </w:r>
      <w:r w:rsidR="003D528B">
        <w:t>: Nya och ombyggda datacenter ska utnyttja spillvärme.</w:t>
      </w:r>
    </w:p>
    <w:p w14:paraId="0615AFD2" w14:textId="5167DA22" w:rsidR="003D528B" w:rsidRDefault="002D0F00" w:rsidP="003D528B">
      <w:pPr>
        <w:pStyle w:val="ANormal"/>
      </w:pPr>
      <w:r>
        <w:rPr>
          <w:i/>
          <w:iCs/>
        </w:rPr>
        <w:tab/>
      </w:r>
      <w:r w:rsidR="003D528B" w:rsidRPr="003D528B">
        <w:rPr>
          <w:i/>
          <w:iCs/>
        </w:rPr>
        <w:t>Fjärrvärme</w:t>
      </w:r>
      <w:r w:rsidR="003D528B">
        <w:t>: Krav på effektivare system och en plan för att uppnå detta om kriterierna inte möts.</w:t>
      </w:r>
    </w:p>
    <w:p w14:paraId="1D888EDE" w14:textId="6FCBF68B" w:rsidR="003D528B" w:rsidRDefault="002D0F00" w:rsidP="003D528B">
      <w:pPr>
        <w:pStyle w:val="ANormal"/>
      </w:pPr>
      <w:r>
        <w:rPr>
          <w:i/>
          <w:iCs/>
        </w:rPr>
        <w:tab/>
      </w:r>
      <w:r w:rsidR="003D528B" w:rsidRPr="003D528B">
        <w:rPr>
          <w:i/>
          <w:iCs/>
        </w:rPr>
        <w:t>Konsumenträttigheter</w:t>
      </w:r>
      <w:r w:rsidR="003D528B">
        <w:t>: Förstärkta regler för information och avtalsrättigheter gällande fjärrvärme och fjärrkyla.</w:t>
      </w:r>
    </w:p>
    <w:p w14:paraId="43511A8C" w14:textId="72F7F3AE" w:rsidR="002C7DEA" w:rsidRDefault="003D528B" w:rsidP="00DE5EF0">
      <w:pPr>
        <w:pStyle w:val="ANormal"/>
      </w:pPr>
      <w:r>
        <w:tab/>
      </w:r>
      <w:r w:rsidR="002C7DEA">
        <w:t xml:space="preserve">På Åland </w:t>
      </w:r>
      <w:r w:rsidR="002A106D">
        <w:t>genomförs</w:t>
      </w:r>
      <w:r w:rsidR="002C7DEA">
        <w:t xml:space="preserve"> en betydande del av den reglering</w:t>
      </w:r>
      <w:r w:rsidR="00812C72">
        <w:t xml:space="preserve"> som krävs av energieffektivitetsdirektivet </w:t>
      </w:r>
      <w:r w:rsidR="002C7DEA">
        <w:t xml:space="preserve">genom </w:t>
      </w:r>
      <w:r w:rsidR="009A5151">
        <w:t xml:space="preserve">ändringar av rikslagar som gjorts tillämpliga genom </w:t>
      </w:r>
      <w:r w:rsidR="002C7DEA">
        <w:t xml:space="preserve">blankettlagstiftning. </w:t>
      </w:r>
      <w:r w:rsidR="00DE5EF0">
        <w:t>L</w:t>
      </w:r>
      <w:r w:rsidR="002C7DEA">
        <w:t>andskapslag</w:t>
      </w:r>
      <w:r w:rsidR="00DE5EF0">
        <w:t>en</w:t>
      </w:r>
      <w:r w:rsidR="002C7DEA">
        <w:t xml:space="preserve"> (2016:20) om energieffektivitet</w:t>
      </w:r>
      <w:r w:rsidR="00DE5EF0">
        <w:t xml:space="preserve"> </w:t>
      </w:r>
      <w:r w:rsidR="002C7DEA">
        <w:t xml:space="preserve">gör rikets energieffektivitetslag (FFS 1429/2014) tillämplig </w:t>
      </w:r>
      <w:r>
        <w:t xml:space="preserve">på Åland </w:t>
      </w:r>
      <w:r w:rsidR="002C7DEA">
        <w:t>med vissa avvikelser</w:t>
      </w:r>
      <w:r w:rsidR="00391F32">
        <w:t xml:space="preserve"> och</w:t>
      </w:r>
      <w:r w:rsidR="002C7DEA">
        <w:t xml:space="preserve"> landskapsförordning</w:t>
      </w:r>
      <w:r w:rsidR="00391F32">
        <w:t>en</w:t>
      </w:r>
      <w:r w:rsidR="002C7DEA">
        <w:t xml:space="preserve"> (2023:7) om tillämpning av riksförfattningar om energieffektivitet </w:t>
      </w:r>
      <w:r w:rsidR="00DE5EF0">
        <w:t xml:space="preserve">gör statsrådets förordning om energibesiktningar (FFS 20/2015) och arbets- och näringsministeriets förordning om rapportering om objektsbesiktningar (FFS 41/2015) tillämpliga </w:t>
      </w:r>
      <w:r w:rsidR="009A5151">
        <w:t>på Åland</w:t>
      </w:r>
      <w:r w:rsidR="002C7DEA">
        <w:t>.</w:t>
      </w:r>
    </w:p>
    <w:p w14:paraId="7D908E71" w14:textId="66AA2BC4" w:rsidR="002C7DEA" w:rsidRDefault="00502B30" w:rsidP="002C7DEA">
      <w:pPr>
        <w:pStyle w:val="ANormal"/>
      </w:pPr>
      <w:r>
        <w:tab/>
      </w:r>
      <w:r w:rsidR="002C7DEA">
        <w:t>Utöver blankettlagstiftningen finns landskapslag</w:t>
      </w:r>
      <w:r w:rsidR="00DE5EF0">
        <w:t>en</w:t>
      </w:r>
      <w:r w:rsidR="002C7DEA">
        <w:t xml:space="preserve"> (2014:31) om energideklaration för byggnader och Ålands byggbestämmelsesamling, fastställd med stöd av plan- och bygglagen (2008:102) samt Ålands energi- och klimatstrategi, Strategin för hållbart byggande och andra styrmedel. Vissa bestämmelser i </w:t>
      </w:r>
      <w:r w:rsidR="00812C72">
        <w:t xml:space="preserve">det nya </w:t>
      </w:r>
      <w:r w:rsidR="00DE5EF0">
        <w:t>energieffektivitets</w:t>
      </w:r>
      <w:r w:rsidR="002C7DEA">
        <w:t xml:space="preserve">direktivet förutsätter dock </w:t>
      </w:r>
      <w:r w:rsidR="009A5151">
        <w:t xml:space="preserve">att ändringar görs i några landskapslagar </w:t>
      </w:r>
      <w:r w:rsidR="002C7DEA">
        <w:t xml:space="preserve">enligt </w:t>
      </w:r>
      <w:r w:rsidR="002A106D">
        <w:t>vad</w:t>
      </w:r>
      <w:r w:rsidR="002C7DEA">
        <w:t xml:space="preserve"> som redovisas nedan</w:t>
      </w:r>
      <w:r w:rsidR="002A106D">
        <w:t>.</w:t>
      </w:r>
    </w:p>
    <w:p w14:paraId="13CE3BAC" w14:textId="3D2604AC" w:rsidR="00135F04" w:rsidRDefault="002D0F00" w:rsidP="002C7DEA">
      <w:pPr>
        <w:pStyle w:val="ANormal"/>
      </w:pPr>
      <w:r>
        <w:tab/>
        <w:t>Infrastrukturavdelningen har gått igenom direktivet och bedömer att det endast är energieffektivitetsdirektivets artikel 22 som kräver lagstiftningsåtgärder. Övriga artiklar genomförs genom de blankettlagar som angivits ovan.</w:t>
      </w:r>
    </w:p>
    <w:p w14:paraId="66FAC93D" w14:textId="77777777" w:rsidR="00391F32" w:rsidRDefault="00391F32" w:rsidP="002C7DEA">
      <w:pPr>
        <w:pStyle w:val="ANormal"/>
      </w:pPr>
    </w:p>
    <w:p w14:paraId="60D7D9C6" w14:textId="21F2F346" w:rsidR="00F85227" w:rsidRDefault="00F85227" w:rsidP="00F85227">
      <w:pPr>
        <w:pStyle w:val="RubrikB"/>
      </w:pPr>
      <w:bookmarkStart w:id="4" w:name="_Toc230359339"/>
      <w:r>
        <w:lastRenderedPageBreak/>
        <w:t>2</w:t>
      </w:r>
      <w:r w:rsidR="002A106D">
        <w:t>.</w:t>
      </w:r>
      <w:r>
        <w:t xml:space="preserve"> Genomförande av energieffektivitetsdirektivets artikel 22 – Information och medvetandehöjande</w:t>
      </w:r>
      <w:bookmarkEnd w:id="4"/>
    </w:p>
    <w:p w14:paraId="257574FB" w14:textId="77777777" w:rsidR="00F85227" w:rsidRPr="00F85227" w:rsidRDefault="00F85227" w:rsidP="00F85227">
      <w:pPr>
        <w:pStyle w:val="Rubrikmellanrum"/>
      </w:pPr>
    </w:p>
    <w:p w14:paraId="53CA6209" w14:textId="63DB0502" w:rsidR="00F85227" w:rsidRDefault="00F85227" w:rsidP="00F85227">
      <w:pPr>
        <w:pStyle w:val="RubrikC"/>
      </w:pPr>
      <w:bookmarkStart w:id="5" w:name="_Toc230359340"/>
      <w:r>
        <w:t>2.1 Artikelns innehåll och innebörd – översikt</w:t>
      </w:r>
      <w:bookmarkEnd w:id="5"/>
    </w:p>
    <w:p w14:paraId="7BFA1B28" w14:textId="77777777" w:rsidR="00F85227" w:rsidRPr="00F85227" w:rsidRDefault="00F85227" w:rsidP="00F85227">
      <w:pPr>
        <w:pStyle w:val="Rubrikmellanrum"/>
      </w:pPr>
    </w:p>
    <w:p w14:paraId="291F4753" w14:textId="1BA5DE4A" w:rsidR="00F85227" w:rsidRDefault="00F85227" w:rsidP="00F85227">
      <w:pPr>
        <w:pStyle w:val="ANormal"/>
      </w:pPr>
      <w:r>
        <w:t>Huvudsyftet med artikeln är att underlätta införandet av energieffektivitetsåtgärder genom att öka medvetenheten, förbättra marknadsaktörernas tillgång till information och deras möjligheter att använda tvistlösning utanför domstol, samt genom att undanröja regelmässiga och andra hinder för energieffektivisering. För detta ändamål åläggs medlemsstaterna att:</w:t>
      </w:r>
    </w:p>
    <w:p w14:paraId="0B8BC478" w14:textId="69985D79" w:rsidR="00F85227" w:rsidRDefault="009B4BF0" w:rsidP="00F85227">
      <w:pPr>
        <w:pStyle w:val="ANormal"/>
      </w:pPr>
      <w:r>
        <w:tab/>
      </w:r>
      <w:r w:rsidR="00F85227">
        <w:t>• sprida information om tillgängliga åtgärder för förbättrad energieffektivitet, enskilda åtgärder samt de ekonomiska och rättsliga ramarna</w:t>
      </w:r>
    </w:p>
    <w:p w14:paraId="0BFCF01C" w14:textId="62A5B702" w:rsidR="00F85227" w:rsidRDefault="009B4BF0" w:rsidP="00F85227">
      <w:pPr>
        <w:pStyle w:val="ANormal"/>
      </w:pPr>
      <w:r>
        <w:tab/>
      </w:r>
      <w:r w:rsidR="00F85227">
        <w:t xml:space="preserve">• främja och underlätta effektiv energianvändning bland slutförbrukare och användare genom att stödja beteendeförändring och </w:t>
      </w:r>
      <w:r w:rsidR="00C8703E">
        <w:t xml:space="preserve">upprätta stödjande </w:t>
      </w:r>
      <w:r w:rsidR="00F85227">
        <w:t>ram</w:t>
      </w:r>
      <w:r w:rsidR="00C8703E">
        <w:t>ar</w:t>
      </w:r>
      <w:r w:rsidR="00F85227">
        <w:t xml:space="preserve"> för marknadsaktörer</w:t>
      </w:r>
    </w:p>
    <w:p w14:paraId="019424B6" w14:textId="5C147CF0" w:rsidR="00F85227" w:rsidRDefault="009B4BF0" w:rsidP="00F85227">
      <w:pPr>
        <w:pStyle w:val="ANormal"/>
      </w:pPr>
      <w:r>
        <w:tab/>
      </w:r>
      <w:r w:rsidR="00F85227">
        <w:t>• inrätta centraliserade kontaktpunkter</w:t>
      </w:r>
    </w:p>
    <w:p w14:paraId="2B5118FC" w14:textId="757D9FD0" w:rsidR="00F85227" w:rsidRPr="00976149" w:rsidRDefault="009B4BF0" w:rsidP="00976149">
      <w:pPr>
        <w:pStyle w:val="ANormal"/>
      </w:pPr>
      <w:r w:rsidRPr="00976149">
        <w:tab/>
      </w:r>
      <w:r w:rsidR="00F85227" w:rsidRPr="00976149">
        <w:t xml:space="preserve">• skapa lämpliga förutsättningar för att marknadsaktörer ska kunna </w:t>
      </w:r>
      <w:proofErr w:type="gramStart"/>
      <w:r w:rsidR="00F85227" w:rsidRPr="00976149">
        <w:t xml:space="preserve">ge </w:t>
      </w:r>
      <w:r w:rsidR="00976149">
        <w:t xml:space="preserve"> </w:t>
      </w:r>
      <w:r w:rsidR="00F85227" w:rsidRPr="00976149">
        <w:t>sl</w:t>
      </w:r>
      <w:r w:rsidRPr="00976149">
        <w:t>u</w:t>
      </w:r>
      <w:r w:rsidR="00F85227" w:rsidRPr="00976149">
        <w:t>tanvändare</w:t>
      </w:r>
      <w:proofErr w:type="gramEnd"/>
      <w:r w:rsidR="00F85227" w:rsidRPr="00976149">
        <w:t xml:space="preserve"> tillräcklig och målinriktad information och rådgivning</w:t>
      </w:r>
    </w:p>
    <w:p w14:paraId="61383E3C" w14:textId="6F68D9DB" w:rsidR="00F85227" w:rsidRDefault="009B4BF0" w:rsidP="00F85227">
      <w:pPr>
        <w:pStyle w:val="ANormal"/>
      </w:pPr>
      <w:r>
        <w:tab/>
      </w:r>
      <w:r w:rsidR="00F85227">
        <w:t>• införa tvistlösningsförfaranden utanför domstol</w:t>
      </w:r>
    </w:p>
    <w:p w14:paraId="45B85C1A" w14:textId="5FA7D623" w:rsidR="00F85227" w:rsidRDefault="009B4BF0" w:rsidP="00F85227">
      <w:pPr>
        <w:pStyle w:val="ANormal"/>
      </w:pPr>
      <w:r>
        <w:tab/>
      </w:r>
      <w:r w:rsidR="00F85227">
        <w:t>• undanröja motstridiga incitament mellan hyresgäster och ägare.</w:t>
      </w:r>
    </w:p>
    <w:p w14:paraId="49910BED" w14:textId="77777777" w:rsidR="00F85227" w:rsidRDefault="00F85227" w:rsidP="00F85227">
      <w:pPr>
        <w:pStyle w:val="ANormal"/>
      </w:pPr>
    </w:p>
    <w:p w14:paraId="4CB21A93" w14:textId="0E45DB52" w:rsidR="00F85227" w:rsidRDefault="00F85227" w:rsidP="00F85227">
      <w:pPr>
        <w:pStyle w:val="RubrikC"/>
      </w:pPr>
      <w:bookmarkStart w:id="6" w:name="_Toc230359341"/>
      <w:r>
        <w:t>2.2 Nuvarande läge</w:t>
      </w:r>
      <w:r w:rsidR="00C01E5C">
        <w:t xml:space="preserve"> och förslag på lagstiftning</w:t>
      </w:r>
      <w:bookmarkEnd w:id="6"/>
    </w:p>
    <w:p w14:paraId="35431B11" w14:textId="77777777" w:rsidR="00F85227" w:rsidRPr="00F85227" w:rsidRDefault="00F85227" w:rsidP="00F85227">
      <w:pPr>
        <w:pStyle w:val="Rubrikmellanrum"/>
      </w:pPr>
    </w:p>
    <w:p w14:paraId="67B25E07" w14:textId="468E6D97" w:rsidR="00F85227" w:rsidRDefault="00F85227" w:rsidP="00F85227">
      <w:pPr>
        <w:pStyle w:val="ANormal"/>
      </w:pPr>
      <w:r>
        <w:t>På Åland görs redan mycket av det som beskrivs i artikel</w:t>
      </w:r>
      <w:r w:rsidR="00C01E5C">
        <w:t xml:space="preserve"> 22</w:t>
      </w:r>
      <w:r>
        <w:t xml:space="preserve"> – landskapsregeringen tillhandahåller redan information om energiprestanda, erbjuder och informerar om olika låneprodukter och informerar om rådgivningstjänster</w:t>
      </w:r>
      <w:r w:rsidR="009E48EE">
        <w:t>.</w:t>
      </w:r>
    </w:p>
    <w:p w14:paraId="12C19F8C" w14:textId="3C3877F1" w:rsidR="00F85227" w:rsidRDefault="00F85227" w:rsidP="009B4BF0">
      <w:pPr>
        <w:pStyle w:val="ANormal"/>
      </w:pPr>
      <w:r>
        <w:tab/>
      </w:r>
      <w:r w:rsidR="0018302B">
        <w:t xml:space="preserve">Landskapsregeringen ger en del individuell energirådgivning till </w:t>
      </w:r>
      <w:r w:rsidR="0018302B" w:rsidRPr="0018302B">
        <w:t>enskilda och företag som kontaktar landskapsregeringens byggenergiexpert</w:t>
      </w:r>
      <w:r w:rsidR="0018302B">
        <w:t>.</w:t>
      </w:r>
      <w:r w:rsidR="0018302B" w:rsidRPr="0018302B">
        <w:t xml:space="preserve"> </w:t>
      </w:r>
      <w:r w:rsidR="0018302B">
        <w:t xml:space="preserve">Andra rådgivnings- och informationsmetoder är </w:t>
      </w:r>
      <w:r>
        <w:t>informationsmöten, deltagande i mässor, information som läggs upp på olika webbplatser, personlig rådgivning via e-post och telefon, pressmeddelanden, informationsspridning i traditionell media, elektroniska och tryckta guider</w:t>
      </w:r>
      <w:r w:rsidR="009E48EE">
        <w:t xml:space="preserve"> och </w:t>
      </w:r>
      <w:r>
        <w:t xml:space="preserve">kampanjer på sociala medier. Allt detta bedrivs i samarbete med aktörer inom offentlig och privat sektor. I övrigt </w:t>
      </w:r>
      <w:r w:rsidR="00C01E5C">
        <w:t>finns</w:t>
      </w:r>
      <w:r>
        <w:t xml:space="preserve"> både konsumentrådgivning och en konsumenttvistenämnd som uppfyller artikelns bestämmelser.</w:t>
      </w:r>
      <w:r w:rsidR="009B4BF0">
        <w:t xml:space="preserve"> Trots detta behöver b</w:t>
      </w:r>
      <w:r>
        <w:t>estämmelserna i landskapslag</w:t>
      </w:r>
      <w:r w:rsidR="009B4BF0">
        <w:t>en</w:t>
      </w:r>
      <w:r>
        <w:t xml:space="preserve"> om </w:t>
      </w:r>
      <w:r w:rsidR="000A33F4" w:rsidRPr="000A33F4">
        <w:t>energieffektivitet</w:t>
      </w:r>
      <w:r w:rsidR="000A33F4">
        <w:t xml:space="preserve"> </w:t>
      </w:r>
      <w:r>
        <w:t xml:space="preserve">kompletteras </w:t>
      </w:r>
      <w:r w:rsidR="000A33F4">
        <w:t xml:space="preserve">med en ny paragraf där </w:t>
      </w:r>
      <w:r>
        <w:t xml:space="preserve">landskapsregeringen uttryckligen utses till gemensam kontaktpunkt för energieffektivitetsfrågor och åläggs </w:t>
      </w:r>
      <w:r w:rsidR="009B4BF0">
        <w:t xml:space="preserve">att </w:t>
      </w:r>
      <w:r>
        <w:t>tillhandahålla den rådgivning och information som anges i artikel 22.</w:t>
      </w:r>
      <w:r w:rsidR="0018302B">
        <w:t xml:space="preserve"> </w:t>
      </w:r>
    </w:p>
    <w:p w14:paraId="405895D9" w14:textId="77777777" w:rsidR="00F85227" w:rsidRDefault="00F85227" w:rsidP="00F85227">
      <w:pPr>
        <w:pStyle w:val="ANormal"/>
      </w:pPr>
    </w:p>
    <w:p w14:paraId="2594EFC2" w14:textId="77777777" w:rsidR="00F85227" w:rsidRDefault="00F85227" w:rsidP="00CA1B9C">
      <w:pPr>
        <w:pStyle w:val="RubrikC"/>
      </w:pPr>
      <w:bookmarkStart w:id="7" w:name="_Toc230359342"/>
      <w:r>
        <w:t>2.3 Ändring av förvaltningsuppgifter</w:t>
      </w:r>
      <w:bookmarkEnd w:id="7"/>
    </w:p>
    <w:p w14:paraId="2666D4DC" w14:textId="77777777" w:rsidR="000D2C28" w:rsidRPr="000D2C28" w:rsidRDefault="000D2C28" w:rsidP="000D2C28">
      <w:pPr>
        <w:pStyle w:val="Rubrikmellanrum"/>
      </w:pPr>
    </w:p>
    <w:p w14:paraId="5DBEA743" w14:textId="3A1EDE09" w:rsidR="00F85227" w:rsidRDefault="00C01E5C" w:rsidP="00F85227">
      <w:pPr>
        <w:pStyle w:val="ANormal"/>
      </w:pPr>
      <w:r>
        <w:t>D</w:t>
      </w:r>
      <w:r w:rsidR="00F85227">
        <w:t xml:space="preserve">et finns </w:t>
      </w:r>
      <w:r>
        <w:t xml:space="preserve">även </w:t>
      </w:r>
      <w:r w:rsidR="00F85227">
        <w:t>ett behov av att förtydliga ansvarsfördelningen mellan Ålands energimyndighet och landskapsregeringen i fråga om de förvaltnings- och tillsynsuppgifter som följer av landskapslagen (2016:20) om energieffektivitet. Detta gäller särskilt uppgifter som nyligen har tillkommit (</w:t>
      </w:r>
      <w:r>
        <w:t>till exempel</w:t>
      </w:r>
      <w:r w:rsidR="00F85227">
        <w:t xml:space="preserve"> datacenter) och som kommer att komma genom ändringarna i rikets energieffektivitetslag med anledning av implementeringen av det nya energieffektivitetsdirektivet.</w:t>
      </w:r>
    </w:p>
    <w:p w14:paraId="0970AF19" w14:textId="1C8BCAA8" w:rsidR="00F85227" w:rsidRDefault="000D2C28" w:rsidP="00F85227">
      <w:pPr>
        <w:pStyle w:val="ANormal"/>
      </w:pPr>
      <w:r>
        <w:tab/>
      </w:r>
      <w:r w:rsidR="00F85227">
        <w:t xml:space="preserve">För närvarande finns bestämmelser om myndighetsuppgifter både i landskapslagen (2016:20) om energieffektivitet och i landskapslagen (2015:103) om Ålands energimyndighet. </w:t>
      </w:r>
      <w:r w:rsidR="00C01E5C">
        <w:t xml:space="preserve">Nu föreslår landskapsregeringen att uppgifterna överförs på Ålands energimyndighet. Därför </w:t>
      </w:r>
      <w:r w:rsidR="00F85227">
        <w:t>behöver 4</w:t>
      </w:r>
      <w:r w:rsidR="00976149">
        <w:t> §</w:t>
      </w:r>
      <w:r w:rsidR="00F85227">
        <w:t xml:space="preserve"> i landskapslagen om energieffektivitet och</w:t>
      </w:r>
      <w:r w:rsidR="00C01E5C">
        <w:t xml:space="preserve"> </w:t>
      </w:r>
      <w:r w:rsidR="00F85227">
        <w:t>1</w:t>
      </w:r>
      <w:r w:rsidR="00976149">
        <w:t> §</w:t>
      </w:r>
      <w:r w:rsidR="00F85227">
        <w:t xml:space="preserve"> i landskapslagen om Ålands energimyndighet</w:t>
      </w:r>
      <w:r w:rsidR="00C01E5C">
        <w:t xml:space="preserve"> ändras för att </w:t>
      </w:r>
      <w:r w:rsidR="00F85227">
        <w:t>skapa tydlighet kring vem som bär ansvar för vilka uppgifter.</w:t>
      </w:r>
      <w:r w:rsidR="00C01E5C">
        <w:t xml:space="preserve"> </w:t>
      </w:r>
      <w:r w:rsidR="00F85227">
        <w:t>En tydliga</w:t>
      </w:r>
      <w:r w:rsidR="00C01E5C">
        <w:t>re</w:t>
      </w:r>
      <w:r w:rsidR="00F85227">
        <w:t xml:space="preserve"> ansvarsfördelning bidra</w:t>
      </w:r>
      <w:r w:rsidR="00C01E5C">
        <w:t>r</w:t>
      </w:r>
      <w:r w:rsidR="00F85227">
        <w:t xml:space="preserve"> till en effektivare tillämpning av lagstiftning</w:t>
      </w:r>
      <w:r w:rsidR="00C01E5C">
        <w:t>en</w:t>
      </w:r>
      <w:r w:rsidR="00F85227">
        <w:t xml:space="preserve"> och underlätta</w:t>
      </w:r>
      <w:r w:rsidR="00C01E5C">
        <w:t>r</w:t>
      </w:r>
      <w:r w:rsidR="00F85227">
        <w:t xml:space="preserve"> både tillsyn och förvaltning.</w:t>
      </w:r>
    </w:p>
    <w:p w14:paraId="2980059E" w14:textId="77777777" w:rsidR="00967DA0" w:rsidRDefault="00967DA0" w:rsidP="00F85227">
      <w:pPr>
        <w:pStyle w:val="ANormal"/>
      </w:pPr>
    </w:p>
    <w:p w14:paraId="34F0AC7C" w14:textId="6DE905A9" w:rsidR="00967DA0" w:rsidRDefault="00967DA0" w:rsidP="00967DA0">
      <w:pPr>
        <w:pStyle w:val="RubrikB"/>
      </w:pPr>
      <w:bookmarkStart w:id="8" w:name="_Toc230359343"/>
      <w:r>
        <w:lastRenderedPageBreak/>
        <w:t xml:space="preserve">3. </w:t>
      </w:r>
      <w:r w:rsidRPr="00967DA0">
        <w:t>Ändring av 7</w:t>
      </w:r>
      <w:r w:rsidR="00976149">
        <w:t> §</w:t>
      </w:r>
      <w:r w:rsidRPr="00967DA0">
        <w:t xml:space="preserve"> landskapslagen om kontaktpunkt, tillståndsprocesser för förnybar energi och områden för främjande av förnybar energi</w:t>
      </w:r>
      <w:bookmarkEnd w:id="8"/>
    </w:p>
    <w:p w14:paraId="3A50AB6A" w14:textId="77777777" w:rsidR="00967DA0" w:rsidRDefault="00967DA0" w:rsidP="00967DA0">
      <w:pPr>
        <w:pStyle w:val="Rubrikmellanrum"/>
      </w:pPr>
    </w:p>
    <w:p w14:paraId="4ADB46EC" w14:textId="500F1011" w:rsidR="00130EBF" w:rsidRDefault="00967DA0" w:rsidP="00130EBF">
      <w:pPr>
        <w:pStyle w:val="ANormal"/>
      </w:pPr>
      <w:r>
        <w:t>Landskapsregeringen föreslår att 7</w:t>
      </w:r>
      <w:r w:rsidR="00976149">
        <w:t> §</w:t>
      </w:r>
      <w:r>
        <w:t xml:space="preserve"> </w:t>
      </w:r>
      <w:r w:rsidR="00130EBF">
        <w:t xml:space="preserve">i </w:t>
      </w:r>
      <w:r w:rsidR="00130EBF" w:rsidRPr="00130EBF">
        <w:t xml:space="preserve">landskapslagen om kontaktpunkt, tillståndsprocesser för förnybar energi och områden för främjande av förnybar energi </w:t>
      </w:r>
      <w:r>
        <w:t xml:space="preserve">kompletteras med ett nytt moment för att uppfylla bestämmelserna i artikel 16a, punkterna 4 och 5 i RED III-direktivet. </w:t>
      </w:r>
      <w:r w:rsidR="00130EBF">
        <w:t>Artikel 16a handlar om tillståndsförfarande för accelerationsområden för förnybar energi och anger att m</w:t>
      </w:r>
      <w:r w:rsidR="00130EBF" w:rsidRPr="00967DA0">
        <w:t xml:space="preserve">edlemsstaterna ska säkerställa att det tillståndsförfarande </w:t>
      </w:r>
      <w:r w:rsidR="00806951" w:rsidRPr="00967DA0">
        <w:t xml:space="preserve">för projekt för förnybar energi </w:t>
      </w:r>
      <w:r w:rsidR="00130EBF" w:rsidRPr="00967DA0">
        <w:t>som avses i artikel 16.1 inte pågår längre än tolv månader i accelerationsområden för förnybar energi.</w:t>
      </w:r>
      <w:r w:rsidR="00130EBF">
        <w:t xml:space="preserve"> För att klara detta tidsfönster anges i artikeln att </w:t>
      </w:r>
      <w:r w:rsidR="00130EBF" w:rsidRPr="00130EBF">
        <w:t xml:space="preserve">nya ansökningar </w:t>
      </w:r>
      <w:r w:rsidR="00130EBF">
        <w:t xml:space="preserve">för vissa angivna projekt </w:t>
      </w:r>
      <w:r w:rsidR="00130EBF" w:rsidRPr="00130EBF">
        <w:t>i utsedda accelerationsområden för förnybar energi</w:t>
      </w:r>
      <w:r w:rsidR="00130EBF">
        <w:t xml:space="preserve"> </w:t>
      </w:r>
      <w:r w:rsidR="008D34E3" w:rsidRPr="008D34E3">
        <w:t>undantas från kravet på att genomföra en särskild miljökonsekvensbedömning</w:t>
      </w:r>
      <w:r w:rsidR="008D34E3">
        <w:t xml:space="preserve">. Ansökningarna ska däremot granskas ur </w:t>
      </w:r>
      <w:r w:rsidR="008D34E3" w:rsidRPr="008D34E3">
        <w:t>ett miljöperspekti</w:t>
      </w:r>
      <w:r w:rsidR="008D34E3">
        <w:t xml:space="preserve">v. </w:t>
      </w:r>
      <w:r w:rsidR="008D34E3" w:rsidRPr="008D34E3">
        <w:t>Efter granskningsprocessen ska ansökningar</w:t>
      </w:r>
      <w:r w:rsidR="008D34E3">
        <w:t>na</w:t>
      </w:r>
      <w:r w:rsidR="008D34E3" w:rsidRPr="008D34E3">
        <w:t xml:space="preserve"> godkännas ur ett miljöperspektiv utan att det krävs något uttryckligt beslut från den behöriga myndigheten, såvida inte myndigheten antar ett administrativt beslut</w:t>
      </w:r>
      <w:r w:rsidR="00806951">
        <w:t xml:space="preserve"> </w:t>
      </w:r>
      <w:r w:rsidR="008D34E3" w:rsidRPr="008D34E3">
        <w:t>enligt vilket ett visst projekt högst sannolikt kommer att ge upphov till betydande oförutsedda negativa effekter med hänsyn till</w:t>
      </w:r>
      <w:r w:rsidR="00806951">
        <w:t xml:space="preserve"> </w:t>
      </w:r>
      <w:r w:rsidR="008D34E3" w:rsidRPr="008D34E3">
        <w:t>miljöns känslighet i det geografiska område där projektet är beläget och som inte kan begränsas genom de åtgärder som anges i planerna som utser accelerationsområden för förnybar energi, eller som föreslås av projektexploatören.</w:t>
      </w:r>
    </w:p>
    <w:p w14:paraId="593C96E3" w14:textId="538FBC06" w:rsidR="00130EBF" w:rsidRDefault="008D34E3" w:rsidP="00130EBF">
      <w:pPr>
        <w:pStyle w:val="ANormal"/>
      </w:pPr>
      <w:r>
        <w:tab/>
      </w:r>
      <w:r w:rsidRPr="008D34E3">
        <w:t xml:space="preserve">Momentet fanns med i lagförslag 15/2024–2025 i en version som </w:t>
      </w:r>
      <w:r w:rsidR="00806951">
        <w:t xml:space="preserve">följde direktivet och angav att </w:t>
      </w:r>
      <w:r w:rsidR="00806951" w:rsidRPr="008D34E3">
        <w:t xml:space="preserve">Ålands miljö- och hälsoskyddsmyndighet skulle granska ansökningar över projekt i accelerationsområden för förnybar energi ur ett miljöperspektiv och endast fatta beslut om de ansåg att projektet högst sannolikt skulle komma att ge upphov till betydande oförutsedda negativa miljöeffekter. </w:t>
      </w:r>
      <w:r w:rsidRPr="008D34E3">
        <w:t xml:space="preserve">Huruvida granskningsförfarandet </w:t>
      </w:r>
      <w:r w:rsidR="00807B68">
        <w:t xml:space="preserve">skulle </w:t>
      </w:r>
      <w:r w:rsidRPr="008D34E3">
        <w:t>led</w:t>
      </w:r>
      <w:r w:rsidR="00807B68">
        <w:t>a</w:t>
      </w:r>
      <w:r w:rsidRPr="008D34E3">
        <w:t xml:space="preserve"> till ett förvaltningsbeslut eller inte berodde enligt bestämmelsen alltså på ifall Ålands miljö- och hälsoskyddsmyndighet i det enskilda fallet upptäckte betydande oförutsedda negativa miljöeffekter</w:t>
      </w:r>
      <w:r w:rsidR="00807B68">
        <w:t xml:space="preserve"> eller inte</w:t>
      </w:r>
      <w:r w:rsidRPr="008D34E3">
        <w:t xml:space="preserve">. </w:t>
      </w:r>
      <w:r w:rsidR="00807B68">
        <w:t xml:space="preserve">Denna bestämmelse fälldes av Högsta domstolen. </w:t>
      </w:r>
      <w:r w:rsidRPr="008D34E3">
        <w:t>HD ansåg att de</w:t>
      </w:r>
      <w:r w:rsidR="00807B68">
        <w:t>n bestämmelsen</w:t>
      </w:r>
      <w:r w:rsidRPr="008D34E3">
        <w:t xml:space="preserve"> </w:t>
      </w:r>
      <w:r>
        <w:t>inte var förenligt med grundlagen</w:t>
      </w:r>
      <w:r w:rsidR="00807B68">
        <w:t>s</w:t>
      </w:r>
      <w:r>
        <w:t xml:space="preserve"> </w:t>
      </w:r>
      <w:r w:rsidRPr="008D34E3">
        <w:t>20</w:t>
      </w:r>
      <w:r w:rsidR="00976149">
        <w:t> §</w:t>
      </w:r>
      <w:r w:rsidRPr="008D34E3">
        <w:t xml:space="preserve"> 2</w:t>
      </w:r>
      <w:r w:rsidR="00976149">
        <w:t> mom.</w:t>
      </w:r>
      <w:r w:rsidRPr="008D34E3">
        <w:t xml:space="preserve"> och 21</w:t>
      </w:r>
      <w:r w:rsidR="00976149">
        <w:t> §</w:t>
      </w:r>
      <w:r w:rsidRPr="008D34E3">
        <w:t xml:space="preserve"> 2</w:t>
      </w:r>
      <w:r w:rsidR="00976149">
        <w:t> mom.</w:t>
      </w:r>
      <w:r w:rsidRPr="008D34E3">
        <w:t xml:space="preserve"> Enligt 20</w:t>
      </w:r>
      <w:r w:rsidR="00976149">
        <w:t> §</w:t>
      </w:r>
      <w:r w:rsidRPr="008D34E3">
        <w:t xml:space="preserve"> 2</w:t>
      </w:r>
      <w:r w:rsidR="00976149">
        <w:t> mom.</w:t>
      </w:r>
      <w:r w:rsidRPr="008D34E3">
        <w:t xml:space="preserve"> grundlagen ska det allmänna verka för att var och en har möjlighet att påverka beslut i frågor som gäller den egna livsmiljön. Enligt 21</w:t>
      </w:r>
      <w:r w:rsidR="00976149">
        <w:t> §</w:t>
      </w:r>
      <w:r w:rsidRPr="008D34E3">
        <w:t xml:space="preserve"> 2</w:t>
      </w:r>
      <w:r w:rsidR="00976149">
        <w:t> mom.</w:t>
      </w:r>
      <w:r w:rsidRPr="008D34E3">
        <w:t xml:space="preserve"> grundlagen ska rätten att få motiverade beslut och rätten att söka ändring samt andra garantier för god förvaltning tryggas genom lag.</w:t>
      </w:r>
    </w:p>
    <w:p w14:paraId="2DAF5B27" w14:textId="6CE836B0" w:rsidR="00967DA0" w:rsidRDefault="00807B68" w:rsidP="00967DA0">
      <w:pPr>
        <w:pStyle w:val="ANormal"/>
      </w:pPr>
      <w:r>
        <w:tab/>
      </w:r>
      <w:r w:rsidR="00967DA0">
        <w:t>Enligt det nya 3</w:t>
      </w:r>
      <w:r w:rsidR="00976149">
        <w:t> mom.</w:t>
      </w:r>
      <w:r w:rsidR="00967DA0">
        <w:t xml:space="preserve"> ska </w:t>
      </w:r>
      <w:r>
        <w:t xml:space="preserve">Ålands miljö- och hälsoskyddsmyndighet alltid fatta ett </w:t>
      </w:r>
      <w:r w:rsidR="00967DA0">
        <w:t>beslut om de</w:t>
      </w:r>
      <w:r>
        <w:t>t</w:t>
      </w:r>
      <w:r w:rsidR="00967DA0">
        <w:t xml:space="preserve"> slutliga resultatet av granskningen. Om Ålands miljö- och hälsoskyddsmyndighet upptäcker att projektet sannolikt kommer att leda till betydande oförutsedda negativa miljöeffekter som inte kan begränsas genom de åtgärder som anges i planerna som utser accelerationsområdet för förnybar energi, eller som föreslås av exploatören fattar Ålands miljö- och hälsoskyddsmyndighet ett beslut där projektet inte godkänns ur ett miljöperspektiv. Sådana projekt för förnybar energi ska bli föremål för en miljökonsekvensbedömning enligt landskapslagen om miljökonsekvensbedömning och miljöbedömning som ska utföras inom sex månader från </w:t>
      </w:r>
      <w:proofErr w:type="spellStart"/>
      <w:r w:rsidR="00967DA0">
        <w:t>ÅMHM:s</w:t>
      </w:r>
      <w:proofErr w:type="spellEnd"/>
      <w:r w:rsidR="00967DA0">
        <w:t xml:space="preserve"> beslut.</w:t>
      </w:r>
    </w:p>
    <w:p w14:paraId="5003E012" w14:textId="77777777" w:rsidR="00F85227" w:rsidRDefault="00F85227" w:rsidP="002C7DEA">
      <w:pPr>
        <w:pStyle w:val="ANormal"/>
      </w:pPr>
    </w:p>
    <w:p w14:paraId="483BBD5E" w14:textId="16E83AC2" w:rsidR="0066653A" w:rsidRDefault="00967DA0" w:rsidP="002C1010">
      <w:pPr>
        <w:pStyle w:val="RubrikB"/>
      </w:pPr>
      <w:bookmarkStart w:id="9" w:name="_Toc230359344"/>
      <w:r>
        <w:t>4</w:t>
      </w:r>
      <w:r w:rsidR="002C1010">
        <w:t xml:space="preserve">. </w:t>
      </w:r>
      <w:r w:rsidR="0066653A">
        <w:t>Lagstiftningsbehörigheten</w:t>
      </w:r>
      <w:bookmarkEnd w:id="9"/>
    </w:p>
    <w:p w14:paraId="513CE4BE" w14:textId="77777777" w:rsidR="002C1010" w:rsidRPr="002C1010" w:rsidRDefault="002C1010" w:rsidP="002C1010">
      <w:pPr>
        <w:pStyle w:val="Rubrikmellanrum"/>
      </w:pPr>
    </w:p>
    <w:p w14:paraId="77BFA277" w14:textId="2386E7F7" w:rsidR="00AF3004" w:rsidRDefault="0066653A" w:rsidP="0066653A">
      <w:pPr>
        <w:pStyle w:val="ANormal"/>
      </w:pPr>
      <w:r>
        <w:t>Enligt 18</w:t>
      </w:r>
      <w:r w:rsidR="00976149">
        <w:t> §</w:t>
      </w:r>
      <w:r>
        <w:t xml:space="preserve"> 1 och 4</w:t>
      </w:r>
      <w:r w:rsidR="00976149">
        <w:t> punkt</w:t>
      </w:r>
      <w:r>
        <w:t xml:space="preserve">erna i självstyrelselagen för Åland </w:t>
      </w:r>
      <w:r w:rsidR="00944698">
        <w:t>har</w:t>
      </w:r>
      <w:r>
        <w:t xml:space="preserve"> </w:t>
      </w:r>
      <w:r w:rsidR="00944698">
        <w:t xml:space="preserve">landskapet </w:t>
      </w:r>
      <w:r>
        <w:t xml:space="preserve">lagstiftningsbehörigheten i fråga om landskapsregeringen och </w:t>
      </w:r>
      <w:r w:rsidR="00944698">
        <w:t>dess</w:t>
      </w:r>
      <w:r>
        <w:t xml:space="preserve"> </w:t>
      </w:r>
      <w:r w:rsidR="00944698">
        <w:t>under</w:t>
      </w:r>
      <w:r>
        <w:t>lydande myndigheter. Den nu aktuella landskapslagstiftningen</w:t>
      </w:r>
      <w:r w:rsidR="006F6CAF">
        <w:t xml:space="preserve"> </w:t>
      </w:r>
      <w:r>
        <w:t xml:space="preserve">gäller även byggnadsväsendet, bostadsproduktion, natur och miljövård samt </w:t>
      </w:r>
      <w:r>
        <w:lastRenderedPageBreak/>
        <w:t>näringsverksamhet</w:t>
      </w:r>
      <w:r w:rsidR="00944698">
        <w:t>,</w:t>
      </w:r>
      <w:r>
        <w:t xml:space="preserve"> områden </w:t>
      </w:r>
      <w:r w:rsidR="00944698">
        <w:t xml:space="preserve">där landskapet har </w:t>
      </w:r>
      <w:r>
        <w:t>lagstiftningsbehörighet</w:t>
      </w:r>
      <w:r w:rsidR="00944698">
        <w:t xml:space="preserve"> </w:t>
      </w:r>
      <w:r>
        <w:t>enligt 18</w:t>
      </w:r>
      <w:r w:rsidR="00976149">
        <w:t> §</w:t>
      </w:r>
      <w:r>
        <w:t xml:space="preserve"> 7, 10 och 22</w:t>
      </w:r>
      <w:r w:rsidR="00976149">
        <w:t> punkt</w:t>
      </w:r>
      <w:r>
        <w:t>erna i självstyrelselagen.</w:t>
      </w:r>
    </w:p>
    <w:p w14:paraId="15EEBD49" w14:textId="77777777" w:rsidR="0066653A" w:rsidRDefault="0066653A" w:rsidP="0066653A">
      <w:pPr>
        <w:pStyle w:val="ANormal"/>
      </w:pPr>
    </w:p>
    <w:p w14:paraId="65D977F2" w14:textId="6494FCDA" w:rsidR="004949F2" w:rsidRDefault="00967DA0" w:rsidP="004949F2">
      <w:pPr>
        <w:pStyle w:val="RubrikB"/>
        <w:rPr>
          <w:noProof/>
        </w:rPr>
      </w:pPr>
      <w:bookmarkStart w:id="10" w:name="_Toc128552625"/>
      <w:bookmarkStart w:id="11" w:name="_Toc128664170"/>
      <w:bookmarkStart w:id="12" w:name="_Toc230359345"/>
      <w:r>
        <w:rPr>
          <w:noProof/>
        </w:rPr>
        <w:t>5</w:t>
      </w:r>
      <w:r w:rsidR="004949F2" w:rsidRPr="00AB4E53">
        <w:rPr>
          <w:noProof/>
        </w:rPr>
        <w:t xml:space="preserve">. </w:t>
      </w:r>
      <w:r w:rsidR="004949F2">
        <w:rPr>
          <w:noProof/>
        </w:rPr>
        <w:t>Förslagets konsekvenser</w:t>
      </w:r>
      <w:bookmarkEnd w:id="10"/>
      <w:bookmarkEnd w:id="11"/>
      <w:bookmarkEnd w:id="12"/>
    </w:p>
    <w:p w14:paraId="62DB79DF" w14:textId="77777777" w:rsidR="004949F2" w:rsidRDefault="004949F2" w:rsidP="004949F2">
      <w:pPr>
        <w:pStyle w:val="Rubrikmellanrum"/>
      </w:pPr>
    </w:p>
    <w:p w14:paraId="15E98555" w14:textId="295D663B" w:rsidR="009B4BF0" w:rsidRDefault="009B4BF0" w:rsidP="009B4BF0">
      <w:pPr>
        <w:pStyle w:val="ANormal"/>
      </w:pPr>
      <w:r>
        <w:t xml:space="preserve">Energirådgivning och information om energieffektiva lösningar till allmänheten har positiva effekter </w:t>
      </w:r>
      <w:r w:rsidR="00461558">
        <w:t xml:space="preserve">för miljön och </w:t>
      </w:r>
      <w:r>
        <w:t>för hushållen då energibesparingar även leder till ekonomiska besparingar. Syftet med information och rådgivning om energieffektiva val och åtgärder kan leda till sparåtgärder samt investeringar i energieffektivitetslösningar och lösningar med förnybar energi, vilka när de genomförs även gynnar tjänsteleverantörer.</w:t>
      </w:r>
    </w:p>
    <w:p w14:paraId="72A0B862" w14:textId="33E71B60" w:rsidR="00D039EF" w:rsidRDefault="009B4BF0" w:rsidP="00C01E5C">
      <w:pPr>
        <w:pStyle w:val="ANormal"/>
      </w:pPr>
      <w:r>
        <w:tab/>
        <w:t>Med den förslagna ändringen utses landskapsregeringen uttryckligen till gemensam kontaktpunkt för energieffektivitetsfrågor och får ansvar för att tillhandahålla rådgivning och information enligt artikel 22 i energieffektivitetsdirektivet. Dessa uppgifter bedöms kunna hanteras inom ramen för befintliga resurser, eftersom liknande verksamhet redan bedrivs idag genom energirådgivning, informationsinsatser och befintliga kommunikationskanaler. De förslagna lagändringarna innebär därmed inte något omedelbart behov av ytterligare personal eller finansiering.</w:t>
      </w:r>
      <w:r w:rsidR="00D039EF" w:rsidRPr="00D039EF">
        <w:t xml:space="preserve"> Däremot kan konstateras att landskapsregeringen inte för närvarande har anställd personal, eller för den delen anlitat externa aktörer, som endast jobbar med energiinformations- och rådgivningsinsatser. Det kan även konstateras att tillgängliggörandet, spridningen och frekvensen av informations- och energirådgivningstjänster begränsas av tillgängliga ekonomiska resurser i enlighet med budgeterade medel för denna typ av insatser.</w:t>
      </w:r>
    </w:p>
    <w:p w14:paraId="3809B241" w14:textId="5FBC09FB" w:rsidR="00C01E5C" w:rsidRDefault="00C01E5C" w:rsidP="00C01E5C">
      <w:pPr>
        <w:pStyle w:val="ANormal"/>
      </w:pPr>
      <w:r>
        <w:tab/>
        <w:t xml:space="preserve">När nya uppgifter läggs på Ålands energimyndighet får myndigheten ett utökat ansvar som bedöms kunna hanteras genom en </w:t>
      </w:r>
      <w:r w:rsidR="00493EE7">
        <w:t xml:space="preserve">kommande planerad </w:t>
      </w:r>
      <w:r>
        <w:t>omfördelning av uppgifter</w:t>
      </w:r>
      <w:r w:rsidR="00493EE7">
        <w:t xml:space="preserve"> från Ålands energimyndighet till </w:t>
      </w:r>
      <w:r>
        <w:t>landskapsförvaltningen.</w:t>
      </w:r>
    </w:p>
    <w:p w14:paraId="253EDD43" w14:textId="52B7DBD9" w:rsidR="009B4BF0" w:rsidRDefault="00461558" w:rsidP="004949F2">
      <w:pPr>
        <w:pStyle w:val="ANormal"/>
      </w:pPr>
      <w:r>
        <w:tab/>
      </w:r>
      <w:r w:rsidRPr="002C1010">
        <w:t>Förslaget bedöms inte ha några verkningar för jämställdheten mellan könen eller för barn.</w:t>
      </w:r>
    </w:p>
    <w:p w14:paraId="78195B34" w14:textId="77777777" w:rsidR="004949F2" w:rsidRDefault="004949F2" w:rsidP="004949F2">
      <w:pPr>
        <w:pStyle w:val="ANormal"/>
      </w:pPr>
    </w:p>
    <w:p w14:paraId="7FCCDD29" w14:textId="3780B643" w:rsidR="004949F2" w:rsidRDefault="00967DA0" w:rsidP="004949F2">
      <w:pPr>
        <w:pStyle w:val="RubrikB"/>
        <w:rPr>
          <w:noProof/>
        </w:rPr>
      </w:pPr>
      <w:bookmarkStart w:id="13" w:name="_Toc128552629"/>
      <w:bookmarkStart w:id="14" w:name="_Toc128664174"/>
      <w:bookmarkStart w:id="15" w:name="_Toc230359346"/>
      <w:r>
        <w:rPr>
          <w:noProof/>
        </w:rPr>
        <w:t>6</w:t>
      </w:r>
      <w:r w:rsidR="004949F2" w:rsidRPr="00AB4E53">
        <w:rPr>
          <w:noProof/>
        </w:rPr>
        <w:t xml:space="preserve">. </w:t>
      </w:r>
      <w:r w:rsidR="004949F2">
        <w:rPr>
          <w:noProof/>
        </w:rPr>
        <w:t>Ärendets beredning</w:t>
      </w:r>
      <w:bookmarkEnd w:id="13"/>
      <w:bookmarkEnd w:id="14"/>
      <w:bookmarkEnd w:id="15"/>
    </w:p>
    <w:p w14:paraId="714D7716" w14:textId="77777777" w:rsidR="004949F2" w:rsidRDefault="004949F2" w:rsidP="004949F2">
      <w:pPr>
        <w:pStyle w:val="Rubrikmellanrum"/>
      </w:pPr>
    </w:p>
    <w:p w14:paraId="43DE774F" w14:textId="77777777" w:rsidR="004949F2" w:rsidRDefault="004949F2" w:rsidP="004949F2">
      <w:pPr>
        <w:pStyle w:val="ANormal"/>
      </w:pPr>
      <w:r>
        <w:t>Ärendet har beretts som tjänstemannaberedning vid landskapsregeringens infrastrukturavdelning och på lagberedningen.</w:t>
      </w:r>
    </w:p>
    <w:p w14:paraId="393D4910" w14:textId="77777777" w:rsidR="004949F2" w:rsidRDefault="004949F2" w:rsidP="0066653A">
      <w:pPr>
        <w:pStyle w:val="ANormal"/>
      </w:pPr>
    </w:p>
    <w:p w14:paraId="0DC8B6A1" w14:textId="77777777" w:rsidR="00AF3004" w:rsidRDefault="00AF3004">
      <w:pPr>
        <w:pStyle w:val="RubrikA"/>
      </w:pPr>
      <w:bookmarkStart w:id="16" w:name="_Toc230359347"/>
      <w:r>
        <w:t>Detaljmotivering</w:t>
      </w:r>
      <w:bookmarkEnd w:id="16"/>
    </w:p>
    <w:p w14:paraId="6812FAA7" w14:textId="77777777" w:rsidR="00AF3004" w:rsidRDefault="00AF3004">
      <w:pPr>
        <w:pStyle w:val="Rubrikmellanrum"/>
      </w:pPr>
    </w:p>
    <w:p w14:paraId="58597614" w14:textId="398FE77F" w:rsidR="00C70957" w:rsidRDefault="008C5A89" w:rsidP="00C70957">
      <w:pPr>
        <w:pStyle w:val="RubrikB"/>
      </w:pPr>
      <w:bookmarkStart w:id="17" w:name="_Toc230359348"/>
      <w:r>
        <w:t>1</w:t>
      </w:r>
      <w:r w:rsidR="00C70957" w:rsidRPr="008C5A89">
        <w:t xml:space="preserve">. </w:t>
      </w:r>
      <w:r w:rsidR="00C70957">
        <w:t xml:space="preserve">Ändring av </w:t>
      </w:r>
      <w:r w:rsidR="00C70957" w:rsidRPr="00C70957">
        <w:t>landskapslagen om energieffektivitet</w:t>
      </w:r>
      <w:bookmarkEnd w:id="17"/>
    </w:p>
    <w:p w14:paraId="791AEB40" w14:textId="77777777" w:rsidR="00C70957" w:rsidRPr="00C70957" w:rsidRDefault="00C70957" w:rsidP="00C70957">
      <w:pPr>
        <w:pStyle w:val="Rubrikmellanrum"/>
      </w:pPr>
    </w:p>
    <w:p w14:paraId="6870B841" w14:textId="6190CA5F" w:rsidR="00C70957" w:rsidRDefault="00C70957" w:rsidP="00362687">
      <w:pPr>
        <w:pStyle w:val="ANormal"/>
      </w:pPr>
      <w:r>
        <w:t>2</w:t>
      </w:r>
      <w:r w:rsidR="00976149">
        <w:t> §</w:t>
      </w:r>
      <w:r>
        <w:t xml:space="preserve"> </w:t>
      </w:r>
      <w:r w:rsidRPr="00F736F4">
        <w:rPr>
          <w:i/>
          <w:iCs/>
        </w:rPr>
        <w:t>Avvikelser från rikslagen</w:t>
      </w:r>
      <w:r>
        <w:t xml:space="preserve">. </w:t>
      </w:r>
      <w:r w:rsidR="000D2C28">
        <w:t xml:space="preserve">Paragrafen </w:t>
      </w:r>
      <w:r w:rsidR="00F736F4">
        <w:t>informerar om vilken åländsk lagstiftning som är tillämplig när rikets energieffektivitetslag används på Åland.</w:t>
      </w:r>
    </w:p>
    <w:p w14:paraId="183EC7CD" w14:textId="77777777" w:rsidR="00C70957" w:rsidRDefault="00C70957" w:rsidP="00362687">
      <w:pPr>
        <w:pStyle w:val="ANormal"/>
      </w:pPr>
    </w:p>
    <w:p w14:paraId="2C7CB964" w14:textId="33D42F04" w:rsidR="00C70957" w:rsidRDefault="00C70957" w:rsidP="00C70957">
      <w:pPr>
        <w:pStyle w:val="ANormal"/>
      </w:pPr>
      <w:r>
        <w:t>3</w:t>
      </w:r>
      <w:r w:rsidR="00976149">
        <w:t> §</w:t>
      </w:r>
      <w:r>
        <w:t xml:space="preserve"> </w:t>
      </w:r>
      <w:r w:rsidRPr="002A126A">
        <w:rPr>
          <w:i/>
          <w:iCs/>
        </w:rPr>
        <w:t>Behörighet att utföra energi</w:t>
      </w:r>
      <w:r w:rsidR="00391F32">
        <w:rPr>
          <w:i/>
          <w:iCs/>
        </w:rPr>
        <w:t>besiktningar</w:t>
      </w:r>
      <w:r>
        <w:t>.</w:t>
      </w:r>
      <w:r w:rsidR="00F736F4">
        <w:t xml:space="preserve"> Paragrafen har inte ändrats i sak men </w:t>
      </w:r>
      <w:r w:rsidR="002A126A">
        <w:t>hänvisar nu till det nya energieffektivitetsdirektivet</w:t>
      </w:r>
      <w:r w:rsidR="00612169">
        <w:t xml:space="preserve"> direktiv </w:t>
      </w:r>
      <w:r w:rsidR="00612169" w:rsidRPr="00A16155">
        <w:t>(EU) 2023/179</w:t>
      </w:r>
      <w:r w:rsidR="00612169">
        <w:t>1</w:t>
      </w:r>
      <w:r w:rsidR="002A126A">
        <w:t>.</w:t>
      </w:r>
      <w:r w:rsidR="00F736F4">
        <w:t xml:space="preserve"> </w:t>
      </w:r>
      <w:r w:rsidR="002A126A">
        <w:t>Energi</w:t>
      </w:r>
      <w:r w:rsidR="00672CAC">
        <w:t xml:space="preserve">besiktning </w:t>
      </w:r>
      <w:r w:rsidR="002A126A">
        <w:t xml:space="preserve">benämns </w:t>
      </w:r>
      <w:r w:rsidR="00672CAC">
        <w:t xml:space="preserve">i </w:t>
      </w:r>
      <w:r w:rsidR="00672CAC" w:rsidRPr="00A16155">
        <w:t>direktiv</w:t>
      </w:r>
      <w:r w:rsidR="00612169">
        <w:t>et</w:t>
      </w:r>
      <w:r w:rsidR="00672CAC" w:rsidRPr="00A16155">
        <w:t xml:space="preserve"> </w:t>
      </w:r>
      <w:r w:rsidR="002A126A">
        <w:t>energi</w:t>
      </w:r>
      <w:r w:rsidR="00672CAC">
        <w:t>kartläggning</w:t>
      </w:r>
      <w:r w:rsidR="002A126A">
        <w:t>.</w:t>
      </w:r>
    </w:p>
    <w:p w14:paraId="03AD90B5" w14:textId="77777777" w:rsidR="00C70957" w:rsidRDefault="00C70957" w:rsidP="00C70957">
      <w:pPr>
        <w:pStyle w:val="ANormal"/>
      </w:pPr>
    </w:p>
    <w:p w14:paraId="55FA1CAF" w14:textId="5769FC24" w:rsidR="00C70957" w:rsidRDefault="00C70957" w:rsidP="009A200C">
      <w:pPr>
        <w:pStyle w:val="ANormal"/>
      </w:pPr>
      <w:r>
        <w:t>4</w:t>
      </w:r>
      <w:r w:rsidR="00976149">
        <w:t> §</w:t>
      </w:r>
      <w:r>
        <w:t xml:space="preserve"> </w:t>
      </w:r>
      <w:r w:rsidRPr="00F9692F">
        <w:rPr>
          <w:i/>
          <w:iCs/>
        </w:rPr>
        <w:t>Myndighetsutövning</w:t>
      </w:r>
      <w:r>
        <w:t xml:space="preserve">. </w:t>
      </w:r>
      <w:r w:rsidR="00F9692F">
        <w:t xml:space="preserve">Paragrafen </w:t>
      </w:r>
      <w:r w:rsidR="009A200C">
        <w:t xml:space="preserve">preciserar </w:t>
      </w:r>
      <w:r w:rsidR="00F9692F">
        <w:t>att det är Ålands energimyndighet som sköter de förvaltningsuppgifter som enligt energieffektivitetslagen sköts av statens myndigheter i riket.</w:t>
      </w:r>
      <w:r w:rsidR="009A200C">
        <w:t xml:space="preserve"> Till myndighetens uppgifter hör bland annat att ta in uppgifter från verksamhetsutövare om </w:t>
      </w:r>
      <w:r w:rsidR="009A200C" w:rsidRPr="009A200C">
        <w:t>tillämpning av principen om energieffektivitet först</w:t>
      </w:r>
      <w:r w:rsidR="009A200C">
        <w:t xml:space="preserve">, ta emot redovisning av energiförbrukning av offentliga organ, föra ett </w:t>
      </w:r>
      <w:r w:rsidR="009A200C" w:rsidRPr="009A200C">
        <w:t>register över personer som är ansvariga för energibesiktningar av företag</w:t>
      </w:r>
      <w:r w:rsidR="009A200C">
        <w:t>, begära in uppgifter om energiförsäljningen från energidetaljister och bränslegrossister</w:t>
      </w:r>
      <w:r w:rsidR="00EF5F50">
        <w:t xml:space="preserve"> och</w:t>
      </w:r>
      <w:r w:rsidR="009A200C">
        <w:t xml:space="preserve"> sköta frågor om kostnadsnyttoanalys som avses i rikets energieffektivitetslag.</w:t>
      </w:r>
    </w:p>
    <w:p w14:paraId="6EAA7ED9" w14:textId="77777777" w:rsidR="00612169" w:rsidRDefault="00612169" w:rsidP="00C70957">
      <w:pPr>
        <w:pStyle w:val="ANormal"/>
      </w:pPr>
    </w:p>
    <w:p w14:paraId="019D9113" w14:textId="0DED39D2" w:rsidR="00976149" w:rsidRDefault="00612169" w:rsidP="00612169">
      <w:pPr>
        <w:pStyle w:val="ANormal"/>
      </w:pPr>
      <w:r>
        <w:lastRenderedPageBreak/>
        <w:t>4a</w:t>
      </w:r>
      <w:r w:rsidR="00976149">
        <w:t> §</w:t>
      </w:r>
      <w:r>
        <w:t xml:space="preserve"> </w:t>
      </w:r>
      <w:r w:rsidRPr="00612169">
        <w:rPr>
          <w:i/>
          <w:iCs/>
        </w:rPr>
        <w:t>Gemensam kontaktpunkt</w:t>
      </w:r>
      <w:r>
        <w:t xml:space="preserve">. I paragrafen ges landskapsregeringen ansvaret för att en gemensam kontaktpunkt upprättas </w:t>
      </w:r>
      <w:r w:rsidRPr="00612169">
        <w:t>för tillhandahållande av teknisk, administrativ och finansiell rådgivning för energieffektivitet som avses i artikel 22.4–22.6 i energieffektivitetsdirektivet.</w:t>
      </w:r>
      <w:r>
        <w:t xml:space="preserve"> </w:t>
      </w:r>
      <w:r w:rsidR="00955943">
        <w:t>I energieffektivitetsdirektivet anges att k</w:t>
      </w:r>
      <w:r>
        <w:t>ontaktpunkten</w:t>
      </w:r>
    </w:p>
    <w:p w14:paraId="7364FCC6" w14:textId="03D14268" w:rsidR="00976149" w:rsidRDefault="00976149" w:rsidP="00612169">
      <w:pPr>
        <w:pStyle w:val="ANormal"/>
      </w:pPr>
      <w:r>
        <w:tab/>
      </w:r>
      <w:r w:rsidR="00955943">
        <w:t xml:space="preserve">a) </w:t>
      </w:r>
      <w:r w:rsidR="00612169">
        <w:t>ska ge rådgivning med effektiv information om tekniska och finansiella möjligheter och lösningar för hushåll, små och medelstora företag, mikroföretag och offentliga organ,</w:t>
      </w:r>
    </w:p>
    <w:p w14:paraId="09593C1C" w14:textId="6FD97102" w:rsidR="00976149" w:rsidRDefault="00976149" w:rsidP="00612169">
      <w:pPr>
        <w:pStyle w:val="ANormal"/>
      </w:pPr>
      <w:r>
        <w:tab/>
      </w:r>
      <w:r w:rsidR="00612169">
        <w:t>b) ge heltäckande stöd till alla hushåll, med särskild inriktning på hushåll som påverkas av energifattigdom och de byggnader som har sämst energiprestanda, samt till ackrediterade företag och installatörer som tillhandahåller eftermonteringstjänster, anpassade till olika typer av bostäder och geografiska områden, och ge stöd som omfattar de olika etapperna i eftermonteringsprojektet, även för att underlätta genomförandet av en minimistandard för energiprestanda, om en sådan standards fastställs i en unionsrättsakt och</w:t>
      </w:r>
    </w:p>
    <w:p w14:paraId="207F5A0D" w14:textId="3F63B9BD" w:rsidR="00612169" w:rsidRDefault="00976149" w:rsidP="00612169">
      <w:pPr>
        <w:pStyle w:val="ANormal"/>
      </w:pPr>
      <w:r>
        <w:tab/>
      </w:r>
      <w:r w:rsidR="00612169">
        <w:t>c) ge råd om beteenden avseende energianvändning.</w:t>
      </w:r>
    </w:p>
    <w:p w14:paraId="7C674192" w14:textId="77F19C85" w:rsidR="00612169" w:rsidRDefault="00612169" w:rsidP="00612169">
      <w:pPr>
        <w:pStyle w:val="ANormal"/>
      </w:pPr>
      <w:r>
        <w:tab/>
        <w:t>Kontaktpunkten ska även, när så är lämpligt</w:t>
      </w:r>
      <w:r w:rsidR="00955943">
        <w:t xml:space="preserve"> </w:t>
      </w:r>
      <w:r>
        <w:t>tillhandahålla information om kvalificerade yrkespersoner inom energieffektivitet,</w:t>
      </w:r>
      <w:r w:rsidR="00955943">
        <w:t xml:space="preserve"> </w:t>
      </w:r>
      <w:r>
        <w:t>samla in aggregerade typuppgifter från energieffektivitetsprojekt, utbyta erfarenheter och göra dem tillgängliga för allmänheten och</w:t>
      </w:r>
      <w:r w:rsidR="00955943">
        <w:t xml:space="preserve"> </w:t>
      </w:r>
      <w:r>
        <w:t>sammanlänka potentiella projekt med marknadsaktörer, särskilt småskaliga, lokala projekt.</w:t>
      </w:r>
    </w:p>
    <w:p w14:paraId="6343792D" w14:textId="77777777" w:rsidR="00AE6BF8" w:rsidRDefault="00AE6BF8" w:rsidP="00C70957">
      <w:pPr>
        <w:pStyle w:val="ANormal"/>
      </w:pPr>
    </w:p>
    <w:p w14:paraId="25D01480" w14:textId="44C2EDE0" w:rsidR="00C70957" w:rsidRDefault="008C5A89" w:rsidP="00C70957">
      <w:pPr>
        <w:pStyle w:val="RubrikB"/>
      </w:pPr>
      <w:bookmarkStart w:id="18" w:name="_Toc230359349"/>
      <w:r>
        <w:t>2</w:t>
      </w:r>
      <w:r w:rsidR="00C70957">
        <w:t xml:space="preserve">. Ändring </w:t>
      </w:r>
      <w:r w:rsidR="00C70957" w:rsidRPr="00C70957">
        <w:t>av 1</w:t>
      </w:r>
      <w:r w:rsidR="00976149">
        <w:t> §</w:t>
      </w:r>
      <w:r w:rsidR="00C70957" w:rsidRPr="00C70957">
        <w:t xml:space="preserve"> landskapslagen om Ålands energimyndighet</w:t>
      </w:r>
      <w:bookmarkEnd w:id="18"/>
    </w:p>
    <w:p w14:paraId="4CB18877" w14:textId="77777777" w:rsidR="00C70957" w:rsidRPr="00C70957" w:rsidRDefault="00C70957" w:rsidP="00C70957">
      <w:pPr>
        <w:pStyle w:val="Rubrikmellanrum"/>
      </w:pPr>
    </w:p>
    <w:p w14:paraId="00E1497E" w14:textId="42F3E165" w:rsidR="00C70957" w:rsidRDefault="009A2946" w:rsidP="00362687">
      <w:pPr>
        <w:pStyle w:val="ANormal"/>
      </w:pPr>
      <w:r>
        <w:t>1</w:t>
      </w:r>
      <w:r w:rsidR="00976149">
        <w:t> §</w:t>
      </w:r>
      <w:r>
        <w:t xml:space="preserve"> </w:t>
      </w:r>
      <w:r w:rsidRPr="009A2946">
        <w:rPr>
          <w:i/>
          <w:iCs/>
        </w:rPr>
        <w:t>Uppgifter</w:t>
      </w:r>
      <w:r>
        <w:rPr>
          <w:i/>
          <w:iCs/>
        </w:rPr>
        <w:t xml:space="preserve">. </w:t>
      </w:r>
      <w:r>
        <w:t xml:space="preserve">Paragrafen är av informativ karaktär och anger enligt vilka lagar Ålands energimyndighet har </w:t>
      </w:r>
      <w:r w:rsidRPr="009A2946">
        <w:t>tillsyns- och övervakningsuppgifter</w:t>
      </w:r>
      <w:r>
        <w:t>. Dessutom anges att Ålands energimyndighet</w:t>
      </w:r>
      <w:r w:rsidRPr="009A2946">
        <w:t xml:space="preserve"> </w:t>
      </w:r>
      <w:r>
        <w:t xml:space="preserve">även beslutar i ärenden enligt landskapslagen (2015:102) om tillämpning i landskapet Åland av riksförfattningar om </w:t>
      </w:r>
      <w:r w:rsidRPr="0005385B">
        <w:t xml:space="preserve">elmarknaden samt </w:t>
      </w:r>
      <w:r>
        <w:t xml:space="preserve">i </w:t>
      </w:r>
      <w:r w:rsidRPr="0005385B">
        <w:t>ärenden som avses i landskapslagen (2016:20) om energieffektivitet</w:t>
      </w:r>
      <w:r>
        <w:t>.</w:t>
      </w:r>
      <w:r w:rsidR="00EF1FC4">
        <w:t xml:space="preserve"> Ä</w:t>
      </w:r>
      <w:r w:rsidR="00EF1FC4" w:rsidRPr="00EF1FC4">
        <w:t xml:space="preserve">ndringen </w:t>
      </w:r>
      <w:r w:rsidR="00EF1FC4">
        <w:t>i 2</w:t>
      </w:r>
      <w:r w:rsidR="00976149">
        <w:t> mom.</w:t>
      </w:r>
      <w:r w:rsidR="00EF1FC4">
        <w:t xml:space="preserve"> </w:t>
      </w:r>
      <w:r w:rsidR="00EF1FC4" w:rsidRPr="00EF1FC4">
        <w:t>förtydliga</w:t>
      </w:r>
      <w:r w:rsidR="00EF1FC4">
        <w:t>r även</w:t>
      </w:r>
      <w:r w:rsidR="00EF1FC4" w:rsidRPr="00EF1FC4">
        <w:t xml:space="preserve"> myndighetsuppgifterna då </w:t>
      </w:r>
      <w:r w:rsidR="00EF1FC4">
        <w:t xml:space="preserve">det nu anges att Ålands energimyndighet även sköter </w:t>
      </w:r>
      <w:r w:rsidR="00EF1FC4" w:rsidRPr="00EF1FC4">
        <w:t xml:space="preserve">förvaltningsuppgifter </w:t>
      </w:r>
      <w:r w:rsidR="00EF1FC4">
        <w:t>i de lagar som anges i momentet</w:t>
      </w:r>
      <w:r w:rsidR="00EF1FC4" w:rsidRPr="00EF1FC4">
        <w:t>.</w:t>
      </w:r>
    </w:p>
    <w:p w14:paraId="323F933F" w14:textId="77777777" w:rsidR="00B36877" w:rsidRDefault="00B36877" w:rsidP="00362687">
      <w:pPr>
        <w:pStyle w:val="ANormal"/>
      </w:pPr>
    </w:p>
    <w:p w14:paraId="15BFB06B" w14:textId="67776F9B" w:rsidR="00B36877" w:rsidRDefault="008C5A89" w:rsidP="00B36877">
      <w:pPr>
        <w:pStyle w:val="RubrikB"/>
      </w:pPr>
      <w:bookmarkStart w:id="19" w:name="_Toc230359350"/>
      <w:r>
        <w:t>3</w:t>
      </w:r>
      <w:r w:rsidR="00B36877">
        <w:t xml:space="preserve">. Ändring </w:t>
      </w:r>
      <w:r w:rsidR="00B36877" w:rsidRPr="00C70957">
        <w:t xml:space="preserve">av </w:t>
      </w:r>
      <w:r w:rsidR="00B36877">
        <w:t>7</w:t>
      </w:r>
      <w:r w:rsidR="00976149">
        <w:t> §</w:t>
      </w:r>
      <w:r w:rsidR="00B36877" w:rsidRPr="00C70957">
        <w:t xml:space="preserve"> landskapslagen om </w:t>
      </w:r>
      <w:r w:rsidR="00B36877" w:rsidRPr="00B36877">
        <w:t>kontaktpunkt, tillståndsprocesser för förnybar energi och områden för främjande av förnybar energi</w:t>
      </w:r>
      <w:bookmarkEnd w:id="19"/>
    </w:p>
    <w:p w14:paraId="75DFC166" w14:textId="77777777" w:rsidR="00B36877" w:rsidRPr="00C70957" w:rsidRDefault="00B36877" w:rsidP="00B36877">
      <w:pPr>
        <w:pStyle w:val="Rubrikmellanrum"/>
      </w:pPr>
    </w:p>
    <w:p w14:paraId="3A8E0B4E" w14:textId="60CFDCF1" w:rsidR="006A51D4" w:rsidRPr="009A2946" w:rsidRDefault="00B36877" w:rsidP="006A51D4">
      <w:pPr>
        <w:pStyle w:val="ANormal"/>
      </w:pPr>
      <w:r>
        <w:t>7</w:t>
      </w:r>
      <w:r w:rsidR="00976149">
        <w:t> §</w:t>
      </w:r>
      <w:r w:rsidRPr="00B36877">
        <w:t xml:space="preserve"> </w:t>
      </w:r>
      <w:r w:rsidRPr="00C556D1">
        <w:rPr>
          <w:i/>
          <w:iCs/>
        </w:rPr>
        <w:t>Utredning av oförutsedda negativa effekter</w:t>
      </w:r>
      <w:r>
        <w:t xml:space="preserve">. </w:t>
      </w:r>
      <w:r w:rsidR="00B17698">
        <w:t xml:space="preserve">Paragrafen </w:t>
      </w:r>
      <w:r w:rsidR="00692304">
        <w:t xml:space="preserve">kompletteras med ett nytt moment </w:t>
      </w:r>
      <w:r w:rsidR="00B17698">
        <w:t>för att uppfylla bestämmelserna i artikel 16a,</w:t>
      </w:r>
      <w:r w:rsidR="00976149">
        <w:t> punkt</w:t>
      </w:r>
      <w:r w:rsidR="00B17698">
        <w:t xml:space="preserve">erna 4 och 5 i </w:t>
      </w:r>
      <w:r w:rsidR="00FE59E9">
        <w:t>RED III-direktivet</w:t>
      </w:r>
      <w:r w:rsidR="00FE59E9">
        <w:rPr>
          <w:rStyle w:val="Fotnotsreferens"/>
        </w:rPr>
        <w:footnoteReference w:id="2"/>
      </w:r>
      <w:r w:rsidR="00FE59E9">
        <w:t xml:space="preserve">. </w:t>
      </w:r>
      <w:r w:rsidR="006A51D4" w:rsidRPr="00C556D1">
        <w:t xml:space="preserve">Enligt </w:t>
      </w:r>
      <w:r w:rsidR="006A51D4">
        <w:t xml:space="preserve">det nya </w:t>
      </w:r>
      <w:r w:rsidR="006A51D4" w:rsidRPr="00C556D1">
        <w:t>3</w:t>
      </w:r>
      <w:r w:rsidR="00976149">
        <w:t> mom.</w:t>
      </w:r>
      <w:r w:rsidR="006A51D4" w:rsidRPr="00C556D1">
        <w:t xml:space="preserve"> ska beslut meddelas om det slutliga resultatet av granskningen</w:t>
      </w:r>
      <w:r w:rsidR="006A51D4">
        <w:t>. O</w:t>
      </w:r>
      <w:r w:rsidR="006A51D4" w:rsidRPr="00C556D1">
        <w:t>m Ålands miljö- och hälsoskyddsmyndighet upptäcker att projektet sannolikt kommer att leda till betydande oförutsedda negativa miljöeffekter som inte kan begränsas genom de åtgärder som anges i planerna som utser accelerationsområdet för förnybar energi, eller som föreslås av exploatören</w:t>
      </w:r>
      <w:r w:rsidR="006A51D4" w:rsidRPr="00BB4630">
        <w:t xml:space="preserve"> </w:t>
      </w:r>
      <w:r w:rsidR="006A51D4">
        <w:t xml:space="preserve">fattar </w:t>
      </w:r>
      <w:r w:rsidR="006A51D4" w:rsidRPr="00B06FFA">
        <w:t xml:space="preserve">Ålands miljö- och hälsoskyddsmyndighet </w:t>
      </w:r>
      <w:r w:rsidR="006A51D4">
        <w:t xml:space="preserve">ett beslut där projektet inte </w:t>
      </w:r>
      <w:r w:rsidR="006A51D4" w:rsidRPr="00B06FFA">
        <w:t>godkänns ur ett miljöperspektiv</w:t>
      </w:r>
      <w:r w:rsidR="006A51D4">
        <w:t>.</w:t>
      </w:r>
      <w:r w:rsidR="006A51D4" w:rsidRPr="00B06FFA">
        <w:t xml:space="preserve"> Sådana projekt för förnybar energi ska bli föremål för en miljökonsekvensbedömning enligt landskapslagen om miljökonsekvensbedömning och miljöbedömning som ska utföras inom sex månader från </w:t>
      </w:r>
      <w:proofErr w:type="spellStart"/>
      <w:r w:rsidR="006A51D4">
        <w:t>ÅMHM:s</w:t>
      </w:r>
      <w:proofErr w:type="spellEnd"/>
      <w:r w:rsidR="006A51D4" w:rsidRPr="00B06FFA">
        <w:t xml:space="preserve"> beslut</w:t>
      </w:r>
      <w:r w:rsidR="006A51D4" w:rsidRPr="00C556D1">
        <w:t>.</w:t>
      </w:r>
    </w:p>
    <w:p w14:paraId="2A73AF46" w14:textId="5B5F6B93" w:rsidR="00BB4630" w:rsidRDefault="006A51D4" w:rsidP="00BB4630">
      <w:pPr>
        <w:pStyle w:val="ANormal"/>
      </w:pPr>
      <w:r>
        <w:tab/>
      </w:r>
      <w:r w:rsidR="00692304">
        <w:t>Momentet fanns med i l</w:t>
      </w:r>
      <w:r w:rsidR="00692304" w:rsidRPr="00692304">
        <w:t>agförslag 15/</w:t>
      </w:r>
      <w:r w:rsidR="003D1F0E" w:rsidRPr="00692304">
        <w:t>2024–2025</w:t>
      </w:r>
      <w:r w:rsidR="00692304">
        <w:t xml:space="preserve"> i en version som fälldes av Högsta domstolen</w:t>
      </w:r>
      <w:r w:rsidR="00692304">
        <w:rPr>
          <w:rStyle w:val="Fotnotsreferens"/>
        </w:rPr>
        <w:footnoteReference w:id="3"/>
      </w:r>
      <w:r w:rsidR="00692304">
        <w:t xml:space="preserve">. I den ursprungliga versionen av </w:t>
      </w:r>
      <w:r w:rsidR="00BB4630">
        <w:t>mom</w:t>
      </w:r>
      <w:r w:rsidR="00692304">
        <w:t xml:space="preserve">entet angavs att </w:t>
      </w:r>
      <w:r w:rsidR="00692304">
        <w:lastRenderedPageBreak/>
        <w:t xml:space="preserve">Ålands miljö- och hälsoskyddsmyndighet skulle granska </w:t>
      </w:r>
      <w:r w:rsidR="00BB4630">
        <w:t xml:space="preserve">ansökningar </w:t>
      </w:r>
      <w:r w:rsidR="00D604E1">
        <w:t xml:space="preserve">över projekt i </w:t>
      </w:r>
      <w:r w:rsidR="00D604E1" w:rsidRPr="00D604E1">
        <w:t>accelerationsområde</w:t>
      </w:r>
      <w:r w:rsidR="00D604E1">
        <w:t>n</w:t>
      </w:r>
      <w:r w:rsidR="00D604E1" w:rsidRPr="00D604E1">
        <w:t xml:space="preserve"> för förnybar energi </w:t>
      </w:r>
      <w:r w:rsidR="003D1F0E">
        <w:t xml:space="preserve">ur ett miljöperspektiv </w:t>
      </w:r>
      <w:r w:rsidR="00D604E1">
        <w:t>och</w:t>
      </w:r>
      <w:r w:rsidR="003D1F0E">
        <w:t xml:space="preserve"> endast fatta beslut om de </w:t>
      </w:r>
      <w:r w:rsidR="00D604E1">
        <w:t xml:space="preserve">ansåg att </w:t>
      </w:r>
      <w:r w:rsidR="00BB4630">
        <w:t>projekt</w:t>
      </w:r>
      <w:r w:rsidR="00D604E1">
        <w:t>et</w:t>
      </w:r>
      <w:r w:rsidR="00BB4630">
        <w:t xml:space="preserve"> högst sannolikt </w:t>
      </w:r>
      <w:r w:rsidR="00812B9D">
        <w:t xml:space="preserve">skulle </w:t>
      </w:r>
      <w:r w:rsidR="00BB4630">
        <w:t>komm</w:t>
      </w:r>
      <w:r w:rsidR="00812B9D">
        <w:t>a</w:t>
      </w:r>
      <w:r w:rsidR="00BB4630">
        <w:t xml:space="preserve"> att ge upphov till betydande oförutsedda negativa </w:t>
      </w:r>
      <w:r w:rsidR="00D604E1">
        <w:t xml:space="preserve">miljöeffekter. </w:t>
      </w:r>
      <w:r w:rsidR="00BB4630">
        <w:t>Huruvida granskningsförfarandet leder till ett förvaltningsbeslut eller inte bero</w:t>
      </w:r>
      <w:r w:rsidR="00812B9D">
        <w:t>dde</w:t>
      </w:r>
      <w:r w:rsidR="00BB4630">
        <w:t xml:space="preserve"> enligt bestämmelsen </w:t>
      </w:r>
      <w:r w:rsidR="00D604E1">
        <w:t xml:space="preserve">alltså </w:t>
      </w:r>
      <w:r w:rsidR="00BB4630">
        <w:t>på ifall Ålands miljö- och hälsoskyddsmyndighet i det enskilda fallet upptäck</w:t>
      </w:r>
      <w:r w:rsidR="003D1F0E">
        <w:t>t</w:t>
      </w:r>
      <w:r w:rsidR="00BB4630">
        <w:t xml:space="preserve">e betydande oförutsedda negativa miljöeffekter. </w:t>
      </w:r>
      <w:r w:rsidR="00D604E1">
        <w:t>HD ansåg att detta var problematiskt u</w:t>
      </w:r>
      <w:r w:rsidR="00BB4630">
        <w:t>r en grundlagssynvinkel i ljuset av 20</w:t>
      </w:r>
      <w:r w:rsidR="00976149">
        <w:t> §</w:t>
      </w:r>
      <w:r w:rsidR="00BB4630">
        <w:t xml:space="preserve"> 2</w:t>
      </w:r>
      <w:r w:rsidR="00976149">
        <w:t> mom.</w:t>
      </w:r>
      <w:r w:rsidR="00BB4630">
        <w:t xml:space="preserve"> och 21</w:t>
      </w:r>
      <w:r w:rsidR="00976149">
        <w:t> §</w:t>
      </w:r>
      <w:r w:rsidR="00BB4630">
        <w:t xml:space="preserve"> 2</w:t>
      </w:r>
      <w:r w:rsidR="00976149">
        <w:t> mom.</w:t>
      </w:r>
      <w:r w:rsidR="00BB4630">
        <w:t xml:space="preserve"> grundlagen</w:t>
      </w:r>
      <w:r>
        <w:t xml:space="preserve"> och fällde momentet</w:t>
      </w:r>
      <w:r w:rsidR="00BB4630">
        <w:t>. Enligt 20</w:t>
      </w:r>
      <w:r w:rsidR="00976149">
        <w:t> §</w:t>
      </w:r>
      <w:r w:rsidR="00BB4630">
        <w:t xml:space="preserve"> 2</w:t>
      </w:r>
      <w:r w:rsidR="00976149">
        <w:t> mom.</w:t>
      </w:r>
      <w:r w:rsidR="00BB4630">
        <w:t xml:space="preserve"> grundlagen ska det allmänna verka för att var och en har möjlighet att påverka beslut i frågor som gäller den egna livsmiljön. Enligt 21</w:t>
      </w:r>
      <w:r w:rsidR="00976149">
        <w:t> §</w:t>
      </w:r>
      <w:r w:rsidR="00BB4630">
        <w:t xml:space="preserve"> 2</w:t>
      </w:r>
      <w:r w:rsidR="00976149">
        <w:t> mom.</w:t>
      </w:r>
      <w:r w:rsidR="00BB4630">
        <w:t xml:space="preserve"> grundlagen ska rätten att få motiverade beslut och rätten att söka ändring samt andra garantier för god förvaltning tryggas genom lag.</w:t>
      </w:r>
    </w:p>
    <w:p w14:paraId="1F040EB0" w14:textId="77777777" w:rsidR="00B01F70" w:rsidRDefault="00B01F70" w:rsidP="00BB4630">
      <w:pPr>
        <w:pStyle w:val="ANormal"/>
      </w:pPr>
    </w:p>
    <w:p w14:paraId="4A744524" w14:textId="174CFE4E" w:rsidR="00B01F70" w:rsidRDefault="00B01F70">
      <w:pPr>
        <w:rPr>
          <w:sz w:val="22"/>
          <w:szCs w:val="20"/>
        </w:rPr>
      </w:pPr>
      <w:r>
        <w:br w:type="page"/>
      </w:r>
    </w:p>
    <w:p w14:paraId="04A60BE8" w14:textId="77777777" w:rsidR="006A51D4" w:rsidRDefault="006A51D4" w:rsidP="00B36877">
      <w:pPr>
        <w:pStyle w:val="ANormal"/>
      </w:pPr>
    </w:p>
    <w:p w14:paraId="1BCFABD2" w14:textId="58C54B41" w:rsidR="00AF3004" w:rsidRDefault="00AF3004">
      <w:pPr>
        <w:pStyle w:val="RubrikA"/>
      </w:pPr>
      <w:bookmarkStart w:id="20" w:name="_Toc230359351"/>
      <w:r>
        <w:t>Lagtext</w:t>
      </w:r>
      <w:bookmarkEnd w:id="20"/>
    </w:p>
    <w:p w14:paraId="3D6FBEF4" w14:textId="77777777" w:rsidR="0070459A" w:rsidRPr="0070459A" w:rsidRDefault="0070459A" w:rsidP="0070459A">
      <w:pPr>
        <w:pStyle w:val="Rubrikmellanrum"/>
      </w:pPr>
    </w:p>
    <w:p w14:paraId="49C39ABF" w14:textId="0A103AE0" w:rsidR="00AF3004" w:rsidRDefault="00AF3004">
      <w:pPr>
        <w:pStyle w:val="ANormal"/>
      </w:pPr>
      <w:r>
        <w:t>Landskapsregeringen föreslår att följande lag</w:t>
      </w:r>
      <w:r w:rsidR="00497876">
        <w:t>ar</w:t>
      </w:r>
      <w:r>
        <w:t xml:space="preserve"> antas.</w:t>
      </w:r>
    </w:p>
    <w:p w14:paraId="7014794F" w14:textId="77777777" w:rsidR="00AF3004" w:rsidRDefault="00AF3004">
      <w:pPr>
        <w:pStyle w:val="ANormal"/>
      </w:pPr>
    </w:p>
    <w:p w14:paraId="402C3375" w14:textId="77777777" w:rsidR="00497876" w:rsidRDefault="00497876">
      <w:pPr>
        <w:pStyle w:val="ANormal"/>
      </w:pPr>
    </w:p>
    <w:p w14:paraId="6BD33140" w14:textId="0D298D7D" w:rsidR="0073488C" w:rsidRDefault="008C5A89" w:rsidP="0073488C">
      <w:pPr>
        <w:pStyle w:val="ANormal"/>
      </w:pPr>
      <w:r>
        <w:t>1</w:t>
      </w:r>
      <w:r w:rsidR="0073488C" w:rsidRPr="00FE1E1D">
        <w:t>.</w:t>
      </w:r>
    </w:p>
    <w:p w14:paraId="1D9579C6" w14:textId="77777777" w:rsidR="00B01F70" w:rsidRPr="00FE1E1D" w:rsidRDefault="00B01F70" w:rsidP="0073488C">
      <w:pPr>
        <w:pStyle w:val="ANormal"/>
      </w:pPr>
    </w:p>
    <w:p w14:paraId="20156102" w14:textId="1BEBF389" w:rsidR="0073488C" w:rsidRPr="00E954FF" w:rsidRDefault="0073488C" w:rsidP="0073488C">
      <w:pPr>
        <w:pStyle w:val="LagHuvRubr"/>
      </w:pPr>
      <w:bookmarkStart w:id="21" w:name="_Toc230359352"/>
      <w:r w:rsidRPr="00E954FF">
        <w:t>L A N D S K A P S L A G</w:t>
      </w:r>
      <w:r w:rsidRPr="00E954FF">
        <w:br/>
      </w:r>
      <w:bookmarkStart w:id="22" w:name="_Hlk220677057"/>
      <w:r w:rsidRPr="00E954FF">
        <w:t>om ändring av landskapslagen om energi</w:t>
      </w:r>
      <w:r>
        <w:t>effektivitet</w:t>
      </w:r>
      <w:bookmarkEnd w:id="21"/>
    </w:p>
    <w:p w14:paraId="6F374DD5" w14:textId="77777777" w:rsidR="0073488C" w:rsidRPr="00E954FF" w:rsidRDefault="0073488C" w:rsidP="0073488C">
      <w:pPr>
        <w:pStyle w:val="ANormal"/>
      </w:pPr>
    </w:p>
    <w:p w14:paraId="37B1E8DA" w14:textId="77777777" w:rsidR="0073488C" w:rsidRDefault="0073488C" w:rsidP="0073488C">
      <w:pPr>
        <w:pStyle w:val="ANormal"/>
      </w:pPr>
    </w:p>
    <w:p w14:paraId="33858D31" w14:textId="215BF779" w:rsidR="00C04A73" w:rsidRDefault="0073488C" w:rsidP="0073488C">
      <w:pPr>
        <w:pStyle w:val="ANormal"/>
      </w:pPr>
      <w:bookmarkStart w:id="23" w:name="_Hlk220923855"/>
      <w:r>
        <w:tab/>
        <w:t>I enlighet med lagtingets beslut</w:t>
      </w:r>
    </w:p>
    <w:p w14:paraId="54E1ACDA" w14:textId="747A338E" w:rsidR="00C04A73" w:rsidRDefault="00C04A73" w:rsidP="0073488C">
      <w:pPr>
        <w:pStyle w:val="ANormal"/>
      </w:pPr>
      <w:r>
        <w:tab/>
      </w:r>
      <w:r w:rsidR="0073488C" w:rsidRPr="00E954FF">
        <w:rPr>
          <w:b/>
          <w:bCs/>
        </w:rPr>
        <w:t>ändras</w:t>
      </w:r>
      <w:r w:rsidR="0073488C">
        <w:t xml:space="preserve"> 2</w:t>
      </w:r>
      <w:r w:rsidR="00976149">
        <w:t> §</w:t>
      </w:r>
      <w:r w:rsidR="00656160">
        <w:t xml:space="preserve"> 1</w:t>
      </w:r>
      <w:r w:rsidR="00976149">
        <w:t> mom.</w:t>
      </w:r>
      <w:r w:rsidR="00AD58CC">
        <w:t>,</w:t>
      </w:r>
      <w:r w:rsidR="00656160">
        <w:t xml:space="preserve"> </w:t>
      </w:r>
      <w:r w:rsidR="00F00C57">
        <w:t xml:space="preserve">3 </w:t>
      </w:r>
      <w:r w:rsidR="0073488C">
        <w:t>och 4</w:t>
      </w:r>
      <w:r w:rsidR="00976149">
        <w:t> §</w:t>
      </w:r>
      <w:r w:rsidR="0073488C">
        <w:t>§</w:t>
      </w:r>
      <w:r w:rsidR="00C557E4">
        <w:t xml:space="preserve"> </w:t>
      </w:r>
      <w:r w:rsidR="00391F32">
        <w:t xml:space="preserve">landskapslagen (2016:20) om </w:t>
      </w:r>
      <w:r w:rsidR="00391F32" w:rsidRPr="00DF5C55">
        <w:t>energieffektivite</w:t>
      </w:r>
      <w:r w:rsidR="00391F32">
        <w:t>t,</w:t>
      </w:r>
      <w:r w:rsidR="00391F32" w:rsidRPr="007A7C84">
        <w:t xml:space="preserve"> </w:t>
      </w:r>
      <w:r w:rsidR="00C557E4">
        <w:t>av dessa 2</w:t>
      </w:r>
      <w:r w:rsidR="00976149">
        <w:t> §</w:t>
      </w:r>
      <w:r w:rsidR="00656160">
        <w:t xml:space="preserve"> 1</w:t>
      </w:r>
      <w:r w:rsidR="00976149">
        <w:t> mom.</w:t>
      </w:r>
      <w:r w:rsidR="00DF5C55" w:rsidRPr="00DF5C55">
        <w:t xml:space="preserve"> </w:t>
      </w:r>
      <w:r w:rsidR="0073488C">
        <w:t>sådan</w:t>
      </w:r>
      <w:r w:rsidR="00656160">
        <w:t>t</w:t>
      </w:r>
      <w:r w:rsidR="0073488C">
        <w:t xml:space="preserve"> de</w:t>
      </w:r>
      <w:r w:rsidR="00656160">
        <w:t>t</w:t>
      </w:r>
      <w:r w:rsidR="0073488C">
        <w:t xml:space="preserve"> lyder i landskapslagen 202</w:t>
      </w:r>
      <w:r w:rsidR="00C557E4">
        <w:t>5</w:t>
      </w:r>
      <w:r w:rsidR="0073488C">
        <w:t>/</w:t>
      </w:r>
      <w:r w:rsidR="00C557E4">
        <w:t>83</w:t>
      </w:r>
      <w:r w:rsidR="0073488C">
        <w:t xml:space="preserve"> </w:t>
      </w:r>
      <w:r>
        <w:t>samt</w:t>
      </w:r>
    </w:p>
    <w:p w14:paraId="3F3ED26E" w14:textId="266D9197" w:rsidR="0073488C" w:rsidRDefault="00C04A73" w:rsidP="0073488C">
      <w:pPr>
        <w:pStyle w:val="ANormal"/>
      </w:pPr>
      <w:r>
        <w:tab/>
      </w:r>
      <w:r w:rsidRPr="006D7249">
        <w:rPr>
          <w:b/>
          <w:bCs/>
        </w:rPr>
        <w:t>fogas</w:t>
      </w:r>
      <w:r>
        <w:t xml:space="preserve"> till lagen en ny </w:t>
      </w:r>
      <w:r w:rsidR="00612169">
        <w:t>4a</w:t>
      </w:r>
      <w:r w:rsidR="00976149">
        <w:t> §</w:t>
      </w:r>
      <w:r w:rsidR="00612169">
        <w:t xml:space="preserve"> </w:t>
      </w:r>
      <w:r w:rsidR="0073488C">
        <w:t>som följer:</w:t>
      </w:r>
    </w:p>
    <w:bookmarkEnd w:id="22"/>
    <w:bookmarkEnd w:id="23"/>
    <w:p w14:paraId="2376D050" w14:textId="77777777" w:rsidR="0073488C" w:rsidRDefault="0073488C">
      <w:pPr>
        <w:pStyle w:val="ANormal"/>
      </w:pPr>
    </w:p>
    <w:p w14:paraId="31295366" w14:textId="23E44F28" w:rsidR="00C557E4" w:rsidRDefault="00C557E4" w:rsidP="00976149">
      <w:pPr>
        <w:pStyle w:val="LagParagraf"/>
      </w:pPr>
      <w:r>
        <w:t>2</w:t>
      </w:r>
      <w:r w:rsidR="00976149">
        <w:t> §</w:t>
      </w:r>
    </w:p>
    <w:p w14:paraId="4B730801" w14:textId="3C58338F" w:rsidR="00C557E4" w:rsidRDefault="00C557E4" w:rsidP="00976149">
      <w:pPr>
        <w:pStyle w:val="LagPararubrik"/>
      </w:pPr>
      <w:r w:rsidRPr="00C557E4">
        <w:t>Avvikelser från rikslagen</w:t>
      </w:r>
    </w:p>
    <w:p w14:paraId="7945D2EB" w14:textId="1DF78B04" w:rsidR="00F00C57" w:rsidRDefault="00F00C57" w:rsidP="00976149">
      <w:pPr>
        <w:pStyle w:val="ANormal"/>
      </w:pPr>
      <w:r>
        <w:tab/>
        <w:t>Vid tillämpningen av energieffektivitetslagen ska hänvisningen i lagens</w:t>
      </w:r>
    </w:p>
    <w:p w14:paraId="06B97F68" w14:textId="55A7B5D5" w:rsidR="00F00C57" w:rsidRDefault="00F00C57" w:rsidP="00976149">
      <w:pPr>
        <w:pStyle w:val="ANormal"/>
      </w:pPr>
      <w:r>
        <w:tab/>
        <w:t>1) 3</w:t>
      </w:r>
      <w:r w:rsidR="00976149">
        <w:t> </w:t>
      </w:r>
      <w:r>
        <w:t>f</w:t>
      </w:r>
      <w:r w:rsidR="00976149">
        <w:t> §</w:t>
      </w:r>
      <w:r>
        <w:t xml:space="preserve"> till 11</w:t>
      </w:r>
      <w:r w:rsidR="00976149">
        <w:t> §</w:t>
      </w:r>
      <w:r>
        <w:t xml:space="preserve"> i bygglagen (FFS 751/2023) avse definitionen för </w:t>
      </w:r>
      <w:proofErr w:type="spellStart"/>
      <w:r>
        <w:t>näranoll</w:t>
      </w:r>
      <w:proofErr w:type="spellEnd"/>
      <w:r>
        <w:t>-energibyggnad i avsnitt 9:12 i bilagan till landskapsförordningen (2015:5) om Ålands byggbestämmelsesamling,</w:t>
      </w:r>
    </w:p>
    <w:p w14:paraId="155959FA" w14:textId="68A6BFD8" w:rsidR="00F00C57" w:rsidRDefault="00F00C57" w:rsidP="00976149">
      <w:pPr>
        <w:pStyle w:val="ANormal"/>
      </w:pPr>
      <w:r>
        <w:tab/>
        <w:t>2) 3</w:t>
      </w:r>
      <w:r w:rsidR="00976149">
        <w:t> </w:t>
      </w:r>
      <w:r>
        <w:t>f</w:t>
      </w:r>
      <w:r w:rsidR="00976149">
        <w:t> §</w:t>
      </w:r>
      <w:r>
        <w:t xml:space="preserve"> till 37</w:t>
      </w:r>
      <w:r w:rsidR="00976149">
        <w:t> §</w:t>
      </w:r>
      <w:r>
        <w:t xml:space="preserve"> 2</w:t>
      </w:r>
      <w:r w:rsidR="00976149">
        <w:t> mom.</w:t>
      </w:r>
      <w:r>
        <w:t xml:space="preserve"> i bygglagen (FFS 751/2023) avse kraven på energiprestanda i avsnitt 9:2 i bilagan till landskapsförordning (2015:5) om Ålands byggbestämmelsesamling,</w:t>
      </w:r>
    </w:p>
    <w:p w14:paraId="1FDD9135" w14:textId="799F4207" w:rsidR="00F00C57" w:rsidRDefault="00F00C57" w:rsidP="00976149">
      <w:pPr>
        <w:pStyle w:val="ANormal"/>
      </w:pPr>
      <w:r>
        <w:tab/>
        <w:t>3) 3</w:t>
      </w:r>
      <w:r w:rsidR="00976149">
        <w:t> </w:t>
      </w:r>
      <w:r>
        <w:t>f</w:t>
      </w:r>
      <w:r w:rsidR="00976149">
        <w:t> §</w:t>
      </w:r>
      <w:r>
        <w:t xml:space="preserve"> till lagen om energicertifikat för byggnader (FFS 50/2013) avse landskapslagen (2014:31) om energideklaration för byggnader,</w:t>
      </w:r>
    </w:p>
    <w:p w14:paraId="12185960" w14:textId="6680FDEA" w:rsidR="00F00C57" w:rsidRDefault="00F00C57" w:rsidP="00976149">
      <w:pPr>
        <w:pStyle w:val="ANormal"/>
      </w:pPr>
      <w:r>
        <w:tab/>
        <w:t>4) 13</w:t>
      </w:r>
      <w:r w:rsidR="00976149">
        <w:t> §</w:t>
      </w:r>
      <w:r>
        <w:t xml:space="preserve"> 3</w:t>
      </w:r>
      <w:r w:rsidR="00976149">
        <w:t> mom.</w:t>
      </w:r>
      <w:r>
        <w:t xml:space="preserve"> till lagen om erkännande av yrkeskvalifikationer (FFS 1384/2015) avse landskapslagen (2017:22) om erkännande av yrkeskvalifikationer,</w:t>
      </w:r>
    </w:p>
    <w:p w14:paraId="4B29776A" w14:textId="150173BC" w:rsidR="00F00C57" w:rsidRDefault="00F00C57" w:rsidP="00976149">
      <w:pPr>
        <w:pStyle w:val="ANormal"/>
      </w:pPr>
      <w:r>
        <w:tab/>
        <w:t>5) 22</w:t>
      </w:r>
      <w:r w:rsidR="00976149">
        <w:t> §</w:t>
      </w:r>
      <w:r>
        <w:t xml:space="preserve"> 3</w:t>
      </w:r>
      <w:r w:rsidR="00976149">
        <w:t> mom.</w:t>
      </w:r>
      <w:r>
        <w:t xml:space="preserve"> till lagen om hyra av bostadslägenheter (FFS 481/1995) avse hyreslagen (1999:19) för landskapet Åland,</w:t>
      </w:r>
    </w:p>
    <w:p w14:paraId="10D6F88D" w14:textId="5654ADC0" w:rsidR="00F00C57" w:rsidRDefault="00F00C57" w:rsidP="00976149">
      <w:pPr>
        <w:pStyle w:val="ANormal"/>
      </w:pPr>
      <w:r>
        <w:tab/>
        <w:t>6</w:t>
      </w:r>
      <w:r w:rsidRPr="00694765">
        <w:t xml:space="preserve">) </w:t>
      </w:r>
      <w:r w:rsidRPr="00C7247E">
        <w:t>27</w:t>
      </w:r>
      <w:r w:rsidR="00976149">
        <w:t> </w:t>
      </w:r>
      <w:r w:rsidRPr="00C7247E">
        <w:t>b</w:t>
      </w:r>
      <w:r w:rsidR="00976149">
        <w:t> §</w:t>
      </w:r>
      <w:r w:rsidRPr="00694765">
        <w:t xml:space="preserve"> </w:t>
      </w:r>
      <w:r>
        <w:t xml:space="preserve">till </w:t>
      </w:r>
      <w:r w:rsidRPr="00694765">
        <w:t>lagen om avskiljning och lagring av koldioxid (FFS 416/2012) avse landskapslagen (2012:79) om tillämpning i landskapet Åland av lagen om avskiljning och lagring av koldioxid</w:t>
      </w:r>
      <w:r>
        <w:t>,</w:t>
      </w:r>
    </w:p>
    <w:p w14:paraId="2209E0F0" w14:textId="099A72E6" w:rsidR="00F00C57" w:rsidRDefault="00F00C57" w:rsidP="00976149">
      <w:pPr>
        <w:pStyle w:val="ANormal"/>
      </w:pPr>
      <w:r>
        <w:tab/>
        <w:t>7) 31</w:t>
      </w:r>
      <w:r w:rsidR="00976149">
        <w:t> §</w:t>
      </w:r>
      <w:r>
        <w:t xml:space="preserve"> till viteslagen (FFS 1113/1990) avse landskapslagen (2008:10) om tillämpning i landskapet Åland av viteslagen.</w:t>
      </w:r>
    </w:p>
    <w:p w14:paraId="748C63C8" w14:textId="77777777" w:rsidR="00F00C57" w:rsidRDefault="00F00C57">
      <w:pPr>
        <w:pStyle w:val="ANormal"/>
      </w:pPr>
      <w:r>
        <w:t>- - - - - - - - - - - - - - - - - - - - - - - - - - - - - - - - - - - - - - - - - - - - - - - - - - - -</w:t>
      </w:r>
    </w:p>
    <w:p w14:paraId="546073DB" w14:textId="77777777" w:rsidR="0073488C" w:rsidRDefault="0073488C" w:rsidP="0073488C">
      <w:pPr>
        <w:pStyle w:val="ANormal"/>
      </w:pPr>
    </w:p>
    <w:p w14:paraId="28FD951E" w14:textId="656C02A7" w:rsidR="00F00C57" w:rsidRDefault="00F00C57" w:rsidP="00F00C57">
      <w:pPr>
        <w:pStyle w:val="LagParagraf"/>
      </w:pPr>
      <w:r>
        <w:t>3</w:t>
      </w:r>
      <w:r w:rsidR="00976149">
        <w:t> §</w:t>
      </w:r>
    </w:p>
    <w:p w14:paraId="234E5E2A" w14:textId="5114AC4D" w:rsidR="00F00C57" w:rsidRDefault="00F00C57" w:rsidP="00F00C57">
      <w:pPr>
        <w:pStyle w:val="LagPararubrik"/>
      </w:pPr>
      <w:r w:rsidRPr="00A16155">
        <w:t>Behörighet att utföra energi</w:t>
      </w:r>
      <w:r w:rsidR="00391F32">
        <w:t>besiktningar</w:t>
      </w:r>
    </w:p>
    <w:p w14:paraId="779E4031" w14:textId="31041643" w:rsidR="00F00C57" w:rsidRDefault="00F00C57" w:rsidP="00F00C57">
      <w:pPr>
        <w:pStyle w:val="ANormal"/>
      </w:pPr>
      <w:r>
        <w:tab/>
        <w:t>Energi</w:t>
      </w:r>
      <w:r w:rsidR="00391F32">
        <w:t>besiktningar</w:t>
      </w:r>
      <w:r>
        <w:t xml:space="preserve"> får utföras av </w:t>
      </w:r>
      <w:r w:rsidRPr="00A16155">
        <w:t>kvalificerade eller ackrediterade experter i enlighet med kvalificeringskriterier</w:t>
      </w:r>
      <w:r>
        <w:t xml:space="preserve"> eller av </w:t>
      </w:r>
      <w:r w:rsidRPr="00A16155">
        <w:t>interna experter eller energikartläggningsmän</w:t>
      </w:r>
      <w:r>
        <w:t xml:space="preserve"> som har de kompetenskrav som gäller för sådan behörighet i riket eller i Sverige, och som avses i artikel 11.5 i </w:t>
      </w:r>
      <w:r w:rsidRPr="00A16155">
        <w:t>Europaparlamentets och rådets direktiv (EU) 2023/1791 om energieffektivitet och om ändring av förordning (EU) 2023/955</w:t>
      </w:r>
      <w:r w:rsidR="00EB54AD">
        <w:t xml:space="preserve"> (energieffektivitetsdirektivet)</w:t>
      </w:r>
      <w:r>
        <w:t>.</w:t>
      </w:r>
    </w:p>
    <w:p w14:paraId="78995DBE" w14:textId="77777777" w:rsidR="00F00C57" w:rsidRDefault="00F00C57" w:rsidP="0073488C">
      <w:pPr>
        <w:pStyle w:val="ANormal"/>
      </w:pPr>
    </w:p>
    <w:p w14:paraId="2D35B09A" w14:textId="7958261F" w:rsidR="00F00C57" w:rsidRDefault="00F00C57" w:rsidP="00F00C57">
      <w:pPr>
        <w:pStyle w:val="LagParagraf"/>
      </w:pPr>
      <w:r>
        <w:t>4</w:t>
      </w:r>
      <w:r w:rsidR="00976149">
        <w:t> §</w:t>
      </w:r>
    </w:p>
    <w:p w14:paraId="7FC4DF48" w14:textId="77777777" w:rsidR="00F00C57" w:rsidRDefault="00F00C57" w:rsidP="00F00C57">
      <w:pPr>
        <w:pStyle w:val="LagPararubrik"/>
      </w:pPr>
      <w:r w:rsidRPr="00522785">
        <w:t>Myndighetsutövning</w:t>
      </w:r>
    </w:p>
    <w:p w14:paraId="7C06E5F5" w14:textId="7A196059" w:rsidR="00F00C57" w:rsidRPr="00976149" w:rsidRDefault="00F00C57" w:rsidP="00976149">
      <w:pPr>
        <w:pStyle w:val="ANormal"/>
      </w:pPr>
      <w:r w:rsidRPr="00976149">
        <w:tab/>
        <w:t>Om det inte finns andra bestämmelser i annan landskapslag ska de förvaltningsuppgifter som statens myndigheter har enligt rikets energieffektivitetslag skötas av Ålands energimyndighet, till den del förvaltningen hänför sig till uppgifter inom landskapets lagstiftningsbehörighet.</w:t>
      </w:r>
    </w:p>
    <w:p w14:paraId="674C72F7" w14:textId="2FB0D5A0" w:rsidR="0073488C" w:rsidRPr="00976149" w:rsidRDefault="00F00C57" w:rsidP="00976149">
      <w:pPr>
        <w:pStyle w:val="ANormal"/>
      </w:pPr>
      <w:r w:rsidRPr="00976149">
        <w:lastRenderedPageBreak/>
        <w:tab/>
        <w:t>Ålands energimyndighet ska ålägga den som bryter mot denna lag eller mot bestämmelser som utfärdats med stöd av lagen att avhjälpa felet eller försummelsen. Beslutet kan förenas med vite enligt bestämmelserna i landskapslagen om tillämpning i landskapet Åland av viteslagen.</w:t>
      </w:r>
    </w:p>
    <w:p w14:paraId="0B68845A" w14:textId="77777777" w:rsidR="00F00C57" w:rsidRPr="00976149" w:rsidRDefault="00F00C57" w:rsidP="00976149">
      <w:pPr>
        <w:pStyle w:val="ANormal"/>
      </w:pPr>
    </w:p>
    <w:p w14:paraId="0B3190D8" w14:textId="42523919" w:rsidR="00EB54AD" w:rsidRDefault="00EB54AD" w:rsidP="00EB54AD">
      <w:pPr>
        <w:pStyle w:val="LagParagraf"/>
      </w:pPr>
      <w:r>
        <w:t>4a</w:t>
      </w:r>
      <w:r w:rsidR="00976149">
        <w:t> §</w:t>
      </w:r>
    </w:p>
    <w:p w14:paraId="078E6013" w14:textId="3685FFEA" w:rsidR="00EB54AD" w:rsidRDefault="00612169" w:rsidP="00EB54AD">
      <w:pPr>
        <w:pStyle w:val="LagPararubrik"/>
      </w:pPr>
      <w:r>
        <w:t>G</w:t>
      </w:r>
      <w:r w:rsidRPr="00612169">
        <w:t>emensam kontaktpunkt</w:t>
      </w:r>
    </w:p>
    <w:p w14:paraId="3980211D" w14:textId="5EC5CA66" w:rsidR="00C04A73" w:rsidRDefault="00C04A73" w:rsidP="00F00C57">
      <w:pPr>
        <w:pStyle w:val="ANormal"/>
      </w:pPr>
      <w:r>
        <w:tab/>
      </w:r>
      <w:r w:rsidRPr="006D26B3">
        <w:t xml:space="preserve">Landskapsregeringen </w:t>
      </w:r>
      <w:r>
        <w:t xml:space="preserve">ska vara den gemensamma kontaktpunkt </w:t>
      </w:r>
      <w:r w:rsidRPr="00C04A73">
        <w:t xml:space="preserve">för tillhandahållande av teknisk, administrativ och finansiell rådgivning för energieffektivitet </w:t>
      </w:r>
      <w:r w:rsidR="00EB54AD">
        <w:t xml:space="preserve">som avses i artikel </w:t>
      </w:r>
      <w:r w:rsidRPr="00C04A73">
        <w:t>22.4–22.6 i energieffektivitetsdirektivet.</w:t>
      </w:r>
    </w:p>
    <w:p w14:paraId="58870106" w14:textId="77777777" w:rsidR="00C04A73" w:rsidRDefault="00C04A73" w:rsidP="00F00C57">
      <w:pPr>
        <w:pStyle w:val="ANormal"/>
      </w:pPr>
    </w:p>
    <w:p w14:paraId="1737CF0A" w14:textId="77777777" w:rsidR="0073488C" w:rsidRDefault="0073488C" w:rsidP="0073488C">
      <w:pPr>
        <w:pStyle w:val="ANormal"/>
        <w:jc w:val="center"/>
      </w:pPr>
      <w:hyperlink w:anchor="_top" w:tooltip="Klicka för att gå till toppen av dokumentet" w:history="1">
        <w:r>
          <w:rPr>
            <w:rStyle w:val="Hyperlnk"/>
          </w:rPr>
          <w:t>__________________</w:t>
        </w:r>
      </w:hyperlink>
    </w:p>
    <w:p w14:paraId="530E6549" w14:textId="77777777" w:rsidR="0073488C" w:rsidRDefault="0073488C" w:rsidP="0073488C">
      <w:pPr>
        <w:pStyle w:val="ANormal"/>
      </w:pPr>
    </w:p>
    <w:p w14:paraId="6A507344" w14:textId="77777777" w:rsidR="0073488C" w:rsidRDefault="0073488C" w:rsidP="0073488C">
      <w:pPr>
        <w:pStyle w:val="ANormal"/>
      </w:pPr>
      <w:r>
        <w:tab/>
        <w:t>Denna lag träder i kraft den</w:t>
      </w:r>
    </w:p>
    <w:p w14:paraId="2F12491E" w14:textId="77777777" w:rsidR="0073488C" w:rsidRDefault="0073488C">
      <w:pPr>
        <w:pStyle w:val="ANormal"/>
      </w:pPr>
    </w:p>
    <w:p w14:paraId="6A15B85F" w14:textId="77777777" w:rsidR="00B01F70" w:rsidRDefault="00B01F70">
      <w:pPr>
        <w:pStyle w:val="ANormal"/>
        <w:jc w:val="center"/>
      </w:pPr>
      <w:hyperlink w:anchor="_top" w:tooltip="Klicka för att gå till toppen av dokumentet" w:history="1">
        <w:r>
          <w:rPr>
            <w:rStyle w:val="Hyperlnk"/>
          </w:rPr>
          <w:t>__________________</w:t>
        </w:r>
      </w:hyperlink>
    </w:p>
    <w:p w14:paraId="18CC5424" w14:textId="77777777" w:rsidR="00B01F70" w:rsidRDefault="00B01F70">
      <w:pPr>
        <w:pStyle w:val="ANormal"/>
      </w:pPr>
    </w:p>
    <w:p w14:paraId="6E1740BA" w14:textId="77777777" w:rsidR="0073488C" w:rsidRDefault="0073488C">
      <w:pPr>
        <w:pStyle w:val="ANormal"/>
      </w:pPr>
    </w:p>
    <w:p w14:paraId="1FA00F86" w14:textId="567577D3" w:rsidR="0073488C" w:rsidRDefault="008C5A89" w:rsidP="0073488C">
      <w:pPr>
        <w:pStyle w:val="ANormal"/>
      </w:pPr>
      <w:bookmarkStart w:id="24" w:name="_Hlk221615622"/>
      <w:r>
        <w:t>2</w:t>
      </w:r>
      <w:r w:rsidR="0073488C" w:rsidRPr="00FE1E1D">
        <w:t>.</w:t>
      </w:r>
    </w:p>
    <w:p w14:paraId="6098556B" w14:textId="77777777" w:rsidR="00B01F70" w:rsidRPr="00FE1E1D" w:rsidRDefault="00B01F70" w:rsidP="00B01F70">
      <w:pPr>
        <w:pStyle w:val="ANormal"/>
      </w:pPr>
    </w:p>
    <w:p w14:paraId="5A803EE7" w14:textId="36C3ED61" w:rsidR="0073488C" w:rsidRPr="00E954FF" w:rsidRDefault="0073488C" w:rsidP="0073488C">
      <w:pPr>
        <w:pStyle w:val="LagHuvRubr"/>
      </w:pPr>
      <w:bookmarkStart w:id="25" w:name="_Toc230359353"/>
      <w:r w:rsidRPr="00E954FF">
        <w:t>L A N D S K A P S L A G</w:t>
      </w:r>
      <w:r w:rsidRPr="00E954FF">
        <w:br/>
        <w:t xml:space="preserve">om ändring av </w:t>
      </w:r>
      <w:r w:rsidR="00934D00">
        <w:t>1</w:t>
      </w:r>
      <w:r w:rsidR="00976149">
        <w:t> §</w:t>
      </w:r>
      <w:r w:rsidR="00934D00">
        <w:t xml:space="preserve"> </w:t>
      </w:r>
      <w:r w:rsidRPr="00E954FF">
        <w:t xml:space="preserve">landskapslagen om </w:t>
      </w:r>
      <w:r w:rsidR="00934D00">
        <w:t xml:space="preserve">Ålands </w:t>
      </w:r>
      <w:r w:rsidRPr="00E954FF">
        <w:t>energi</w:t>
      </w:r>
      <w:r w:rsidR="00934D00">
        <w:t>myndighet</w:t>
      </w:r>
      <w:bookmarkEnd w:id="25"/>
    </w:p>
    <w:p w14:paraId="04F9F8BE" w14:textId="77777777" w:rsidR="0073488C" w:rsidRPr="00E954FF" w:rsidRDefault="0073488C" w:rsidP="0073488C">
      <w:pPr>
        <w:pStyle w:val="ANormal"/>
      </w:pPr>
    </w:p>
    <w:p w14:paraId="04C835D1" w14:textId="77777777" w:rsidR="0073488C" w:rsidRDefault="0073488C" w:rsidP="0073488C">
      <w:pPr>
        <w:pStyle w:val="ANormal"/>
      </w:pPr>
    </w:p>
    <w:p w14:paraId="69665839" w14:textId="68D6F833" w:rsidR="0005385B" w:rsidRDefault="0073488C" w:rsidP="0005385B">
      <w:pPr>
        <w:pStyle w:val="ANormal"/>
      </w:pPr>
      <w:r>
        <w:tab/>
      </w:r>
      <w:r w:rsidR="0005385B">
        <w:t xml:space="preserve">I enlighet med lagtingets beslut </w:t>
      </w:r>
      <w:r w:rsidR="0005385B" w:rsidRPr="00E954FF">
        <w:rPr>
          <w:b/>
          <w:bCs/>
        </w:rPr>
        <w:t>ändras</w:t>
      </w:r>
      <w:r w:rsidR="0005385B">
        <w:t xml:space="preserve"> 1</w:t>
      </w:r>
      <w:r w:rsidR="00976149">
        <w:t> §</w:t>
      </w:r>
      <w:r w:rsidR="0005385B">
        <w:t xml:space="preserve"> 2</w:t>
      </w:r>
      <w:r w:rsidR="00976149">
        <w:t> mom.</w:t>
      </w:r>
      <w:r w:rsidR="0005385B">
        <w:t xml:space="preserve"> landskapslagen (2015:103) om Ålands energimyndighet sådant det lyder i landskapslagen 2025/72 som följer:</w:t>
      </w:r>
    </w:p>
    <w:p w14:paraId="0B5D76C7" w14:textId="1653677D" w:rsidR="00934D00" w:rsidRDefault="00934D00" w:rsidP="0073488C">
      <w:pPr>
        <w:pStyle w:val="ANormal"/>
      </w:pPr>
    </w:p>
    <w:bookmarkEnd w:id="24"/>
    <w:p w14:paraId="0044DB4D" w14:textId="342AFC1D" w:rsidR="00934D00" w:rsidRDefault="00934D00" w:rsidP="00934D00">
      <w:pPr>
        <w:pStyle w:val="LagParagraf"/>
      </w:pPr>
      <w:r>
        <w:t>1</w:t>
      </w:r>
      <w:r w:rsidR="00976149">
        <w:t> §</w:t>
      </w:r>
    </w:p>
    <w:p w14:paraId="6C9DC03C" w14:textId="4C6265B6" w:rsidR="00934D00" w:rsidRDefault="00934D00" w:rsidP="00934D00">
      <w:pPr>
        <w:pStyle w:val="LagPararubrik"/>
      </w:pPr>
      <w:r>
        <w:t>Uppgifter</w:t>
      </w:r>
    </w:p>
    <w:p w14:paraId="177001C1" w14:textId="00C19897" w:rsidR="0005385B" w:rsidRDefault="0005385B" w:rsidP="0005385B">
      <w:pPr>
        <w:pStyle w:val="ANormal"/>
      </w:pPr>
      <w:r>
        <w:t>- - - - - - - - - - - - - - - - - - - - - - - - - - - - - - - - - - - - - - - - - - - - - - - - - - - -</w:t>
      </w:r>
    </w:p>
    <w:p w14:paraId="7BC4A10C" w14:textId="0C14DD07" w:rsidR="0005385B" w:rsidRPr="00B01F70" w:rsidRDefault="0005385B" w:rsidP="00B01F70">
      <w:pPr>
        <w:pStyle w:val="ANormal"/>
      </w:pPr>
      <w:r w:rsidRPr="00B01F70">
        <w:tab/>
        <w:t>Ålands energimyndighet sköter tillsyns- och övervakningsuppgifter samt beslutar i de ärenden som avses i landskapslagen (2015:102) om tillämpning i landskapet Åland av riksförfattningar om elmarknaden samt de ärenden som avses i landskapslagen (2016:20) om energieffektivitet. Om inte annat särskilt föreskrivs är Ålands energimyndighet dessutom den myndighet som sköter tillsyns-, övervaknings- och förvaltningsuppgifter som avses i</w:t>
      </w:r>
    </w:p>
    <w:p w14:paraId="4776F512" w14:textId="77777777" w:rsidR="00C75735" w:rsidRPr="00B01F70" w:rsidRDefault="00C75735" w:rsidP="00B01F70">
      <w:pPr>
        <w:pStyle w:val="ANormal"/>
      </w:pPr>
      <w:r w:rsidRPr="00B01F70">
        <w:tab/>
        <w:t>1) landskapslagen (2009:31) om tillämpning i landskapet Åland av riksförfattningar om utsläppshandel,</w:t>
      </w:r>
    </w:p>
    <w:p w14:paraId="39A49266" w14:textId="77777777" w:rsidR="00C75735" w:rsidRPr="00B01F70" w:rsidRDefault="00C75735" w:rsidP="00B01F70">
      <w:pPr>
        <w:pStyle w:val="ANormal"/>
      </w:pPr>
      <w:r w:rsidRPr="00B01F70">
        <w:tab/>
        <w:t>2) landskapslagen (2011:80) om tillämpning i landskapet Åland av bestämmelser om krav på ekodesign för och energimärkning av produkter,</w:t>
      </w:r>
    </w:p>
    <w:p w14:paraId="79912B3E" w14:textId="77777777" w:rsidR="00C75735" w:rsidRPr="00B01F70" w:rsidRDefault="00C75735" w:rsidP="00B01F70">
      <w:pPr>
        <w:pStyle w:val="ANormal"/>
      </w:pPr>
      <w:r w:rsidRPr="00B01F70">
        <w:tab/>
        <w:t>3) landskapslagen (2022:79) om tillämpning på Åland av lagen om ursprungsgarantier för energi samt</w:t>
      </w:r>
    </w:p>
    <w:p w14:paraId="5134E1B5" w14:textId="77777777" w:rsidR="00C75735" w:rsidRPr="00B01F70" w:rsidRDefault="00C75735" w:rsidP="00B01F70">
      <w:pPr>
        <w:pStyle w:val="ANormal"/>
      </w:pPr>
      <w:r w:rsidRPr="00B01F70">
        <w:tab/>
        <w:t>4) landskapslagen (2025:71) om tillämpning på Åland av lagen om biodrivmedel, flytande biobränslen och biomassabränslen.</w:t>
      </w:r>
    </w:p>
    <w:p w14:paraId="195DA2D4" w14:textId="77777777" w:rsidR="0005385B" w:rsidRDefault="0005385B">
      <w:pPr>
        <w:pStyle w:val="ANormal"/>
      </w:pPr>
      <w:r>
        <w:t>- - - - - - - - - - - - - - - - - - - - - - - - - - - - - - - - - - - - - - - - - - - - - - - - - - - -</w:t>
      </w:r>
    </w:p>
    <w:p w14:paraId="6BBBF3CA" w14:textId="77777777" w:rsidR="00B01F70" w:rsidRDefault="00B01F70">
      <w:pPr>
        <w:pStyle w:val="ANormal"/>
      </w:pPr>
    </w:p>
    <w:p w14:paraId="065D6442" w14:textId="77777777" w:rsidR="004804A0" w:rsidRDefault="004804A0" w:rsidP="004804A0">
      <w:pPr>
        <w:pStyle w:val="ANormal"/>
        <w:jc w:val="center"/>
      </w:pPr>
      <w:hyperlink w:anchor="_top" w:tooltip="Klicka för att gå till toppen av dokumentet" w:history="1">
        <w:r>
          <w:rPr>
            <w:rStyle w:val="Hyperlnk"/>
          </w:rPr>
          <w:t>__________________</w:t>
        </w:r>
      </w:hyperlink>
    </w:p>
    <w:p w14:paraId="3B502CF5" w14:textId="77777777" w:rsidR="0073488C" w:rsidRDefault="0073488C" w:rsidP="0073488C">
      <w:pPr>
        <w:pStyle w:val="ANormal"/>
      </w:pPr>
    </w:p>
    <w:p w14:paraId="0DD97F49" w14:textId="77777777" w:rsidR="0073488C" w:rsidRDefault="0073488C" w:rsidP="0073488C">
      <w:pPr>
        <w:pStyle w:val="ANormal"/>
      </w:pPr>
      <w:r>
        <w:tab/>
        <w:t>Denna lag träder i kraft den</w:t>
      </w:r>
    </w:p>
    <w:p w14:paraId="074C7F48" w14:textId="77777777" w:rsidR="00B01F70" w:rsidRDefault="00B01F70" w:rsidP="0073488C">
      <w:pPr>
        <w:pStyle w:val="ANormal"/>
      </w:pPr>
    </w:p>
    <w:p w14:paraId="55B4AB0E" w14:textId="77777777" w:rsidR="0073488C" w:rsidRDefault="0073488C" w:rsidP="0073488C">
      <w:pPr>
        <w:pStyle w:val="ANormal"/>
        <w:jc w:val="center"/>
      </w:pPr>
      <w:hyperlink w:anchor="_top" w:tooltip="Klicka för att gå till toppen av dokumentet" w:history="1">
        <w:r>
          <w:rPr>
            <w:rStyle w:val="Hyperlnk"/>
          </w:rPr>
          <w:t>__________________</w:t>
        </w:r>
      </w:hyperlink>
    </w:p>
    <w:p w14:paraId="27FEBC42" w14:textId="1CBBA0DC" w:rsidR="00B01F70" w:rsidRDefault="00B01F70">
      <w:pPr>
        <w:rPr>
          <w:sz w:val="22"/>
          <w:szCs w:val="20"/>
        </w:rPr>
      </w:pPr>
      <w:r>
        <w:br w:type="page"/>
      </w:r>
    </w:p>
    <w:p w14:paraId="6516D822" w14:textId="77777777" w:rsidR="0073488C" w:rsidRDefault="0073488C" w:rsidP="0073488C">
      <w:pPr>
        <w:pStyle w:val="ANormal"/>
      </w:pPr>
    </w:p>
    <w:p w14:paraId="55BBBE9D" w14:textId="79A269A1" w:rsidR="00B06FFA" w:rsidRDefault="008C5A89" w:rsidP="00B06FFA">
      <w:pPr>
        <w:pStyle w:val="ANormal"/>
      </w:pPr>
      <w:r>
        <w:t>3</w:t>
      </w:r>
      <w:r w:rsidR="00B06FFA" w:rsidRPr="00FE1E1D">
        <w:t>.</w:t>
      </w:r>
    </w:p>
    <w:p w14:paraId="02C0DF60" w14:textId="77777777" w:rsidR="00B01F70" w:rsidRPr="00FE1E1D" w:rsidRDefault="00B01F70" w:rsidP="00B06FFA">
      <w:pPr>
        <w:pStyle w:val="ANormal"/>
      </w:pPr>
    </w:p>
    <w:p w14:paraId="1E8C7ABC" w14:textId="31C08F80" w:rsidR="00B06FFA" w:rsidRPr="00E954FF" w:rsidRDefault="00B06FFA" w:rsidP="00B06FFA">
      <w:pPr>
        <w:pStyle w:val="LagHuvRubr"/>
      </w:pPr>
      <w:bookmarkStart w:id="26" w:name="_Toc230359354"/>
      <w:r w:rsidRPr="00E954FF">
        <w:t>L A N D S K A P S L A G</w:t>
      </w:r>
      <w:r w:rsidRPr="00E954FF">
        <w:br/>
        <w:t xml:space="preserve">om ändring av </w:t>
      </w:r>
      <w:r>
        <w:t>7</w:t>
      </w:r>
      <w:r w:rsidR="00976149">
        <w:t> §</w:t>
      </w:r>
      <w:r>
        <w:t xml:space="preserve"> </w:t>
      </w:r>
      <w:r w:rsidRPr="00E954FF">
        <w:t xml:space="preserve">landskapslagen om </w:t>
      </w:r>
      <w:r w:rsidRPr="00B06FFA">
        <w:t>kontaktpunkt, tillståndsprocesser för förnybar energi och områden för främjande av förnybar energi</w:t>
      </w:r>
      <w:bookmarkEnd w:id="26"/>
    </w:p>
    <w:p w14:paraId="0E4D2EC7" w14:textId="77777777" w:rsidR="00B06FFA" w:rsidRPr="00E954FF" w:rsidRDefault="00B06FFA" w:rsidP="00B06FFA">
      <w:pPr>
        <w:pStyle w:val="ANormal"/>
      </w:pPr>
    </w:p>
    <w:p w14:paraId="42084FC6" w14:textId="77777777" w:rsidR="00B06FFA" w:rsidRDefault="00B06FFA" w:rsidP="00B06FFA">
      <w:pPr>
        <w:pStyle w:val="ANormal"/>
      </w:pPr>
    </w:p>
    <w:p w14:paraId="36D75C5C" w14:textId="5F40F808" w:rsidR="00B06FFA" w:rsidRDefault="00B06FFA" w:rsidP="00B06FFA">
      <w:pPr>
        <w:pStyle w:val="ANormal"/>
      </w:pPr>
      <w:r>
        <w:tab/>
        <w:t xml:space="preserve">I enlighet med lagtingets beslut </w:t>
      </w:r>
      <w:r>
        <w:rPr>
          <w:b/>
          <w:bCs/>
        </w:rPr>
        <w:t>fogas</w:t>
      </w:r>
      <w:r>
        <w:t xml:space="preserve"> till 7</w:t>
      </w:r>
      <w:r w:rsidR="00976149">
        <w:t> §</w:t>
      </w:r>
      <w:r>
        <w:t xml:space="preserve"> landskapslagen (2025:67) om </w:t>
      </w:r>
      <w:r w:rsidRPr="00B06FFA">
        <w:t>kontaktpunkt, tillståndsprocesser för förnybar energi och områden för främjande av förnybar energi</w:t>
      </w:r>
      <w:r>
        <w:t xml:space="preserve"> ett nytt 3</w:t>
      </w:r>
      <w:r w:rsidR="00976149">
        <w:t> mom.</w:t>
      </w:r>
      <w:r>
        <w:t xml:space="preserve"> varvid de nuvarande 3 och 4</w:t>
      </w:r>
      <w:r w:rsidR="00976149">
        <w:t> mom.</w:t>
      </w:r>
      <w:r>
        <w:t xml:space="preserve"> blir 4 och 5</w:t>
      </w:r>
      <w:r w:rsidR="00976149">
        <w:t> mom.</w:t>
      </w:r>
      <w:r>
        <w:t xml:space="preserve"> som följer:</w:t>
      </w:r>
    </w:p>
    <w:p w14:paraId="22F07E52" w14:textId="25042A71" w:rsidR="00B06FFA" w:rsidRDefault="00B06FFA" w:rsidP="00807B68"/>
    <w:p w14:paraId="15F9FD0E" w14:textId="50319DA9" w:rsidR="00B06FFA" w:rsidRDefault="00B06FFA" w:rsidP="00B06FFA">
      <w:pPr>
        <w:pStyle w:val="LagParagraf"/>
      </w:pPr>
      <w:r>
        <w:t>7</w:t>
      </w:r>
      <w:r w:rsidR="00976149">
        <w:t> §</w:t>
      </w:r>
    </w:p>
    <w:p w14:paraId="326DBE8E" w14:textId="2D5608F2" w:rsidR="00B06FFA" w:rsidRDefault="00B06FFA" w:rsidP="00B06FFA">
      <w:pPr>
        <w:pStyle w:val="LagPararubrik"/>
      </w:pPr>
      <w:r w:rsidRPr="00B06FFA">
        <w:t>Utredning av oförutsedda negativa effekter</w:t>
      </w:r>
    </w:p>
    <w:p w14:paraId="37341777" w14:textId="77777777" w:rsidR="00B06FFA" w:rsidRDefault="00B06FFA" w:rsidP="00B06FFA">
      <w:pPr>
        <w:pStyle w:val="ANormal"/>
      </w:pPr>
      <w:r>
        <w:t>- - - - - - - - - - - - - - - - - - - - - - - - - - - - - - - - - - - - - - - - - - - - - - - - - - - -</w:t>
      </w:r>
    </w:p>
    <w:p w14:paraId="7F46EEF0" w14:textId="51D55AA4" w:rsidR="00B36877" w:rsidRPr="00B01F70" w:rsidRDefault="00B06FFA" w:rsidP="00B01F70">
      <w:pPr>
        <w:pStyle w:val="ANormal"/>
      </w:pPr>
      <w:r w:rsidRPr="00B01F70">
        <w:tab/>
        <w:t xml:space="preserve">Efter granskningsprocessen </w:t>
      </w:r>
      <w:r w:rsidR="001A481E" w:rsidRPr="00B01F70">
        <w:t xml:space="preserve">fattar Ålands miljö- och hälsoskyddsmyndighet ett beslut där </w:t>
      </w:r>
      <w:r w:rsidRPr="00B01F70">
        <w:t>de ansökningar som avses i 6</w:t>
      </w:r>
      <w:r w:rsidR="00976149" w:rsidRPr="00B01F70">
        <w:t> §</w:t>
      </w:r>
      <w:r w:rsidRPr="00B01F70">
        <w:t xml:space="preserve"> 2</w:t>
      </w:r>
      <w:r w:rsidR="00976149" w:rsidRPr="00B01F70">
        <w:t> mom.</w:t>
      </w:r>
      <w:r w:rsidRPr="00B01F70">
        <w:t xml:space="preserve"> </w:t>
      </w:r>
      <w:r w:rsidR="002022F1" w:rsidRPr="00B01F70">
        <w:t xml:space="preserve">bedöms </w:t>
      </w:r>
      <w:r w:rsidRPr="00B01F70">
        <w:t>ur ett miljöperspektiv</w:t>
      </w:r>
      <w:r w:rsidR="00C22647" w:rsidRPr="00B01F70">
        <w:t xml:space="preserve">. Anser </w:t>
      </w:r>
      <w:r w:rsidRPr="00B01F70">
        <w:t xml:space="preserve">myndigheten, med angivande av skäl som är vederbörligen grundade på tydliga bevis, </w:t>
      </w:r>
      <w:r w:rsidR="00C22647" w:rsidRPr="00B01F70">
        <w:t xml:space="preserve">att </w:t>
      </w:r>
      <w:r w:rsidRPr="00B01F70">
        <w:t>ett visst projekt högst sannolikt kommer att ge upphov till betydande oförutsedda negativa effekter med hänsyn till miljöns känslighet i det geografiska område där projektet är beläget och som inte kan begränsas genom de åtgärder som anges i planerna som utser accelerationsområdet för förnybar energi, eller som föreslås av exploatören</w:t>
      </w:r>
      <w:r w:rsidR="00232D06" w:rsidRPr="00B01F70">
        <w:t>,</w:t>
      </w:r>
      <w:r w:rsidR="00C22647" w:rsidRPr="00B01F70">
        <w:t xml:space="preserve"> fattar myndighet ett beslut där projektet inte godkänns ur ett miljöperspektiv.</w:t>
      </w:r>
      <w:r w:rsidRPr="00B01F70">
        <w:t xml:space="preserve"> </w:t>
      </w:r>
      <w:r w:rsidR="00090EC7" w:rsidRPr="00B01F70">
        <w:t>B</w:t>
      </w:r>
      <w:r w:rsidRPr="00B01F70">
        <w:t>eslut</w:t>
      </w:r>
      <w:r w:rsidR="00090EC7" w:rsidRPr="00B01F70">
        <w:t>et</w:t>
      </w:r>
      <w:r w:rsidRPr="00B01F70">
        <w:t xml:space="preserve"> ska delges genom offentlig delgivning. </w:t>
      </w:r>
      <w:r w:rsidR="002022F1" w:rsidRPr="00B01F70">
        <w:t>P</w:t>
      </w:r>
      <w:r w:rsidRPr="00B01F70">
        <w:t xml:space="preserve">rojekt </w:t>
      </w:r>
      <w:r w:rsidR="002022F1" w:rsidRPr="00B01F70">
        <w:t xml:space="preserve">som inte godkänts ur ett miljöperspektiv </w:t>
      </w:r>
      <w:r w:rsidRPr="00B01F70">
        <w:t xml:space="preserve">ska </w:t>
      </w:r>
      <w:r w:rsidR="00AC69C6" w:rsidRPr="00B01F70">
        <w:t>genomgå</w:t>
      </w:r>
      <w:r w:rsidRPr="00B01F70">
        <w:t xml:space="preserve"> en miljökonsekvensbedömning enligt landskapslagen om miljökonsekvensbedömning och miljöbedömning som ska utföras inom sex månader från </w:t>
      </w:r>
      <w:r w:rsidR="002022F1" w:rsidRPr="00B01F70">
        <w:t xml:space="preserve">Ålands miljö- och hälsoskyddsmyndighets </w:t>
      </w:r>
      <w:r w:rsidRPr="00B01F70">
        <w:t>beslut. När det är vederbörligen motiverat på grund av exceptionella omständigheter, får perioden på sex månader förlängas med högst sex månader.</w:t>
      </w:r>
    </w:p>
    <w:p w14:paraId="4D96FAE2" w14:textId="25AD2A92" w:rsidR="00B06FFA" w:rsidRPr="00B01F70" w:rsidRDefault="00B06FFA" w:rsidP="00B01F70">
      <w:pPr>
        <w:pStyle w:val="ANormal"/>
      </w:pPr>
      <w:r w:rsidRPr="00B01F70">
        <w:t>- - - - - - - - - - - - - - - - - - - - - - - - - - - - - - - - - - - - - - - - - - - - - - - - - - - -</w:t>
      </w:r>
    </w:p>
    <w:p w14:paraId="34237BEE" w14:textId="77777777" w:rsidR="00B06FFA" w:rsidRPr="00B01F70" w:rsidRDefault="00B06FFA" w:rsidP="00B01F70">
      <w:pPr>
        <w:pStyle w:val="ANormal"/>
      </w:pPr>
    </w:p>
    <w:p w14:paraId="505637DF" w14:textId="77777777" w:rsidR="00B06FFA" w:rsidRDefault="00B06FFA" w:rsidP="00B06FFA">
      <w:pPr>
        <w:pStyle w:val="ANormal"/>
        <w:jc w:val="center"/>
      </w:pPr>
      <w:hyperlink w:anchor="_top" w:tooltip="Klicka för att gå till toppen av dokumentet" w:history="1">
        <w:r>
          <w:rPr>
            <w:rStyle w:val="Hyperlnk"/>
          </w:rPr>
          <w:t>__________________</w:t>
        </w:r>
      </w:hyperlink>
    </w:p>
    <w:p w14:paraId="16AA3AC2" w14:textId="77777777" w:rsidR="00B06FFA" w:rsidRDefault="00B06FFA" w:rsidP="00B06FFA">
      <w:pPr>
        <w:pStyle w:val="ANormal"/>
      </w:pPr>
    </w:p>
    <w:p w14:paraId="1B9CE8AA" w14:textId="77777777" w:rsidR="00B06FFA" w:rsidRDefault="00B06FFA" w:rsidP="00B06FFA">
      <w:pPr>
        <w:pStyle w:val="ANormal"/>
      </w:pPr>
      <w:r>
        <w:tab/>
        <w:t>Denna lag träder i kraft den</w:t>
      </w:r>
    </w:p>
    <w:p w14:paraId="5760D5D1" w14:textId="77777777" w:rsidR="00DA02DC" w:rsidRDefault="00DA02DC" w:rsidP="00B06FFA">
      <w:pPr>
        <w:pStyle w:val="ANormal"/>
      </w:pPr>
    </w:p>
    <w:p w14:paraId="6D968078" w14:textId="77777777" w:rsidR="00B06FFA" w:rsidRDefault="00B06FFA" w:rsidP="00B06FFA">
      <w:pPr>
        <w:pStyle w:val="ANormal"/>
        <w:jc w:val="center"/>
      </w:pPr>
      <w:hyperlink w:anchor="_top" w:tooltip="Klicka för att gå till toppen av dokumentet" w:history="1">
        <w:r>
          <w:rPr>
            <w:rStyle w:val="Hyperlnk"/>
          </w:rPr>
          <w:t>__________________</w:t>
        </w:r>
      </w:hyperlink>
    </w:p>
    <w:p w14:paraId="41CB7D12" w14:textId="77777777" w:rsidR="00B06FFA" w:rsidRDefault="00B06FFA" w:rsidP="00B06FFA">
      <w:pPr>
        <w:pStyle w:val="ANormal"/>
      </w:pPr>
    </w:p>
    <w:p w14:paraId="572CD890" w14:textId="77777777" w:rsidR="00B06FFA" w:rsidRDefault="00B06FFA" w:rsidP="0073488C">
      <w:pPr>
        <w:pStyle w:val="ANormal"/>
      </w:pPr>
    </w:p>
    <w:p w14:paraId="5033B667" w14:textId="2C483EF5" w:rsidR="00AF3004" w:rsidRDefault="00AF3004" w:rsidP="00216D2E">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AF3004" w14:paraId="1A10BF49" w14:textId="77777777">
        <w:trPr>
          <w:cantSplit/>
        </w:trPr>
        <w:tc>
          <w:tcPr>
            <w:tcW w:w="7931" w:type="dxa"/>
            <w:gridSpan w:val="2"/>
          </w:tcPr>
          <w:p w14:paraId="6AE97A96" w14:textId="62A2072E" w:rsidR="00AF3004" w:rsidRDefault="00AF3004">
            <w:pPr>
              <w:pStyle w:val="ANormal"/>
              <w:keepNext/>
            </w:pPr>
            <w:r>
              <w:t xml:space="preserve">Mariehamn </w:t>
            </w:r>
            <w:r w:rsidR="001B7831">
              <w:t>den 28 maj 2026</w:t>
            </w:r>
          </w:p>
        </w:tc>
      </w:tr>
      <w:tr w:rsidR="00AF3004" w14:paraId="0B85FCC7" w14:textId="77777777">
        <w:tc>
          <w:tcPr>
            <w:tcW w:w="4454" w:type="dxa"/>
            <w:vAlign w:val="bottom"/>
          </w:tcPr>
          <w:p w14:paraId="0F87117D" w14:textId="77777777" w:rsidR="00AF3004" w:rsidRDefault="00AF3004">
            <w:pPr>
              <w:pStyle w:val="ANormal"/>
              <w:keepNext/>
            </w:pPr>
          </w:p>
          <w:p w14:paraId="4BB6A434" w14:textId="77777777" w:rsidR="00AF3004" w:rsidRDefault="00AF3004">
            <w:pPr>
              <w:pStyle w:val="ANormal"/>
              <w:keepNext/>
            </w:pPr>
          </w:p>
          <w:p w14:paraId="38C636C8" w14:textId="77777777" w:rsidR="00AF3004" w:rsidRDefault="00AF3004">
            <w:pPr>
              <w:pStyle w:val="ANormal"/>
              <w:keepNext/>
            </w:pPr>
            <w:r>
              <w:t>L a n t r å d</w:t>
            </w:r>
          </w:p>
        </w:tc>
        <w:tc>
          <w:tcPr>
            <w:tcW w:w="3477" w:type="dxa"/>
            <w:vAlign w:val="bottom"/>
          </w:tcPr>
          <w:p w14:paraId="273072F8" w14:textId="77777777" w:rsidR="00AF3004" w:rsidRDefault="00AF3004">
            <w:pPr>
              <w:pStyle w:val="ANormal"/>
              <w:keepNext/>
            </w:pPr>
          </w:p>
          <w:p w14:paraId="08B7658B" w14:textId="77777777" w:rsidR="00AF3004" w:rsidRDefault="00AF3004">
            <w:pPr>
              <w:pStyle w:val="ANormal"/>
              <w:keepNext/>
            </w:pPr>
          </w:p>
          <w:p w14:paraId="7EBF49FA" w14:textId="4223EA67" w:rsidR="00AF3004" w:rsidRDefault="001B7831">
            <w:pPr>
              <w:pStyle w:val="ANormal"/>
              <w:keepNext/>
            </w:pPr>
            <w:r>
              <w:t>Katrin Sjögren</w:t>
            </w:r>
          </w:p>
        </w:tc>
      </w:tr>
      <w:tr w:rsidR="00AF3004" w14:paraId="0765354A" w14:textId="77777777">
        <w:tc>
          <w:tcPr>
            <w:tcW w:w="4454" w:type="dxa"/>
            <w:vAlign w:val="bottom"/>
          </w:tcPr>
          <w:p w14:paraId="2E3F02A2" w14:textId="77777777" w:rsidR="00AF3004" w:rsidRDefault="00AF3004">
            <w:pPr>
              <w:pStyle w:val="ANormal"/>
              <w:keepNext/>
            </w:pPr>
          </w:p>
          <w:p w14:paraId="4254DE5D" w14:textId="77777777" w:rsidR="00AF3004" w:rsidRDefault="00AF3004">
            <w:pPr>
              <w:pStyle w:val="ANormal"/>
              <w:keepNext/>
            </w:pPr>
          </w:p>
          <w:p w14:paraId="4CE363A3" w14:textId="638E7042" w:rsidR="00AF3004" w:rsidRDefault="00AF3004">
            <w:pPr>
              <w:pStyle w:val="ANormal"/>
              <w:keepNext/>
            </w:pPr>
            <w:r>
              <w:t xml:space="preserve">Föredragande </w:t>
            </w:r>
            <w:r w:rsidR="00940260">
              <w:t>minister</w:t>
            </w:r>
          </w:p>
        </w:tc>
        <w:tc>
          <w:tcPr>
            <w:tcW w:w="3477" w:type="dxa"/>
            <w:vAlign w:val="bottom"/>
          </w:tcPr>
          <w:p w14:paraId="4A72337D" w14:textId="77777777" w:rsidR="00AF3004" w:rsidRDefault="00AF3004">
            <w:pPr>
              <w:pStyle w:val="ANormal"/>
              <w:keepNext/>
            </w:pPr>
          </w:p>
          <w:p w14:paraId="1A2E22FF" w14:textId="77777777" w:rsidR="00AF3004" w:rsidRDefault="00AF3004">
            <w:pPr>
              <w:pStyle w:val="ANormal"/>
              <w:keepNext/>
            </w:pPr>
          </w:p>
          <w:p w14:paraId="77014948" w14:textId="6759F47B" w:rsidR="00AF3004" w:rsidRDefault="001B7831">
            <w:pPr>
              <w:pStyle w:val="ANormal"/>
              <w:keepNext/>
            </w:pPr>
            <w:r>
              <w:t>Camilla Gunell</w:t>
            </w:r>
          </w:p>
        </w:tc>
      </w:tr>
    </w:tbl>
    <w:p w14:paraId="50B9FB2C" w14:textId="77777777" w:rsidR="00AF3004" w:rsidRDefault="00AF3004">
      <w:pPr>
        <w:pStyle w:val="ANormal"/>
      </w:pPr>
    </w:p>
    <w:p w14:paraId="48742526" w14:textId="2AC1EC3C" w:rsidR="00B01F70" w:rsidRDefault="00B01F70">
      <w:pPr>
        <w:rPr>
          <w:sz w:val="22"/>
          <w:szCs w:val="20"/>
        </w:rPr>
      </w:pPr>
      <w:r>
        <w:br w:type="page"/>
      </w:r>
    </w:p>
    <w:p w14:paraId="6C9093EF" w14:textId="61EB4CF2" w:rsidR="00B01F70" w:rsidRDefault="00B01F70" w:rsidP="00B01F70">
      <w:pPr>
        <w:pStyle w:val="RubrikA"/>
      </w:pPr>
      <w:bookmarkStart w:id="27" w:name="_Toc230359355"/>
      <w:r>
        <w:lastRenderedPageBreak/>
        <w:t>Parallelltexter</w:t>
      </w:r>
      <w:bookmarkEnd w:id="27"/>
    </w:p>
    <w:p w14:paraId="17BEBE06" w14:textId="77777777" w:rsidR="00B01F70" w:rsidRDefault="00B01F70" w:rsidP="00B01F70">
      <w:pPr>
        <w:pStyle w:val="Rubrikmellanrum"/>
      </w:pPr>
    </w:p>
    <w:p w14:paraId="2DC1771A" w14:textId="09AB4044" w:rsidR="00B01F70" w:rsidRPr="00B01F70" w:rsidRDefault="00B01F70" w:rsidP="00B01F70">
      <w:pPr>
        <w:pStyle w:val="ArendeUnderRubrik"/>
      </w:pPr>
      <w:r>
        <w:t xml:space="preserve">Parallelltexter för landskapsregeringens lagförslag nr </w:t>
      </w:r>
      <w:r w:rsidR="001B7831">
        <w:t>22</w:t>
      </w:r>
      <w:r>
        <w:t>/</w:t>
      </w:r>
      <w:proofErr w:type="gramStart"/>
      <w:r>
        <w:t>2025-2026</w:t>
      </w:r>
      <w:proofErr w:type="gramEnd"/>
    </w:p>
    <w:sectPr w:rsidR="00B01F70" w:rsidRPr="00B01F70">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3C41C" w14:textId="77777777" w:rsidR="00131CE6" w:rsidRDefault="00131CE6">
      <w:r>
        <w:separator/>
      </w:r>
    </w:p>
  </w:endnote>
  <w:endnote w:type="continuationSeparator" w:id="0">
    <w:p w14:paraId="0649D9D4" w14:textId="77777777" w:rsidR="00131CE6" w:rsidRDefault="0013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7FD7"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DE92" w14:textId="0C463159" w:rsidR="00AF3004" w:rsidRPr="00CB0E15" w:rsidRDefault="00B01F70">
    <w:pPr>
      <w:pStyle w:val="Sidfot"/>
    </w:pPr>
    <w:r>
      <w:t>LF</w:t>
    </w:r>
    <w:r w:rsidR="001B7831">
      <w:t>22</w:t>
    </w:r>
    <w:r>
      <w:t>202502026.docx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D6A4"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8B94" w14:textId="77777777" w:rsidR="00131CE6" w:rsidRDefault="00131CE6">
      <w:r>
        <w:separator/>
      </w:r>
    </w:p>
  </w:footnote>
  <w:footnote w:type="continuationSeparator" w:id="0">
    <w:p w14:paraId="3A968749" w14:textId="77777777" w:rsidR="00131CE6" w:rsidRDefault="00131CE6">
      <w:r>
        <w:continuationSeparator/>
      </w:r>
    </w:p>
  </w:footnote>
  <w:footnote w:id="1">
    <w:p w14:paraId="2FD64479" w14:textId="0DB1E1A6" w:rsidR="002C7DEA" w:rsidRPr="002C7DEA" w:rsidRDefault="002C7DEA">
      <w:pPr>
        <w:pStyle w:val="Fotnotstext"/>
      </w:pPr>
      <w:r>
        <w:rPr>
          <w:rStyle w:val="Fotnotsreferens"/>
        </w:rPr>
        <w:footnoteRef/>
      </w:r>
      <w:r>
        <w:t xml:space="preserve"> </w:t>
      </w:r>
      <w:r w:rsidRPr="002C7DEA">
        <w:t>Europaparlamentets och rådets direktiv (EU) 2023/1791 av den 13 september 2023 om energieffektivitet och om ändring av förordning (EU) 2023/955</w:t>
      </w:r>
    </w:p>
  </w:footnote>
  <w:footnote w:id="2">
    <w:p w14:paraId="7C86ECD1" w14:textId="48C305EF" w:rsidR="00FE59E9" w:rsidRPr="00FE59E9" w:rsidRDefault="00FE59E9">
      <w:pPr>
        <w:pStyle w:val="Fotnotstext"/>
      </w:pPr>
      <w:r>
        <w:rPr>
          <w:rStyle w:val="Fotnotsreferens"/>
        </w:rPr>
        <w:footnoteRef/>
      </w:r>
      <w:r>
        <w:t xml:space="preserve"> </w:t>
      </w:r>
      <w:r w:rsidRPr="00FE59E9">
        <w:t>Europaparlamentets och rådets direktiv (EU) 2023/2413 om ändring av direktiv (EU) 2018/2001, förordning (EU) 2018/1999 och direktiv 98/70/EG vad gäller främjande av energi från förnybara energikällor, och om upphävande av rådets direktiv (EU) 2015/652.</w:t>
      </w:r>
    </w:p>
  </w:footnote>
  <w:footnote w:id="3">
    <w:p w14:paraId="25103A33" w14:textId="11C99026" w:rsidR="00692304" w:rsidRPr="00692304" w:rsidRDefault="00692304">
      <w:pPr>
        <w:pStyle w:val="Fotnotstext"/>
        <w:rPr>
          <w:lang w:val="sv-FI"/>
        </w:rPr>
      </w:pPr>
      <w:r>
        <w:rPr>
          <w:rStyle w:val="Fotnotsreferens"/>
        </w:rPr>
        <w:footnoteRef/>
      </w:r>
      <w:r>
        <w:t xml:space="preserve"> </w:t>
      </w:r>
      <w:r w:rsidRPr="00692304">
        <w:t>KKO-HD/1101/2025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BA55"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5E344ABC"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0793"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41480291">
    <w:abstractNumId w:val="6"/>
  </w:num>
  <w:num w:numId="2" w16cid:durableId="1498030691">
    <w:abstractNumId w:val="3"/>
  </w:num>
  <w:num w:numId="3" w16cid:durableId="1615939847">
    <w:abstractNumId w:val="2"/>
  </w:num>
  <w:num w:numId="4" w16cid:durableId="1533877245">
    <w:abstractNumId w:val="1"/>
  </w:num>
  <w:num w:numId="5" w16cid:durableId="1733574377">
    <w:abstractNumId w:val="0"/>
  </w:num>
  <w:num w:numId="6" w16cid:durableId="1134372109">
    <w:abstractNumId w:val="7"/>
  </w:num>
  <w:num w:numId="7" w16cid:durableId="389302295">
    <w:abstractNumId w:val="5"/>
  </w:num>
  <w:num w:numId="8" w16cid:durableId="1727101172">
    <w:abstractNumId w:val="4"/>
  </w:num>
  <w:num w:numId="9" w16cid:durableId="1860125352">
    <w:abstractNumId w:val="10"/>
  </w:num>
  <w:num w:numId="10" w16cid:durableId="1854803787">
    <w:abstractNumId w:val="13"/>
  </w:num>
  <w:num w:numId="11" w16cid:durableId="1390110564">
    <w:abstractNumId w:val="12"/>
  </w:num>
  <w:num w:numId="12" w16cid:durableId="1080565641">
    <w:abstractNumId w:val="16"/>
  </w:num>
  <w:num w:numId="13" w16cid:durableId="321398003">
    <w:abstractNumId w:val="11"/>
  </w:num>
  <w:num w:numId="14" w16cid:durableId="794982814">
    <w:abstractNumId w:val="15"/>
  </w:num>
  <w:num w:numId="15" w16cid:durableId="2083136220">
    <w:abstractNumId w:val="9"/>
  </w:num>
  <w:num w:numId="16" w16cid:durableId="50158294">
    <w:abstractNumId w:val="21"/>
  </w:num>
  <w:num w:numId="17" w16cid:durableId="504129498">
    <w:abstractNumId w:val="8"/>
  </w:num>
  <w:num w:numId="18" w16cid:durableId="1611858856">
    <w:abstractNumId w:val="17"/>
  </w:num>
  <w:num w:numId="19" w16cid:durableId="1049035">
    <w:abstractNumId w:val="20"/>
  </w:num>
  <w:num w:numId="20" w16cid:durableId="1910772678">
    <w:abstractNumId w:val="23"/>
  </w:num>
  <w:num w:numId="21" w16cid:durableId="1080563926">
    <w:abstractNumId w:val="22"/>
  </w:num>
  <w:num w:numId="22" w16cid:durableId="1879589771">
    <w:abstractNumId w:val="14"/>
  </w:num>
  <w:num w:numId="23" w16cid:durableId="1533376919">
    <w:abstractNumId w:val="18"/>
  </w:num>
  <w:num w:numId="24" w16cid:durableId="1758820211">
    <w:abstractNumId w:val="18"/>
  </w:num>
  <w:num w:numId="25" w16cid:durableId="905726010">
    <w:abstractNumId w:val="19"/>
  </w:num>
  <w:num w:numId="26" w16cid:durableId="667710314">
    <w:abstractNumId w:val="14"/>
  </w:num>
  <w:num w:numId="27" w16cid:durableId="1999380615">
    <w:abstractNumId w:val="14"/>
  </w:num>
  <w:num w:numId="28" w16cid:durableId="152260046">
    <w:abstractNumId w:val="14"/>
  </w:num>
  <w:num w:numId="29" w16cid:durableId="786119825">
    <w:abstractNumId w:val="14"/>
  </w:num>
  <w:num w:numId="30" w16cid:durableId="1347635048">
    <w:abstractNumId w:val="14"/>
  </w:num>
  <w:num w:numId="31" w16cid:durableId="719014842">
    <w:abstractNumId w:val="14"/>
  </w:num>
  <w:num w:numId="32" w16cid:durableId="1945578134">
    <w:abstractNumId w:val="14"/>
  </w:num>
  <w:num w:numId="33" w16cid:durableId="1823423242">
    <w:abstractNumId w:val="14"/>
  </w:num>
  <w:num w:numId="34" w16cid:durableId="560167447">
    <w:abstractNumId w:val="14"/>
  </w:num>
  <w:num w:numId="35" w16cid:durableId="244728105">
    <w:abstractNumId w:val="18"/>
  </w:num>
  <w:num w:numId="36" w16cid:durableId="260797177">
    <w:abstractNumId w:val="19"/>
  </w:num>
  <w:num w:numId="37" w16cid:durableId="208304506">
    <w:abstractNumId w:val="14"/>
  </w:num>
  <w:num w:numId="38" w16cid:durableId="437022340">
    <w:abstractNumId w:val="14"/>
  </w:num>
  <w:num w:numId="39" w16cid:durableId="72704859">
    <w:abstractNumId w:val="14"/>
  </w:num>
  <w:num w:numId="40" w16cid:durableId="1498765963">
    <w:abstractNumId w:val="14"/>
  </w:num>
  <w:num w:numId="41" w16cid:durableId="1226335322">
    <w:abstractNumId w:val="14"/>
  </w:num>
  <w:num w:numId="42" w16cid:durableId="336227554">
    <w:abstractNumId w:val="14"/>
  </w:num>
  <w:num w:numId="43" w16cid:durableId="1829516387">
    <w:abstractNumId w:val="14"/>
  </w:num>
  <w:num w:numId="44" w16cid:durableId="1994135349">
    <w:abstractNumId w:val="14"/>
  </w:num>
  <w:num w:numId="45" w16cid:durableId="19707396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1304"/>
  <w:autoHyphenation/>
  <w:hyphenationZone w:val="142"/>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FF"/>
    <w:rsid w:val="000148C4"/>
    <w:rsid w:val="000219D6"/>
    <w:rsid w:val="0004692B"/>
    <w:rsid w:val="00047E71"/>
    <w:rsid w:val="0005385B"/>
    <w:rsid w:val="00090EC7"/>
    <w:rsid w:val="000A33F4"/>
    <w:rsid w:val="000D2C28"/>
    <w:rsid w:val="000D69AD"/>
    <w:rsid w:val="000D6BB1"/>
    <w:rsid w:val="000F271E"/>
    <w:rsid w:val="00101FCC"/>
    <w:rsid w:val="00115D19"/>
    <w:rsid w:val="00121154"/>
    <w:rsid w:val="00130EBF"/>
    <w:rsid w:val="00131C38"/>
    <w:rsid w:val="00131CE6"/>
    <w:rsid w:val="00134E02"/>
    <w:rsid w:val="001350A4"/>
    <w:rsid w:val="00135F04"/>
    <w:rsid w:val="00137E8B"/>
    <w:rsid w:val="001540C9"/>
    <w:rsid w:val="0018302B"/>
    <w:rsid w:val="00185CB3"/>
    <w:rsid w:val="001A0266"/>
    <w:rsid w:val="001A481E"/>
    <w:rsid w:val="001B7071"/>
    <w:rsid w:val="001B7831"/>
    <w:rsid w:val="001F4217"/>
    <w:rsid w:val="002022F1"/>
    <w:rsid w:val="00202894"/>
    <w:rsid w:val="00216D2E"/>
    <w:rsid w:val="00232D06"/>
    <w:rsid w:val="00244302"/>
    <w:rsid w:val="00245D62"/>
    <w:rsid w:val="0027577B"/>
    <w:rsid w:val="00296F6E"/>
    <w:rsid w:val="002A106D"/>
    <w:rsid w:val="002A126A"/>
    <w:rsid w:val="002A6B00"/>
    <w:rsid w:val="002C1010"/>
    <w:rsid w:val="002C7DEA"/>
    <w:rsid w:val="002D0F00"/>
    <w:rsid w:val="002D2A15"/>
    <w:rsid w:val="002D413C"/>
    <w:rsid w:val="002E4C5F"/>
    <w:rsid w:val="002E5A0F"/>
    <w:rsid w:val="0030624A"/>
    <w:rsid w:val="00326DF2"/>
    <w:rsid w:val="00334FD1"/>
    <w:rsid w:val="00337571"/>
    <w:rsid w:val="00337783"/>
    <w:rsid w:val="00342FC4"/>
    <w:rsid w:val="00347FD4"/>
    <w:rsid w:val="00362687"/>
    <w:rsid w:val="00364756"/>
    <w:rsid w:val="0037680F"/>
    <w:rsid w:val="00381029"/>
    <w:rsid w:val="0038570D"/>
    <w:rsid w:val="00391F32"/>
    <w:rsid w:val="003C3576"/>
    <w:rsid w:val="003D1F0E"/>
    <w:rsid w:val="003D528B"/>
    <w:rsid w:val="003D605E"/>
    <w:rsid w:val="003D66AD"/>
    <w:rsid w:val="00415C91"/>
    <w:rsid w:val="0041607B"/>
    <w:rsid w:val="004261C4"/>
    <w:rsid w:val="00430015"/>
    <w:rsid w:val="0044625E"/>
    <w:rsid w:val="00461558"/>
    <w:rsid w:val="00464E03"/>
    <w:rsid w:val="004747F5"/>
    <w:rsid w:val="004804A0"/>
    <w:rsid w:val="004929B9"/>
    <w:rsid w:val="00493AC0"/>
    <w:rsid w:val="00493EE7"/>
    <w:rsid w:val="004949F2"/>
    <w:rsid w:val="00495976"/>
    <w:rsid w:val="00497876"/>
    <w:rsid w:val="004A186F"/>
    <w:rsid w:val="004A4B39"/>
    <w:rsid w:val="004A6BA1"/>
    <w:rsid w:val="004B67BE"/>
    <w:rsid w:val="004E55FE"/>
    <w:rsid w:val="004E6AE8"/>
    <w:rsid w:val="00502B30"/>
    <w:rsid w:val="00511C35"/>
    <w:rsid w:val="00515954"/>
    <w:rsid w:val="00517D77"/>
    <w:rsid w:val="00523DF7"/>
    <w:rsid w:val="005429FC"/>
    <w:rsid w:val="005648C8"/>
    <w:rsid w:val="0056798C"/>
    <w:rsid w:val="00573644"/>
    <w:rsid w:val="00586E10"/>
    <w:rsid w:val="00597B22"/>
    <w:rsid w:val="005A6D21"/>
    <w:rsid w:val="005B69D9"/>
    <w:rsid w:val="005D4265"/>
    <w:rsid w:val="005E3572"/>
    <w:rsid w:val="005E59F9"/>
    <w:rsid w:val="005F1DF9"/>
    <w:rsid w:val="005F5DA7"/>
    <w:rsid w:val="00612169"/>
    <w:rsid w:val="006219B4"/>
    <w:rsid w:val="0062675E"/>
    <w:rsid w:val="00656160"/>
    <w:rsid w:val="00664C6D"/>
    <w:rsid w:val="0066653A"/>
    <w:rsid w:val="00672CAC"/>
    <w:rsid w:val="00673510"/>
    <w:rsid w:val="006806AF"/>
    <w:rsid w:val="00692304"/>
    <w:rsid w:val="006A178A"/>
    <w:rsid w:val="006A51D4"/>
    <w:rsid w:val="006B46D4"/>
    <w:rsid w:val="006B633C"/>
    <w:rsid w:val="006B78D6"/>
    <w:rsid w:val="006C48BC"/>
    <w:rsid w:val="006D7249"/>
    <w:rsid w:val="006F6CAF"/>
    <w:rsid w:val="00700744"/>
    <w:rsid w:val="00701811"/>
    <w:rsid w:val="0070459A"/>
    <w:rsid w:val="0071388B"/>
    <w:rsid w:val="007155C6"/>
    <w:rsid w:val="00722128"/>
    <w:rsid w:val="0073488C"/>
    <w:rsid w:val="00737CCD"/>
    <w:rsid w:val="00744ED9"/>
    <w:rsid w:val="00760950"/>
    <w:rsid w:val="00766614"/>
    <w:rsid w:val="00767B6A"/>
    <w:rsid w:val="00794678"/>
    <w:rsid w:val="007A7C84"/>
    <w:rsid w:val="007B0EBD"/>
    <w:rsid w:val="007B7B7E"/>
    <w:rsid w:val="007D63EA"/>
    <w:rsid w:val="00806951"/>
    <w:rsid w:val="00807B68"/>
    <w:rsid w:val="00812B9D"/>
    <w:rsid w:val="00812C72"/>
    <w:rsid w:val="008450DA"/>
    <w:rsid w:val="0085767E"/>
    <w:rsid w:val="008642AF"/>
    <w:rsid w:val="0087049B"/>
    <w:rsid w:val="0088305A"/>
    <w:rsid w:val="00891B35"/>
    <w:rsid w:val="008C5A89"/>
    <w:rsid w:val="008D34E3"/>
    <w:rsid w:val="008E42A9"/>
    <w:rsid w:val="009130AE"/>
    <w:rsid w:val="009269E8"/>
    <w:rsid w:val="00934D00"/>
    <w:rsid w:val="009358CD"/>
    <w:rsid w:val="00940260"/>
    <w:rsid w:val="00944698"/>
    <w:rsid w:val="00955943"/>
    <w:rsid w:val="00967DA0"/>
    <w:rsid w:val="00976149"/>
    <w:rsid w:val="009A200C"/>
    <w:rsid w:val="009A2946"/>
    <w:rsid w:val="009A5151"/>
    <w:rsid w:val="009B4BF0"/>
    <w:rsid w:val="009C7EA7"/>
    <w:rsid w:val="009D1AD2"/>
    <w:rsid w:val="009E14EC"/>
    <w:rsid w:val="009E48EE"/>
    <w:rsid w:val="009E71D1"/>
    <w:rsid w:val="009F2107"/>
    <w:rsid w:val="00A32351"/>
    <w:rsid w:val="00A44D32"/>
    <w:rsid w:val="00A45A3C"/>
    <w:rsid w:val="00A523E3"/>
    <w:rsid w:val="00A661E4"/>
    <w:rsid w:val="00A6647E"/>
    <w:rsid w:val="00A77CD4"/>
    <w:rsid w:val="00AA0385"/>
    <w:rsid w:val="00AC69C6"/>
    <w:rsid w:val="00AD58CC"/>
    <w:rsid w:val="00AE260E"/>
    <w:rsid w:val="00AE3EB7"/>
    <w:rsid w:val="00AE6BF8"/>
    <w:rsid w:val="00AF3004"/>
    <w:rsid w:val="00B01F70"/>
    <w:rsid w:val="00B06FFA"/>
    <w:rsid w:val="00B17698"/>
    <w:rsid w:val="00B242C7"/>
    <w:rsid w:val="00B31B12"/>
    <w:rsid w:val="00B34451"/>
    <w:rsid w:val="00B36877"/>
    <w:rsid w:val="00B641C9"/>
    <w:rsid w:val="00B72F3D"/>
    <w:rsid w:val="00BB4630"/>
    <w:rsid w:val="00BC0CA8"/>
    <w:rsid w:val="00BE14CB"/>
    <w:rsid w:val="00BF28BD"/>
    <w:rsid w:val="00C01E5C"/>
    <w:rsid w:val="00C04A73"/>
    <w:rsid w:val="00C22647"/>
    <w:rsid w:val="00C37930"/>
    <w:rsid w:val="00C556D1"/>
    <w:rsid w:val="00C557E4"/>
    <w:rsid w:val="00C56F1D"/>
    <w:rsid w:val="00C62E92"/>
    <w:rsid w:val="00C66A3A"/>
    <w:rsid w:val="00C70957"/>
    <w:rsid w:val="00C75735"/>
    <w:rsid w:val="00C800B6"/>
    <w:rsid w:val="00C8703E"/>
    <w:rsid w:val="00CA1B9C"/>
    <w:rsid w:val="00CB0A4D"/>
    <w:rsid w:val="00CB0E15"/>
    <w:rsid w:val="00CB35EA"/>
    <w:rsid w:val="00CC58EA"/>
    <w:rsid w:val="00CF4CF9"/>
    <w:rsid w:val="00D039EF"/>
    <w:rsid w:val="00D04C65"/>
    <w:rsid w:val="00D411D3"/>
    <w:rsid w:val="00D604E1"/>
    <w:rsid w:val="00D62BCD"/>
    <w:rsid w:val="00D9044E"/>
    <w:rsid w:val="00DA0041"/>
    <w:rsid w:val="00DA02DC"/>
    <w:rsid w:val="00DB2B14"/>
    <w:rsid w:val="00DD5E39"/>
    <w:rsid w:val="00DE5EF0"/>
    <w:rsid w:val="00DF5C55"/>
    <w:rsid w:val="00E2621D"/>
    <w:rsid w:val="00E37AC0"/>
    <w:rsid w:val="00E46131"/>
    <w:rsid w:val="00E909D5"/>
    <w:rsid w:val="00E954FF"/>
    <w:rsid w:val="00EA05F8"/>
    <w:rsid w:val="00EB06AC"/>
    <w:rsid w:val="00EB3C8A"/>
    <w:rsid w:val="00EB54AD"/>
    <w:rsid w:val="00EC0C2D"/>
    <w:rsid w:val="00ED2FB6"/>
    <w:rsid w:val="00EF1FC4"/>
    <w:rsid w:val="00EF5F50"/>
    <w:rsid w:val="00F00C57"/>
    <w:rsid w:val="00F03BDD"/>
    <w:rsid w:val="00F13DD2"/>
    <w:rsid w:val="00F160CD"/>
    <w:rsid w:val="00F609BF"/>
    <w:rsid w:val="00F736F4"/>
    <w:rsid w:val="00F85227"/>
    <w:rsid w:val="00F9692F"/>
    <w:rsid w:val="00FA1EA7"/>
    <w:rsid w:val="00FB4036"/>
    <w:rsid w:val="00FC0C83"/>
    <w:rsid w:val="00FD39AC"/>
    <w:rsid w:val="00FD5330"/>
    <w:rsid w:val="00FD6449"/>
    <w:rsid w:val="00FE01DE"/>
    <w:rsid w:val="00FE1E1D"/>
    <w:rsid w:val="00FE537B"/>
    <w:rsid w:val="00FE59E9"/>
    <w:rsid w:val="00FF29BE"/>
    <w:rsid w:val="00FF3FF3"/>
    <w:rsid w:val="00FF73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3F2D"/>
  <w15:docId w15:val="{586D59D6-6519-4AEA-9CF0-012C30E7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rPr>
  </w:style>
  <w:style w:type="paragraph" w:customStyle="1" w:styleId="xLedtext">
    <w:name w:val="xLedtext"/>
    <w:rPr>
      <w:rFonts w:ascii="Verdana" w:hAnsi="Verdana" w:cs="Arial"/>
      <w:sz w:val="14"/>
      <w:szCs w:val="15"/>
    </w:rPr>
  </w:style>
  <w:style w:type="paragraph" w:customStyle="1" w:styleId="xDatum1">
    <w:name w:val="xDatum1"/>
    <w:basedOn w:val="xCelltext"/>
  </w:style>
  <w:style w:type="paragraph" w:customStyle="1" w:styleId="xCelltext">
    <w:name w:val="xCelltext"/>
    <w:rPr>
      <w:rFonts w:ascii="Arial" w:hAnsi="Arial"/>
      <w:sz w:val="18"/>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rPr>
  </w:style>
  <w:style w:type="paragraph" w:customStyle="1" w:styleId="ArendeRubrik">
    <w:name w:val="ArendeRubrik"/>
    <w:next w:val="ArendeUnderRubrik"/>
    <w:pPr>
      <w:suppressAutoHyphens/>
    </w:pPr>
    <w:rPr>
      <w:rFonts w:ascii="Arial" w:hAnsi="Arial" w:cs="Arial"/>
      <w:b/>
      <w:bCs/>
      <w:sz w:val="26"/>
    </w:rPr>
  </w:style>
  <w:style w:type="paragraph" w:customStyle="1" w:styleId="ArendeUnderRubrik">
    <w:name w:val="ArendeUnderRubrik"/>
    <w:pPr>
      <w:numPr>
        <w:numId w:val="35"/>
      </w:numPr>
      <w:suppressAutoHyphens/>
    </w:pPr>
    <w:rPr>
      <w:rFonts w:ascii="Verdana" w:hAnsi="Verdana" w:cs="Arial"/>
      <w:sz w:val="16"/>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styleId="Kommentarsreferens">
    <w:name w:val="annotation reference"/>
    <w:basedOn w:val="Standardstycketeckensnitt"/>
    <w:uiPriority w:val="99"/>
    <w:semiHidden/>
    <w:unhideWhenUsed/>
    <w:rsid w:val="009D1AD2"/>
    <w:rPr>
      <w:sz w:val="16"/>
      <w:szCs w:val="16"/>
    </w:rPr>
  </w:style>
  <w:style w:type="paragraph" w:styleId="Kommentarer">
    <w:name w:val="annotation text"/>
    <w:basedOn w:val="Normal"/>
    <w:link w:val="KommentarerChar"/>
    <w:uiPriority w:val="99"/>
    <w:unhideWhenUsed/>
    <w:rsid w:val="009D1AD2"/>
    <w:rPr>
      <w:sz w:val="20"/>
      <w:szCs w:val="20"/>
    </w:rPr>
  </w:style>
  <w:style w:type="character" w:customStyle="1" w:styleId="KommentarerChar">
    <w:name w:val="Kommentarer Char"/>
    <w:basedOn w:val="Standardstycketeckensnitt"/>
    <w:link w:val="Kommentarer"/>
    <w:uiPriority w:val="99"/>
    <w:rsid w:val="009D1AD2"/>
  </w:style>
  <w:style w:type="paragraph" w:styleId="Kommentarsmne">
    <w:name w:val="annotation subject"/>
    <w:basedOn w:val="Kommentarer"/>
    <w:next w:val="Kommentarer"/>
    <w:link w:val="KommentarsmneChar"/>
    <w:uiPriority w:val="99"/>
    <w:semiHidden/>
    <w:unhideWhenUsed/>
    <w:rsid w:val="009D1AD2"/>
    <w:rPr>
      <w:b/>
      <w:bCs/>
    </w:rPr>
  </w:style>
  <w:style w:type="character" w:customStyle="1" w:styleId="KommentarsmneChar">
    <w:name w:val="Kommentarsämne Char"/>
    <w:basedOn w:val="KommentarerChar"/>
    <w:link w:val="Kommentarsmne"/>
    <w:uiPriority w:val="99"/>
    <w:semiHidden/>
    <w:rsid w:val="009D1AD2"/>
    <w:rPr>
      <w:b/>
      <w:bCs/>
    </w:rPr>
  </w:style>
  <w:style w:type="paragraph" w:styleId="Revision">
    <w:name w:val="Revision"/>
    <w:hidden/>
    <w:uiPriority w:val="99"/>
    <w:semiHidden/>
    <w:rsid w:val="00415C91"/>
    <w:rPr>
      <w:sz w:val="24"/>
      <w:szCs w:val="24"/>
    </w:rPr>
  </w:style>
  <w:style w:type="paragraph" w:styleId="Fotnotstext">
    <w:name w:val="footnote text"/>
    <w:basedOn w:val="Normal"/>
    <w:link w:val="FotnotstextChar"/>
    <w:uiPriority w:val="99"/>
    <w:semiHidden/>
    <w:unhideWhenUsed/>
    <w:rsid w:val="00415C91"/>
    <w:rPr>
      <w:sz w:val="20"/>
      <w:szCs w:val="20"/>
    </w:rPr>
  </w:style>
  <w:style w:type="character" w:customStyle="1" w:styleId="FotnotstextChar">
    <w:name w:val="Fotnotstext Char"/>
    <w:basedOn w:val="Standardstycketeckensnitt"/>
    <w:link w:val="Fotnotstext"/>
    <w:uiPriority w:val="99"/>
    <w:semiHidden/>
    <w:rsid w:val="00415C91"/>
  </w:style>
  <w:style w:type="character" w:styleId="Fotnotsreferens">
    <w:name w:val="footnote reference"/>
    <w:basedOn w:val="Standardstycketeckensnitt"/>
    <w:uiPriority w:val="99"/>
    <w:semiHidden/>
    <w:unhideWhenUsed/>
    <w:rsid w:val="00415C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J:\Mallar\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79349-A226-427A-B170-37DA1266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0</TotalTime>
  <Pages>12</Pages>
  <Words>4396</Words>
  <Characters>23305</Characters>
  <Application>Microsoft Office Word</Application>
  <DocSecurity>0</DocSecurity>
  <Lines>194</Lines>
  <Paragraphs>55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27646</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Patrik Lönngren</dc:creator>
  <cp:keywords/>
  <dc:description/>
  <cp:lastModifiedBy>Jessica Laaksonen</cp:lastModifiedBy>
  <cp:revision>2</cp:revision>
  <cp:lastPrinted>2026-05-22T12:56:00Z</cp:lastPrinted>
  <dcterms:created xsi:type="dcterms:W3CDTF">2026-05-28T08:08:00Z</dcterms:created>
  <dcterms:modified xsi:type="dcterms:W3CDTF">2026-05-28T08:08:00Z</dcterms:modified>
</cp:coreProperties>
</file>