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2195DF9E" w14:textId="77777777">
        <w:trPr>
          <w:cantSplit/>
          <w:trHeight w:val="20"/>
        </w:trPr>
        <w:tc>
          <w:tcPr>
            <w:tcW w:w="861" w:type="dxa"/>
            <w:vMerge w:val="restart"/>
          </w:tcPr>
          <w:p w14:paraId="68C8B6CA" w14:textId="14356FDD" w:rsidR="00E023D9" w:rsidRDefault="007C1F56">
            <w:pPr>
              <w:pStyle w:val="xLedtext"/>
              <w:rPr>
                <w:noProof/>
              </w:rPr>
            </w:pPr>
            <w:r>
              <w:rPr>
                <w:noProof/>
              </w:rPr>
              <w:drawing>
                <wp:anchor distT="0" distB="0" distL="114300" distR="114300" simplePos="0" relativeHeight="251657728" behindDoc="0" locked="0" layoutInCell="1" allowOverlap="1" wp14:anchorId="41B28902" wp14:editId="61113C70">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77195319" w14:textId="78BEDF6B" w:rsidR="00E023D9" w:rsidRDefault="007C1F56">
            <w:pPr>
              <w:pStyle w:val="xMellanrum"/>
            </w:pPr>
            <w:r w:rsidRPr="0038504B">
              <w:rPr>
                <w:noProof/>
              </w:rPr>
              <w:drawing>
                <wp:inline distT="0" distB="0" distL="0" distR="0" wp14:anchorId="793EEF02" wp14:editId="3153D92A">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59AA6FDC" w14:textId="77777777">
        <w:trPr>
          <w:cantSplit/>
          <w:trHeight w:val="299"/>
        </w:trPr>
        <w:tc>
          <w:tcPr>
            <w:tcW w:w="861" w:type="dxa"/>
            <w:vMerge/>
          </w:tcPr>
          <w:p w14:paraId="0DB07BDB" w14:textId="77777777" w:rsidR="00E023D9" w:rsidRDefault="00E023D9">
            <w:pPr>
              <w:pStyle w:val="xLedtext"/>
            </w:pPr>
          </w:p>
        </w:tc>
        <w:tc>
          <w:tcPr>
            <w:tcW w:w="4448" w:type="dxa"/>
            <w:vAlign w:val="bottom"/>
          </w:tcPr>
          <w:p w14:paraId="468C30AA" w14:textId="77777777" w:rsidR="00E023D9" w:rsidRDefault="00E023D9">
            <w:pPr>
              <w:pStyle w:val="xAvsandare1"/>
            </w:pPr>
          </w:p>
        </w:tc>
        <w:tc>
          <w:tcPr>
            <w:tcW w:w="4288" w:type="dxa"/>
            <w:gridSpan w:val="2"/>
            <w:vAlign w:val="bottom"/>
          </w:tcPr>
          <w:p w14:paraId="0B33B4C4" w14:textId="77777777" w:rsidR="00E023D9" w:rsidRDefault="00E023D9">
            <w:pPr>
              <w:pStyle w:val="xDokTypNr"/>
            </w:pPr>
            <w:r>
              <w:t>PARALLELLTEXTER</w:t>
            </w:r>
          </w:p>
        </w:tc>
      </w:tr>
      <w:tr w:rsidR="00E023D9" w14:paraId="07CAA764" w14:textId="77777777">
        <w:trPr>
          <w:cantSplit/>
          <w:trHeight w:val="238"/>
        </w:trPr>
        <w:tc>
          <w:tcPr>
            <w:tcW w:w="861" w:type="dxa"/>
            <w:vMerge/>
          </w:tcPr>
          <w:p w14:paraId="7A922EA6" w14:textId="77777777" w:rsidR="00E023D9" w:rsidRDefault="00E023D9">
            <w:pPr>
              <w:pStyle w:val="xLedtext"/>
            </w:pPr>
          </w:p>
        </w:tc>
        <w:tc>
          <w:tcPr>
            <w:tcW w:w="4448" w:type="dxa"/>
            <w:vAlign w:val="bottom"/>
          </w:tcPr>
          <w:p w14:paraId="55148D71" w14:textId="77777777" w:rsidR="00E023D9" w:rsidRDefault="00E023D9">
            <w:pPr>
              <w:pStyle w:val="xLedtext"/>
            </w:pPr>
          </w:p>
        </w:tc>
        <w:tc>
          <w:tcPr>
            <w:tcW w:w="1725" w:type="dxa"/>
            <w:vAlign w:val="bottom"/>
          </w:tcPr>
          <w:p w14:paraId="1082FAB3" w14:textId="77777777" w:rsidR="00E023D9" w:rsidRDefault="00E023D9">
            <w:pPr>
              <w:pStyle w:val="xLedtext"/>
            </w:pPr>
            <w:r>
              <w:t>Datum</w:t>
            </w:r>
          </w:p>
        </w:tc>
        <w:tc>
          <w:tcPr>
            <w:tcW w:w="2563" w:type="dxa"/>
            <w:vAlign w:val="bottom"/>
          </w:tcPr>
          <w:p w14:paraId="0BD865EB" w14:textId="77777777" w:rsidR="00E023D9" w:rsidRDefault="00E023D9">
            <w:pPr>
              <w:pStyle w:val="xLedtext"/>
            </w:pPr>
          </w:p>
        </w:tc>
      </w:tr>
      <w:tr w:rsidR="00E023D9" w14:paraId="7263D87D" w14:textId="77777777">
        <w:trPr>
          <w:cantSplit/>
          <w:trHeight w:val="238"/>
        </w:trPr>
        <w:tc>
          <w:tcPr>
            <w:tcW w:w="861" w:type="dxa"/>
            <w:vMerge/>
          </w:tcPr>
          <w:p w14:paraId="04845197" w14:textId="77777777" w:rsidR="00E023D9" w:rsidRDefault="00E023D9">
            <w:pPr>
              <w:pStyle w:val="xAvsandare2"/>
            </w:pPr>
          </w:p>
        </w:tc>
        <w:tc>
          <w:tcPr>
            <w:tcW w:w="4448" w:type="dxa"/>
            <w:vAlign w:val="center"/>
          </w:tcPr>
          <w:p w14:paraId="633AD26A" w14:textId="77777777" w:rsidR="00E023D9" w:rsidRDefault="00E023D9">
            <w:pPr>
              <w:pStyle w:val="xAvsandare2"/>
            </w:pPr>
          </w:p>
        </w:tc>
        <w:tc>
          <w:tcPr>
            <w:tcW w:w="1725" w:type="dxa"/>
            <w:vAlign w:val="center"/>
          </w:tcPr>
          <w:p w14:paraId="62A70E10" w14:textId="42B8CFE9" w:rsidR="00E023D9" w:rsidRDefault="00E023D9">
            <w:pPr>
              <w:pStyle w:val="xDatum1"/>
            </w:pPr>
            <w:r>
              <w:t>20</w:t>
            </w:r>
            <w:r w:rsidR="00A16CC6">
              <w:t>26</w:t>
            </w:r>
            <w:r>
              <w:t>-</w:t>
            </w:r>
            <w:r w:rsidR="00A16CC6">
              <w:t>05</w:t>
            </w:r>
            <w:r>
              <w:t>-</w:t>
            </w:r>
            <w:r w:rsidR="00A16CC6">
              <w:t>13</w:t>
            </w:r>
          </w:p>
        </w:tc>
        <w:tc>
          <w:tcPr>
            <w:tcW w:w="2563" w:type="dxa"/>
            <w:vAlign w:val="center"/>
          </w:tcPr>
          <w:p w14:paraId="3DD368AF" w14:textId="77777777" w:rsidR="00E023D9" w:rsidRDefault="00E023D9">
            <w:pPr>
              <w:pStyle w:val="xBeteckning1"/>
            </w:pPr>
          </w:p>
        </w:tc>
      </w:tr>
      <w:tr w:rsidR="00E023D9" w14:paraId="0EFA76E2" w14:textId="77777777">
        <w:trPr>
          <w:cantSplit/>
          <w:trHeight w:val="238"/>
        </w:trPr>
        <w:tc>
          <w:tcPr>
            <w:tcW w:w="861" w:type="dxa"/>
            <w:vMerge/>
          </w:tcPr>
          <w:p w14:paraId="7B752838" w14:textId="77777777" w:rsidR="00E023D9" w:rsidRDefault="00E023D9">
            <w:pPr>
              <w:pStyle w:val="xLedtext"/>
            </w:pPr>
          </w:p>
        </w:tc>
        <w:tc>
          <w:tcPr>
            <w:tcW w:w="4448" w:type="dxa"/>
            <w:vAlign w:val="bottom"/>
          </w:tcPr>
          <w:p w14:paraId="5894F370" w14:textId="77777777" w:rsidR="00E023D9" w:rsidRDefault="00E023D9">
            <w:pPr>
              <w:pStyle w:val="xLedtext"/>
            </w:pPr>
          </w:p>
        </w:tc>
        <w:tc>
          <w:tcPr>
            <w:tcW w:w="1725" w:type="dxa"/>
            <w:vAlign w:val="bottom"/>
          </w:tcPr>
          <w:p w14:paraId="654BFCB5" w14:textId="77777777" w:rsidR="00E023D9" w:rsidRDefault="00E023D9">
            <w:pPr>
              <w:pStyle w:val="xLedtext"/>
            </w:pPr>
          </w:p>
        </w:tc>
        <w:tc>
          <w:tcPr>
            <w:tcW w:w="2563" w:type="dxa"/>
            <w:vAlign w:val="bottom"/>
          </w:tcPr>
          <w:p w14:paraId="2F2A909C" w14:textId="77777777" w:rsidR="00E023D9" w:rsidRDefault="00E023D9">
            <w:pPr>
              <w:pStyle w:val="xLedtext"/>
            </w:pPr>
          </w:p>
        </w:tc>
      </w:tr>
      <w:tr w:rsidR="00E023D9" w14:paraId="0867EACC" w14:textId="77777777">
        <w:trPr>
          <w:cantSplit/>
          <w:trHeight w:val="238"/>
        </w:trPr>
        <w:tc>
          <w:tcPr>
            <w:tcW w:w="861" w:type="dxa"/>
            <w:vMerge/>
            <w:tcBorders>
              <w:bottom w:val="single" w:sz="4" w:space="0" w:color="auto"/>
            </w:tcBorders>
          </w:tcPr>
          <w:p w14:paraId="39AF7725" w14:textId="77777777" w:rsidR="00E023D9" w:rsidRDefault="00E023D9">
            <w:pPr>
              <w:pStyle w:val="xAvsandare3"/>
            </w:pPr>
          </w:p>
        </w:tc>
        <w:tc>
          <w:tcPr>
            <w:tcW w:w="4448" w:type="dxa"/>
            <w:tcBorders>
              <w:bottom w:val="single" w:sz="4" w:space="0" w:color="auto"/>
            </w:tcBorders>
            <w:vAlign w:val="center"/>
          </w:tcPr>
          <w:p w14:paraId="1B7AA561" w14:textId="77777777" w:rsidR="00E023D9" w:rsidRDefault="00E023D9">
            <w:pPr>
              <w:pStyle w:val="xAvsandare3"/>
            </w:pPr>
          </w:p>
        </w:tc>
        <w:tc>
          <w:tcPr>
            <w:tcW w:w="1725" w:type="dxa"/>
            <w:tcBorders>
              <w:bottom w:val="single" w:sz="4" w:space="0" w:color="auto"/>
            </w:tcBorders>
            <w:vAlign w:val="center"/>
          </w:tcPr>
          <w:p w14:paraId="4B273309" w14:textId="77777777" w:rsidR="00E023D9" w:rsidRDefault="00E023D9">
            <w:pPr>
              <w:pStyle w:val="xDatum2"/>
            </w:pPr>
          </w:p>
        </w:tc>
        <w:tc>
          <w:tcPr>
            <w:tcW w:w="2563" w:type="dxa"/>
            <w:tcBorders>
              <w:bottom w:val="single" w:sz="4" w:space="0" w:color="auto"/>
            </w:tcBorders>
            <w:vAlign w:val="center"/>
          </w:tcPr>
          <w:p w14:paraId="39DDADF9" w14:textId="77777777" w:rsidR="00E023D9" w:rsidRDefault="00E023D9">
            <w:pPr>
              <w:pStyle w:val="xBeteckning2"/>
            </w:pPr>
          </w:p>
        </w:tc>
      </w:tr>
      <w:tr w:rsidR="00E023D9" w14:paraId="0E9F7A16" w14:textId="77777777">
        <w:trPr>
          <w:cantSplit/>
          <w:trHeight w:val="238"/>
        </w:trPr>
        <w:tc>
          <w:tcPr>
            <w:tcW w:w="861" w:type="dxa"/>
            <w:tcBorders>
              <w:top w:val="single" w:sz="4" w:space="0" w:color="auto"/>
            </w:tcBorders>
            <w:vAlign w:val="bottom"/>
          </w:tcPr>
          <w:p w14:paraId="15A75693" w14:textId="77777777" w:rsidR="00E023D9" w:rsidRDefault="00E023D9">
            <w:pPr>
              <w:pStyle w:val="xLedtext"/>
            </w:pPr>
          </w:p>
        </w:tc>
        <w:tc>
          <w:tcPr>
            <w:tcW w:w="4448" w:type="dxa"/>
            <w:tcBorders>
              <w:top w:val="single" w:sz="4" w:space="0" w:color="auto"/>
            </w:tcBorders>
            <w:vAlign w:val="bottom"/>
          </w:tcPr>
          <w:p w14:paraId="4FB0FD4C" w14:textId="77777777" w:rsidR="00E023D9" w:rsidRDefault="00E023D9">
            <w:pPr>
              <w:pStyle w:val="xLedtext"/>
            </w:pPr>
          </w:p>
        </w:tc>
        <w:tc>
          <w:tcPr>
            <w:tcW w:w="4288" w:type="dxa"/>
            <w:gridSpan w:val="2"/>
            <w:tcBorders>
              <w:top w:val="single" w:sz="4" w:space="0" w:color="auto"/>
            </w:tcBorders>
            <w:vAlign w:val="bottom"/>
          </w:tcPr>
          <w:p w14:paraId="53F239C7" w14:textId="77777777" w:rsidR="00E023D9" w:rsidRDefault="00E023D9">
            <w:pPr>
              <w:pStyle w:val="xLedtext"/>
            </w:pPr>
          </w:p>
        </w:tc>
      </w:tr>
    </w:tbl>
    <w:p w14:paraId="171B5BF6"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0FA3A82A" w14:textId="4550C648" w:rsidR="00E023D9" w:rsidRDefault="00E023D9">
      <w:pPr>
        <w:pStyle w:val="ArendeOverRubrik"/>
      </w:pPr>
      <w:r>
        <w:t xml:space="preserve">Parallelltexter till landskapsregeringens </w:t>
      </w:r>
      <w:r w:rsidR="007C1F56">
        <w:t>lagförslag</w:t>
      </w:r>
    </w:p>
    <w:p w14:paraId="147704CA" w14:textId="2C849375" w:rsidR="00E023D9" w:rsidRDefault="007B4489">
      <w:pPr>
        <w:pStyle w:val="ArendeRubrik"/>
      </w:pPr>
      <w:r>
        <w:t>Slopande av avdraget för premier för kollektivt tilläggspensionsskydd</w:t>
      </w:r>
    </w:p>
    <w:p w14:paraId="34FF6F55" w14:textId="3C32EB12" w:rsidR="00E023D9" w:rsidRDefault="00E023D9">
      <w:pPr>
        <w:pStyle w:val="ArendeUnderRubrik"/>
      </w:pPr>
      <w:r>
        <w:t xml:space="preserve">Landskapsregeringens </w:t>
      </w:r>
      <w:r w:rsidR="007C1F56">
        <w:t>lagförslag</w:t>
      </w:r>
      <w:r>
        <w:t xml:space="preserve"> nr </w:t>
      </w:r>
      <w:r w:rsidR="00A16CC6">
        <w:t>20</w:t>
      </w:r>
      <w:r>
        <w:t>/20</w:t>
      </w:r>
      <w:r w:rsidR="007C1F56">
        <w:t>2</w:t>
      </w:r>
      <w:r w:rsidR="00A16CC6">
        <w:t>5</w:t>
      </w:r>
      <w:r w:rsidR="007C1F56">
        <w:t>–</w:t>
      </w:r>
      <w:r>
        <w:t>20</w:t>
      </w:r>
      <w:r w:rsidR="007C1F56">
        <w:t>2</w:t>
      </w:r>
      <w:r w:rsidR="00A16CC6">
        <w:t>6</w:t>
      </w:r>
    </w:p>
    <w:p w14:paraId="465EE153" w14:textId="77777777" w:rsidR="00E023D9" w:rsidRDefault="00E023D9">
      <w:pPr>
        <w:pStyle w:val="ANormal"/>
      </w:pPr>
    </w:p>
    <w:p w14:paraId="40F71800" w14:textId="77777777" w:rsidR="00E023D9" w:rsidRDefault="00E023D9">
      <w:pPr>
        <w:pStyle w:val="Innehll1"/>
      </w:pPr>
      <w:r>
        <w:t>INNEHÅLL</w:t>
      </w:r>
    </w:p>
    <w:p w14:paraId="61D33A68" w14:textId="1219225B" w:rsidR="00B353CE" w:rsidRDefault="00E023D9">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"LagHuvRubr;1" </w:instrText>
      </w:r>
      <w:r>
        <w:fldChar w:fldCharType="separate"/>
      </w:r>
      <w:hyperlink w:anchor="_Toc228282696" w:history="1">
        <w:r w:rsidR="00B353CE" w:rsidRPr="006A6B10">
          <w:rPr>
            <w:rStyle w:val="Hyperlnk"/>
            <w:lang w:val="en-GB"/>
          </w:rPr>
          <w:t>L A N D S K A P S L A G om ändring av kommunalskattelagen för landskapet Åland</w:t>
        </w:r>
        <w:r w:rsidR="00B353CE">
          <w:rPr>
            <w:webHidden/>
          </w:rPr>
          <w:tab/>
        </w:r>
        <w:r w:rsidR="00B353CE">
          <w:rPr>
            <w:webHidden/>
          </w:rPr>
          <w:fldChar w:fldCharType="begin"/>
        </w:r>
        <w:r w:rsidR="00B353CE">
          <w:rPr>
            <w:webHidden/>
          </w:rPr>
          <w:instrText xml:space="preserve"> PAGEREF _Toc228282696 \h </w:instrText>
        </w:r>
        <w:r w:rsidR="00B353CE">
          <w:rPr>
            <w:webHidden/>
          </w:rPr>
        </w:r>
        <w:r w:rsidR="00B353CE">
          <w:rPr>
            <w:webHidden/>
          </w:rPr>
          <w:fldChar w:fldCharType="separate"/>
        </w:r>
        <w:r w:rsidR="00B353CE">
          <w:rPr>
            <w:webHidden/>
          </w:rPr>
          <w:t>1</w:t>
        </w:r>
        <w:r w:rsidR="00B353CE">
          <w:rPr>
            <w:webHidden/>
          </w:rPr>
          <w:fldChar w:fldCharType="end"/>
        </w:r>
      </w:hyperlink>
    </w:p>
    <w:p w14:paraId="307BEC97" w14:textId="7F74A176" w:rsidR="00E023D9" w:rsidRDefault="00E023D9">
      <w:pPr>
        <w:pStyle w:val="ANormal"/>
        <w:tabs>
          <w:tab w:val="right" w:leader="dot" w:pos="7809"/>
        </w:tabs>
        <w:rPr>
          <w:rFonts w:ascii="Verdana" w:hAnsi="Verdana"/>
          <w:noProof/>
          <w:sz w:val="16"/>
          <w:szCs w:val="36"/>
        </w:rPr>
      </w:pPr>
      <w:r>
        <w:rPr>
          <w:rFonts w:ascii="Verdana" w:hAnsi="Verdana"/>
          <w:noProof/>
          <w:sz w:val="16"/>
          <w:szCs w:val="36"/>
        </w:rPr>
        <w:fldChar w:fldCharType="end"/>
      </w:r>
    </w:p>
    <w:p w14:paraId="5C8149EA" w14:textId="5465BB93" w:rsidR="00E023D9" w:rsidRPr="00D13B66" w:rsidRDefault="00E023D9">
      <w:pPr>
        <w:pStyle w:val="ANormal"/>
        <w:rPr>
          <w:lang w:val="en-GB"/>
        </w:rPr>
      </w:pPr>
    </w:p>
    <w:p w14:paraId="07C1F0DC" w14:textId="223762CE" w:rsidR="007B4489" w:rsidRDefault="00E023D9" w:rsidP="007B4489">
      <w:pPr>
        <w:pStyle w:val="LagHuvRubr"/>
        <w:rPr>
          <w:lang w:val="en-GB"/>
        </w:rPr>
      </w:pPr>
      <w:bookmarkStart w:id="0" w:name="_Toc500921111"/>
      <w:bookmarkStart w:id="1" w:name="_Toc528640435"/>
      <w:bookmarkStart w:id="2" w:name="_Toc228282696"/>
      <w:r w:rsidRPr="00D13B66">
        <w:rPr>
          <w:lang w:val="en-GB"/>
        </w:rPr>
        <w:t>L A N D S K A P S L A G</w:t>
      </w:r>
      <w:r w:rsidRPr="00D13B66">
        <w:rPr>
          <w:lang w:val="en-GB"/>
        </w:rPr>
        <w:br/>
        <w:t>om</w:t>
      </w:r>
      <w:bookmarkEnd w:id="0"/>
      <w:bookmarkEnd w:id="1"/>
      <w:r w:rsidR="007B4489" w:rsidRPr="007B4489">
        <w:rPr>
          <w:lang w:val="en-GB"/>
        </w:rPr>
        <w:t xml:space="preserve"> </w:t>
      </w:r>
      <w:r w:rsidR="007B4489">
        <w:rPr>
          <w:lang w:val="en-GB"/>
        </w:rPr>
        <w:t>ändring av kommunalskattelagen för landskapet Åland</w:t>
      </w:r>
      <w:bookmarkEnd w:id="2"/>
    </w:p>
    <w:p w14:paraId="3641ED3B" w14:textId="77777777" w:rsidR="007B4489" w:rsidRDefault="007B4489" w:rsidP="007B4489">
      <w:pPr>
        <w:pStyle w:val="ANormal"/>
        <w:rPr>
          <w:lang w:val="en-GB"/>
        </w:rPr>
      </w:pPr>
    </w:p>
    <w:p w14:paraId="1A36CAF3" w14:textId="0870EC48" w:rsidR="007B4489" w:rsidRDefault="007B4489" w:rsidP="007B4489">
      <w:pPr>
        <w:pStyle w:val="ANormal"/>
      </w:pPr>
      <w:r>
        <w:tab/>
        <w:t>I enlighet med lagtingets beslut</w:t>
      </w:r>
    </w:p>
    <w:p w14:paraId="1DFADFAC" w14:textId="77777777" w:rsidR="007B4489" w:rsidRDefault="007B4489" w:rsidP="007B4489">
      <w:pPr>
        <w:pStyle w:val="ANormal"/>
      </w:pPr>
      <w:r>
        <w:tab/>
      </w:r>
      <w:r w:rsidRPr="0037230D">
        <w:rPr>
          <w:b/>
          <w:bCs/>
        </w:rPr>
        <w:t>upphävs</w:t>
      </w:r>
      <w:r>
        <w:t xml:space="preserve"> 15 § kommunalskattelagen (2011:119) för landskapet Åland, sådan den lyder delvis ändrad i landskapslagen 2017/20, samt</w:t>
      </w:r>
    </w:p>
    <w:p w14:paraId="66FD7A1C" w14:textId="3C63892D" w:rsidR="00E023D9" w:rsidRPr="00D13B66" w:rsidRDefault="007B4489" w:rsidP="007B4489">
      <w:pPr>
        <w:pStyle w:val="ANormal"/>
        <w:rPr>
          <w:lang w:val="en-GB"/>
        </w:rPr>
      </w:pPr>
      <w:r>
        <w:tab/>
      </w:r>
      <w:r w:rsidRPr="0037230D">
        <w:rPr>
          <w:b/>
          <w:bCs/>
        </w:rPr>
        <w:t>ändras</w:t>
      </w:r>
      <w:r>
        <w:t xml:space="preserve"> lagens 28 § som följer:</w:t>
      </w:r>
    </w:p>
    <w:p w14:paraId="254277CA" w14:textId="77777777" w:rsidR="00E023D9" w:rsidRPr="00D13B66" w:rsidRDefault="00E023D9">
      <w:pPr>
        <w:pStyle w:val="ANormal"/>
        <w:rPr>
          <w:lang w:val="en-GB"/>
        </w:rPr>
      </w:pPr>
    </w:p>
    <w:p w14:paraId="01FA3E47" w14:textId="77777777" w:rsidR="00E023D9" w:rsidRPr="00D13B66" w:rsidRDefault="00E023D9">
      <w:pPr>
        <w:pStyle w:val="ANormal"/>
        <w:rPr>
          <w:lang w:val="en-GB"/>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E023D9" w14:paraId="0EC071D8" w14:textId="77777777" w:rsidTr="00A16CC6">
        <w:tc>
          <w:tcPr>
            <w:tcW w:w="2427" w:type="pct"/>
          </w:tcPr>
          <w:p w14:paraId="7833DE9D" w14:textId="77777777" w:rsidR="00E023D9" w:rsidRDefault="00E023D9">
            <w:pPr>
              <w:pStyle w:val="xCelltext"/>
              <w:jc w:val="center"/>
            </w:pPr>
            <w:r>
              <w:t>Gällande lydelse</w:t>
            </w:r>
          </w:p>
        </w:tc>
        <w:tc>
          <w:tcPr>
            <w:tcW w:w="146" w:type="pct"/>
          </w:tcPr>
          <w:p w14:paraId="78F02F69" w14:textId="77777777" w:rsidR="00E023D9" w:rsidRDefault="00E023D9">
            <w:pPr>
              <w:pStyle w:val="xCelltext"/>
              <w:jc w:val="center"/>
            </w:pPr>
          </w:p>
        </w:tc>
        <w:tc>
          <w:tcPr>
            <w:tcW w:w="2427" w:type="pct"/>
          </w:tcPr>
          <w:p w14:paraId="3157C229" w14:textId="77777777" w:rsidR="00E023D9" w:rsidRDefault="00E023D9">
            <w:pPr>
              <w:pStyle w:val="xCelltext"/>
              <w:jc w:val="center"/>
            </w:pPr>
            <w:r>
              <w:t>Föreslagen lydelse</w:t>
            </w:r>
          </w:p>
        </w:tc>
      </w:tr>
      <w:tr w:rsidR="00E023D9" w14:paraId="4CEE8465" w14:textId="77777777" w:rsidTr="00A16CC6">
        <w:tc>
          <w:tcPr>
            <w:tcW w:w="2427" w:type="pct"/>
          </w:tcPr>
          <w:p w14:paraId="07DC21DF" w14:textId="77777777" w:rsidR="00E023D9" w:rsidRDefault="00E023D9">
            <w:pPr>
              <w:pStyle w:val="ANormal"/>
            </w:pPr>
          </w:p>
          <w:p w14:paraId="18C057C3" w14:textId="7E217007" w:rsidR="00E023D9" w:rsidRDefault="00E205A5">
            <w:pPr>
              <w:pStyle w:val="LagParagraf"/>
            </w:pPr>
            <w:r>
              <w:t>15</w:t>
            </w:r>
            <w:r w:rsidR="00A16CC6">
              <w:t> </w:t>
            </w:r>
            <w:r w:rsidR="00E023D9">
              <w:t>§</w:t>
            </w:r>
          </w:p>
          <w:p w14:paraId="5B8D2077" w14:textId="77777777" w:rsidR="00E205A5" w:rsidRPr="00B353CE" w:rsidRDefault="00E205A5" w:rsidP="00E205A5">
            <w:pPr>
              <w:pStyle w:val="LagPararubrik"/>
              <w:rPr>
                <w:b/>
                <w:bCs/>
              </w:rPr>
            </w:pPr>
            <w:r w:rsidRPr="00B353CE">
              <w:rPr>
                <w:b/>
                <w:bCs/>
              </w:rPr>
              <w:t>Premier för kollektivt tilläggspensionsskydd</w:t>
            </w:r>
          </w:p>
          <w:p w14:paraId="456F9402" w14:textId="40602FA0" w:rsidR="00E205A5" w:rsidRPr="00B353CE" w:rsidRDefault="00E205A5" w:rsidP="00E205A5">
            <w:pPr>
              <w:pStyle w:val="ANormal"/>
              <w:rPr>
                <w:b/>
                <w:bCs/>
              </w:rPr>
            </w:pPr>
            <w:r w:rsidRPr="00B353CE">
              <w:rPr>
                <w:b/>
                <w:bCs/>
              </w:rPr>
              <w:tab/>
              <w:t>Den skattskyldige har rätt att från sin nettoförvärvsinkomst dra av premier som han eller hon betalat för i en pensionsstiftelse, i en pensionskassa eller i ett försäkringsbolag kollektivt ordnat tilläggspensionsskydd upp till ett belopp av 5 procent av den lön som den arbetsgivare som ordnat pensionsskyddet under skatteåret betalat till den skattskyldige, dock högst 5 000 euro i året. Premierna är inte avdragsgilla till den del deras belopp överstiger det belopp som arbetsgivaren betalat för tilläggspensionsskyddet. En ytterligare förutsättning för att premierna ska vara avdragsgilla är att pension i form av ålderspension börjar betalas tidigast då den försäkrade har uppnått den ålder som anges i inkomstskattelagens 54d</w:t>
            </w:r>
            <w:r w:rsidR="00A16CC6">
              <w:rPr>
                <w:b/>
                <w:bCs/>
              </w:rPr>
              <w:t> </w:t>
            </w:r>
            <w:r w:rsidRPr="00B353CE">
              <w:rPr>
                <w:b/>
                <w:bCs/>
              </w:rPr>
              <w:t>§ 2</w:t>
            </w:r>
            <w:r w:rsidR="00A16CC6">
              <w:rPr>
                <w:b/>
                <w:bCs/>
              </w:rPr>
              <w:t> </w:t>
            </w:r>
            <w:r w:rsidRPr="00B353CE">
              <w:rPr>
                <w:b/>
                <w:bCs/>
              </w:rPr>
              <w:t>mom. 2</w:t>
            </w:r>
            <w:r w:rsidR="00A16CC6">
              <w:rPr>
                <w:b/>
                <w:bCs/>
              </w:rPr>
              <w:t> </w:t>
            </w:r>
            <w:r w:rsidRPr="00B353CE">
              <w:rPr>
                <w:b/>
                <w:bCs/>
              </w:rPr>
              <w:t>punkten underpunkt</w:t>
            </w:r>
            <w:r w:rsidR="00A16CC6">
              <w:rPr>
                <w:b/>
                <w:bCs/>
              </w:rPr>
              <w:t> </w:t>
            </w:r>
            <w:r w:rsidRPr="00B353CE">
              <w:rPr>
                <w:b/>
                <w:bCs/>
              </w:rPr>
              <w:t>b.</w:t>
            </w:r>
          </w:p>
          <w:p w14:paraId="648DF295" w14:textId="450FE65D" w:rsidR="00E205A5" w:rsidRPr="00B353CE" w:rsidRDefault="00E205A5" w:rsidP="00E205A5">
            <w:pPr>
              <w:pStyle w:val="ANormal"/>
              <w:rPr>
                <w:b/>
                <w:bCs/>
              </w:rPr>
            </w:pPr>
            <w:r w:rsidRPr="00B353CE">
              <w:rPr>
                <w:b/>
                <w:bCs/>
              </w:rPr>
              <w:tab/>
              <w:t xml:space="preserve">Med kollektivt tilläggspensionsskydd avses frivilligt tilläggspensionsskydd som arbetsgivaren ordnar för en av arbetstagare bestående personkrets som bestäms gruppvis enligt arbetsområde eller enligt andra motsvarande grunder så att pensionsskyddet inte i verkligheten gäller namngivna eller annars </w:t>
            </w:r>
            <w:r w:rsidRPr="00B353CE">
              <w:rPr>
                <w:b/>
                <w:bCs/>
              </w:rPr>
              <w:lastRenderedPageBreak/>
              <w:t>individuellt bestämda personer. Ett arrangemang som är avsett att gälla endast en i arbetsgivarens tjänst varande person åt gången utgör inte kollektivt tilläggspensionsskydd.</w:t>
            </w:r>
          </w:p>
          <w:p w14:paraId="7FEAF0AE" w14:textId="77777777" w:rsidR="00E205A5" w:rsidRDefault="00E205A5" w:rsidP="00E205A5">
            <w:pPr>
              <w:pStyle w:val="ANormal"/>
              <w:rPr>
                <w:b/>
                <w:bCs/>
              </w:rPr>
            </w:pPr>
            <w:r w:rsidRPr="00B353CE">
              <w:rPr>
                <w:b/>
                <w:bCs/>
              </w:rPr>
              <w:tab/>
              <w:t>Premier för frivillig pensionsförsäkring som tecknats i en annan försäkringsanstalt än en sådan som har sitt hemvist eller fast driftställe i en stat som hör till Europeiska ekonomiska samarbetsområdet är inte avdragsgilla. Premier för en sådan försäkring som betalats av en person som från utlandet flyttat till Finland, med undantag för en person som under de närmaste fem åren före flyttningen har varit allmänt skattskyldig i Finland, är dock avdragsgilla i denna persons beskattning för flyttningsåret och för de tre följande åren, om premierna grundar sig på en försäkring som har tecknats minst ett år innan personen flyttade till Finland.</w:t>
            </w:r>
          </w:p>
          <w:p w14:paraId="230C168B" w14:textId="388180FA" w:rsidR="00A16CC6" w:rsidRPr="00A16CC6" w:rsidRDefault="00A16CC6" w:rsidP="00E205A5">
            <w:pPr>
              <w:pStyle w:val="ANormal"/>
            </w:pPr>
          </w:p>
        </w:tc>
        <w:tc>
          <w:tcPr>
            <w:tcW w:w="146" w:type="pct"/>
          </w:tcPr>
          <w:p w14:paraId="21C9A49F" w14:textId="77777777" w:rsidR="00E023D9" w:rsidRDefault="00E023D9">
            <w:pPr>
              <w:pStyle w:val="ANormal"/>
            </w:pPr>
          </w:p>
        </w:tc>
        <w:tc>
          <w:tcPr>
            <w:tcW w:w="2427" w:type="pct"/>
          </w:tcPr>
          <w:p w14:paraId="4FBD1E3C" w14:textId="77777777" w:rsidR="00E023D9" w:rsidRDefault="00E023D9">
            <w:pPr>
              <w:pStyle w:val="ANormal"/>
            </w:pPr>
          </w:p>
          <w:p w14:paraId="0EA611B0" w14:textId="4ABAF734" w:rsidR="00E023D9" w:rsidRDefault="007B4489">
            <w:pPr>
              <w:pStyle w:val="LagParagraf"/>
            </w:pPr>
            <w:r>
              <w:t>15</w:t>
            </w:r>
            <w:r w:rsidR="00A16CC6">
              <w:t> </w:t>
            </w:r>
            <w:r w:rsidR="00E023D9">
              <w:t>§</w:t>
            </w:r>
          </w:p>
          <w:p w14:paraId="105B854F" w14:textId="77777777" w:rsidR="007B4489" w:rsidRDefault="007B4489" w:rsidP="007B4489">
            <w:pPr>
              <w:pStyle w:val="LagPararubrik"/>
            </w:pPr>
          </w:p>
          <w:p w14:paraId="3F2C54FD" w14:textId="77777777" w:rsidR="007B4489" w:rsidRDefault="007B4489" w:rsidP="007B4489">
            <w:pPr>
              <w:pStyle w:val="ANormal"/>
            </w:pPr>
          </w:p>
          <w:p w14:paraId="05CE7D62" w14:textId="77777777" w:rsidR="007B4489" w:rsidRDefault="007B4489" w:rsidP="007B4489">
            <w:pPr>
              <w:pStyle w:val="ANormal"/>
            </w:pPr>
          </w:p>
          <w:p w14:paraId="253DBFA9" w14:textId="119E3DC3" w:rsidR="007B4489" w:rsidRPr="00A16CC6" w:rsidRDefault="00A16CC6" w:rsidP="00A16CC6">
            <w:pPr>
              <w:pStyle w:val="ANormal"/>
              <w:jc w:val="left"/>
              <w:rPr>
                <w:i/>
                <w:iCs/>
              </w:rPr>
            </w:pPr>
            <w:r>
              <w:rPr>
                <w:i/>
                <w:iCs/>
              </w:rPr>
              <w:tab/>
            </w:r>
            <w:r w:rsidR="007B4489" w:rsidRPr="00A16CC6">
              <w:rPr>
                <w:i/>
                <w:iCs/>
              </w:rPr>
              <w:t>Paragrafen upphävs</w:t>
            </w:r>
          </w:p>
        </w:tc>
      </w:tr>
      <w:tr w:rsidR="00E023D9" w14:paraId="4FF995E7" w14:textId="77777777" w:rsidTr="00A16CC6">
        <w:tc>
          <w:tcPr>
            <w:tcW w:w="2427" w:type="pct"/>
          </w:tcPr>
          <w:p w14:paraId="7559F3E6" w14:textId="77777777" w:rsidR="00E023D9" w:rsidRDefault="00E023D9">
            <w:pPr>
              <w:pStyle w:val="ANormal"/>
            </w:pPr>
          </w:p>
          <w:p w14:paraId="25F00901" w14:textId="35968466" w:rsidR="00E023D9" w:rsidRDefault="00F31C78">
            <w:pPr>
              <w:pStyle w:val="LagParagraf"/>
            </w:pPr>
            <w:r>
              <w:t>28</w:t>
            </w:r>
            <w:r w:rsidR="00A16CC6">
              <w:t> </w:t>
            </w:r>
            <w:r w:rsidR="00E023D9">
              <w:t>§</w:t>
            </w:r>
          </w:p>
          <w:p w14:paraId="1972EA82" w14:textId="77777777" w:rsidR="00F31C78" w:rsidRDefault="00F31C78" w:rsidP="00F31C78">
            <w:pPr>
              <w:pStyle w:val="LagPararubrik"/>
            </w:pPr>
            <w:r>
              <w:t>Underskottsgottgörelse vid kommunalbeskattningen</w:t>
            </w:r>
          </w:p>
          <w:p w14:paraId="1374A74C" w14:textId="77777777" w:rsidR="00F31C78" w:rsidRDefault="00F31C78" w:rsidP="00F31C78">
            <w:pPr>
              <w:pStyle w:val="ANormal"/>
            </w:pPr>
            <w:r>
              <w:tab/>
            </w:r>
            <w:r w:rsidRPr="00FF7567">
              <w:t>En skattskyldig har rätt att göra underskottsgottgörelse på de villkor som anges i 60</w:t>
            </w:r>
            <w:r w:rsidR="00A16CC6">
              <w:t> </w:t>
            </w:r>
            <w:r w:rsidRPr="00FF7567">
              <w:t xml:space="preserve">§ inkomstskattelagen </w:t>
            </w:r>
            <w:r w:rsidRPr="007B4489">
              <w:rPr>
                <w:b/>
                <w:bCs/>
              </w:rPr>
              <w:t>och en särskild underskottsgottgörelse på de villkor som anges i 131a</w:t>
            </w:r>
            <w:r w:rsidR="00A16CC6">
              <w:rPr>
                <w:b/>
                <w:bCs/>
              </w:rPr>
              <w:t> </w:t>
            </w:r>
            <w:r w:rsidRPr="007B4489">
              <w:rPr>
                <w:b/>
                <w:bCs/>
              </w:rPr>
              <w:t>§ inkomstskattelagen</w:t>
            </w:r>
            <w:r w:rsidRPr="00FF7567">
              <w:t xml:space="preserve"> vid kommunalbeskattningen. Beloppet av underskott</w:t>
            </w:r>
            <w:r w:rsidR="007B4489">
              <w:t>s</w:t>
            </w:r>
            <w:r w:rsidRPr="00FF7567">
              <w:t xml:space="preserve">gottgörelsen beräknas enligt de grunder som anges i 131 </w:t>
            </w:r>
            <w:r w:rsidRPr="007B4489">
              <w:rPr>
                <w:b/>
                <w:bCs/>
              </w:rPr>
              <w:t>och 131a</w:t>
            </w:r>
            <w:r w:rsidR="00A16CC6">
              <w:rPr>
                <w:b/>
                <w:bCs/>
              </w:rPr>
              <w:t> </w:t>
            </w:r>
            <w:r w:rsidRPr="007B4489">
              <w:rPr>
                <w:b/>
                <w:bCs/>
              </w:rPr>
              <w:t>§</w:t>
            </w:r>
            <w:r w:rsidRPr="00FF7567">
              <w:t>§ inkomstskattelagen. Avdrag av underskottsgottgörelse från kommunalskatten görs enligt de grunder som anges i 133 och 134</w:t>
            </w:r>
            <w:r w:rsidR="00A16CC6">
              <w:t> </w:t>
            </w:r>
            <w:r w:rsidRPr="00FF7567">
              <w:t>§§ inkomstskattelagen.</w:t>
            </w:r>
          </w:p>
          <w:p w14:paraId="16EEBD43" w14:textId="06B8EB48" w:rsidR="00A16CC6" w:rsidRPr="00F31C78" w:rsidRDefault="00A16CC6" w:rsidP="00F31C78">
            <w:pPr>
              <w:pStyle w:val="ANormal"/>
            </w:pPr>
          </w:p>
        </w:tc>
        <w:tc>
          <w:tcPr>
            <w:tcW w:w="146" w:type="pct"/>
          </w:tcPr>
          <w:p w14:paraId="5FDF6CCF" w14:textId="77777777" w:rsidR="00E023D9" w:rsidRDefault="00E023D9">
            <w:pPr>
              <w:pStyle w:val="ANormal"/>
            </w:pPr>
          </w:p>
        </w:tc>
        <w:tc>
          <w:tcPr>
            <w:tcW w:w="2427" w:type="pct"/>
          </w:tcPr>
          <w:p w14:paraId="195E2741" w14:textId="77777777" w:rsidR="00E023D9" w:rsidRDefault="00E023D9">
            <w:pPr>
              <w:pStyle w:val="ANormal"/>
            </w:pPr>
          </w:p>
          <w:p w14:paraId="2B329347" w14:textId="4FB92500" w:rsidR="00E023D9" w:rsidRDefault="007B4489">
            <w:pPr>
              <w:pStyle w:val="LagParagraf"/>
            </w:pPr>
            <w:r>
              <w:t>28</w:t>
            </w:r>
            <w:r w:rsidR="00A16CC6">
              <w:t> </w:t>
            </w:r>
            <w:r w:rsidR="00E023D9">
              <w:t>§</w:t>
            </w:r>
          </w:p>
          <w:p w14:paraId="7CE92F7F" w14:textId="77777777" w:rsidR="007B4489" w:rsidRDefault="007B4489" w:rsidP="007B4489">
            <w:pPr>
              <w:pStyle w:val="LagPararubrik"/>
            </w:pPr>
            <w:r>
              <w:t>Underskottsgottgörelse vid kommunalbeskattningen</w:t>
            </w:r>
          </w:p>
          <w:p w14:paraId="359C5751" w14:textId="77777777" w:rsidR="007B4489" w:rsidRDefault="007B4489" w:rsidP="007B4489">
            <w:pPr>
              <w:pStyle w:val="ANormal"/>
            </w:pPr>
            <w:r>
              <w:tab/>
            </w:r>
            <w:r w:rsidRPr="00FF7567">
              <w:t>En skattskyldig har rätt att göra underskottsgottgörelse på de villkor som anges i 60</w:t>
            </w:r>
            <w:r w:rsidR="00A16CC6">
              <w:t> </w:t>
            </w:r>
            <w:r w:rsidRPr="00FF7567">
              <w:t xml:space="preserve">§ inkomstskattelagen </w:t>
            </w:r>
            <w:r>
              <w:rPr>
                <w:b/>
                <w:bCs/>
              </w:rPr>
              <w:t>(</w:t>
            </w:r>
            <w:proofErr w:type="spellStart"/>
            <w:r>
              <w:rPr>
                <w:b/>
                <w:bCs/>
              </w:rPr>
              <w:t>utesl</w:t>
            </w:r>
            <w:proofErr w:type="spellEnd"/>
            <w:r>
              <w:rPr>
                <w:b/>
                <w:bCs/>
              </w:rPr>
              <w:t xml:space="preserve">.) </w:t>
            </w:r>
            <w:r w:rsidRPr="00FF7567">
              <w:t>vid kommunalbeskattningen. Beloppet av underskott</w:t>
            </w:r>
            <w:r>
              <w:t>s</w:t>
            </w:r>
            <w:r w:rsidRPr="00FF7567">
              <w:t xml:space="preserve">gottgörelsen beräknas enligt de grunder som anges i 131 </w:t>
            </w:r>
            <w:r>
              <w:rPr>
                <w:b/>
                <w:bCs/>
              </w:rPr>
              <w:t>(utesl.)</w:t>
            </w:r>
            <w:r w:rsidR="00A16CC6">
              <w:rPr>
                <w:b/>
                <w:bCs/>
              </w:rPr>
              <w:t> </w:t>
            </w:r>
            <w:r w:rsidRPr="00FF7567">
              <w:t>§</w:t>
            </w:r>
            <w:r>
              <w:t xml:space="preserve"> </w:t>
            </w:r>
            <w:r w:rsidRPr="00FF7567">
              <w:t>inkomstskattelagen. Avdrag av underskottsgottgörelse från kommunalskatten görs enligt de grunder som anges i 133 och 134</w:t>
            </w:r>
            <w:r w:rsidR="00A16CC6">
              <w:t> </w:t>
            </w:r>
            <w:r w:rsidRPr="00FF7567">
              <w:t>§§ inkomstskattelagen.</w:t>
            </w:r>
          </w:p>
          <w:p w14:paraId="4C14AB39" w14:textId="53A59939" w:rsidR="00A16CC6" w:rsidRPr="007B4489" w:rsidRDefault="00A16CC6" w:rsidP="007B4489">
            <w:pPr>
              <w:pStyle w:val="ANormal"/>
            </w:pPr>
          </w:p>
        </w:tc>
      </w:tr>
      <w:tr w:rsidR="00E205A5" w14:paraId="23B29B15" w14:textId="77777777" w:rsidTr="00A16CC6">
        <w:tc>
          <w:tcPr>
            <w:tcW w:w="2427" w:type="pct"/>
          </w:tcPr>
          <w:p w14:paraId="09F41035" w14:textId="77777777" w:rsidR="00E205A5" w:rsidRDefault="00E205A5" w:rsidP="009C5AFF">
            <w:pPr>
              <w:pStyle w:val="ANormal"/>
            </w:pPr>
          </w:p>
          <w:p w14:paraId="731E6717" w14:textId="05D780C4" w:rsidR="00E205A5" w:rsidRDefault="00E205A5" w:rsidP="00B353CE">
            <w:pPr>
              <w:pStyle w:val="LagParagraf"/>
              <w:jc w:val="left"/>
            </w:pPr>
          </w:p>
        </w:tc>
        <w:tc>
          <w:tcPr>
            <w:tcW w:w="146" w:type="pct"/>
          </w:tcPr>
          <w:p w14:paraId="7065D324" w14:textId="77777777" w:rsidR="00E205A5" w:rsidRDefault="00E205A5" w:rsidP="009C5AFF">
            <w:pPr>
              <w:pStyle w:val="ANormal"/>
            </w:pPr>
          </w:p>
        </w:tc>
        <w:tc>
          <w:tcPr>
            <w:tcW w:w="2427" w:type="pct"/>
          </w:tcPr>
          <w:p w14:paraId="0D61FA9A" w14:textId="77777777" w:rsidR="00E205A5" w:rsidRDefault="00E205A5" w:rsidP="009C5AFF">
            <w:pPr>
              <w:pStyle w:val="ANormal"/>
            </w:pPr>
          </w:p>
          <w:p w14:paraId="6F82A17E" w14:textId="77777777" w:rsidR="00B353CE" w:rsidRDefault="00B353CE" w:rsidP="00B353CE">
            <w:pPr>
              <w:pStyle w:val="ANormal"/>
              <w:jc w:val="center"/>
            </w:pPr>
            <w:hyperlink w:anchor="_top" w:tooltip="Klicka för att gå till toppen av dokumentet" w:history="1">
              <w:r>
                <w:rPr>
                  <w:rStyle w:val="Hyperlnk"/>
                </w:rPr>
                <w:t>__________________</w:t>
              </w:r>
            </w:hyperlink>
          </w:p>
          <w:p w14:paraId="017A5B9C" w14:textId="77777777" w:rsidR="00B353CE" w:rsidRDefault="00B353CE" w:rsidP="00B353CE">
            <w:pPr>
              <w:pStyle w:val="ANormal"/>
            </w:pPr>
          </w:p>
          <w:p w14:paraId="12D73B5B" w14:textId="77777777" w:rsidR="00E205A5" w:rsidRDefault="00B353CE" w:rsidP="00B353CE">
            <w:pPr>
              <w:pStyle w:val="ANormal"/>
            </w:pPr>
            <w:r>
              <w:tab/>
              <w:t>Denna lag träder i kraft den 1 januari 2027. Den tillämpas första gången vid kommunalbeskattningen 2027.</w:t>
            </w:r>
          </w:p>
          <w:p w14:paraId="1533713A" w14:textId="77777777" w:rsidR="00A16CC6" w:rsidRDefault="00A16CC6" w:rsidP="00B353CE">
            <w:pPr>
              <w:pStyle w:val="ANormal"/>
            </w:pPr>
          </w:p>
          <w:p w14:paraId="2176D99D" w14:textId="77777777" w:rsidR="00A16CC6" w:rsidRDefault="00A16CC6">
            <w:pPr>
              <w:pStyle w:val="ANormal"/>
              <w:jc w:val="center"/>
            </w:pPr>
            <w:hyperlink w:anchor="_top" w:tooltip="Klicka för att gå till toppen av dokumentet" w:history="1">
              <w:r>
                <w:rPr>
                  <w:rStyle w:val="Hyperlnk"/>
                </w:rPr>
                <w:t>__________________</w:t>
              </w:r>
            </w:hyperlink>
          </w:p>
          <w:p w14:paraId="02D7966E" w14:textId="524AF816" w:rsidR="00A16CC6" w:rsidRDefault="00A16CC6" w:rsidP="00B353CE">
            <w:pPr>
              <w:pStyle w:val="ANormal"/>
            </w:pPr>
          </w:p>
        </w:tc>
      </w:tr>
    </w:tbl>
    <w:p w14:paraId="34F8A3D9" w14:textId="77777777" w:rsidR="00E023D9" w:rsidRDefault="00E023D9">
      <w:pPr>
        <w:pStyle w:val="ANormal"/>
      </w:pPr>
    </w:p>
    <w:sectPr w:rsidR="00E023D9">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F40F" w14:textId="77777777" w:rsidR="00FF5A2F" w:rsidRDefault="00FF5A2F">
      <w:r>
        <w:separator/>
      </w:r>
    </w:p>
  </w:endnote>
  <w:endnote w:type="continuationSeparator" w:id="0">
    <w:p w14:paraId="54A4A0F6" w14:textId="77777777" w:rsidR="00FF5A2F" w:rsidRDefault="00FF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0EE3"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378B" w14:textId="7A617536" w:rsidR="00E023D9" w:rsidRDefault="00A16CC6">
    <w:pPr>
      <w:pStyle w:val="Sidfot"/>
      <w:rPr>
        <w:lang w:val="fi-FI"/>
      </w:rPr>
    </w:pPr>
    <w:r>
      <w:t>LF2020252026-P.docx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947B"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6029" w14:textId="77777777" w:rsidR="00FF5A2F" w:rsidRDefault="00FF5A2F">
      <w:r>
        <w:separator/>
      </w:r>
    </w:p>
  </w:footnote>
  <w:footnote w:type="continuationSeparator" w:id="0">
    <w:p w14:paraId="31FF7639" w14:textId="77777777" w:rsidR="00FF5A2F" w:rsidRDefault="00FF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376"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5A5EEE20"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1278"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47575072">
    <w:abstractNumId w:val="6"/>
  </w:num>
  <w:num w:numId="2" w16cid:durableId="1809006088">
    <w:abstractNumId w:val="3"/>
  </w:num>
  <w:num w:numId="3" w16cid:durableId="190336821">
    <w:abstractNumId w:val="2"/>
  </w:num>
  <w:num w:numId="4" w16cid:durableId="1700349203">
    <w:abstractNumId w:val="1"/>
  </w:num>
  <w:num w:numId="5" w16cid:durableId="619605018">
    <w:abstractNumId w:val="0"/>
  </w:num>
  <w:num w:numId="6" w16cid:durableId="12189855">
    <w:abstractNumId w:val="7"/>
  </w:num>
  <w:num w:numId="7" w16cid:durableId="1944651369">
    <w:abstractNumId w:val="5"/>
  </w:num>
  <w:num w:numId="8" w16cid:durableId="416825278">
    <w:abstractNumId w:val="4"/>
  </w:num>
  <w:num w:numId="9" w16cid:durableId="311367896">
    <w:abstractNumId w:val="10"/>
  </w:num>
  <w:num w:numId="10" w16cid:durableId="1150554517">
    <w:abstractNumId w:val="13"/>
  </w:num>
  <w:num w:numId="11" w16cid:durableId="825051392">
    <w:abstractNumId w:val="12"/>
  </w:num>
  <w:num w:numId="12" w16cid:durableId="911741930">
    <w:abstractNumId w:val="16"/>
  </w:num>
  <w:num w:numId="13" w16cid:durableId="916746831">
    <w:abstractNumId w:val="11"/>
  </w:num>
  <w:num w:numId="14" w16cid:durableId="84424967">
    <w:abstractNumId w:val="15"/>
  </w:num>
  <w:num w:numId="15" w16cid:durableId="127825247">
    <w:abstractNumId w:val="9"/>
  </w:num>
  <w:num w:numId="16" w16cid:durableId="45761747">
    <w:abstractNumId w:val="21"/>
  </w:num>
  <w:num w:numId="17" w16cid:durableId="571698614">
    <w:abstractNumId w:val="8"/>
  </w:num>
  <w:num w:numId="18" w16cid:durableId="854346928">
    <w:abstractNumId w:val="17"/>
  </w:num>
  <w:num w:numId="19" w16cid:durableId="1184898742">
    <w:abstractNumId w:val="20"/>
  </w:num>
  <w:num w:numId="20" w16cid:durableId="1506820433">
    <w:abstractNumId w:val="23"/>
  </w:num>
  <w:num w:numId="21" w16cid:durableId="105320093">
    <w:abstractNumId w:val="22"/>
  </w:num>
  <w:num w:numId="22" w16cid:durableId="1254894981">
    <w:abstractNumId w:val="14"/>
  </w:num>
  <w:num w:numId="23" w16cid:durableId="2039232107">
    <w:abstractNumId w:val="18"/>
  </w:num>
  <w:num w:numId="24" w16cid:durableId="1893730096">
    <w:abstractNumId w:val="18"/>
  </w:num>
  <w:num w:numId="25" w16cid:durableId="1773623922">
    <w:abstractNumId w:val="19"/>
  </w:num>
  <w:num w:numId="26" w16cid:durableId="182063452">
    <w:abstractNumId w:val="14"/>
  </w:num>
  <w:num w:numId="27" w16cid:durableId="581111048">
    <w:abstractNumId w:val="14"/>
  </w:num>
  <w:num w:numId="28" w16cid:durableId="223176660">
    <w:abstractNumId w:val="14"/>
  </w:num>
  <w:num w:numId="29" w16cid:durableId="16278626">
    <w:abstractNumId w:val="14"/>
  </w:num>
  <w:num w:numId="30" w16cid:durableId="1285161001">
    <w:abstractNumId w:val="14"/>
  </w:num>
  <w:num w:numId="31" w16cid:durableId="1158302669">
    <w:abstractNumId w:val="14"/>
  </w:num>
  <w:num w:numId="32" w16cid:durableId="1176267215">
    <w:abstractNumId w:val="14"/>
  </w:num>
  <w:num w:numId="33" w16cid:durableId="74742953">
    <w:abstractNumId w:val="14"/>
  </w:num>
  <w:num w:numId="34" w16cid:durableId="1108625607">
    <w:abstractNumId w:val="14"/>
  </w:num>
  <w:num w:numId="35" w16cid:durableId="1050568435">
    <w:abstractNumId w:val="18"/>
  </w:num>
  <w:num w:numId="36" w16cid:durableId="1140920684">
    <w:abstractNumId w:val="19"/>
  </w:num>
  <w:num w:numId="37" w16cid:durableId="561718910">
    <w:abstractNumId w:val="14"/>
  </w:num>
  <w:num w:numId="38" w16cid:durableId="1968048673">
    <w:abstractNumId w:val="14"/>
  </w:num>
  <w:num w:numId="39" w16cid:durableId="1117985581">
    <w:abstractNumId w:val="14"/>
  </w:num>
  <w:num w:numId="40" w16cid:durableId="1111242111">
    <w:abstractNumId w:val="14"/>
  </w:num>
  <w:num w:numId="41" w16cid:durableId="2048220285">
    <w:abstractNumId w:val="14"/>
  </w:num>
  <w:num w:numId="42" w16cid:durableId="1815372374">
    <w:abstractNumId w:val="14"/>
  </w:num>
  <w:num w:numId="43" w16cid:durableId="1198926668">
    <w:abstractNumId w:val="14"/>
  </w:num>
  <w:num w:numId="44" w16cid:durableId="1277905892">
    <w:abstractNumId w:val="14"/>
  </w:num>
  <w:num w:numId="45" w16cid:durableId="775634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56"/>
    <w:rsid w:val="0004776D"/>
    <w:rsid w:val="001610EB"/>
    <w:rsid w:val="00212A45"/>
    <w:rsid w:val="00262245"/>
    <w:rsid w:val="00285A07"/>
    <w:rsid w:val="00407EFE"/>
    <w:rsid w:val="00411F65"/>
    <w:rsid w:val="00505C57"/>
    <w:rsid w:val="00593CF3"/>
    <w:rsid w:val="006A2863"/>
    <w:rsid w:val="00700BAE"/>
    <w:rsid w:val="007B4489"/>
    <w:rsid w:val="007C1F56"/>
    <w:rsid w:val="00A16CC6"/>
    <w:rsid w:val="00B353CE"/>
    <w:rsid w:val="00D13B66"/>
    <w:rsid w:val="00D93925"/>
    <w:rsid w:val="00E023D9"/>
    <w:rsid w:val="00E0292B"/>
    <w:rsid w:val="00E205A5"/>
    <w:rsid w:val="00EC73B1"/>
    <w:rsid w:val="00EE14DC"/>
    <w:rsid w:val="00F31C78"/>
    <w:rsid w:val="00FF5A2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D3C19"/>
  <w15:chartTrackingRefBased/>
  <w15:docId w15:val="{30314681-CB78-4E4C-8CE0-F9E98B38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1</TotalTime>
  <Pages>2</Pages>
  <Words>629</Words>
  <Characters>3338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3960</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Diana Lönngren</dc:creator>
  <cp:keywords/>
  <dc:description/>
  <cp:lastModifiedBy>Jessica Laaksonen</cp:lastModifiedBy>
  <cp:revision>2</cp:revision>
  <cp:lastPrinted>2001-02-13T09:44:00Z</cp:lastPrinted>
  <dcterms:created xsi:type="dcterms:W3CDTF">2026-05-13T17:07:00Z</dcterms:created>
  <dcterms:modified xsi:type="dcterms:W3CDTF">2026-05-13T17:07:00Z</dcterms:modified>
</cp:coreProperties>
</file>