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2B570A73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450866B" w14:textId="2D34EFAA" w:rsidR="002401D0" w:rsidRDefault="0017351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8DE3D20" wp14:editId="62DB1C41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40417CA1" w14:textId="05748A46" w:rsidR="002401D0" w:rsidRDefault="0017351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0DBCE64" wp14:editId="1A5D3986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46FA8A92" w14:textId="77777777">
        <w:trPr>
          <w:cantSplit/>
          <w:trHeight w:val="299"/>
        </w:trPr>
        <w:tc>
          <w:tcPr>
            <w:tcW w:w="861" w:type="dxa"/>
            <w:vMerge/>
          </w:tcPr>
          <w:p w14:paraId="4538AF13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AA148D1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8733666" w14:textId="174BA1C2" w:rsidR="002401D0" w:rsidRDefault="002401D0" w:rsidP="00B36A8F">
            <w:pPr>
              <w:pStyle w:val="xDokTypNr"/>
            </w:pPr>
            <w:r>
              <w:t xml:space="preserve">BETÄNKANDE nr </w:t>
            </w:r>
            <w:r w:rsidR="003B4AAA">
              <w:t>8</w:t>
            </w:r>
            <w:r>
              <w:t>/20</w:t>
            </w:r>
            <w:r w:rsidR="0017351A">
              <w:t>25</w:t>
            </w:r>
            <w:r w:rsidR="0015337C">
              <w:t>-20</w:t>
            </w:r>
            <w:r w:rsidR="0017351A">
              <w:t>26</w:t>
            </w:r>
          </w:p>
        </w:tc>
      </w:tr>
      <w:tr w:rsidR="002401D0" w14:paraId="703339D6" w14:textId="77777777">
        <w:trPr>
          <w:cantSplit/>
          <w:trHeight w:val="238"/>
        </w:trPr>
        <w:tc>
          <w:tcPr>
            <w:tcW w:w="861" w:type="dxa"/>
            <w:vMerge/>
          </w:tcPr>
          <w:p w14:paraId="14A2E0A1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7902EF2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165C512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845FE22" w14:textId="77777777" w:rsidR="002401D0" w:rsidRDefault="002401D0">
            <w:pPr>
              <w:pStyle w:val="xLedtext"/>
            </w:pPr>
          </w:p>
        </w:tc>
      </w:tr>
      <w:tr w:rsidR="002401D0" w14:paraId="1CD627DD" w14:textId="77777777">
        <w:trPr>
          <w:cantSplit/>
          <w:trHeight w:val="238"/>
        </w:trPr>
        <w:tc>
          <w:tcPr>
            <w:tcW w:w="861" w:type="dxa"/>
            <w:vMerge/>
          </w:tcPr>
          <w:p w14:paraId="783ECA17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1BDBBE3B" w14:textId="69A73EC0" w:rsidR="002401D0" w:rsidRDefault="0017351A">
            <w:pPr>
              <w:pStyle w:val="xAvsandare2"/>
            </w:pPr>
            <w:r>
              <w:t>Social- och miljö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581DAA3C" w14:textId="34D4A9A6" w:rsidR="002401D0" w:rsidRDefault="002401D0">
            <w:pPr>
              <w:pStyle w:val="xDatum1"/>
            </w:pPr>
            <w:r>
              <w:t>20</w:t>
            </w:r>
            <w:r w:rsidR="0017351A">
              <w:t>26-05-</w:t>
            </w:r>
            <w:r w:rsidR="003B4AAA">
              <w:t>28</w:t>
            </w:r>
          </w:p>
        </w:tc>
        <w:tc>
          <w:tcPr>
            <w:tcW w:w="2563" w:type="dxa"/>
            <w:vAlign w:val="center"/>
          </w:tcPr>
          <w:p w14:paraId="0518A09C" w14:textId="77777777" w:rsidR="002401D0" w:rsidRDefault="002401D0">
            <w:pPr>
              <w:pStyle w:val="xBeteckning1"/>
            </w:pPr>
          </w:p>
        </w:tc>
      </w:tr>
      <w:tr w:rsidR="002401D0" w14:paraId="14474788" w14:textId="77777777">
        <w:trPr>
          <w:cantSplit/>
          <w:trHeight w:val="238"/>
        </w:trPr>
        <w:tc>
          <w:tcPr>
            <w:tcW w:w="861" w:type="dxa"/>
            <w:vMerge/>
          </w:tcPr>
          <w:p w14:paraId="5EC3FCAF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FC1B6A5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5888F16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42E63335" w14:textId="77777777" w:rsidR="002401D0" w:rsidRDefault="002401D0">
            <w:pPr>
              <w:pStyle w:val="xLedtext"/>
            </w:pPr>
          </w:p>
        </w:tc>
      </w:tr>
      <w:tr w:rsidR="002401D0" w14:paraId="07A9BB92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D8FE6A1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48F6722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C74697A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8FF5D43" w14:textId="77777777" w:rsidR="002401D0" w:rsidRDefault="002401D0">
            <w:pPr>
              <w:pStyle w:val="xBeteckning2"/>
            </w:pPr>
          </w:p>
        </w:tc>
      </w:tr>
      <w:tr w:rsidR="002401D0" w14:paraId="2BE9BA1A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58D768E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F09E6FF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69EFB46D" w14:textId="77777777" w:rsidR="002401D0" w:rsidRDefault="002401D0">
            <w:pPr>
              <w:pStyle w:val="xLedtext"/>
            </w:pPr>
          </w:p>
        </w:tc>
      </w:tr>
      <w:tr w:rsidR="002401D0" w14:paraId="7689D789" w14:textId="77777777">
        <w:trPr>
          <w:cantSplit/>
          <w:trHeight w:val="238"/>
        </w:trPr>
        <w:tc>
          <w:tcPr>
            <w:tcW w:w="861" w:type="dxa"/>
          </w:tcPr>
          <w:p w14:paraId="40953EA1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38906F65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180E456B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6A130152" w14:textId="77777777">
        <w:trPr>
          <w:cantSplit/>
          <w:trHeight w:val="238"/>
        </w:trPr>
        <w:tc>
          <w:tcPr>
            <w:tcW w:w="861" w:type="dxa"/>
          </w:tcPr>
          <w:p w14:paraId="211E8F6B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C70BE09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C3721A7" w14:textId="77777777" w:rsidR="002401D0" w:rsidRDefault="002401D0">
            <w:pPr>
              <w:pStyle w:val="xCelltext"/>
            </w:pPr>
          </w:p>
        </w:tc>
      </w:tr>
      <w:tr w:rsidR="002401D0" w14:paraId="55B8E66A" w14:textId="77777777">
        <w:trPr>
          <w:cantSplit/>
          <w:trHeight w:val="238"/>
        </w:trPr>
        <w:tc>
          <w:tcPr>
            <w:tcW w:w="861" w:type="dxa"/>
          </w:tcPr>
          <w:p w14:paraId="76269827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1A8098D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68349F3" w14:textId="77777777" w:rsidR="002401D0" w:rsidRDefault="002401D0">
            <w:pPr>
              <w:pStyle w:val="xCelltext"/>
            </w:pPr>
          </w:p>
        </w:tc>
      </w:tr>
      <w:tr w:rsidR="002401D0" w14:paraId="17848378" w14:textId="77777777">
        <w:trPr>
          <w:cantSplit/>
          <w:trHeight w:val="238"/>
        </w:trPr>
        <w:tc>
          <w:tcPr>
            <w:tcW w:w="861" w:type="dxa"/>
          </w:tcPr>
          <w:p w14:paraId="316C4301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15356AE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5311878" w14:textId="77777777" w:rsidR="002401D0" w:rsidRDefault="002401D0">
            <w:pPr>
              <w:pStyle w:val="xCelltext"/>
            </w:pPr>
          </w:p>
        </w:tc>
      </w:tr>
      <w:tr w:rsidR="002401D0" w14:paraId="04438B3F" w14:textId="77777777">
        <w:trPr>
          <w:cantSplit/>
          <w:trHeight w:val="238"/>
        </w:trPr>
        <w:tc>
          <w:tcPr>
            <w:tcW w:w="861" w:type="dxa"/>
          </w:tcPr>
          <w:p w14:paraId="51B45E32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F8E8892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A1A0BCC" w14:textId="77777777" w:rsidR="002401D0" w:rsidRDefault="002401D0">
            <w:pPr>
              <w:pStyle w:val="xCelltext"/>
            </w:pPr>
          </w:p>
        </w:tc>
      </w:tr>
    </w:tbl>
    <w:p w14:paraId="2E41A636" w14:textId="77777777" w:rsidR="002401D0" w:rsidRDefault="002401D0">
      <w:pPr>
        <w:rPr>
          <w:b/>
          <w:bCs/>
        </w:rPr>
        <w:sectPr w:rsidR="002401D0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792338B" w14:textId="70F1B107" w:rsidR="002401D0" w:rsidRDefault="0017351A">
      <w:pPr>
        <w:pStyle w:val="ArendeOverRubrik"/>
      </w:pPr>
      <w:r>
        <w:t xml:space="preserve">Social- och </w:t>
      </w:r>
      <w:r w:rsidR="00D64FC3">
        <w:t>miljöutskottets</w:t>
      </w:r>
      <w:r w:rsidR="002401D0">
        <w:t xml:space="preserve"> betänkande</w:t>
      </w:r>
    </w:p>
    <w:p w14:paraId="38B6DC08" w14:textId="66BA5558" w:rsidR="00F17B93" w:rsidRPr="00F17B93" w:rsidRDefault="00F17B93" w:rsidP="00F17B93">
      <w:pPr>
        <w:pStyle w:val="ArendeRubrik"/>
      </w:pPr>
      <w:r>
        <w:rPr>
          <w:lang w:val="sv-FI"/>
        </w:rPr>
        <w:t>Preciseringar av teknisk natur i blankettlagen om underhållsstöd</w:t>
      </w:r>
    </w:p>
    <w:p w14:paraId="0410FC20" w14:textId="2D7AF2B0" w:rsidR="002401D0" w:rsidRDefault="0017351A">
      <w:pPr>
        <w:pStyle w:val="ArendeUnderRubrik"/>
      </w:pPr>
      <w:r>
        <w:t>Landskapsregeringens lagförslag LF 1</w:t>
      </w:r>
      <w:r w:rsidR="00F17B93">
        <w:t>8</w:t>
      </w:r>
      <w:r>
        <w:t>/2025-2026</w:t>
      </w:r>
    </w:p>
    <w:p w14:paraId="1AA510A6" w14:textId="77777777" w:rsidR="002401D0" w:rsidRDefault="002401D0">
      <w:pPr>
        <w:pStyle w:val="ANormal"/>
      </w:pPr>
    </w:p>
    <w:p w14:paraId="497C6C8C" w14:textId="77777777" w:rsidR="002401D0" w:rsidRDefault="002401D0">
      <w:pPr>
        <w:pStyle w:val="Innehll1"/>
      </w:pPr>
      <w:r>
        <w:t>INNEHÅLL</w:t>
      </w:r>
    </w:p>
    <w:p w14:paraId="511BE542" w14:textId="1F372788" w:rsidR="003B4AAA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30862844" w:history="1">
        <w:r w:rsidR="003B4AAA" w:rsidRPr="00D90CCF">
          <w:rPr>
            <w:rStyle w:val="Hyperlnk"/>
          </w:rPr>
          <w:t>Sammanfattning</w:t>
        </w:r>
        <w:r w:rsidR="003B4AAA">
          <w:rPr>
            <w:webHidden/>
          </w:rPr>
          <w:tab/>
        </w:r>
        <w:r w:rsidR="003B4AAA">
          <w:rPr>
            <w:webHidden/>
          </w:rPr>
          <w:fldChar w:fldCharType="begin"/>
        </w:r>
        <w:r w:rsidR="003B4AAA">
          <w:rPr>
            <w:webHidden/>
          </w:rPr>
          <w:instrText xml:space="preserve"> PAGEREF _Toc230862844 \h </w:instrText>
        </w:r>
        <w:r w:rsidR="003B4AAA">
          <w:rPr>
            <w:webHidden/>
          </w:rPr>
        </w:r>
        <w:r w:rsidR="003B4AAA">
          <w:rPr>
            <w:webHidden/>
          </w:rPr>
          <w:fldChar w:fldCharType="separate"/>
        </w:r>
        <w:r w:rsidR="003B4AAA">
          <w:rPr>
            <w:webHidden/>
          </w:rPr>
          <w:t>1</w:t>
        </w:r>
        <w:r w:rsidR="003B4AAA">
          <w:rPr>
            <w:webHidden/>
          </w:rPr>
          <w:fldChar w:fldCharType="end"/>
        </w:r>
      </w:hyperlink>
    </w:p>
    <w:p w14:paraId="3636EA3F" w14:textId="35E6E8DF" w:rsidR="003B4AAA" w:rsidRDefault="003B4AAA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30862845" w:history="1">
        <w:r w:rsidRPr="00D90CCF">
          <w:rPr>
            <w:rStyle w:val="Hyperlnk"/>
          </w:rPr>
          <w:t>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_Toc230862845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3C5417C" w14:textId="3DB68CB6" w:rsidR="003B4AAA" w:rsidRDefault="003B4AAA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30862846" w:history="1">
        <w:r w:rsidRPr="00D90CCF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_Toc230862846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6E20A3" w14:textId="1A6DBEEC" w:rsidR="003B4AAA" w:rsidRDefault="003B4AAA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30862847" w:history="1">
        <w:r w:rsidRPr="00D90CCF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_Toc230862847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8E71151" w14:textId="25870408" w:rsidR="003B4AAA" w:rsidRDefault="003B4AAA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30862848" w:history="1">
        <w:r w:rsidRPr="00D90CCF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_Toc230862848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16F18D9" w14:textId="43900CE5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7E191CF6" w14:textId="77777777" w:rsidR="002401D0" w:rsidRDefault="002401D0">
      <w:pPr>
        <w:pStyle w:val="ANormal"/>
      </w:pPr>
    </w:p>
    <w:p w14:paraId="24790B4B" w14:textId="77777777" w:rsidR="002401D0" w:rsidRDefault="002401D0">
      <w:pPr>
        <w:pStyle w:val="RubrikA"/>
      </w:pPr>
      <w:bookmarkStart w:id="1" w:name="_Toc529800932"/>
      <w:bookmarkStart w:id="2" w:name="_Toc230862844"/>
      <w:r>
        <w:t>Sammanfattning</w:t>
      </w:r>
      <w:bookmarkEnd w:id="1"/>
      <w:bookmarkEnd w:id="2"/>
    </w:p>
    <w:p w14:paraId="52B314E3" w14:textId="77777777" w:rsidR="002401D0" w:rsidRDefault="002401D0">
      <w:pPr>
        <w:pStyle w:val="Rubrikmellanrum"/>
      </w:pPr>
    </w:p>
    <w:p w14:paraId="3B351DBC" w14:textId="4A603FDE" w:rsidR="002401D0" w:rsidRDefault="0017351A">
      <w:pPr>
        <w:pStyle w:val="RubrikB"/>
      </w:pPr>
      <w:bookmarkStart w:id="3" w:name="_Toc529800933"/>
      <w:bookmarkStart w:id="4" w:name="_Toc230862845"/>
      <w:r>
        <w:t>Landskapsregeringens</w:t>
      </w:r>
      <w:r w:rsidR="002401D0">
        <w:t xml:space="preserve"> förslag</w:t>
      </w:r>
      <w:bookmarkEnd w:id="3"/>
      <w:bookmarkEnd w:id="4"/>
    </w:p>
    <w:p w14:paraId="7FC283E5" w14:textId="77777777" w:rsidR="002401D0" w:rsidRDefault="002401D0">
      <w:pPr>
        <w:pStyle w:val="Rubrikmellanrum"/>
      </w:pPr>
    </w:p>
    <w:p w14:paraId="40C2E4D8" w14:textId="77777777" w:rsidR="00F17B93" w:rsidRPr="00B200FC" w:rsidRDefault="00F17B93" w:rsidP="00F17B93">
      <w:pPr>
        <w:pStyle w:val="ANormal"/>
        <w:rPr>
          <w:lang w:val="sv-FI"/>
        </w:rPr>
      </w:pPr>
      <w:r>
        <w:rPr>
          <w:lang w:val="sv-FI"/>
        </w:rPr>
        <w:t>Landskapsregeringen föreslår att landskapslagen om tillämpning i landskapet Åland av lagen om underhållsstöd ändras. Genom de föreslagna ändringarna säkerställs att de behöriga myndigheterna på Åland får samma befogenheter i fråga om underhållsstöd som riksmyndigheterna har enligt rikslagen.</w:t>
      </w:r>
    </w:p>
    <w:p w14:paraId="0FD207E4" w14:textId="77777777" w:rsidR="00F17B93" w:rsidRDefault="00F17B93" w:rsidP="00F17B93">
      <w:pPr>
        <w:pStyle w:val="ANormal"/>
        <w:rPr>
          <w:lang w:val="sv-FI"/>
        </w:rPr>
      </w:pPr>
      <w:r>
        <w:rPr>
          <w:lang w:val="sv-FI"/>
        </w:rPr>
        <w:tab/>
        <w:t>Avsikten är att den föreslagna lagen ska träda i kraft så snart som möjligt.</w:t>
      </w:r>
    </w:p>
    <w:p w14:paraId="644AD6C9" w14:textId="2D74DA11" w:rsidR="002401D0" w:rsidRPr="00F17B93" w:rsidRDefault="002401D0">
      <w:pPr>
        <w:pStyle w:val="ANormal"/>
        <w:rPr>
          <w:lang w:val="sv-FI"/>
        </w:rPr>
      </w:pPr>
    </w:p>
    <w:p w14:paraId="261EBAC2" w14:textId="77777777" w:rsidR="002401D0" w:rsidRDefault="002401D0">
      <w:pPr>
        <w:pStyle w:val="ANormal"/>
      </w:pPr>
    </w:p>
    <w:p w14:paraId="03EF60DF" w14:textId="77777777" w:rsidR="002401D0" w:rsidRDefault="002401D0">
      <w:pPr>
        <w:pStyle w:val="RubrikB"/>
      </w:pPr>
      <w:bookmarkStart w:id="5" w:name="_Toc529800934"/>
      <w:bookmarkStart w:id="6" w:name="_Toc230862846"/>
      <w:r>
        <w:t>Utskottets förslag</w:t>
      </w:r>
      <w:bookmarkEnd w:id="5"/>
      <w:bookmarkEnd w:id="6"/>
    </w:p>
    <w:p w14:paraId="11640DED" w14:textId="77777777" w:rsidR="002401D0" w:rsidRDefault="002401D0">
      <w:pPr>
        <w:pStyle w:val="Rubrikmellanrum"/>
      </w:pPr>
    </w:p>
    <w:p w14:paraId="3621CDD1" w14:textId="77777777" w:rsidR="00D64FC3" w:rsidRDefault="00D64FC3" w:rsidP="00D64FC3">
      <w:pPr>
        <w:pStyle w:val="ANormal"/>
      </w:pPr>
      <w:r w:rsidRPr="00D64FC3">
        <w:t>Utskottet, som inte har något att anföra, föreslår att lagförslaget godkänns.</w:t>
      </w:r>
    </w:p>
    <w:p w14:paraId="5D25DB7E" w14:textId="77777777" w:rsidR="002401D0" w:rsidRDefault="002401D0">
      <w:pPr>
        <w:pStyle w:val="ANormal"/>
      </w:pPr>
    </w:p>
    <w:p w14:paraId="6C5334B9" w14:textId="77777777" w:rsidR="00D64FC3" w:rsidRDefault="00D64FC3">
      <w:pPr>
        <w:pStyle w:val="RubrikA"/>
      </w:pPr>
      <w:bookmarkStart w:id="7" w:name="_Toc529800936"/>
    </w:p>
    <w:p w14:paraId="4CC9C6D2" w14:textId="49E1890B" w:rsidR="002401D0" w:rsidRDefault="002401D0">
      <w:pPr>
        <w:pStyle w:val="RubrikA"/>
      </w:pPr>
      <w:bookmarkStart w:id="8" w:name="_Toc230862847"/>
      <w:r>
        <w:t>Ärendets behandling</w:t>
      </w:r>
      <w:bookmarkEnd w:id="7"/>
      <w:bookmarkEnd w:id="8"/>
    </w:p>
    <w:p w14:paraId="73DD338A" w14:textId="77777777" w:rsidR="002401D0" w:rsidRDefault="002401D0">
      <w:pPr>
        <w:pStyle w:val="Rubrikmellanrum"/>
      </w:pPr>
    </w:p>
    <w:p w14:paraId="4D94A4EA" w14:textId="020461F1" w:rsidR="0017351A" w:rsidRDefault="0017351A" w:rsidP="0017351A">
      <w:pPr>
        <w:pStyle w:val="ANormal"/>
      </w:pPr>
      <w:r>
        <w:t xml:space="preserve">Lagtinget har den 25 maj 2025 </w:t>
      </w:r>
      <w:proofErr w:type="spellStart"/>
      <w:r>
        <w:t>inbegärt</w:t>
      </w:r>
      <w:proofErr w:type="spellEnd"/>
      <w:r>
        <w:t xml:space="preserve"> social- och miljöutskottets yttrande över lagförslaget.</w:t>
      </w:r>
    </w:p>
    <w:p w14:paraId="5A87916E" w14:textId="2EAF4299" w:rsidR="0017351A" w:rsidRDefault="0017351A" w:rsidP="0017351A">
      <w:pPr>
        <w:pStyle w:val="ANormal"/>
      </w:pPr>
      <w:r>
        <w:tab/>
        <w:t>Utskottet har i ärendet hör</w:t>
      </w:r>
      <w:r w:rsidR="00D64FC3">
        <w:t xml:space="preserve">t </w:t>
      </w:r>
      <w:r w:rsidR="00942BF0">
        <w:t xml:space="preserve">ministern Arsim Zekaj, lagberedaren Matias Pentti, specialsakkunnige vid socialvårdsbyrån Tove Nylund, samt områdescheferna </w:t>
      </w:r>
      <w:r w:rsidR="00942BF0" w:rsidRPr="00D64FC3">
        <w:t>Susann Peltonen och Paulina Eklund</w:t>
      </w:r>
      <w:r w:rsidR="00942BF0">
        <w:t xml:space="preserve"> vid KST.</w:t>
      </w:r>
    </w:p>
    <w:p w14:paraId="1DE2FC6F" w14:textId="77777777" w:rsidR="0017351A" w:rsidRDefault="0017351A" w:rsidP="0017351A">
      <w:pPr>
        <w:pStyle w:val="ANormal"/>
      </w:pPr>
      <w:r>
        <w:tab/>
      </w:r>
      <w:r>
        <w:rPr>
          <w:color w:val="000000"/>
        </w:rPr>
        <w:t>I ärendets avgörande behandling deltog ordföranden Christian Wikström, viceordföranden Pernilla Söderlund, ledamöterna Annette Holmberg-Jansson, Mogens Lindén, Liz Mattsson, Robert Mansén och Benny Pettersson.</w:t>
      </w:r>
    </w:p>
    <w:p w14:paraId="080F1964" w14:textId="6B961206" w:rsidR="002401D0" w:rsidRDefault="002401D0">
      <w:pPr>
        <w:pStyle w:val="ANormal"/>
      </w:pPr>
    </w:p>
    <w:p w14:paraId="464DC64D" w14:textId="77777777" w:rsidR="002401D0" w:rsidRDefault="002401D0">
      <w:pPr>
        <w:pStyle w:val="ANormal"/>
      </w:pPr>
    </w:p>
    <w:p w14:paraId="30BD61EC" w14:textId="77777777" w:rsidR="002401D0" w:rsidRDefault="002401D0">
      <w:pPr>
        <w:pStyle w:val="RubrikA"/>
      </w:pPr>
      <w:bookmarkStart w:id="9" w:name="_Toc529800937"/>
      <w:bookmarkStart w:id="10" w:name="_Toc230862848"/>
      <w:r>
        <w:t>Utskottets förslag</w:t>
      </w:r>
      <w:bookmarkEnd w:id="9"/>
      <w:bookmarkEnd w:id="10"/>
    </w:p>
    <w:p w14:paraId="6C626E6D" w14:textId="77777777" w:rsidR="002401D0" w:rsidRDefault="002401D0">
      <w:pPr>
        <w:pStyle w:val="Rubrikmellanrum"/>
      </w:pPr>
    </w:p>
    <w:p w14:paraId="173347AF" w14:textId="77777777" w:rsidR="002401D0" w:rsidRDefault="002401D0">
      <w:pPr>
        <w:pStyle w:val="ANormal"/>
      </w:pPr>
      <w:r>
        <w:t>Med hänvisning till det anförda föreslår utskottet</w:t>
      </w:r>
    </w:p>
    <w:p w14:paraId="2551B042" w14:textId="77777777" w:rsidR="002401D0" w:rsidRDefault="002401D0">
      <w:pPr>
        <w:pStyle w:val="ANormal"/>
      </w:pPr>
    </w:p>
    <w:p w14:paraId="49E3A9D8" w14:textId="435F37AE" w:rsidR="002401D0" w:rsidRDefault="002401D0">
      <w:pPr>
        <w:pStyle w:val="Klam"/>
      </w:pPr>
      <w:r>
        <w:t>att lagtinget</w:t>
      </w:r>
      <w:r w:rsidR="0017351A">
        <w:t xml:space="preserve"> antar lagförslaget i </w:t>
      </w:r>
      <w:r w:rsidR="00D64FC3">
        <w:t>oförändrad</w:t>
      </w:r>
      <w:r w:rsidR="0017351A">
        <w:t xml:space="preserve"> lydelse</w:t>
      </w:r>
      <w:r w:rsidR="00D64FC3">
        <w:t>.</w:t>
      </w:r>
    </w:p>
    <w:p w14:paraId="6131A193" w14:textId="77777777" w:rsidR="0017351A" w:rsidRPr="0017351A" w:rsidRDefault="0017351A" w:rsidP="0017351A">
      <w:pPr>
        <w:pStyle w:val="ANormal"/>
      </w:pPr>
    </w:p>
    <w:p w14:paraId="604666C4" w14:textId="77777777" w:rsidR="002401D0" w:rsidRDefault="002401D0">
      <w:pPr>
        <w:pStyle w:val="ANormal"/>
      </w:pPr>
    </w:p>
    <w:p w14:paraId="07E14DF0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30AB8174" w14:textId="77777777">
        <w:trPr>
          <w:cantSplit/>
        </w:trPr>
        <w:tc>
          <w:tcPr>
            <w:tcW w:w="7931" w:type="dxa"/>
            <w:gridSpan w:val="2"/>
          </w:tcPr>
          <w:p w14:paraId="6977B6C5" w14:textId="48164E77" w:rsidR="002401D0" w:rsidRDefault="002401D0">
            <w:pPr>
              <w:pStyle w:val="ANormal"/>
              <w:keepNext/>
            </w:pPr>
            <w:r>
              <w:t xml:space="preserve">Mariehamn den </w:t>
            </w:r>
            <w:r w:rsidR="003B4AAA">
              <w:t>28</w:t>
            </w:r>
            <w:r w:rsidR="0017351A">
              <w:t xml:space="preserve"> maj 2026</w:t>
            </w:r>
          </w:p>
        </w:tc>
      </w:tr>
      <w:tr w:rsidR="002401D0" w14:paraId="750308C8" w14:textId="77777777">
        <w:tc>
          <w:tcPr>
            <w:tcW w:w="4454" w:type="dxa"/>
            <w:vAlign w:val="bottom"/>
          </w:tcPr>
          <w:p w14:paraId="3E920978" w14:textId="77777777" w:rsidR="002401D0" w:rsidRDefault="002401D0">
            <w:pPr>
              <w:pStyle w:val="ANormal"/>
              <w:keepNext/>
            </w:pPr>
          </w:p>
          <w:p w14:paraId="038221A1" w14:textId="77777777" w:rsidR="002401D0" w:rsidRDefault="002401D0">
            <w:pPr>
              <w:pStyle w:val="ANormal"/>
              <w:keepNext/>
            </w:pPr>
          </w:p>
          <w:p w14:paraId="3250D995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62B7F687" w14:textId="77777777" w:rsidR="002401D0" w:rsidRDefault="002401D0">
            <w:pPr>
              <w:pStyle w:val="ANormal"/>
              <w:keepNext/>
            </w:pPr>
          </w:p>
          <w:p w14:paraId="46798B3C" w14:textId="77777777" w:rsidR="002401D0" w:rsidRDefault="002401D0">
            <w:pPr>
              <w:pStyle w:val="ANormal"/>
              <w:keepNext/>
            </w:pPr>
          </w:p>
          <w:p w14:paraId="3FDF4FBE" w14:textId="711A9E19" w:rsidR="002401D0" w:rsidRDefault="0017351A">
            <w:pPr>
              <w:pStyle w:val="ANormal"/>
              <w:keepNext/>
            </w:pPr>
            <w:r>
              <w:t>Christian Wikström</w:t>
            </w:r>
          </w:p>
        </w:tc>
      </w:tr>
      <w:tr w:rsidR="002401D0" w14:paraId="6D487671" w14:textId="77777777">
        <w:tc>
          <w:tcPr>
            <w:tcW w:w="4454" w:type="dxa"/>
            <w:vAlign w:val="bottom"/>
          </w:tcPr>
          <w:p w14:paraId="1074DBEB" w14:textId="77777777" w:rsidR="002401D0" w:rsidRDefault="002401D0">
            <w:pPr>
              <w:pStyle w:val="ANormal"/>
              <w:keepNext/>
            </w:pPr>
          </w:p>
          <w:p w14:paraId="6E257234" w14:textId="77777777" w:rsidR="002401D0" w:rsidRDefault="002401D0">
            <w:pPr>
              <w:pStyle w:val="ANormal"/>
              <w:keepNext/>
            </w:pPr>
          </w:p>
          <w:p w14:paraId="2D9B18B2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320F3C68" w14:textId="77777777" w:rsidR="002401D0" w:rsidRDefault="002401D0">
            <w:pPr>
              <w:pStyle w:val="ANormal"/>
              <w:keepNext/>
            </w:pPr>
          </w:p>
          <w:p w14:paraId="0D8D3029" w14:textId="77777777" w:rsidR="002401D0" w:rsidRDefault="002401D0">
            <w:pPr>
              <w:pStyle w:val="ANormal"/>
              <w:keepNext/>
            </w:pPr>
          </w:p>
          <w:p w14:paraId="7C7D4838" w14:textId="1DBEF353" w:rsidR="002401D0" w:rsidRDefault="0017351A">
            <w:pPr>
              <w:pStyle w:val="ANormal"/>
              <w:keepNext/>
            </w:pPr>
            <w:r>
              <w:t>Julia Lindholm</w:t>
            </w:r>
          </w:p>
        </w:tc>
      </w:tr>
    </w:tbl>
    <w:p w14:paraId="0FF4AEB0" w14:textId="77777777" w:rsidR="002401D0" w:rsidRDefault="002401D0">
      <w:pPr>
        <w:pStyle w:val="ANormal"/>
      </w:pPr>
    </w:p>
    <w:sectPr w:rsidR="002401D0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64C0" w14:textId="77777777" w:rsidR="0039478E" w:rsidRDefault="0039478E">
      <w:r>
        <w:separator/>
      </w:r>
    </w:p>
  </w:endnote>
  <w:endnote w:type="continuationSeparator" w:id="0">
    <w:p w14:paraId="57D55D47" w14:textId="77777777" w:rsidR="0039478E" w:rsidRDefault="0039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55CC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7247" w14:textId="77777777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17351A">
      <w:rPr>
        <w:noProof/>
        <w:lang w:val="fi-FI"/>
      </w:rPr>
      <w:t>Dokument1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C453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DA76" w14:textId="77777777" w:rsidR="0039478E" w:rsidRDefault="0039478E">
      <w:r>
        <w:separator/>
      </w:r>
    </w:p>
  </w:footnote>
  <w:footnote w:type="continuationSeparator" w:id="0">
    <w:p w14:paraId="01059D68" w14:textId="77777777" w:rsidR="0039478E" w:rsidRDefault="0039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8E5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6987AAA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7664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19788">
    <w:abstractNumId w:val="6"/>
  </w:num>
  <w:num w:numId="2" w16cid:durableId="2070104135">
    <w:abstractNumId w:val="3"/>
  </w:num>
  <w:num w:numId="3" w16cid:durableId="226114232">
    <w:abstractNumId w:val="2"/>
  </w:num>
  <w:num w:numId="4" w16cid:durableId="1975258545">
    <w:abstractNumId w:val="1"/>
  </w:num>
  <w:num w:numId="5" w16cid:durableId="75979827">
    <w:abstractNumId w:val="0"/>
  </w:num>
  <w:num w:numId="6" w16cid:durableId="1198784909">
    <w:abstractNumId w:val="7"/>
  </w:num>
  <w:num w:numId="7" w16cid:durableId="796993590">
    <w:abstractNumId w:val="5"/>
  </w:num>
  <w:num w:numId="8" w16cid:durableId="1817913811">
    <w:abstractNumId w:val="4"/>
  </w:num>
  <w:num w:numId="9" w16cid:durableId="1073812823">
    <w:abstractNumId w:val="10"/>
  </w:num>
  <w:num w:numId="10" w16cid:durableId="1397896427">
    <w:abstractNumId w:val="13"/>
  </w:num>
  <w:num w:numId="11" w16cid:durableId="1384789488">
    <w:abstractNumId w:val="12"/>
  </w:num>
  <w:num w:numId="12" w16cid:durableId="1772894292">
    <w:abstractNumId w:val="16"/>
  </w:num>
  <w:num w:numId="13" w16cid:durableId="792098517">
    <w:abstractNumId w:val="11"/>
  </w:num>
  <w:num w:numId="14" w16cid:durableId="653336146">
    <w:abstractNumId w:val="15"/>
  </w:num>
  <w:num w:numId="15" w16cid:durableId="1592622428">
    <w:abstractNumId w:val="9"/>
  </w:num>
  <w:num w:numId="16" w16cid:durableId="208300836">
    <w:abstractNumId w:val="21"/>
  </w:num>
  <w:num w:numId="17" w16cid:durableId="242834858">
    <w:abstractNumId w:val="8"/>
  </w:num>
  <w:num w:numId="18" w16cid:durableId="195823668">
    <w:abstractNumId w:val="17"/>
  </w:num>
  <w:num w:numId="19" w16cid:durableId="1656489367">
    <w:abstractNumId w:val="20"/>
  </w:num>
  <w:num w:numId="20" w16cid:durableId="785541150">
    <w:abstractNumId w:val="23"/>
  </w:num>
  <w:num w:numId="21" w16cid:durableId="307826990">
    <w:abstractNumId w:val="22"/>
  </w:num>
  <w:num w:numId="22" w16cid:durableId="1024595518">
    <w:abstractNumId w:val="14"/>
  </w:num>
  <w:num w:numId="23" w16cid:durableId="27219508">
    <w:abstractNumId w:val="18"/>
  </w:num>
  <w:num w:numId="24" w16cid:durableId="1352295338">
    <w:abstractNumId w:val="18"/>
  </w:num>
  <w:num w:numId="25" w16cid:durableId="731267969">
    <w:abstractNumId w:val="19"/>
  </w:num>
  <w:num w:numId="26" w16cid:durableId="1973368266">
    <w:abstractNumId w:val="14"/>
  </w:num>
  <w:num w:numId="27" w16cid:durableId="1036193651">
    <w:abstractNumId w:val="14"/>
  </w:num>
  <w:num w:numId="28" w16cid:durableId="1470200208">
    <w:abstractNumId w:val="14"/>
  </w:num>
  <w:num w:numId="29" w16cid:durableId="1476022034">
    <w:abstractNumId w:val="14"/>
  </w:num>
  <w:num w:numId="30" w16cid:durableId="974070699">
    <w:abstractNumId w:val="14"/>
  </w:num>
  <w:num w:numId="31" w16cid:durableId="33585227">
    <w:abstractNumId w:val="14"/>
  </w:num>
  <w:num w:numId="32" w16cid:durableId="488982787">
    <w:abstractNumId w:val="14"/>
  </w:num>
  <w:num w:numId="33" w16cid:durableId="982393142">
    <w:abstractNumId w:val="14"/>
  </w:num>
  <w:num w:numId="34" w16cid:durableId="1565292220">
    <w:abstractNumId w:val="14"/>
  </w:num>
  <w:num w:numId="35" w16cid:durableId="1764720274">
    <w:abstractNumId w:val="18"/>
  </w:num>
  <w:num w:numId="36" w16cid:durableId="1777166606">
    <w:abstractNumId w:val="19"/>
  </w:num>
  <w:num w:numId="37" w16cid:durableId="234559693">
    <w:abstractNumId w:val="14"/>
  </w:num>
  <w:num w:numId="38" w16cid:durableId="961108818">
    <w:abstractNumId w:val="14"/>
  </w:num>
  <w:num w:numId="39" w16cid:durableId="278143139">
    <w:abstractNumId w:val="14"/>
  </w:num>
  <w:num w:numId="40" w16cid:durableId="1472480888">
    <w:abstractNumId w:val="14"/>
  </w:num>
  <w:num w:numId="41" w16cid:durableId="831216225">
    <w:abstractNumId w:val="14"/>
  </w:num>
  <w:num w:numId="42" w16cid:durableId="140315920">
    <w:abstractNumId w:val="14"/>
  </w:num>
  <w:num w:numId="43" w16cid:durableId="1147017052">
    <w:abstractNumId w:val="14"/>
  </w:num>
  <w:num w:numId="44" w16cid:durableId="1244873501">
    <w:abstractNumId w:val="14"/>
  </w:num>
  <w:num w:numId="45" w16cid:durableId="2171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1A"/>
    <w:rsid w:val="00011639"/>
    <w:rsid w:val="00015E9C"/>
    <w:rsid w:val="00051556"/>
    <w:rsid w:val="000B2DC9"/>
    <w:rsid w:val="000D6353"/>
    <w:rsid w:val="000F7417"/>
    <w:rsid w:val="0015337C"/>
    <w:rsid w:val="00162244"/>
    <w:rsid w:val="0017351A"/>
    <w:rsid w:val="002401D0"/>
    <w:rsid w:val="002764E1"/>
    <w:rsid w:val="0036359C"/>
    <w:rsid w:val="0039478E"/>
    <w:rsid w:val="003B4AAA"/>
    <w:rsid w:val="00416775"/>
    <w:rsid w:val="006B2E9E"/>
    <w:rsid w:val="00723B93"/>
    <w:rsid w:val="00804FEA"/>
    <w:rsid w:val="00811D50"/>
    <w:rsid w:val="00817B04"/>
    <w:rsid w:val="00886549"/>
    <w:rsid w:val="00942BF0"/>
    <w:rsid w:val="00957C36"/>
    <w:rsid w:val="00974AB2"/>
    <w:rsid w:val="009D73B2"/>
    <w:rsid w:val="009F6BA9"/>
    <w:rsid w:val="009F7CE2"/>
    <w:rsid w:val="00A31336"/>
    <w:rsid w:val="00B32E91"/>
    <w:rsid w:val="00B36A8F"/>
    <w:rsid w:val="00B90DEC"/>
    <w:rsid w:val="00C3275D"/>
    <w:rsid w:val="00C66E9C"/>
    <w:rsid w:val="00C93AAD"/>
    <w:rsid w:val="00CB087E"/>
    <w:rsid w:val="00CF700E"/>
    <w:rsid w:val="00D64FC3"/>
    <w:rsid w:val="00D96038"/>
    <w:rsid w:val="00DB7AFE"/>
    <w:rsid w:val="00DC45B2"/>
    <w:rsid w:val="00E967F9"/>
    <w:rsid w:val="00EF1AAF"/>
    <w:rsid w:val="00F17B93"/>
    <w:rsid w:val="00FA365F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BCFF6"/>
  <w15:chartTrackingRefBased/>
  <w15:docId w15:val="{8EF3C5A0-6E1D-425D-BC64-76BA6F77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17351A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AF1E-F34C-4950-B4A6-76875893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0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xutskottets betänkande nr x/2013-2014</vt:lpstr>
    </vt:vector>
  </TitlesOfParts>
  <Company>Ålands lagting</Company>
  <LinksUpToDate>false</LinksUpToDate>
  <CharactersWithSpaces>2076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 och miljöutskottets betänkande nr 8/2025-2026</dc:title>
  <dc:subject/>
  <dc:creator>Jessica Laaksonen</dc:creator>
  <cp:keywords/>
  <cp:lastModifiedBy>Jessica Laaksonen</cp:lastModifiedBy>
  <cp:revision>2</cp:revision>
  <cp:lastPrinted>2001-02-13T09:44:00Z</cp:lastPrinted>
  <dcterms:created xsi:type="dcterms:W3CDTF">2026-05-29T07:27:00Z</dcterms:created>
  <dcterms:modified xsi:type="dcterms:W3CDTF">2026-05-29T07:27:00Z</dcterms:modified>
</cp:coreProperties>
</file>