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2E8A2011" w14:textId="77777777">
        <w:trPr>
          <w:cantSplit/>
          <w:trHeight w:val="20"/>
        </w:trPr>
        <w:tc>
          <w:tcPr>
            <w:tcW w:w="861" w:type="dxa"/>
            <w:vMerge w:val="restart"/>
          </w:tcPr>
          <w:p w14:paraId="2652718A" w14:textId="0DBCA49B" w:rsidR="002401D0" w:rsidRDefault="00356808">
            <w:pPr>
              <w:pStyle w:val="xLedtext"/>
              <w:rPr>
                <w:noProof/>
              </w:rPr>
            </w:pPr>
            <w:bookmarkStart w:id="0" w:name="_top"/>
            <w:bookmarkEnd w:id="0"/>
            <w:r>
              <w:rPr>
                <w:noProof/>
              </w:rPr>
              <w:drawing>
                <wp:inline distT="0" distB="0" distL="0" distR="0" wp14:anchorId="0D8AF472" wp14:editId="19038456">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3DA7367" w14:textId="2F5DF342" w:rsidR="002401D0" w:rsidRDefault="00356808">
            <w:pPr>
              <w:pStyle w:val="xMellanrum"/>
            </w:pPr>
            <w:r>
              <w:rPr>
                <w:noProof/>
              </w:rPr>
              <w:drawing>
                <wp:inline distT="0" distB="0" distL="0" distR="0" wp14:anchorId="26D077D5" wp14:editId="6EAE4A1B">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7B67A56F" w14:textId="77777777">
        <w:trPr>
          <w:cantSplit/>
          <w:trHeight w:val="299"/>
        </w:trPr>
        <w:tc>
          <w:tcPr>
            <w:tcW w:w="861" w:type="dxa"/>
            <w:vMerge/>
          </w:tcPr>
          <w:p w14:paraId="03FD0A5D" w14:textId="77777777" w:rsidR="002401D0" w:rsidRDefault="002401D0">
            <w:pPr>
              <w:pStyle w:val="xLedtext"/>
            </w:pPr>
          </w:p>
        </w:tc>
        <w:tc>
          <w:tcPr>
            <w:tcW w:w="4448" w:type="dxa"/>
            <w:vAlign w:val="bottom"/>
          </w:tcPr>
          <w:p w14:paraId="1D8351A0" w14:textId="77777777" w:rsidR="002401D0" w:rsidRDefault="002401D0">
            <w:pPr>
              <w:pStyle w:val="xAvsandare1"/>
            </w:pPr>
            <w:r>
              <w:t>Ålands lagting</w:t>
            </w:r>
          </w:p>
        </w:tc>
        <w:tc>
          <w:tcPr>
            <w:tcW w:w="4288" w:type="dxa"/>
            <w:gridSpan w:val="2"/>
            <w:vAlign w:val="bottom"/>
          </w:tcPr>
          <w:p w14:paraId="51DF37AC" w14:textId="21D690D7" w:rsidR="002401D0" w:rsidRDefault="002401D0" w:rsidP="00B36A8F">
            <w:pPr>
              <w:pStyle w:val="xDokTypNr"/>
            </w:pPr>
            <w:r>
              <w:t xml:space="preserve">BETÄNKANDE nr </w:t>
            </w:r>
            <w:r w:rsidR="00C463A8">
              <w:t>7</w:t>
            </w:r>
            <w:r>
              <w:t>/20</w:t>
            </w:r>
            <w:r w:rsidR="00356808">
              <w:t>25</w:t>
            </w:r>
            <w:r w:rsidR="0015337C">
              <w:t>-20</w:t>
            </w:r>
            <w:r w:rsidR="00356808">
              <w:t>26</w:t>
            </w:r>
          </w:p>
        </w:tc>
      </w:tr>
      <w:tr w:rsidR="002401D0" w14:paraId="08FB4D6C" w14:textId="77777777">
        <w:trPr>
          <w:cantSplit/>
          <w:trHeight w:val="238"/>
        </w:trPr>
        <w:tc>
          <w:tcPr>
            <w:tcW w:w="861" w:type="dxa"/>
            <w:vMerge/>
          </w:tcPr>
          <w:p w14:paraId="52429F5D" w14:textId="77777777" w:rsidR="002401D0" w:rsidRDefault="002401D0">
            <w:pPr>
              <w:pStyle w:val="xLedtext"/>
            </w:pPr>
          </w:p>
        </w:tc>
        <w:tc>
          <w:tcPr>
            <w:tcW w:w="4448" w:type="dxa"/>
            <w:vAlign w:val="bottom"/>
          </w:tcPr>
          <w:p w14:paraId="60E89F5B" w14:textId="77777777" w:rsidR="002401D0" w:rsidRDefault="002401D0">
            <w:pPr>
              <w:pStyle w:val="xLedtext"/>
            </w:pPr>
          </w:p>
        </w:tc>
        <w:tc>
          <w:tcPr>
            <w:tcW w:w="1725" w:type="dxa"/>
            <w:vAlign w:val="bottom"/>
          </w:tcPr>
          <w:p w14:paraId="57364777" w14:textId="77777777" w:rsidR="002401D0" w:rsidRDefault="002401D0">
            <w:pPr>
              <w:pStyle w:val="xLedtext"/>
            </w:pPr>
            <w:r>
              <w:t>Datum</w:t>
            </w:r>
          </w:p>
        </w:tc>
        <w:tc>
          <w:tcPr>
            <w:tcW w:w="2563" w:type="dxa"/>
            <w:vAlign w:val="bottom"/>
          </w:tcPr>
          <w:p w14:paraId="58607F2A" w14:textId="77777777" w:rsidR="002401D0" w:rsidRDefault="002401D0">
            <w:pPr>
              <w:pStyle w:val="xLedtext"/>
            </w:pPr>
          </w:p>
        </w:tc>
      </w:tr>
      <w:tr w:rsidR="002401D0" w14:paraId="254A9E82" w14:textId="77777777">
        <w:trPr>
          <w:cantSplit/>
          <w:trHeight w:val="238"/>
        </w:trPr>
        <w:tc>
          <w:tcPr>
            <w:tcW w:w="861" w:type="dxa"/>
            <w:vMerge/>
          </w:tcPr>
          <w:p w14:paraId="2BD5CF93" w14:textId="77777777" w:rsidR="002401D0" w:rsidRDefault="002401D0">
            <w:pPr>
              <w:pStyle w:val="xAvsandare2"/>
            </w:pPr>
          </w:p>
        </w:tc>
        <w:tc>
          <w:tcPr>
            <w:tcW w:w="4448" w:type="dxa"/>
            <w:vAlign w:val="center"/>
          </w:tcPr>
          <w:p w14:paraId="4488FBBD" w14:textId="5DD785BF" w:rsidR="002401D0" w:rsidRDefault="00745E3C">
            <w:pPr>
              <w:pStyle w:val="xAvsandare2"/>
            </w:pPr>
            <w:r>
              <w:t>Social- och miljö</w:t>
            </w:r>
            <w:r w:rsidR="002401D0">
              <w:t>utskottet</w:t>
            </w:r>
          </w:p>
        </w:tc>
        <w:tc>
          <w:tcPr>
            <w:tcW w:w="1725" w:type="dxa"/>
            <w:vAlign w:val="center"/>
          </w:tcPr>
          <w:p w14:paraId="562E6A7C" w14:textId="1204CD83" w:rsidR="002401D0" w:rsidRDefault="002401D0">
            <w:pPr>
              <w:pStyle w:val="xDatum1"/>
            </w:pPr>
            <w:r>
              <w:t>20</w:t>
            </w:r>
            <w:r w:rsidR="00983F96">
              <w:t>25-0</w:t>
            </w:r>
            <w:r w:rsidR="00862F8F">
              <w:t>5</w:t>
            </w:r>
            <w:r w:rsidR="00983F96">
              <w:t>-</w:t>
            </w:r>
            <w:r w:rsidR="00C463A8">
              <w:t>26</w:t>
            </w:r>
          </w:p>
        </w:tc>
        <w:tc>
          <w:tcPr>
            <w:tcW w:w="2563" w:type="dxa"/>
            <w:vAlign w:val="center"/>
          </w:tcPr>
          <w:p w14:paraId="4DB7F54E" w14:textId="77777777" w:rsidR="002401D0" w:rsidRDefault="002401D0">
            <w:pPr>
              <w:pStyle w:val="xBeteckning1"/>
            </w:pPr>
          </w:p>
        </w:tc>
      </w:tr>
      <w:tr w:rsidR="002401D0" w14:paraId="1E395325" w14:textId="77777777">
        <w:trPr>
          <w:cantSplit/>
          <w:trHeight w:val="238"/>
        </w:trPr>
        <w:tc>
          <w:tcPr>
            <w:tcW w:w="861" w:type="dxa"/>
            <w:vMerge/>
          </w:tcPr>
          <w:p w14:paraId="3AAFADA7" w14:textId="77777777" w:rsidR="002401D0" w:rsidRDefault="002401D0">
            <w:pPr>
              <w:pStyle w:val="xLedtext"/>
            </w:pPr>
          </w:p>
        </w:tc>
        <w:tc>
          <w:tcPr>
            <w:tcW w:w="4448" w:type="dxa"/>
            <w:vAlign w:val="bottom"/>
          </w:tcPr>
          <w:p w14:paraId="00A5C400" w14:textId="77777777" w:rsidR="002401D0" w:rsidRDefault="002401D0">
            <w:pPr>
              <w:pStyle w:val="xLedtext"/>
            </w:pPr>
          </w:p>
        </w:tc>
        <w:tc>
          <w:tcPr>
            <w:tcW w:w="1725" w:type="dxa"/>
            <w:vAlign w:val="bottom"/>
          </w:tcPr>
          <w:p w14:paraId="725CEFCA" w14:textId="77777777" w:rsidR="002401D0" w:rsidRDefault="002401D0">
            <w:pPr>
              <w:pStyle w:val="xLedtext"/>
            </w:pPr>
          </w:p>
        </w:tc>
        <w:tc>
          <w:tcPr>
            <w:tcW w:w="2563" w:type="dxa"/>
            <w:vAlign w:val="bottom"/>
          </w:tcPr>
          <w:p w14:paraId="726816A3" w14:textId="77777777" w:rsidR="002401D0" w:rsidRDefault="002401D0">
            <w:pPr>
              <w:pStyle w:val="xLedtext"/>
            </w:pPr>
          </w:p>
        </w:tc>
      </w:tr>
      <w:tr w:rsidR="002401D0" w14:paraId="165524C0" w14:textId="77777777">
        <w:trPr>
          <w:cantSplit/>
          <w:trHeight w:val="238"/>
        </w:trPr>
        <w:tc>
          <w:tcPr>
            <w:tcW w:w="861" w:type="dxa"/>
            <w:vMerge/>
            <w:tcBorders>
              <w:bottom w:val="single" w:sz="4" w:space="0" w:color="auto"/>
            </w:tcBorders>
          </w:tcPr>
          <w:p w14:paraId="18376386" w14:textId="77777777" w:rsidR="002401D0" w:rsidRDefault="002401D0">
            <w:pPr>
              <w:pStyle w:val="xAvsandare3"/>
            </w:pPr>
          </w:p>
        </w:tc>
        <w:tc>
          <w:tcPr>
            <w:tcW w:w="4448" w:type="dxa"/>
            <w:tcBorders>
              <w:bottom w:val="single" w:sz="4" w:space="0" w:color="auto"/>
            </w:tcBorders>
            <w:vAlign w:val="center"/>
          </w:tcPr>
          <w:p w14:paraId="1FF1BE2F" w14:textId="77777777" w:rsidR="002401D0" w:rsidRDefault="002401D0">
            <w:pPr>
              <w:pStyle w:val="xAvsandare3"/>
            </w:pPr>
          </w:p>
        </w:tc>
        <w:tc>
          <w:tcPr>
            <w:tcW w:w="1725" w:type="dxa"/>
            <w:tcBorders>
              <w:bottom w:val="single" w:sz="4" w:space="0" w:color="auto"/>
            </w:tcBorders>
            <w:vAlign w:val="center"/>
          </w:tcPr>
          <w:p w14:paraId="1819D4E3" w14:textId="77777777" w:rsidR="002401D0" w:rsidRDefault="002401D0">
            <w:pPr>
              <w:pStyle w:val="xDatum2"/>
            </w:pPr>
          </w:p>
        </w:tc>
        <w:tc>
          <w:tcPr>
            <w:tcW w:w="2563" w:type="dxa"/>
            <w:tcBorders>
              <w:bottom w:val="single" w:sz="4" w:space="0" w:color="auto"/>
            </w:tcBorders>
            <w:vAlign w:val="center"/>
          </w:tcPr>
          <w:p w14:paraId="3208CAB4" w14:textId="77777777" w:rsidR="002401D0" w:rsidRDefault="002401D0">
            <w:pPr>
              <w:pStyle w:val="xBeteckning2"/>
            </w:pPr>
          </w:p>
        </w:tc>
      </w:tr>
      <w:tr w:rsidR="002401D0" w14:paraId="3EF66BB0" w14:textId="77777777">
        <w:trPr>
          <w:cantSplit/>
          <w:trHeight w:val="238"/>
        </w:trPr>
        <w:tc>
          <w:tcPr>
            <w:tcW w:w="861" w:type="dxa"/>
            <w:tcBorders>
              <w:top w:val="single" w:sz="4" w:space="0" w:color="auto"/>
            </w:tcBorders>
            <w:vAlign w:val="bottom"/>
          </w:tcPr>
          <w:p w14:paraId="5B6F868E" w14:textId="77777777" w:rsidR="002401D0" w:rsidRDefault="002401D0">
            <w:pPr>
              <w:pStyle w:val="xLedtext"/>
            </w:pPr>
          </w:p>
        </w:tc>
        <w:tc>
          <w:tcPr>
            <w:tcW w:w="4448" w:type="dxa"/>
            <w:tcBorders>
              <w:top w:val="single" w:sz="4" w:space="0" w:color="auto"/>
            </w:tcBorders>
            <w:vAlign w:val="bottom"/>
          </w:tcPr>
          <w:p w14:paraId="6089E740" w14:textId="77777777" w:rsidR="002401D0" w:rsidRDefault="002401D0">
            <w:pPr>
              <w:pStyle w:val="xLedtext"/>
            </w:pPr>
          </w:p>
        </w:tc>
        <w:tc>
          <w:tcPr>
            <w:tcW w:w="4288" w:type="dxa"/>
            <w:gridSpan w:val="2"/>
            <w:tcBorders>
              <w:top w:val="single" w:sz="4" w:space="0" w:color="auto"/>
            </w:tcBorders>
            <w:vAlign w:val="bottom"/>
          </w:tcPr>
          <w:p w14:paraId="25797125" w14:textId="77777777" w:rsidR="002401D0" w:rsidRDefault="002401D0">
            <w:pPr>
              <w:pStyle w:val="xLedtext"/>
            </w:pPr>
          </w:p>
        </w:tc>
      </w:tr>
      <w:tr w:rsidR="002401D0" w14:paraId="15388B03" w14:textId="77777777">
        <w:trPr>
          <w:cantSplit/>
          <w:trHeight w:val="238"/>
        </w:trPr>
        <w:tc>
          <w:tcPr>
            <w:tcW w:w="861" w:type="dxa"/>
          </w:tcPr>
          <w:p w14:paraId="0E8E1136" w14:textId="77777777" w:rsidR="002401D0" w:rsidRDefault="002401D0">
            <w:pPr>
              <w:pStyle w:val="xCelltext"/>
            </w:pPr>
          </w:p>
        </w:tc>
        <w:tc>
          <w:tcPr>
            <w:tcW w:w="4448" w:type="dxa"/>
            <w:vMerge w:val="restart"/>
          </w:tcPr>
          <w:p w14:paraId="7B370906" w14:textId="77777777" w:rsidR="002401D0" w:rsidRDefault="002401D0">
            <w:pPr>
              <w:pStyle w:val="xMottagare1"/>
            </w:pPr>
            <w:r>
              <w:t>Till Ålands lagting</w:t>
            </w:r>
          </w:p>
        </w:tc>
        <w:tc>
          <w:tcPr>
            <w:tcW w:w="4288" w:type="dxa"/>
            <w:gridSpan w:val="2"/>
            <w:vMerge w:val="restart"/>
          </w:tcPr>
          <w:p w14:paraId="0962252B" w14:textId="77777777" w:rsidR="002401D0" w:rsidRDefault="002401D0">
            <w:pPr>
              <w:pStyle w:val="xMottagare1"/>
              <w:tabs>
                <w:tab w:val="left" w:pos="2349"/>
              </w:tabs>
            </w:pPr>
          </w:p>
        </w:tc>
      </w:tr>
      <w:tr w:rsidR="002401D0" w14:paraId="0A8E6580" w14:textId="77777777">
        <w:trPr>
          <w:cantSplit/>
          <w:trHeight w:val="238"/>
        </w:trPr>
        <w:tc>
          <w:tcPr>
            <w:tcW w:w="861" w:type="dxa"/>
          </w:tcPr>
          <w:p w14:paraId="3539A1E5" w14:textId="77777777" w:rsidR="002401D0" w:rsidRDefault="002401D0">
            <w:pPr>
              <w:pStyle w:val="xCelltext"/>
            </w:pPr>
          </w:p>
        </w:tc>
        <w:tc>
          <w:tcPr>
            <w:tcW w:w="4448" w:type="dxa"/>
            <w:vMerge/>
            <w:vAlign w:val="center"/>
          </w:tcPr>
          <w:p w14:paraId="7F04A3AE" w14:textId="77777777" w:rsidR="002401D0" w:rsidRDefault="002401D0">
            <w:pPr>
              <w:pStyle w:val="xCelltext"/>
            </w:pPr>
          </w:p>
        </w:tc>
        <w:tc>
          <w:tcPr>
            <w:tcW w:w="4288" w:type="dxa"/>
            <w:gridSpan w:val="2"/>
            <w:vMerge/>
            <w:vAlign w:val="center"/>
          </w:tcPr>
          <w:p w14:paraId="70085414" w14:textId="77777777" w:rsidR="002401D0" w:rsidRDefault="002401D0">
            <w:pPr>
              <w:pStyle w:val="xCelltext"/>
            </w:pPr>
          </w:p>
        </w:tc>
      </w:tr>
      <w:tr w:rsidR="002401D0" w14:paraId="288EB859" w14:textId="77777777">
        <w:trPr>
          <w:cantSplit/>
          <w:trHeight w:val="238"/>
        </w:trPr>
        <w:tc>
          <w:tcPr>
            <w:tcW w:w="861" w:type="dxa"/>
          </w:tcPr>
          <w:p w14:paraId="13D89813" w14:textId="77777777" w:rsidR="002401D0" w:rsidRDefault="002401D0">
            <w:pPr>
              <w:pStyle w:val="xCelltext"/>
            </w:pPr>
          </w:p>
        </w:tc>
        <w:tc>
          <w:tcPr>
            <w:tcW w:w="4448" w:type="dxa"/>
            <w:vMerge/>
            <w:vAlign w:val="center"/>
          </w:tcPr>
          <w:p w14:paraId="774EC9B2" w14:textId="77777777" w:rsidR="002401D0" w:rsidRDefault="002401D0">
            <w:pPr>
              <w:pStyle w:val="xCelltext"/>
            </w:pPr>
          </w:p>
        </w:tc>
        <w:tc>
          <w:tcPr>
            <w:tcW w:w="4288" w:type="dxa"/>
            <w:gridSpan w:val="2"/>
            <w:vMerge/>
            <w:vAlign w:val="center"/>
          </w:tcPr>
          <w:p w14:paraId="249CA5BB" w14:textId="77777777" w:rsidR="002401D0" w:rsidRDefault="002401D0">
            <w:pPr>
              <w:pStyle w:val="xCelltext"/>
            </w:pPr>
          </w:p>
        </w:tc>
      </w:tr>
      <w:tr w:rsidR="002401D0" w14:paraId="4DDA280E" w14:textId="77777777">
        <w:trPr>
          <w:cantSplit/>
          <w:trHeight w:val="238"/>
        </w:trPr>
        <w:tc>
          <w:tcPr>
            <w:tcW w:w="861" w:type="dxa"/>
          </w:tcPr>
          <w:p w14:paraId="0642F7C4" w14:textId="77777777" w:rsidR="002401D0" w:rsidRDefault="002401D0">
            <w:pPr>
              <w:pStyle w:val="xCelltext"/>
            </w:pPr>
          </w:p>
        </w:tc>
        <w:tc>
          <w:tcPr>
            <w:tcW w:w="4448" w:type="dxa"/>
            <w:vMerge/>
            <w:vAlign w:val="center"/>
          </w:tcPr>
          <w:p w14:paraId="5227CDFA" w14:textId="77777777" w:rsidR="002401D0" w:rsidRDefault="002401D0">
            <w:pPr>
              <w:pStyle w:val="xCelltext"/>
            </w:pPr>
          </w:p>
        </w:tc>
        <w:tc>
          <w:tcPr>
            <w:tcW w:w="4288" w:type="dxa"/>
            <w:gridSpan w:val="2"/>
            <w:vMerge/>
            <w:vAlign w:val="center"/>
          </w:tcPr>
          <w:p w14:paraId="5C15DD5D" w14:textId="77777777" w:rsidR="002401D0" w:rsidRDefault="002401D0">
            <w:pPr>
              <w:pStyle w:val="xCelltext"/>
            </w:pPr>
          </w:p>
        </w:tc>
      </w:tr>
      <w:tr w:rsidR="002401D0" w14:paraId="788C7EDA" w14:textId="77777777">
        <w:trPr>
          <w:cantSplit/>
          <w:trHeight w:val="238"/>
        </w:trPr>
        <w:tc>
          <w:tcPr>
            <w:tcW w:w="861" w:type="dxa"/>
          </w:tcPr>
          <w:p w14:paraId="453F70CF" w14:textId="77777777" w:rsidR="002401D0" w:rsidRDefault="002401D0">
            <w:pPr>
              <w:pStyle w:val="xCelltext"/>
            </w:pPr>
          </w:p>
        </w:tc>
        <w:tc>
          <w:tcPr>
            <w:tcW w:w="4448" w:type="dxa"/>
            <w:vMerge/>
            <w:vAlign w:val="center"/>
          </w:tcPr>
          <w:p w14:paraId="2DD7993B" w14:textId="77777777" w:rsidR="002401D0" w:rsidRDefault="002401D0">
            <w:pPr>
              <w:pStyle w:val="xCelltext"/>
            </w:pPr>
          </w:p>
        </w:tc>
        <w:tc>
          <w:tcPr>
            <w:tcW w:w="4288" w:type="dxa"/>
            <w:gridSpan w:val="2"/>
            <w:vMerge/>
            <w:vAlign w:val="center"/>
          </w:tcPr>
          <w:p w14:paraId="431E32B7" w14:textId="77777777" w:rsidR="002401D0" w:rsidRDefault="002401D0">
            <w:pPr>
              <w:pStyle w:val="xCelltext"/>
            </w:pPr>
          </w:p>
        </w:tc>
      </w:tr>
    </w:tbl>
    <w:p w14:paraId="40EB725F" w14:textId="77777777" w:rsidR="002401D0" w:rsidRDefault="002401D0">
      <w:pPr>
        <w:rPr>
          <w:b/>
          <w:bCs/>
        </w:rPr>
        <w:sectPr w:rsidR="002401D0">
          <w:footerReference w:type="even" r:id="rId9"/>
          <w:footerReference w:type="default" r:id="rId10"/>
          <w:pgSz w:w="11906" w:h="16838" w:code="9"/>
          <w:pgMar w:top="567" w:right="1134" w:bottom="1134" w:left="1191" w:header="624" w:footer="737" w:gutter="0"/>
          <w:cols w:space="708"/>
          <w:docGrid w:linePitch="360"/>
        </w:sectPr>
      </w:pPr>
    </w:p>
    <w:p w14:paraId="238F860C" w14:textId="2172AFC9" w:rsidR="002401D0" w:rsidRDefault="00745E3C">
      <w:pPr>
        <w:pStyle w:val="ArendeOverRubrik"/>
      </w:pPr>
      <w:r>
        <w:t>Social- och miljö</w:t>
      </w:r>
      <w:r w:rsidR="002401D0">
        <w:t>utskottets betänkande</w:t>
      </w:r>
    </w:p>
    <w:p w14:paraId="1924115D" w14:textId="10100D8A" w:rsidR="00356808" w:rsidRPr="00356808" w:rsidRDefault="00356808" w:rsidP="00356808">
      <w:pPr>
        <w:pStyle w:val="ArendeRubrik"/>
      </w:pPr>
      <w:r>
        <w:t>Landskapslag om tillsyn över artificiell intelligens</w:t>
      </w:r>
    </w:p>
    <w:p w14:paraId="7550353A" w14:textId="26CF4114" w:rsidR="002401D0" w:rsidRPr="00F81190" w:rsidRDefault="00356808">
      <w:pPr>
        <w:pStyle w:val="ArendeUnderRubrik"/>
      </w:pPr>
      <w:r w:rsidRPr="00F81190">
        <w:t>Landskapsregeringens lagförslag LF 15/2025-2026</w:t>
      </w:r>
    </w:p>
    <w:p w14:paraId="2116DCC5" w14:textId="77777777" w:rsidR="002401D0" w:rsidRPr="00F81190" w:rsidRDefault="002401D0">
      <w:pPr>
        <w:pStyle w:val="ANormal"/>
      </w:pPr>
    </w:p>
    <w:p w14:paraId="05203E39" w14:textId="77777777" w:rsidR="002401D0" w:rsidRPr="00F81190" w:rsidRDefault="002401D0">
      <w:pPr>
        <w:pStyle w:val="Innehll1"/>
      </w:pPr>
      <w:r w:rsidRPr="00F81190">
        <w:t>INNEHÅLL</w:t>
      </w:r>
    </w:p>
    <w:p w14:paraId="64AB0F92" w14:textId="7217FBAF" w:rsidR="00F81190" w:rsidRPr="00F81190" w:rsidRDefault="002401D0">
      <w:pPr>
        <w:pStyle w:val="Innehll1"/>
        <w:rPr>
          <w:rFonts w:asciiTheme="minorHAnsi" w:eastAsiaTheme="minorEastAsia" w:hAnsiTheme="minorHAnsi" w:cstheme="minorBidi"/>
          <w:kern w:val="2"/>
          <w:sz w:val="24"/>
          <w:szCs w:val="24"/>
          <w:lang w:val="sv-FI" w:eastAsia="sv-FI"/>
          <w14:ligatures w14:val="standardContextual"/>
        </w:rPr>
      </w:pPr>
      <w:r w:rsidRPr="00F81190">
        <w:fldChar w:fldCharType="begin"/>
      </w:r>
      <w:r w:rsidRPr="00F81190">
        <w:instrText xml:space="preserve"> TOC \o "1-1" \h \z \t "Rubrik 2;2;Rubrik 3;3;RubrikB;2;RubrikC;3" </w:instrText>
      </w:r>
      <w:r w:rsidRPr="00F81190">
        <w:fldChar w:fldCharType="separate"/>
      </w:r>
      <w:hyperlink w:anchor="_Toc230700479" w:history="1">
        <w:r w:rsidR="00F81190" w:rsidRPr="00F81190">
          <w:rPr>
            <w:rStyle w:val="Hyperlnk"/>
            <w:color w:val="auto"/>
          </w:rPr>
          <w:t>Sammanfattning</w:t>
        </w:r>
        <w:r w:rsidR="00F81190" w:rsidRPr="00F81190">
          <w:rPr>
            <w:webHidden/>
          </w:rPr>
          <w:tab/>
        </w:r>
        <w:r w:rsidR="00F81190" w:rsidRPr="00F81190">
          <w:rPr>
            <w:webHidden/>
          </w:rPr>
          <w:fldChar w:fldCharType="begin"/>
        </w:r>
        <w:r w:rsidR="00F81190" w:rsidRPr="00F81190">
          <w:rPr>
            <w:webHidden/>
          </w:rPr>
          <w:instrText xml:space="preserve"> PAGEREF _Toc230700479 \h </w:instrText>
        </w:r>
        <w:r w:rsidR="00F81190" w:rsidRPr="00F81190">
          <w:rPr>
            <w:webHidden/>
          </w:rPr>
        </w:r>
        <w:r w:rsidR="00F81190" w:rsidRPr="00F81190">
          <w:rPr>
            <w:webHidden/>
          </w:rPr>
          <w:fldChar w:fldCharType="separate"/>
        </w:r>
        <w:r w:rsidR="00F81190" w:rsidRPr="00F81190">
          <w:rPr>
            <w:webHidden/>
          </w:rPr>
          <w:t>1</w:t>
        </w:r>
        <w:r w:rsidR="00F81190" w:rsidRPr="00F81190">
          <w:rPr>
            <w:webHidden/>
          </w:rPr>
          <w:fldChar w:fldCharType="end"/>
        </w:r>
      </w:hyperlink>
    </w:p>
    <w:p w14:paraId="1181482E" w14:textId="56E4248E" w:rsidR="00F81190" w:rsidRPr="00F81190" w:rsidRDefault="00F81190">
      <w:pPr>
        <w:pStyle w:val="Innehll2"/>
        <w:rPr>
          <w:rFonts w:asciiTheme="minorHAnsi" w:eastAsiaTheme="minorEastAsia" w:hAnsiTheme="minorHAnsi" w:cstheme="minorBidi"/>
          <w:kern w:val="2"/>
          <w:sz w:val="24"/>
          <w:szCs w:val="24"/>
          <w:lang w:val="sv-FI" w:eastAsia="sv-FI"/>
          <w14:ligatures w14:val="standardContextual"/>
        </w:rPr>
      </w:pPr>
      <w:hyperlink w:anchor="_Toc230700480" w:history="1">
        <w:r w:rsidRPr="00F81190">
          <w:rPr>
            <w:rStyle w:val="Hyperlnk"/>
            <w:color w:val="auto"/>
          </w:rPr>
          <w:t>Landskapsregeringens förslag</w:t>
        </w:r>
        <w:r w:rsidRPr="00F81190">
          <w:rPr>
            <w:webHidden/>
          </w:rPr>
          <w:tab/>
        </w:r>
        <w:r w:rsidRPr="00F81190">
          <w:rPr>
            <w:webHidden/>
          </w:rPr>
          <w:fldChar w:fldCharType="begin"/>
        </w:r>
        <w:r w:rsidRPr="00F81190">
          <w:rPr>
            <w:webHidden/>
          </w:rPr>
          <w:instrText xml:space="preserve"> PAGEREF _Toc230700480 \h </w:instrText>
        </w:r>
        <w:r w:rsidRPr="00F81190">
          <w:rPr>
            <w:webHidden/>
          </w:rPr>
        </w:r>
        <w:r w:rsidRPr="00F81190">
          <w:rPr>
            <w:webHidden/>
          </w:rPr>
          <w:fldChar w:fldCharType="separate"/>
        </w:r>
        <w:r w:rsidRPr="00F81190">
          <w:rPr>
            <w:webHidden/>
          </w:rPr>
          <w:t>1</w:t>
        </w:r>
        <w:r w:rsidRPr="00F81190">
          <w:rPr>
            <w:webHidden/>
          </w:rPr>
          <w:fldChar w:fldCharType="end"/>
        </w:r>
      </w:hyperlink>
    </w:p>
    <w:p w14:paraId="27BAD505" w14:textId="0EE05CF3" w:rsidR="00F81190" w:rsidRPr="00F81190" w:rsidRDefault="00F81190">
      <w:pPr>
        <w:pStyle w:val="Innehll2"/>
        <w:rPr>
          <w:rFonts w:asciiTheme="minorHAnsi" w:eastAsiaTheme="minorEastAsia" w:hAnsiTheme="minorHAnsi" w:cstheme="minorBidi"/>
          <w:kern w:val="2"/>
          <w:sz w:val="24"/>
          <w:szCs w:val="24"/>
          <w:lang w:val="sv-FI" w:eastAsia="sv-FI"/>
          <w14:ligatures w14:val="standardContextual"/>
        </w:rPr>
      </w:pPr>
      <w:hyperlink w:anchor="_Toc230700481" w:history="1">
        <w:r w:rsidRPr="00F81190">
          <w:rPr>
            <w:rStyle w:val="Hyperlnk"/>
            <w:color w:val="auto"/>
          </w:rPr>
          <w:t>Utskottets förslag</w:t>
        </w:r>
        <w:r w:rsidRPr="00F81190">
          <w:rPr>
            <w:webHidden/>
          </w:rPr>
          <w:tab/>
        </w:r>
        <w:r w:rsidRPr="00F81190">
          <w:rPr>
            <w:webHidden/>
          </w:rPr>
          <w:fldChar w:fldCharType="begin"/>
        </w:r>
        <w:r w:rsidRPr="00F81190">
          <w:rPr>
            <w:webHidden/>
          </w:rPr>
          <w:instrText xml:space="preserve"> PAGEREF _Toc230700481 \h </w:instrText>
        </w:r>
        <w:r w:rsidRPr="00F81190">
          <w:rPr>
            <w:webHidden/>
          </w:rPr>
        </w:r>
        <w:r w:rsidRPr="00F81190">
          <w:rPr>
            <w:webHidden/>
          </w:rPr>
          <w:fldChar w:fldCharType="separate"/>
        </w:r>
        <w:r w:rsidRPr="00F81190">
          <w:rPr>
            <w:webHidden/>
          </w:rPr>
          <w:t>1</w:t>
        </w:r>
        <w:r w:rsidRPr="00F81190">
          <w:rPr>
            <w:webHidden/>
          </w:rPr>
          <w:fldChar w:fldCharType="end"/>
        </w:r>
      </w:hyperlink>
    </w:p>
    <w:p w14:paraId="458ADF28" w14:textId="3C6662A8" w:rsidR="00F81190" w:rsidRPr="00F81190" w:rsidRDefault="00F81190">
      <w:pPr>
        <w:pStyle w:val="Innehll1"/>
        <w:rPr>
          <w:rFonts w:asciiTheme="minorHAnsi" w:eastAsiaTheme="minorEastAsia" w:hAnsiTheme="minorHAnsi" w:cstheme="minorBidi"/>
          <w:kern w:val="2"/>
          <w:sz w:val="24"/>
          <w:szCs w:val="24"/>
          <w:lang w:val="sv-FI" w:eastAsia="sv-FI"/>
          <w14:ligatures w14:val="standardContextual"/>
        </w:rPr>
      </w:pPr>
      <w:hyperlink w:anchor="_Toc230700482" w:history="1">
        <w:r w:rsidRPr="00F81190">
          <w:rPr>
            <w:rStyle w:val="Hyperlnk"/>
            <w:color w:val="auto"/>
          </w:rPr>
          <w:t>Utskottets synpunkter</w:t>
        </w:r>
        <w:r w:rsidRPr="00F81190">
          <w:rPr>
            <w:webHidden/>
          </w:rPr>
          <w:tab/>
        </w:r>
        <w:r w:rsidRPr="00F81190">
          <w:rPr>
            <w:webHidden/>
          </w:rPr>
          <w:fldChar w:fldCharType="begin"/>
        </w:r>
        <w:r w:rsidRPr="00F81190">
          <w:rPr>
            <w:webHidden/>
          </w:rPr>
          <w:instrText xml:space="preserve"> PAGEREF _Toc230700482 \h </w:instrText>
        </w:r>
        <w:r w:rsidRPr="00F81190">
          <w:rPr>
            <w:webHidden/>
          </w:rPr>
        </w:r>
        <w:r w:rsidRPr="00F81190">
          <w:rPr>
            <w:webHidden/>
          </w:rPr>
          <w:fldChar w:fldCharType="separate"/>
        </w:r>
        <w:r w:rsidRPr="00F81190">
          <w:rPr>
            <w:webHidden/>
          </w:rPr>
          <w:t>1</w:t>
        </w:r>
        <w:r w:rsidRPr="00F81190">
          <w:rPr>
            <w:webHidden/>
          </w:rPr>
          <w:fldChar w:fldCharType="end"/>
        </w:r>
      </w:hyperlink>
    </w:p>
    <w:p w14:paraId="7B9FE02A" w14:textId="3CF00493" w:rsidR="00F81190" w:rsidRPr="00F81190" w:rsidRDefault="00F81190">
      <w:pPr>
        <w:pStyle w:val="Innehll1"/>
        <w:rPr>
          <w:rFonts w:asciiTheme="minorHAnsi" w:eastAsiaTheme="minorEastAsia" w:hAnsiTheme="minorHAnsi" w:cstheme="minorBidi"/>
          <w:kern w:val="2"/>
          <w:sz w:val="24"/>
          <w:szCs w:val="24"/>
          <w:lang w:val="sv-FI" w:eastAsia="sv-FI"/>
          <w14:ligatures w14:val="standardContextual"/>
        </w:rPr>
      </w:pPr>
      <w:hyperlink w:anchor="_Toc230700483" w:history="1">
        <w:r w:rsidRPr="00F81190">
          <w:rPr>
            <w:rStyle w:val="Hyperlnk"/>
            <w:color w:val="auto"/>
          </w:rPr>
          <w:t>Ärendets behandling</w:t>
        </w:r>
        <w:r w:rsidRPr="00F81190">
          <w:rPr>
            <w:webHidden/>
          </w:rPr>
          <w:tab/>
        </w:r>
        <w:r w:rsidRPr="00F81190">
          <w:rPr>
            <w:webHidden/>
          </w:rPr>
          <w:fldChar w:fldCharType="begin"/>
        </w:r>
        <w:r w:rsidRPr="00F81190">
          <w:rPr>
            <w:webHidden/>
          </w:rPr>
          <w:instrText xml:space="preserve"> PAGEREF _Toc230700483 \h </w:instrText>
        </w:r>
        <w:r w:rsidRPr="00F81190">
          <w:rPr>
            <w:webHidden/>
          </w:rPr>
        </w:r>
        <w:r w:rsidRPr="00F81190">
          <w:rPr>
            <w:webHidden/>
          </w:rPr>
          <w:fldChar w:fldCharType="separate"/>
        </w:r>
        <w:r w:rsidRPr="00F81190">
          <w:rPr>
            <w:webHidden/>
          </w:rPr>
          <w:t>3</w:t>
        </w:r>
        <w:r w:rsidRPr="00F81190">
          <w:rPr>
            <w:webHidden/>
          </w:rPr>
          <w:fldChar w:fldCharType="end"/>
        </w:r>
      </w:hyperlink>
    </w:p>
    <w:p w14:paraId="3F6794E8" w14:textId="28EB7B97" w:rsidR="00F81190" w:rsidRPr="00F81190" w:rsidRDefault="00F81190">
      <w:pPr>
        <w:pStyle w:val="Innehll1"/>
        <w:rPr>
          <w:rFonts w:asciiTheme="minorHAnsi" w:eastAsiaTheme="minorEastAsia" w:hAnsiTheme="minorHAnsi" w:cstheme="minorBidi"/>
          <w:kern w:val="2"/>
          <w:sz w:val="24"/>
          <w:szCs w:val="24"/>
          <w:lang w:val="sv-FI" w:eastAsia="sv-FI"/>
          <w14:ligatures w14:val="standardContextual"/>
        </w:rPr>
      </w:pPr>
      <w:hyperlink w:anchor="_Toc230700484" w:history="1">
        <w:r w:rsidRPr="00F81190">
          <w:rPr>
            <w:rStyle w:val="Hyperlnk"/>
            <w:color w:val="auto"/>
          </w:rPr>
          <w:t>Utskottets förslag</w:t>
        </w:r>
        <w:r w:rsidRPr="00F81190">
          <w:rPr>
            <w:webHidden/>
          </w:rPr>
          <w:tab/>
        </w:r>
        <w:r w:rsidRPr="00F81190">
          <w:rPr>
            <w:webHidden/>
          </w:rPr>
          <w:fldChar w:fldCharType="begin"/>
        </w:r>
        <w:r w:rsidRPr="00F81190">
          <w:rPr>
            <w:webHidden/>
          </w:rPr>
          <w:instrText xml:space="preserve"> PAGEREF _Toc230700484 \h </w:instrText>
        </w:r>
        <w:r w:rsidRPr="00F81190">
          <w:rPr>
            <w:webHidden/>
          </w:rPr>
        </w:r>
        <w:r w:rsidRPr="00F81190">
          <w:rPr>
            <w:webHidden/>
          </w:rPr>
          <w:fldChar w:fldCharType="separate"/>
        </w:r>
        <w:r w:rsidRPr="00F81190">
          <w:rPr>
            <w:webHidden/>
          </w:rPr>
          <w:t>3</w:t>
        </w:r>
        <w:r w:rsidRPr="00F81190">
          <w:rPr>
            <w:webHidden/>
          </w:rPr>
          <w:fldChar w:fldCharType="end"/>
        </w:r>
      </w:hyperlink>
    </w:p>
    <w:p w14:paraId="5805AA16" w14:textId="03C8669F" w:rsidR="002401D0" w:rsidRPr="00F81190" w:rsidRDefault="002401D0">
      <w:pPr>
        <w:pStyle w:val="ANormal"/>
        <w:rPr>
          <w:noProof/>
        </w:rPr>
      </w:pPr>
      <w:r w:rsidRPr="00F81190">
        <w:rPr>
          <w:rFonts w:ascii="Verdana" w:hAnsi="Verdana"/>
          <w:noProof/>
          <w:sz w:val="16"/>
          <w:szCs w:val="36"/>
        </w:rPr>
        <w:fldChar w:fldCharType="end"/>
      </w:r>
    </w:p>
    <w:p w14:paraId="6C5AFC5C" w14:textId="77777777" w:rsidR="002401D0" w:rsidRPr="00F81190" w:rsidRDefault="002401D0">
      <w:pPr>
        <w:pStyle w:val="ANormal"/>
      </w:pPr>
    </w:p>
    <w:p w14:paraId="7990449D" w14:textId="77777777" w:rsidR="002401D0" w:rsidRPr="00F81190" w:rsidRDefault="002401D0">
      <w:pPr>
        <w:pStyle w:val="RubrikA"/>
      </w:pPr>
      <w:bookmarkStart w:id="1" w:name="_Toc529800932"/>
      <w:bookmarkStart w:id="2" w:name="_Toc230700479"/>
      <w:r w:rsidRPr="00F81190">
        <w:t>Sammanfattning</w:t>
      </w:r>
      <w:bookmarkEnd w:id="1"/>
      <w:bookmarkEnd w:id="2"/>
    </w:p>
    <w:p w14:paraId="2EA52A28" w14:textId="77777777" w:rsidR="002401D0" w:rsidRPr="00F81190" w:rsidRDefault="002401D0">
      <w:pPr>
        <w:pStyle w:val="Rubrikmellanrum"/>
      </w:pPr>
    </w:p>
    <w:p w14:paraId="114F0265" w14:textId="61121F6C" w:rsidR="002401D0" w:rsidRPr="00F81190" w:rsidRDefault="00356808">
      <w:pPr>
        <w:pStyle w:val="RubrikB"/>
      </w:pPr>
      <w:bookmarkStart w:id="3" w:name="_Toc529800933"/>
      <w:bookmarkStart w:id="4" w:name="_Toc230700480"/>
      <w:r w:rsidRPr="00F81190">
        <w:t>Landskapsregeringens</w:t>
      </w:r>
      <w:r w:rsidR="002401D0" w:rsidRPr="00F81190">
        <w:t xml:space="preserve"> förslag</w:t>
      </w:r>
      <w:bookmarkEnd w:id="3"/>
      <w:bookmarkEnd w:id="4"/>
    </w:p>
    <w:p w14:paraId="1F1BA992" w14:textId="77777777" w:rsidR="002401D0" w:rsidRPr="00F81190" w:rsidRDefault="002401D0">
      <w:pPr>
        <w:pStyle w:val="Rubrikmellanrum"/>
      </w:pPr>
    </w:p>
    <w:p w14:paraId="3EBB9476" w14:textId="77777777" w:rsidR="00356808" w:rsidRPr="00F81190" w:rsidRDefault="00356808" w:rsidP="00356808">
      <w:pPr>
        <w:pStyle w:val="ANormal"/>
      </w:pPr>
      <w:r w:rsidRPr="00F81190">
        <w:t>Landskapsregeringen föreslår att lagtinget antar en landskapslag om tillsyn över artificiell intelligens.</w:t>
      </w:r>
    </w:p>
    <w:p w14:paraId="3D3B5433" w14:textId="77777777" w:rsidR="00356808" w:rsidRPr="00F81190" w:rsidRDefault="00356808" w:rsidP="00356808">
      <w:pPr>
        <w:pStyle w:val="ANormal"/>
      </w:pPr>
      <w:r w:rsidRPr="00F81190">
        <w:tab/>
        <w:t xml:space="preserve">Syftet med lagförslaget är att inom landskapet utfärda genomförandebestämmelser vilka kompletterar Europaparlamentets och rådets förordning (EU) 2024/1689 om harmoniserade regler för artificiell intelligens och om ändring av förordningarna (EG) nr 300/2008, (EU) nr 167/2013, (EU) nr 168/2013, (EU) 2018/858, (EU) 2018/1139 och (EU) 2019/2144 samt direktiven 2014/90/EU, (EU) 2016/797 och (EU) 2020/1828 (förordning om artificiell intelligens, även benämnd </w:t>
      </w:r>
      <w:r w:rsidRPr="00F81190">
        <w:rPr>
          <w:i/>
          <w:iCs/>
        </w:rPr>
        <w:t>AI-förordningen</w:t>
      </w:r>
      <w:r w:rsidRPr="00F81190">
        <w:t>). Lagförslaget utgör fas I av det åländska genomförandet av AI-förordningen.</w:t>
      </w:r>
    </w:p>
    <w:p w14:paraId="281A007F" w14:textId="77777777" w:rsidR="00356808" w:rsidRPr="00F81190" w:rsidRDefault="00356808" w:rsidP="00356808">
      <w:pPr>
        <w:pStyle w:val="ANormal"/>
      </w:pPr>
      <w:r w:rsidRPr="00F81190">
        <w:tab/>
        <w:t>Avsikten är att den föreslagna landskapslagen ska träda i kraft så snart det är möjligt.</w:t>
      </w:r>
    </w:p>
    <w:p w14:paraId="03450775" w14:textId="7EFCAE67" w:rsidR="002401D0" w:rsidRPr="00F81190" w:rsidRDefault="002401D0">
      <w:pPr>
        <w:pStyle w:val="ANormal"/>
      </w:pPr>
    </w:p>
    <w:p w14:paraId="0A3BB693" w14:textId="77777777" w:rsidR="002401D0" w:rsidRPr="00F81190" w:rsidRDefault="002401D0">
      <w:pPr>
        <w:pStyle w:val="ANormal"/>
      </w:pPr>
    </w:p>
    <w:p w14:paraId="2FD7D92E" w14:textId="77777777" w:rsidR="002401D0" w:rsidRPr="00F81190" w:rsidRDefault="002401D0">
      <w:pPr>
        <w:pStyle w:val="RubrikB"/>
      </w:pPr>
      <w:bookmarkStart w:id="5" w:name="_Toc529800934"/>
      <w:bookmarkStart w:id="6" w:name="_Toc230700481"/>
      <w:r w:rsidRPr="00F81190">
        <w:t>Utskottets förslag</w:t>
      </w:r>
      <w:bookmarkEnd w:id="5"/>
      <w:bookmarkEnd w:id="6"/>
    </w:p>
    <w:p w14:paraId="06B397E4" w14:textId="77777777" w:rsidR="002401D0" w:rsidRPr="00F81190" w:rsidRDefault="002401D0">
      <w:pPr>
        <w:pStyle w:val="Rubrikmellanrum"/>
      </w:pPr>
    </w:p>
    <w:p w14:paraId="32D6B66C" w14:textId="5D2BC74F" w:rsidR="002401D0" w:rsidRPr="00F81190" w:rsidRDefault="00862F8F">
      <w:pPr>
        <w:pStyle w:val="ANormal"/>
      </w:pPr>
      <w:r w:rsidRPr="00F81190">
        <w:t>Utskottet föreslår att lagförslaget antas utan ändringar.</w:t>
      </w:r>
    </w:p>
    <w:p w14:paraId="72210BFC" w14:textId="77777777" w:rsidR="002401D0" w:rsidRPr="00F81190" w:rsidRDefault="002401D0">
      <w:pPr>
        <w:pStyle w:val="ANormal"/>
      </w:pPr>
    </w:p>
    <w:p w14:paraId="78D5B453" w14:textId="77777777" w:rsidR="002401D0" w:rsidRPr="00F81190" w:rsidRDefault="002401D0">
      <w:pPr>
        <w:pStyle w:val="RubrikA"/>
      </w:pPr>
      <w:bookmarkStart w:id="7" w:name="_Toc529800935"/>
      <w:bookmarkStart w:id="8" w:name="_Toc230700482"/>
      <w:r w:rsidRPr="00F81190">
        <w:t>Utskottets synpunkter</w:t>
      </w:r>
      <w:bookmarkEnd w:id="7"/>
      <w:bookmarkEnd w:id="8"/>
    </w:p>
    <w:p w14:paraId="3973BA6E" w14:textId="77777777" w:rsidR="002401D0" w:rsidRPr="00F81190" w:rsidRDefault="002401D0">
      <w:pPr>
        <w:pStyle w:val="Rubrikmellanrum"/>
      </w:pPr>
    </w:p>
    <w:p w14:paraId="6DD68370" w14:textId="1BF25EDF" w:rsidR="00655FBA" w:rsidRPr="00F81190" w:rsidRDefault="00655FBA" w:rsidP="00655FBA">
      <w:pPr>
        <w:pStyle w:val="ANormal"/>
        <w:rPr>
          <w:i/>
          <w:iCs/>
          <w:lang w:val="sv-FI"/>
        </w:rPr>
      </w:pPr>
      <w:r w:rsidRPr="00F81190">
        <w:rPr>
          <w:i/>
          <w:iCs/>
          <w:lang w:val="sv-FI"/>
        </w:rPr>
        <w:t>Allmänt</w:t>
      </w:r>
    </w:p>
    <w:p w14:paraId="54BB2B20" w14:textId="77777777" w:rsidR="00655FBA" w:rsidRPr="00F81190" w:rsidRDefault="00655FBA" w:rsidP="00655FBA">
      <w:pPr>
        <w:pStyle w:val="Rubrikmellanrum"/>
        <w:rPr>
          <w:lang w:val="sv-FI"/>
        </w:rPr>
      </w:pPr>
    </w:p>
    <w:p w14:paraId="3E3153BB" w14:textId="77777777" w:rsidR="00C463A8" w:rsidRPr="00F81190" w:rsidRDefault="00C463A8" w:rsidP="00C463A8">
      <w:pPr>
        <w:pStyle w:val="ANormal"/>
        <w:rPr>
          <w:lang w:val="sv-FI"/>
        </w:rPr>
      </w:pPr>
      <w:r w:rsidRPr="00F81190">
        <w:rPr>
          <w:lang w:val="sv-FI"/>
        </w:rPr>
        <w:t xml:space="preserve">Utskottet konstaterar att artificiell intelligens redan idag påverkar stora delar av samhället och att utvecklingen sker i mycket snabb takt. AI används inom offentlig förvaltning, hälso- och sjukvård, utbildning, finanssektorn och näringslivet i stort. Samtidigt medför tekniken betydande möjligheter till effektivisering, innovation och förbättrad service. Utskottet anser därför att det är angeläget att det finns ett tydligt och rättssäkert regelverk för användningen av AI-system. EU:s AI-förordning utgör världens första heltäckande rättsliga ramverk för AI och bygger på en riskbaserad modell där särskilt riskfyllda användningsområden omfattas av strängare krav och tillsyn. Samtidigt vill utskottet understryka att reglering av artificiell intelligens innebär en svår balansgång. Ett alltför omfattande regelverk riskerar att försämra europeiska företags innovationskraft och konkurrenskraft jämfört med aktörer i </w:t>
      </w:r>
      <w:r w:rsidRPr="00F81190">
        <w:rPr>
          <w:lang w:val="sv-FI"/>
        </w:rPr>
        <w:lastRenderedPageBreak/>
        <w:t>exempelvis USA och delar av Asien, där regleringen i flera avseenden är mindre långtgående. Internationellt har det också framförts kritik mot att EU:s AI-reglering riskerar leda till oförutsägbarhet för företag och utvecklare.  </w:t>
      </w:r>
    </w:p>
    <w:p w14:paraId="0566098D" w14:textId="4591E183" w:rsidR="00C463A8" w:rsidRPr="00F81190" w:rsidRDefault="00F81190" w:rsidP="00C463A8">
      <w:pPr>
        <w:pStyle w:val="ANormal"/>
        <w:rPr>
          <w:lang w:val="sv-FI"/>
        </w:rPr>
      </w:pPr>
      <w:r w:rsidRPr="00F81190">
        <w:rPr>
          <w:lang w:val="sv-FI"/>
        </w:rPr>
        <w:tab/>
      </w:r>
      <w:r w:rsidR="00C463A8" w:rsidRPr="00F81190">
        <w:rPr>
          <w:lang w:val="sv-FI"/>
        </w:rPr>
        <w:t>Utskottet konstaterar dock att utvecklingen av artificiell intelligens samtidigt medför betydande risker för enskilda människors rättigheter och samhällets säkerhet. AI kan användas för avancerade bedrägerier, manipulation, desinformation, cyberattacker och olika former av hybridhot. Utvecklingen av generativa AI-system har redan medfört ökade möjligheter att skapa trovärdiga bedrägeriförsök och falskt innehåll som kan användas för att påverka samhällsdebatten och undergräva förtroendet för demokratiska institutioner. Utskottet noterar att EU eftersträvar ett regelverk som bygger på mänskliga rättigheter, transparens och säkerhet. Ett gemensamt europeiskt regelverk skapar dessutom förutsättningar för en enhetlig tillämpning inom unionen och kan på sikt bidra till förtroende för AI-baserade tjänster. </w:t>
      </w:r>
    </w:p>
    <w:p w14:paraId="368906D1" w14:textId="77777777" w:rsidR="00C463A8" w:rsidRPr="00F81190" w:rsidRDefault="00C463A8" w:rsidP="00C463A8">
      <w:pPr>
        <w:pStyle w:val="ANormal"/>
        <w:rPr>
          <w:lang w:val="sv-FI"/>
        </w:rPr>
      </w:pPr>
      <w:r w:rsidRPr="00F81190">
        <w:rPr>
          <w:lang w:val="sv-FI"/>
        </w:rPr>
        <w:t> </w:t>
      </w:r>
    </w:p>
    <w:p w14:paraId="41D75A4A" w14:textId="77777777" w:rsidR="00C463A8" w:rsidRPr="00F81190" w:rsidRDefault="00C463A8" w:rsidP="00C463A8">
      <w:pPr>
        <w:pStyle w:val="ANormal"/>
        <w:rPr>
          <w:lang w:val="sv-FI"/>
        </w:rPr>
      </w:pPr>
      <w:r w:rsidRPr="00F81190">
        <w:rPr>
          <w:i/>
          <w:iCs/>
          <w:lang w:val="sv-FI"/>
        </w:rPr>
        <w:t>Lagstiftningsbehörighet och ansvarsfördelning</w:t>
      </w:r>
      <w:r w:rsidRPr="00F81190">
        <w:rPr>
          <w:lang w:val="sv-FI"/>
        </w:rPr>
        <w:t> </w:t>
      </w:r>
    </w:p>
    <w:p w14:paraId="7DAFA4F7" w14:textId="77777777" w:rsidR="00C463A8" w:rsidRPr="00F81190" w:rsidRDefault="00C463A8" w:rsidP="00F81190">
      <w:pPr>
        <w:pStyle w:val="Rubrikmellanrum"/>
        <w:rPr>
          <w:lang w:val="sv-FI"/>
        </w:rPr>
      </w:pPr>
      <w:r w:rsidRPr="00F81190">
        <w:rPr>
          <w:lang w:val="sv-FI"/>
        </w:rPr>
        <w:t> </w:t>
      </w:r>
    </w:p>
    <w:p w14:paraId="21254DDA" w14:textId="4B25F1CA" w:rsidR="00C463A8" w:rsidRPr="00F81190" w:rsidRDefault="00C463A8" w:rsidP="00C463A8">
      <w:pPr>
        <w:pStyle w:val="ANormal"/>
        <w:rPr>
          <w:lang w:val="sv-FI"/>
        </w:rPr>
      </w:pPr>
      <w:r w:rsidRPr="00F81190">
        <w:rPr>
          <w:lang w:val="sv-FI"/>
        </w:rPr>
        <w:t>Utskottet konstaterar att lagförslaget aktualiserar frågor om ansvarsfördelning mellan rikets och landskapets myndigheter. Eftersom AI-förordningen är direkt tillämplig krävs kompletterande bestämmelser för att tydliggöra tillsynsansvaret inom olika behörighetsområden. Utskottet anser att det är viktigt att det i det fortsatta arbetet säkerställs att ansvarsfördelningen mellan den finska lagstiftningen och den åländska lagstiftningen är tydlig och lätt att tillämpa i praktiken. Detta gäller särskilt frågor om vilka aktörer och verksamheter som omfattas av landskapets tillsynsansvar respektive rikets myndigheters behörighet. </w:t>
      </w:r>
    </w:p>
    <w:p w14:paraId="2F28574C" w14:textId="5771FDE4" w:rsidR="00C463A8" w:rsidRPr="00F81190" w:rsidRDefault="00C463A8" w:rsidP="00C463A8">
      <w:pPr>
        <w:pStyle w:val="ANormal"/>
        <w:rPr>
          <w:lang w:val="sv-FI"/>
        </w:rPr>
      </w:pPr>
      <w:r w:rsidRPr="00F81190">
        <w:rPr>
          <w:lang w:val="sv-FI"/>
        </w:rPr>
        <w:tab/>
        <w:t>Utskottet konstaterar vidare att tillsyn enligt AI-förordningen kommer att kräva samarbete mellan flera myndigheter. I ett litet samhälle som Åland finns en risk att välfungerande samarbeten blir beroende av enskilda personers kompetens och personliga nätverk. Ett sådant personberoende kan medföra sårbarheter över tid, särskilt vid personalförändringar eller begränsade resurser. Utskottet betonar därför vikten av tydliga strukturer och långsiktigt uppbyggd institutionell kompetens inom området. Utskottet konstaterar att AI-förordningen innebär nya och tekniskt komplexa tillsynsuppgifter. För ett litet samhälle med begränsade resurser finns det en uppenbar risk att den åländska förvaltningen får svårt att fullt ut upprätthålla den specialistkompetens och den kapacitet som krävs för effektiv tillsyn. Utskottet ser också principiella utmaningar i att samma organisatoriska enhet inom förvaltningen både bereder lagstiftningen och senare ansvarar för tillsynen över dess efterlevnad. Även om detta i praktiken kan vara svårt att undvika i en liten förvaltning anser utskottet att frågan bör uppmärksammas ur ett rättssäkerhets- och förtroendeperspektiv. </w:t>
      </w:r>
    </w:p>
    <w:p w14:paraId="39A9D3CE" w14:textId="77777777" w:rsidR="00C463A8" w:rsidRPr="00F81190" w:rsidRDefault="00C463A8" w:rsidP="00C463A8">
      <w:pPr>
        <w:pStyle w:val="ANormal"/>
        <w:rPr>
          <w:lang w:val="sv-FI"/>
        </w:rPr>
      </w:pPr>
      <w:r w:rsidRPr="00F81190">
        <w:rPr>
          <w:lang w:val="sv-FI"/>
        </w:rPr>
        <w:t> </w:t>
      </w:r>
    </w:p>
    <w:p w14:paraId="432F4D78" w14:textId="77777777" w:rsidR="00C463A8" w:rsidRPr="00F81190" w:rsidRDefault="00C463A8" w:rsidP="00C463A8">
      <w:pPr>
        <w:pStyle w:val="ANormal"/>
        <w:rPr>
          <w:lang w:val="sv-FI"/>
        </w:rPr>
      </w:pPr>
      <w:r w:rsidRPr="00F81190">
        <w:rPr>
          <w:i/>
          <w:iCs/>
          <w:lang w:val="sv-FI"/>
        </w:rPr>
        <w:t>AI i det åländska samhället</w:t>
      </w:r>
      <w:r w:rsidRPr="00F81190">
        <w:rPr>
          <w:lang w:val="sv-FI"/>
        </w:rPr>
        <w:t> </w:t>
      </w:r>
    </w:p>
    <w:p w14:paraId="08BBC0F3" w14:textId="77777777" w:rsidR="00C463A8" w:rsidRPr="00F81190" w:rsidRDefault="00C463A8" w:rsidP="00F81190">
      <w:pPr>
        <w:pStyle w:val="Rubrikmellanrum"/>
        <w:rPr>
          <w:lang w:val="sv-FI"/>
        </w:rPr>
      </w:pPr>
      <w:r w:rsidRPr="00F81190">
        <w:rPr>
          <w:lang w:val="sv-FI"/>
        </w:rPr>
        <w:t> </w:t>
      </w:r>
    </w:p>
    <w:p w14:paraId="25E5E147" w14:textId="77777777" w:rsidR="00C463A8" w:rsidRPr="00F81190" w:rsidRDefault="00C463A8" w:rsidP="00C463A8">
      <w:pPr>
        <w:pStyle w:val="ANormal"/>
        <w:rPr>
          <w:lang w:val="sv-FI"/>
        </w:rPr>
      </w:pPr>
      <w:r w:rsidRPr="00F81190">
        <w:rPr>
          <w:lang w:val="sv-FI"/>
        </w:rPr>
        <w:t>Utskottet framhåller att utvecklingen inom artificiell intelligens skapar möjligheter för det åländska samhället. AI kan bidra till effektivare offentlig förvaltning, förbättrad service och bättre möjligheter att upprätthålla samhällsservice i ett geografiskt perifert samhälle. Utskottet ser särskilt stor potential inom hälso- och sjukvården där AI-baserade lösningar kan fungera som stöd för personalen genom exempelvis beslutsstöd, administration, diagnostik och resursplanering. Rätt använd kan tekniken bidra till att säkerställa hög kvalitet och tillgänglighet i både offentlig och privat service trots utmaningar med demografisk utveckling och rekrytering av kompetens.  </w:t>
      </w:r>
    </w:p>
    <w:p w14:paraId="7F0020B4" w14:textId="77777777" w:rsidR="00C463A8" w:rsidRPr="00F81190" w:rsidRDefault="00C463A8" w:rsidP="00C463A8">
      <w:pPr>
        <w:pStyle w:val="ANormal"/>
        <w:rPr>
          <w:lang w:val="sv-FI"/>
        </w:rPr>
      </w:pPr>
      <w:r w:rsidRPr="00F81190">
        <w:rPr>
          <w:lang w:val="sv-FI"/>
        </w:rPr>
        <w:t> </w:t>
      </w:r>
    </w:p>
    <w:p w14:paraId="214A3907" w14:textId="77777777" w:rsidR="002401D0" w:rsidRPr="00F81190" w:rsidRDefault="002401D0">
      <w:pPr>
        <w:pStyle w:val="ANormal"/>
        <w:rPr>
          <w:lang w:val="sv-FI"/>
        </w:rPr>
      </w:pPr>
    </w:p>
    <w:p w14:paraId="377A7D1D" w14:textId="77777777" w:rsidR="002401D0" w:rsidRPr="00F81190" w:rsidRDefault="002401D0">
      <w:pPr>
        <w:pStyle w:val="RubrikA"/>
      </w:pPr>
      <w:bookmarkStart w:id="9" w:name="_Toc529800936"/>
      <w:bookmarkStart w:id="10" w:name="_Toc230700483"/>
      <w:r w:rsidRPr="00F81190">
        <w:lastRenderedPageBreak/>
        <w:t>Ärendets behandling</w:t>
      </w:r>
      <w:bookmarkEnd w:id="9"/>
      <w:bookmarkEnd w:id="10"/>
    </w:p>
    <w:p w14:paraId="711E8485" w14:textId="77777777" w:rsidR="002401D0" w:rsidRPr="00F81190" w:rsidRDefault="002401D0">
      <w:pPr>
        <w:pStyle w:val="Rubrikmellanrum"/>
      </w:pPr>
    </w:p>
    <w:p w14:paraId="7AB12777" w14:textId="77777777" w:rsidR="00C463A8" w:rsidRPr="00F81190" w:rsidRDefault="00C463A8" w:rsidP="00C463A8">
      <w:pPr>
        <w:pStyle w:val="ANormal"/>
        <w:rPr>
          <w:lang w:val="sv-FI"/>
        </w:rPr>
      </w:pPr>
      <w:r w:rsidRPr="00F81190">
        <w:t>Lagtinget har den 15 april 2026 </w:t>
      </w:r>
      <w:proofErr w:type="spellStart"/>
      <w:r w:rsidRPr="00F81190">
        <w:t>inbegärt</w:t>
      </w:r>
      <w:proofErr w:type="spellEnd"/>
      <w:r w:rsidRPr="00F81190">
        <w:t> social- och miljöutskottets yttrande i ärendet.</w:t>
      </w:r>
      <w:r w:rsidRPr="00F81190">
        <w:rPr>
          <w:lang w:val="sv-FI"/>
        </w:rPr>
        <w:t> </w:t>
      </w:r>
    </w:p>
    <w:p w14:paraId="79440C1E" w14:textId="0A36128A" w:rsidR="00C463A8" w:rsidRPr="00F81190" w:rsidRDefault="00C463A8" w:rsidP="00C463A8">
      <w:pPr>
        <w:pStyle w:val="ANormal"/>
        <w:rPr>
          <w:lang w:val="sv-FI"/>
        </w:rPr>
      </w:pPr>
      <w:r w:rsidRPr="00F81190">
        <w:tab/>
        <w:t>Utskottet har i ärendet hört ministern Ingrid Zetterman, lagberedningschefen Hans Selander, IT- och digitaliseringschefen Jani Sjölund, informationssäkerhetsansvarige Jockum Djupsund, samt IT-chefen vid Åland hälso- och sjukvård Anders Svensson. Myndighetschefen vid Datainspektionen Lena Nordman bidrog med skriftligt material. </w:t>
      </w:r>
      <w:r w:rsidRPr="00F81190">
        <w:rPr>
          <w:lang w:val="sv-FI"/>
        </w:rPr>
        <w:t> </w:t>
      </w:r>
    </w:p>
    <w:p w14:paraId="4291DFE5" w14:textId="7FAC25E1" w:rsidR="00C463A8" w:rsidRPr="00F81190" w:rsidRDefault="00C463A8" w:rsidP="00C463A8">
      <w:pPr>
        <w:pStyle w:val="ANormal"/>
        <w:rPr>
          <w:lang w:val="sv-FI"/>
        </w:rPr>
      </w:pPr>
      <w:r w:rsidRPr="00F81190">
        <w:tab/>
        <w:t>I ärendets avgörande behandling deltog ordföranden Christian Wikström, viceordföranden Pernilla Söderlund, ledamöterna Annette Holmberg-Jansson, Mogens Lindén, Liz Mattsson, Robert Mansén och Benny Pettersson. </w:t>
      </w:r>
      <w:r w:rsidRPr="00F81190">
        <w:rPr>
          <w:lang w:val="sv-FI"/>
        </w:rPr>
        <w:t> </w:t>
      </w:r>
    </w:p>
    <w:p w14:paraId="71473DEA" w14:textId="77777777" w:rsidR="00C463A8" w:rsidRPr="00F81190" w:rsidRDefault="00C463A8" w:rsidP="00C463A8">
      <w:pPr>
        <w:pStyle w:val="ANormal"/>
        <w:rPr>
          <w:lang w:val="sv-FI"/>
        </w:rPr>
      </w:pPr>
      <w:r w:rsidRPr="00F81190">
        <w:rPr>
          <w:lang w:val="sv-FI"/>
        </w:rPr>
        <w:t> </w:t>
      </w:r>
    </w:p>
    <w:p w14:paraId="3ACECAFE" w14:textId="127857EA" w:rsidR="002401D0" w:rsidRPr="00F81190" w:rsidRDefault="002401D0">
      <w:pPr>
        <w:pStyle w:val="ANormal"/>
        <w:rPr>
          <w:lang w:val="sv-FI"/>
        </w:rPr>
      </w:pPr>
    </w:p>
    <w:p w14:paraId="2A4E42AC" w14:textId="77777777" w:rsidR="002401D0" w:rsidRPr="00F81190" w:rsidRDefault="002401D0">
      <w:pPr>
        <w:pStyle w:val="ANormal"/>
      </w:pPr>
    </w:p>
    <w:p w14:paraId="17609681" w14:textId="77777777" w:rsidR="002401D0" w:rsidRPr="00F81190" w:rsidRDefault="002401D0">
      <w:pPr>
        <w:pStyle w:val="RubrikA"/>
      </w:pPr>
      <w:bookmarkStart w:id="11" w:name="_Toc529800937"/>
      <w:bookmarkStart w:id="12" w:name="_Toc230700484"/>
      <w:r w:rsidRPr="00F81190">
        <w:t>Utskottets förslag</w:t>
      </w:r>
      <w:bookmarkEnd w:id="11"/>
      <w:bookmarkEnd w:id="12"/>
    </w:p>
    <w:p w14:paraId="6F7A9A6B" w14:textId="77777777" w:rsidR="002401D0" w:rsidRPr="00F81190" w:rsidRDefault="002401D0">
      <w:pPr>
        <w:pStyle w:val="Rubrikmellanrum"/>
      </w:pPr>
    </w:p>
    <w:p w14:paraId="4D82E69E" w14:textId="77777777" w:rsidR="002401D0" w:rsidRPr="00F81190" w:rsidRDefault="002401D0">
      <w:pPr>
        <w:pStyle w:val="ANormal"/>
      </w:pPr>
      <w:r w:rsidRPr="00F81190">
        <w:t>Med hänvisning till det anförda föreslår utskottet</w:t>
      </w:r>
    </w:p>
    <w:p w14:paraId="31D61D08" w14:textId="77777777" w:rsidR="002401D0" w:rsidRPr="00F8119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rsidRPr="00F81190" w14:paraId="23680B79" w14:textId="77777777">
        <w:trPr>
          <w:cantSplit/>
        </w:trPr>
        <w:tc>
          <w:tcPr>
            <w:tcW w:w="7931" w:type="dxa"/>
            <w:gridSpan w:val="2"/>
          </w:tcPr>
          <w:p w14:paraId="5ED66054" w14:textId="7A64F23D" w:rsidR="00862F8F" w:rsidRPr="00F81190" w:rsidRDefault="00862F8F" w:rsidP="00862F8F">
            <w:pPr>
              <w:pStyle w:val="ANormal"/>
              <w:keepNext/>
              <w:ind w:left="283"/>
            </w:pPr>
            <w:r w:rsidRPr="00F81190">
              <w:t xml:space="preserve">          </w:t>
            </w:r>
            <w:r w:rsidR="002401D0" w:rsidRPr="00F81190">
              <w:t>att lagtinget</w:t>
            </w:r>
            <w:r w:rsidR="00356808" w:rsidRPr="00F81190">
              <w:t xml:space="preserve"> antar lagförslagen i</w:t>
            </w:r>
            <w:r w:rsidRPr="00F81190">
              <w:t xml:space="preserve"> oförändrad lydelse.</w:t>
            </w:r>
          </w:p>
          <w:p w14:paraId="410E6A69" w14:textId="77777777" w:rsidR="00862F8F" w:rsidRPr="00F81190" w:rsidRDefault="00862F8F" w:rsidP="00862F8F">
            <w:pPr>
              <w:pStyle w:val="ANormal"/>
              <w:keepNext/>
              <w:ind w:left="283"/>
            </w:pPr>
          </w:p>
          <w:p w14:paraId="19179778" w14:textId="77777777" w:rsidR="00862F8F" w:rsidRPr="00F81190" w:rsidRDefault="00862F8F">
            <w:pPr>
              <w:pStyle w:val="ANormal"/>
              <w:keepNext/>
            </w:pPr>
          </w:p>
          <w:p w14:paraId="4C6E8C58" w14:textId="77777777" w:rsidR="00862F8F" w:rsidRPr="00F81190" w:rsidRDefault="00862F8F">
            <w:pPr>
              <w:pStyle w:val="ANormal"/>
              <w:keepNext/>
            </w:pPr>
          </w:p>
          <w:p w14:paraId="7C6E02A2" w14:textId="1EA3742A" w:rsidR="002401D0" w:rsidRPr="00F81190" w:rsidRDefault="002401D0">
            <w:pPr>
              <w:pStyle w:val="ANormal"/>
              <w:keepNext/>
            </w:pPr>
            <w:r w:rsidRPr="00F81190">
              <w:t xml:space="preserve">Mariehamn den </w:t>
            </w:r>
            <w:r w:rsidR="00C463A8" w:rsidRPr="00F81190">
              <w:t>26</w:t>
            </w:r>
            <w:r w:rsidR="00862F8F" w:rsidRPr="00F81190">
              <w:t xml:space="preserve"> maj 2026</w:t>
            </w:r>
          </w:p>
        </w:tc>
      </w:tr>
      <w:tr w:rsidR="002401D0" w:rsidRPr="00F81190" w14:paraId="567ADA0B" w14:textId="77777777">
        <w:tc>
          <w:tcPr>
            <w:tcW w:w="4454" w:type="dxa"/>
            <w:vAlign w:val="bottom"/>
          </w:tcPr>
          <w:p w14:paraId="698CD5EE" w14:textId="77777777" w:rsidR="002401D0" w:rsidRPr="00F81190" w:rsidRDefault="002401D0">
            <w:pPr>
              <w:pStyle w:val="ANormal"/>
              <w:keepNext/>
            </w:pPr>
          </w:p>
          <w:p w14:paraId="5AF7F569" w14:textId="77777777" w:rsidR="002401D0" w:rsidRPr="00F81190" w:rsidRDefault="002401D0">
            <w:pPr>
              <w:pStyle w:val="ANormal"/>
              <w:keepNext/>
            </w:pPr>
          </w:p>
          <w:p w14:paraId="758E90D6" w14:textId="491E4767" w:rsidR="002401D0" w:rsidRPr="00F81190" w:rsidRDefault="002401D0">
            <w:pPr>
              <w:pStyle w:val="ANormal"/>
              <w:keepNext/>
            </w:pPr>
            <w:r w:rsidRPr="00F81190">
              <w:t>Ordförande</w:t>
            </w:r>
          </w:p>
        </w:tc>
        <w:tc>
          <w:tcPr>
            <w:tcW w:w="3477" w:type="dxa"/>
            <w:vAlign w:val="bottom"/>
          </w:tcPr>
          <w:p w14:paraId="27B739B3" w14:textId="05AB725D" w:rsidR="002401D0" w:rsidRPr="00F81190" w:rsidRDefault="00862F8F">
            <w:pPr>
              <w:pStyle w:val="ANormal"/>
              <w:keepNext/>
            </w:pPr>
            <w:r w:rsidRPr="00F81190">
              <w:t>Christian Wikström</w:t>
            </w:r>
          </w:p>
          <w:p w14:paraId="3B2D5DF9" w14:textId="77777777" w:rsidR="002401D0" w:rsidRPr="00F81190" w:rsidRDefault="002401D0">
            <w:pPr>
              <w:pStyle w:val="ANormal"/>
              <w:keepNext/>
            </w:pPr>
          </w:p>
        </w:tc>
      </w:tr>
      <w:tr w:rsidR="002401D0" w:rsidRPr="00F81190" w14:paraId="6577F38D" w14:textId="77777777" w:rsidTr="00F81190">
        <w:trPr>
          <w:trHeight w:val="66"/>
        </w:trPr>
        <w:tc>
          <w:tcPr>
            <w:tcW w:w="4454" w:type="dxa"/>
            <w:vAlign w:val="bottom"/>
          </w:tcPr>
          <w:p w14:paraId="420BC7DD" w14:textId="77777777" w:rsidR="002401D0" w:rsidRPr="00F81190" w:rsidRDefault="002401D0">
            <w:pPr>
              <w:pStyle w:val="ANormal"/>
              <w:keepNext/>
            </w:pPr>
          </w:p>
          <w:p w14:paraId="58FF4A64" w14:textId="77777777" w:rsidR="002401D0" w:rsidRPr="00F81190" w:rsidRDefault="002401D0">
            <w:pPr>
              <w:pStyle w:val="ANormal"/>
              <w:keepNext/>
            </w:pPr>
          </w:p>
          <w:p w14:paraId="54D5C7C0" w14:textId="77777777" w:rsidR="002401D0" w:rsidRPr="00F81190" w:rsidRDefault="002401D0">
            <w:pPr>
              <w:pStyle w:val="ANormal"/>
              <w:keepNext/>
            </w:pPr>
            <w:r w:rsidRPr="00F81190">
              <w:t>Sekreterare</w:t>
            </w:r>
          </w:p>
        </w:tc>
        <w:tc>
          <w:tcPr>
            <w:tcW w:w="3477" w:type="dxa"/>
            <w:vAlign w:val="bottom"/>
          </w:tcPr>
          <w:p w14:paraId="285D0065" w14:textId="77777777" w:rsidR="002401D0" w:rsidRPr="00F81190" w:rsidRDefault="002401D0">
            <w:pPr>
              <w:pStyle w:val="ANormal"/>
              <w:keepNext/>
            </w:pPr>
          </w:p>
          <w:p w14:paraId="12E4EEE6" w14:textId="77777777" w:rsidR="002401D0" w:rsidRPr="00F81190" w:rsidRDefault="002401D0">
            <w:pPr>
              <w:pStyle w:val="ANormal"/>
              <w:keepNext/>
            </w:pPr>
          </w:p>
          <w:p w14:paraId="73AD969D" w14:textId="129A1B55" w:rsidR="002401D0" w:rsidRPr="00F81190" w:rsidRDefault="00862F8F">
            <w:pPr>
              <w:pStyle w:val="ANormal"/>
              <w:keepNext/>
            </w:pPr>
            <w:r w:rsidRPr="00F81190">
              <w:t xml:space="preserve">Julia Lindholm </w:t>
            </w:r>
          </w:p>
        </w:tc>
      </w:tr>
    </w:tbl>
    <w:p w14:paraId="45C7656E" w14:textId="77777777" w:rsidR="002401D0" w:rsidRDefault="002401D0">
      <w:pPr>
        <w:pStyle w:val="ANormal"/>
      </w:pPr>
    </w:p>
    <w:sectPr w:rsidR="002401D0">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EC0F" w14:textId="77777777" w:rsidR="00BE4C02" w:rsidRDefault="00BE4C02">
      <w:r>
        <w:separator/>
      </w:r>
    </w:p>
  </w:endnote>
  <w:endnote w:type="continuationSeparator" w:id="0">
    <w:p w14:paraId="0AE9E831" w14:textId="77777777" w:rsidR="00BE4C02" w:rsidRDefault="00BE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2340"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DFAF" w14:textId="77777777" w:rsidR="002401D0" w:rsidRDefault="002401D0">
    <w:pPr>
      <w:pStyle w:val="Sidfot"/>
      <w:rPr>
        <w:lang w:val="fi-FI"/>
      </w:rPr>
    </w:pPr>
    <w:r>
      <w:fldChar w:fldCharType="begin"/>
    </w:r>
    <w:r>
      <w:rPr>
        <w:lang w:val="fi-FI"/>
      </w:rPr>
      <w:instrText xml:space="preserve"> FILENAME  \* MERGEFORMAT </w:instrText>
    </w:r>
    <w:r>
      <w:fldChar w:fldCharType="separate"/>
    </w:r>
    <w:r w:rsidR="00356808">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0C0B"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1847" w14:textId="77777777" w:rsidR="00BE4C02" w:rsidRDefault="00BE4C02">
      <w:r>
        <w:separator/>
      </w:r>
    </w:p>
  </w:footnote>
  <w:footnote w:type="continuationSeparator" w:id="0">
    <w:p w14:paraId="0087E261" w14:textId="77777777" w:rsidR="00BE4C02" w:rsidRDefault="00BE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5D4E"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41F4A56"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451B"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59911565">
    <w:abstractNumId w:val="6"/>
  </w:num>
  <w:num w:numId="2" w16cid:durableId="1360932594">
    <w:abstractNumId w:val="3"/>
  </w:num>
  <w:num w:numId="3" w16cid:durableId="868182080">
    <w:abstractNumId w:val="2"/>
  </w:num>
  <w:num w:numId="4" w16cid:durableId="482622521">
    <w:abstractNumId w:val="1"/>
  </w:num>
  <w:num w:numId="5" w16cid:durableId="271211662">
    <w:abstractNumId w:val="0"/>
  </w:num>
  <w:num w:numId="6" w16cid:durableId="2039767722">
    <w:abstractNumId w:val="7"/>
  </w:num>
  <w:num w:numId="7" w16cid:durableId="1566185617">
    <w:abstractNumId w:val="5"/>
  </w:num>
  <w:num w:numId="8" w16cid:durableId="627510454">
    <w:abstractNumId w:val="4"/>
  </w:num>
  <w:num w:numId="9" w16cid:durableId="1720859948">
    <w:abstractNumId w:val="10"/>
  </w:num>
  <w:num w:numId="10" w16cid:durableId="2020425008">
    <w:abstractNumId w:val="13"/>
  </w:num>
  <w:num w:numId="11" w16cid:durableId="283848835">
    <w:abstractNumId w:val="12"/>
  </w:num>
  <w:num w:numId="12" w16cid:durableId="1096291275">
    <w:abstractNumId w:val="16"/>
  </w:num>
  <w:num w:numId="13" w16cid:durableId="414210928">
    <w:abstractNumId w:val="11"/>
  </w:num>
  <w:num w:numId="14" w16cid:durableId="655500976">
    <w:abstractNumId w:val="15"/>
  </w:num>
  <w:num w:numId="15" w16cid:durableId="1951430720">
    <w:abstractNumId w:val="9"/>
  </w:num>
  <w:num w:numId="16" w16cid:durableId="2143037726">
    <w:abstractNumId w:val="21"/>
  </w:num>
  <w:num w:numId="17" w16cid:durableId="561018253">
    <w:abstractNumId w:val="8"/>
  </w:num>
  <w:num w:numId="18" w16cid:durableId="79915806">
    <w:abstractNumId w:val="17"/>
  </w:num>
  <w:num w:numId="19" w16cid:durableId="742720096">
    <w:abstractNumId w:val="20"/>
  </w:num>
  <w:num w:numId="20" w16cid:durableId="1227836097">
    <w:abstractNumId w:val="23"/>
  </w:num>
  <w:num w:numId="21" w16cid:durableId="496921761">
    <w:abstractNumId w:val="22"/>
  </w:num>
  <w:num w:numId="22" w16cid:durableId="968048952">
    <w:abstractNumId w:val="14"/>
  </w:num>
  <w:num w:numId="23" w16cid:durableId="1006901717">
    <w:abstractNumId w:val="18"/>
  </w:num>
  <w:num w:numId="24" w16cid:durableId="728068477">
    <w:abstractNumId w:val="18"/>
  </w:num>
  <w:num w:numId="25" w16cid:durableId="268704617">
    <w:abstractNumId w:val="19"/>
  </w:num>
  <w:num w:numId="26" w16cid:durableId="804733576">
    <w:abstractNumId w:val="14"/>
  </w:num>
  <w:num w:numId="27" w16cid:durableId="657149648">
    <w:abstractNumId w:val="14"/>
  </w:num>
  <w:num w:numId="28" w16cid:durableId="1307012940">
    <w:abstractNumId w:val="14"/>
  </w:num>
  <w:num w:numId="29" w16cid:durableId="425736617">
    <w:abstractNumId w:val="14"/>
  </w:num>
  <w:num w:numId="30" w16cid:durableId="1043288113">
    <w:abstractNumId w:val="14"/>
  </w:num>
  <w:num w:numId="31" w16cid:durableId="483664458">
    <w:abstractNumId w:val="14"/>
  </w:num>
  <w:num w:numId="32" w16cid:durableId="598677841">
    <w:abstractNumId w:val="14"/>
  </w:num>
  <w:num w:numId="33" w16cid:durableId="1767463447">
    <w:abstractNumId w:val="14"/>
  </w:num>
  <w:num w:numId="34" w16cid:durableId="1767654622">
    <w:abstractNumId w:val="14"/>
  </w:num>
  <w:num w:numId="35" w16cid:durableId="894195298">
    <w:abstractNumId w:val="18"/>
  </w:num>
  <w:num w:numId="36" w16cid:durableId="904409614">
    <w:abstractNumId w:val="19"/>
  </w:num>
  <w:num w:numId="37" w16cid:durableId="2084327845">
    <w:abstractNumId w:val="14"/>
  </w:num>
  <w:num w:numId="38" w16cid:durableId="1865513527">
    <w:abstractNumId w:val="14"/>
  </w:num>
  <w:num w:numId="39" w16cid:durableId="1857842263">
    <w:abstractNumId w:val="14"/>
  </w:num>
  <w:num w:numId="40" w16cid:durableId="148667921">
    <w:abstractNumId w:val="14"/>
  </w:num>
  <w:num w:numId="41" w16cid:durableId="347951665">
    <w:abstractNumId w:val="14"/>
  </w:num>
  <w:num w:numId="42" w16cid:durableId="1879658694">
    <w:abstractNumId w:val="14"/>
  </w:num>
  <w:num w:numId="43" w16cid:durableId="2116436923">
    <w:abstractNumId w:val="14"/>
  </w:num>
  <w:num w:numId="44" w16cid:durableId="257368713">
    <w:abstractNumId w:val="14"/>
  </w:num>
  <w:num w:numId="45" w16cid:durableId="524170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08"/>
    <w:rsid w:val="00015E9C"/>
    <w:rsid w:val="00051556"/>
    <w:rsid w:val="000B2DC9"/>
    <w:rsid w:val="000D6353"/>
    <w:rsid w:val="000F7417"/>
    <w:rsid w:val="0015337C"/>
    <w:rsid w:val="001D7479"/>
    <w:rsid w:val="002401D0"/>
    <w:rsid w:val="002F73EC"/>
    <w:rsid w:val="00353147"/>
    <w:rsid w:val="00356808"/>
    <w:rsid w:val="0036359C"/>
    <w:rsid w:val="003E087C"/>
    <w:rsid w:val="004E1334"/>
    <w:rsid w:val="00517394"/>
    <w:rsid w:val="00655FBA"/>
    <w:rsid w:val="006B2E9E"/>
    <w:rsid w:val="007068A3"/>
    <w:rsid w:val="00723B93"/>
    <w:rsid w:val="00745E3C"/>
    <w:rsid w:val="00811D50"/>
    <w:rsid w:val="00817B04"/>
    <w:rsid w:val="00862F8F"/>
    <w:rsid w:val="00957C36"/>
    <w:rsid w:val="00983F96"/>
    <w:rsid w:val="009D73B2"/>
    <w:rsid w:val="009F6BA9"/>
    <w:rsid w:val="009F7CE2"/>
    <w:rsid w:val="00B32E91"/>
    <w:rsid w:val="00B36A8F"/>
    <w:rsid w:val="00B90DEC"/>
    <w:rsid w:val="00BE4C02"/>
    <w:rsid w:val="00C463A8"/>
    <w:rsid w:val="00CB087E"/>
    <w:rsid w:val="00CF700E"/>
    <w:rsid w:val="00DC45B2"/>
    <w:rsid w:val="00F81190"/>
    <w:rsid w:val="00FA6126"/>
    <w:rsid w:val="00FC5A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0CE52"/>
  <w15:chartTrackingRefBased/>
  <w15:docId w15:val="{58A4ABDF-FAD3-48C5-A644-C0FC7A8A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808"/>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356808"/>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LT-Betänkande.dot</Template>
  <TotalTime>1</TotalTime>
  <Pages>3</Pages>
  <Words>1145</Words>
  <Characters>6069</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Social- och miljöutskottets betänkande nr x/2025-2026</vt:lpstr>
    </vt:vector>
  </TitlesOfParts>
  <Company>Ålands lagting</Company>
  <LinksUpToDate>false</LinksUpToDate>
  <CharactersWithSpaces>7200</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och miljöutskottets betänkande nr 7/2025-2026</dc:title>
  <dc:subject/>
  <dc:creator>Jessica Laaksonen</dc:creator>
  <cp:keywords/>
  <cp:lastModifiedBy>Jessica Laaksonen</cp:lastModifiedBy>
  <cp:revision>2</cp:revision>
  <cp:lastPrinted>2001-02-13T09:44:00Z</cp:lastPrinted>
  <dcterms:created xsi:type="dcterms:W3CDTF">2026-05-26T13:31:00Z</dcterms:created>
  <dcterms:modified xsi:type="dcterms:W3CDTF">2026-05-26T13:31:00Z</dcterms:modified>
</cp:coreProperties>
</file>