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2401D0" w14:paraId="7B7AA016" w14:textId="77777777">
        <w:trPr>
          <w:cantSplit/>
          <w:trHeight w:val="20"/>
        </w:trPr>
        <w:tc>
          <w:tcPr>
            <w:tcW w:w="861" w:type="dxa"/>
            <w:vMerge w:val="restart"/>
          </w:tcPr>
          <w:p w14:paraId="7CDAAF73" w14:textId="28D2512F" w:rsidR="002401D0" w:rsidRDefault="00FE1785">
            <w:pPr>
              <w:pStyle w:val="xLedtext"/>
              <w:rPr>
                <w:noProof/>
              </w:rPr>
            </w:pPr>
            <w:bookmarkStart w:id="0" w:name="_top"/>
            <w:bookmarkEnd w:id="0"/>
            <w:r>
              <w:rPr>
                <w:noProof/>
              </w:rPr>
              <w:drawing>
                <wp:inline distT="0" distB="0" distL="0" distR="0" wp14:anchorId="5E0FFED6" wp14:editId="27814421">
                  <wp:extent cx="478155"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155" cy="685800"/>
                          </a:xfrm>
                          <a:prstGeom prst="rect">
                            <a:avLst/>
                          </a:prstGeom>
                          <a:noFill/>
                          <a:ln>
                            <a:noFill/>
                          </a:ln>
                        </pic:spPr>
                      </pic:pic>
                    </a:graphicData>
                  </a:graphic>
                </wp:inline>
              </w:drawing>
            </w:r>
          </w:p>
        </w:tc>
        <w:tc>
          <w:tcPr>
            <w:tcW w:w="8736" w:type="dxa"/>
            <w:gridSpan w:val="3"/>
            <w:vAlign w:val="bottom"/>
          </w:tcPr>
          <w:p w14:paraId="6C89BF3E" w14:textId="5F19D7C6" w:rsidR="002401D0" w:rsidRDefault="00FE1785">
            <w:pPr>
              <w:pStyle w:val="xMellanrum"/>
            </w:pPr>
            <w:r>
              <w:rPr>
                <w:noProof/>
              </w:rPr>
              <w:drawing>
                <wp:inline distT="0" distB="0" distL="0" distR="0" wp14:anchorId="26B03328" wp14:editId="3358574C">
                  <wp:extent cx="46355" cy="4635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355" cy="46355"/>
                          </a:xfrm>
                          <a:prstGeom prst="rect">
                            <a:avLst/>
                          </a:prstGeom>
                          <a:noFill/>
                          <a:ln>
                            <a:noFill/>
                          </a:ln>
                        </pic:spPr>
                      </pic:pic>
                    </a:graphicData>
                  </a:graphic>
                </wp:inline>
              </w:drawing>
            </w:r>
          </w:p>
        </w:tc>
      </w:tr>
      <w:tr w:rsidR="002401D0" w14:paraId="0ADB967D" w14:textId="77777777">
        <w:trPr>
          <w:cantSplit/>
          <w:trHeight w:val="299"/>
        </w:trPr>
        <w:tc>
          <w:tcPr>
            <w:tcW w:w="861" w:type="dxa"/>
            <w:vMerge/>
          </w:tcPr>
          <w:p w14:paraId="2A5C61DB" w14:textId="77777777" w:rsidR="002401D0" w:rsidRDefault="002401D0">
            <w:pPr>
              <w:pStyle w:val="xLedtext"/>
            </w:pPr>
          </w:p>
        </w:tc>
        <w:tc>
          <w:tcPr>
            <w:tcW w:w="4448" w:type="dxa"/>
            <w:vAlign w:val="bottom"/>
          </w:tcPr>
          <w:p w14:paraId="3522DDC2" w14:textId="77777777" w:rsidR="002401D0" w:rsidRDefault="002401D0">
            <w:pPr>
              <w:pStyle w:val="xAvsandare1"/>
            </w:pPr>
            <w:r>
              <w:t>Ålands lagting</w:t>
            </w:r>
          </w:p>
        </w:tc>
        <w:tc>
          <w:tcPr>
            <w:tcW w:w="4288" w:type="dxa"/>
            <w:gridSpan w:val="2"/>
            <w:vAlign w:val="bottom"/>
          </w:tcPr>
          <w:p w14:paraId="15A23518" w14:textId="77CEAC94" w:rsidR="002401D0" w:rsidRDefault="002401D0" w:rsidP="00B36A8F">
            <w:pPr>
              <w:pStyle w:val="xDokTypNr"/>
            </w:pPr>
            <w:r>
              <w:t xml:space="preserve">BETÄNKANDE nr </w:t>
            </w:r>
            <w:r w:rsidR="002E5857">
              <w:t>7</w:t>
            </w:r>
            <w:r>
              <w:t>/</w:t>
            </w:r>
            <w:proofErr w:type="gramStart"/>
            <w:r>
              <w:t>20</w:t>
            </w:r>
            <w:r w:rsidR="00C14ED9">
              <w:t>25</w:t>
            </w:r>
            <w:r w:rsidR="0015337C">
              <w:t>-20</w:t>
            </w:r>
            <w:r w:rsidR="00C14ED9">
              <w:t>26</w:t>
            </w:r>
            <w:proofErr w:type="gramEnd"/>
          </w:p>
        </w:tc>
      </w:tr>
      <w:tr w:rsidR="002401D0" w14:paraId="61D2CCB1" w14:textId="77777777">
        <w:trPr>
          <w:cantSplit/>
          <w:trHeight w:val="238"/>
        </w:trPr>
        <w:tc>
          <w:tcPr>
            <w:tcW w:w="861" w:type="dxa"/>
            <w:vMerge/>
          </w:tcPr>
          <w:p w14:paraId="2528F8CD" w14:textId="77777777" w:rsidR="002401D0" w:rsidRDefault="002401D0">
            <w:pPr>
              <w:pStyle w:val="xLedtext"/>
            </w:pPr>
          </w:p>
        </w:tc>
        <w:tc>
          <w:tcPr>
            <w:tcW w:w="4448" w:type="dxa"/>
            <w:vAlign w:val="bottom"/>
          </w:tcPr>
          <w:p w14:paraId="2FDD9D93" w14:textId="77777777" w:rsidR="002401D0" w:rsidRDefault="002401D0">
            <w:pPr>
              <w:pStyle w:val="xLedtext"/>
            </w:pPr>
          </w:p>
        </w:tc>
        <w:tc>
          <w:tcPr>
            <w:tcW w:w="1725" w:type="dxa"/>
            <w:vAlign w:val="bottom"/>
          </w:tcPr>
          <w:p w14:paraId="63F2E6B8" w14:textId="77777777" w:rsidR="002401D0" w:rsidRDefault="002401D0">
            <w:pPr>
              <w:pStyle w:val="xLedtext"/>
            </w:pPr>
            <w:r>
              <w:t>Datum</w:t>
            </w:r>
          </w:p>
        </w:tc>
        <w:tc>
          <w:tcPr>
            <w:tcW w:w="2563" w:type="dxa"/>
            <w:vAlign w:val="bottom"/>
          </w:tcPr>
          <w:p w14:paraId="788A0445" w14:textId="77777777" w:rsidR="002401D0" w:rsidRDefault="002401D0">
            <w:pPr>
              <w:pStyle w:val="xLedtext"/>
            </w:pPr>
          </w:p>
        </w:tc>
      </w:tr>
      <w:tr w:rsidR="002401D0" w14:paraId="3217297F" w14:textId="77777777">
        <w:trPr>
          <w:cantSplit/>
          <w:trHeight w:val="238"/>
        </w:trPr>
        <w:tc>
          <w:tcPr>
            <w:tcW w:w="861" w:type="dxa"/>
            <w:vMerge/>
          </w:tcPr>
          <w:p w14:paraId="6F03856E" w14:textId="77777777" w:rsidR="002401D0" w:rsidRDefault="002401D0">
            <w:pPr>
              <w:pStyle w:val="xAvsandare2"/>
            </w:pPr>
          </w:p>
        </w:tc>
        <w:tc>
          <w:tcPr>
            <w:tcW w:w="4448" w:type="dxa"/>
            <w:vAlign w:val="center"/>
          </w:tcPr>
          <w:p w14:paraId="7522B2B6" w14:textId="643B458D" w:rsidR="002401D0" w:rsidRDefault="00C14ED9">
            <w:pPr>
              <w:pStyle w:val="xAvsandare2"/>
            </w:pPr>
            <w:r>
              <w:t>Lag- och kultur</w:t>
            </w:r>
            <w:r w:rsidR="002401D0">
              <w:t>utskottet</w:t>
            </w:r>
          </w:p>
        </w:tc>
        <w:tc>
          <w:tcPr>
            <w:tcW w:w="1725" w:type="dxa"/>
            <w:vAlign w:val="center"/>
          </w:tcPr>
          <w:p w14:paraId="4F2EE3BB" w14:textId="4BD3A8B3" w:rsidR="002401D0" w:rsidRDefault="002401D0">
            <w:pPr>
              <w:pStyle w:val="xDatum1"/>
            </w:pPr>
            <w:r>
              <w:t>20</w:t>
            </w:r>
            <w:r w:rsidR="00C14ED9">
              <w:t>26-03-</w:t>
            </w:r>
            <w:r w:rsidR="002E5857">
              <w:t>17</w:t>
            </w:r>
          </w:p>
        </w:tc>
        <w:tc>
          <w:tcPr>
            <w:tcW w:w="2563" w:type="dxa"/>
            <w:vAlign w:val="center"/>
          </w:tcPr>
          <w:p w14:paraId="54E36143" w14:textId="77777777" w:rsidR="002401D0" w:rsidRDefault="002401D0">
            <w:pPr>
              <w:pStyle w:val="xBeteckning1"/>
            </w:pPr>
          </w:p>
        </w:tc>
      </w:tr>
      <w:tr w:rsidR="002401D0" w14:paraId="58BE7734" w14:textId="77777777">
        <w:trPr>
          <w:cantSplit/>
          <w:trHeight w:val="238"/>
        </w:trPr>
        <w:tc>
          <w:tcPr>
            <w:tcW w:w="861" w:type="dxa"/>
            <w:vMerge/>
          </w:tcPr>
          <w:p w14:paraId="3D9FC507" w14:textId="77777777" w:rsidR="002401D0" w:rsidRDefault="002401D0">
            <w:pPr>
              <w:pStyle w:val="xLedtext"/>
            </w:pPr>
          </w:p>
        </w:tc>
        <w:tc>
          <w:tcPr>
            <w:tcW w:w="4448" w:type="dxa"/>
            <w:vAlign w:val="bottom"/>
          </w:tcPr>
          <w:p w14:paraId="355679DB" w14:textId="77777777" w:rsidR="002401D0" w:rsidRDefault="002401D0">
            <w:pPr>
              <w:pStyle w:val="xLedtext"/>
            </w:pPr>
          </w:p>
        </w:tc>
        <w:tc>
          <w:tcPr>
            <w:tcW w:w="1725" w:type="dxa"/>
            <w:vAlign w:val="bottom"/>
          </w:tcPr>
          <w:p w14:paraId="518D9801" w14:textId="77777777" w:rsidR="002401D0" w:rsidRDefault="002401D0">
            <w:pPr>
              <w:pStyle w:val="xLedtext"/>
            </w:pPr>
          </w:p>
        </w:tc>
        <w:tc>
          <w:tcPr>
            <w:tcW w:w="2563" w:type="dxa"/>
            <w:vAlign w:val="bottom"/>
          </w:tcPr>
          <w:p w14:paraId="400D4936" w14:textId="77777777" w:rsidR="002401D0" w:rsidRDefault="002401D0">
            <w:pPr>
              <w:pStyle w:val="xLedtext"/>
            </w:pPr>
          </w:p>
        </w:tc>
      </w:tr>
      <w:tr w:rsidR="002401D0" w14:paraId="71322862" w14:textId="77777777">
        <w:trPr>
          <w:cantSplit/>
          <w:trHeight w:val="238"/>
        </w:trPr>
        <w:tc>
          <w:tcPr>
            <w:tcW w:w="861" w:type="dxa"/>
            <w:vMerge/>
            <w:tcBorders>
              <w:bottom w:val="single" w:sz="4" w:space="0" w:color="auto"/>
            </w:tcBorders>
          </w:tcPr>
          <w:p w14:paraId="1DEFF6E3" w14:textId="77777777" w:rsidR="002401D0" w:rsidRDefault="002401D0">
            <w:pPr>
              <w:pStyle w:val="xAvsandare3"/>
            </w:pPr>
          </w:p>
        </w:tc>
        <w:tc>
          <w:tcPr>
            <w:tcW w:w="4448" w:type="dxa"/>
            <w:tcBorders>
              <w:bottom w:val="single" w:sz="4" w:space="0" w:color="auto"/>
            </w:tcBorders>
            <w:vAlign w:val="center"/>
          </w:tcPr>
          <w:p w14:paraId="19DF12A5" w14:textId="77777777" w:rsidR="002401D0" w:rsidRDefault="002401D0">
            <w:pPr>
              <w:pStyle w:val="xAvsandare3"/>
            </w:pPr>
          </w:p>
        </w:tc>
        <w:tc>
          <w:tcPr>
            <w:tcW w:w="1725" w:type="dxa"/>
            <w:tcBorders>
              <w:bottom w:val="single" w:sz="4" w:space="0" w:color="auto"/>
            </w:tcBorders>
            <w:vAlign w:val="center"/>
          </w:tcPr>
          <w:p w14:paraId="1DDB15EA" w14:textId="77777777" w:rsidR="002401D0" w:rsidRDefault="002401D0">
            <w:pPr>
              <w:pStyle w:val="xDatum2"/>
            </w:pPr>
          </w:p>
        </w:tc>
        <w:tc>
          <w:tcPr>
            <w:tcW w:w="2563" w:type="dxa"/>
            <w:tcBorders>
              <w:bottom w:val="single" w:sz="4" w:space="0" w:color="auto"/>
            </w:tcBorders>
            <w:vAlign w:val="center"/>
          </w:tcPr>
          <w:p w14:paraId="78E480E7" w14:textId="77777777" w:rsidR="002401D0" w:rsidRDefault="002401D0">
            <w:pPr>
              <w:pStyle w:val="xBeteckning2"/>
            </w:pPr>
          </w:p>
        </w:tc>
      </w:tr>
      <w:tr w:rsidR="002401D0" w14:paraId="6A170A72" w14:textId="77777777">
        <w:trPr>
          <w:cantSplit/>
          <w:trHeight w:val="238"/>
        </w:trPr>
        <w:tc>
          <w:tcPr>
            <w:tcW w:w="861" w:type="dxa"/>
            <w:tcBorders>
              <w:top w:val="single" w:sz="4" w:space="0" w:color="auto"/>
            </w:tcBorders>
            <w:vAlign w:val="bottom"/>
          </w:tcPr>
          <w:p w14:paraId="2C442B38" w14:textId="77777777" w:rsidR="002401D0" w:rsidRDefault="002401D0">
            <w:pPr>
              <w:pStyle w:val="xLedtext"/>
            </w:pPr>
          </w:p>
        </w:tc>
        <w:tc>
          <w:tcPr>
            <w:tcW w:w="4448" w:type="dxa"/>
            <w:tcBorders>
              <w:top w:val="single" w:sz="4" w:space="0" w:color="auto"/>
            </w:tcBorders>
            <w:vAlign w:val="bottom"/>
          </w:tcPr>
          <w:p w14:paraId="4E3AC14F" w14:textId="77777777" w:rsidR="002401D0" w:rsidRDefault="002401D0">
            <w:pPr>
              <w:pStyle w:val="xLedtext"/>
            </w:pPr>
          </w:p>
        </w:tc>
        <w:tc>
          <w:tcPr>
            <w:tcW w:w="4288" w:type="dxa"/>
            <w:gridSpan w:val="2"/>
            <w:tcBorders>
              <w:top w:val="single" w:sz="4" w:space="0" w:color="auto"/>
            </w:tcBorders>
            <w:vAlign w:val="bottom"/>
          </w:tcPr>
          <w:p w14:paraId="3F16D5DB" w14:textId="77777777" w:rsidR="002401D0" w:rsidRDefault="002401D0">
            <w:pPr>
              <w:pStyle w:val="xLedtext"/>
            </w:pPr>
          </w:p>
        </w:tc>
      </w:tr>
      <w:tr w:rsidR="002401D0" w14:paraId="268C9861" w14:textId="77777777">
        <w:trPr>
          <w:cantSplit/>
          <w:trHeight w:val="238"/>
        </w:trPr>
        <w:tc>
          <w:tcPr>
            <w:tcW w:w="861" w:type="dxa"/>
          </w:tcPr>
          <w:p w14:paraId="10F8BA18" w14:textId="77777777" w:rsidR="002401D0" w:rsidRDefault="002401D0">
            <w:pPr>
              <w:pStyle w:val="xCelltext"/>
            </w:pPr>
          </w:p>
        </w:tc>
        <w:tc>
          <w:tcPr>
            <w:tcW w:w="4448" w:type="dxa"/>
            <w:vMerge w:val="restart"/>
          </w:tcPr>
          <w:p w14:paraId="3107D5CE" w14:textId="77777777" w:rsidR="002401D0" w:rsidRDefault="002401D0">
            <w:pPr>
              <w:pStyle w:val="xMottagare1"/>
            </w:pPr>
            <w:r>
              <w:t>Till Ålands lagting</w:t>
            </w:r>
          </w:p>
        </w:tc>
        <w:tc>
          <w:tcPr>
            <w:tcW w:w="4288" w:type="dxa"/>
            <w:gridSpan w:val="2"/>
            <w:vMerge w:val="restart"/>
          </w:tcPr>
          <w:p w14:paraId="14A20453" w14:textId="77777777" w:rsidR="002401D0" w:rsidRDefault="002401D0">
            <w:pPr>
              <w:pStyle w:val="xMottagare1"/>
              <w:tabs>
                <w:tab w:val="left" w:pos="2349"/>
              </w:tabs>
            </w:pPr>
          </w:p>
        </w:tc>
      </w:tr>
      <w:tr w:rsidR="002401D0" w14:paraId="490929C6" w14:textId="77777777">
        <w:trPr>
          <w:cantSplit/>
          <w:trHeight w:val="238"/>
        </w:trPr>
        <w:tc>
          <w:tcPr>
            <w:tcW w:w="861" w:type="dxa"/>
          </w:tcPr>
          <w:p w14:paraId="7ABE8BDD" w14:textId="77777777" w:rsidR="002401D0" w:rsidRDefault="002401D0">
            <w:pPr>
              <w:pStyle w:val="xCelltext"/>
            </w:pPr>
          </w:p>
        </w:tc>
        <w:tc>
          <w:tcPr>
            <w:tcW w:w="4448" w:type="dxa"/>
            <w:vMerge/>
            <w:vAlign w:val="center"/>
          </w:tcPr>
          <w:p w14:paraId="7B089A30" w14:textId="77777777" w:rsidR="002401D0" w:rsidRDefault="002401D0">
            <w:pPr>
              <w:pStyle w:val="xCelltext"/>
            </w:pPr>
          </w:p>
        </w:tc>
        <w:tc>
          <w:tcPr>
            <w:tcW w:w="4288" w:type="dxa"/>
            <w:gridSpan w:val="2"/>
            <w:vMerge/>
            <w:vAlign w:val="center"/>
          </w:tcPr>
          <w:p w14:paraId="14101BDA" w14:textId="77777777" w:rsidR="002401D0" w:rsidRDefault="002401D0">
            <w:pPr>
              <w:pStyle w:val="xCelltext"/>
            </w:pPr>
          </w:p>
        </w:tc>
      </w:tr>
      <w:tr w:rsidR="002401D0" w14:paraId="4509ECE1" w14:textId="77777777">
        <w:trPr>
          <w:cantSplit/>
          <w:trHeight w:val="238"/>
        </w:trPr>
        <w:tc>
          <w:tcPr>
            <w:tcW w:w="861" w:type="dxa"/>
          </w:tcPr>
          <w:p w14:paraId="7F9477E1" w14:textId="77777777" w:rsidR="002401D0" w:rsidRDefault="002401D0">
            <w:pPr>
              <w:pStyle w:val="xCelltext"/>
            </w:pPr>
          </w:p>
        </w:tc>
        <w:tc>
          <w:tcPr>
            <w:tcW w:w="4448" w:type="dxa"/>
            <w:vMerge/>
            <w:vAlign w:val="center"/>
          </w:tcPr>
          <w:p w14:paraId="7DC7E29A" w14:textId="77777777" w:rsidR="002401D0" w:rsidRDefault="002401D0">
            <w:pPr>
              <w:pStyle w:val="xCelltext"/>
            </w:pPr>
          </w:p>
        </w:tc>
        <w:tc>
          <w:tcPr>
            <w:tcW w:w="4288" w:type="dxa"/>
            <w:gridSpan w:val="2"/>
            <w:vMerge/>
            <w:vAlign w:val="center"/>
          </w:tcPr>
          <w:p w14:paraId="784D357D" w14:textId="77777777" w:rsidR="002401D0" w:rsidRDefault="002401D0">
            <w:pPr>
              <w:pStyle w:val="xCelltext"/>
            </w:pPr>
          </w:p>
        </w:tc>
      </w:tr>
      <w:tr w:rsidR="002401D0" w14:paraId="2F9A5AAA" w14:textId="77777777">
        <w:trPr>
          <w:cantSplit/>
          <w:trHeight w:val="238"/>
        </w:trPr>
        <w:tc>
          <w:tcPr>
            <w:tcW w:w="861" w:type="dxa"/>
          </w:tcPr>
          <w:p w14:paraId="28D13FF1" w14:textId="77777777" w:rsidR="002401D0" w:rsidRDefault="002401D0">
            <w:pPr>
              <w:pStyle w:val="xCelltext"/>
            </w:pPr>
          </w:p>
        </w:tc>
        <w:tc>
          <w:tcPr>
            <w:tcW w:w="4448" w:type="dxa"/>
            <w:vMerge/>
            <w:vAlign w:val="center"/>
          </w:tcPr>
          <w:p w14:paraId="7E8ECFF9" w14:textId="77777777" w:rsidR="002401D0" w:rsidRDefault="002401D0">
            <w:pPr>
              <w:pStyle w:val="xCelltext"/>
            </w:pPr>
          </w:p>
        </w:tc>
        <w:tc>
          <w:tcPr>
            <w:tcW w:w="4288" w:type="dxa"/>
            <w:gridSpan w:val="2"/>
            <w:vMerge/>
            <w:vAlign w:val="center"/>
          </w:tcPr>
          <w:p w14:paraId="47CD71FA" w14:textId="77777777" w:rsidR="002401D0" w:rsidRDefault="002401D0">
            <w:pPr>
              <w:pStyle w:val="xCelltext"/>
            </w:pPr>
          </w:p>
        </w:tc>
      </w:tr>
      <w:tr w:rsidR="002401D0" w14:paraId="71881DE8" w14:textId="77777777">
        <w:trPr>
          <w:cantSplit/>
          <w:trHeight w:val="238"/>
        </w:trPr>
        <w:tc>
          <w:tcPr>
            <w:tcW w:w="861" w:type="dxa"/>
          </w:tcPr>
          <w:p w14:paraId="4F94F33D" w14:textId="77777777" w:rsidR="002401D0" w:rsidRDefault="002401D0">
            <w:pPr>
              <w:pStyle w:val="xCelltext"/>
            </w:pPr>
          </w:p>
        </w:tc>
        <w:tc>
          <w:tcPr>
            <w:tcW w:w="4448" w:type="dxa"/>
            <w:vMerge/>
            <w:vAlign w:val="center"/>
          </w:tcPr>
          <w:p w14:paraId="20444FF1" w14:textId="77777777" w:rsidR="002401D0" w:rsidRDefault="002401D0">
            <w:pPr>
              <w:pStyle w:val="xCelltext"/>
            </w:pPr>
          </w:p>
        </w:tc>
        <w:tc>
          <w:tcPr>
            <w:tcW w:w="4288" w:type="dxa"/>
            <w:gridSpan w:val="2"/>
            <w:vMerge/>
            <w:vAlign w:val="center"/>
          </w:tcPr>
          <w:p w14:paraId="77BB8FCA" w14:textId="77777777" w:rsidR="002401D0" w:rsidRDefault="002401D0">
            <w:pPr>
              <w:pStyle w:val="xCelltext"/>
            </w:pPr>
          </w:p>
        </w:tc>
      </w:tr>
    </w:tbl>
    <w:p w14:paraId="0DF05248" w14:textId="77777777" w:rsidR="002401D0" w:rsidRDefault="002401D0">
      <w:pPr>
        <w:rPr>
          <w:b/>
          <w:bCs/>
        </w:rPr>
        <w:sectPr w:rsidR="002401D0">
          <w:footerReference w:type="even" r:id="rId9"/>
          <w:footerReference w:type="default" r:id="rId10"/>
          <w:pgSz w:w="11906" w:h="16838" w:code="9"/>
          <w:pgMar w:top="567" w:right="1134" w:bottom="1134" w:left="1191" w:header="624" w:footer="737" w:gutter="0"/>
          <w:cols w:space="708"/>
          <w:docGrid w:linePitch="360"/>
        </w:sectPr>
      </w:pPr>
    </w:p>
    <w:p w14:paraId="57915784" w14:textId="225615F7" w:rsidR="002401D0" w:rsidRDefault="00C14ED9">
      <w:pPr>
        <w:pStyle w:val="ArendeOverRubrik"/>
      </w:pPr>
      <w:r>
        <w:t>Lag- och kultur</w:t>
      </w:r>
      <w:r w:rsidR="002401D0">
        <w:t>utskottets betänkande</w:t>
      </w:r>
    </w:p>
    <w:p w14:paraId="7DD7481A" w14:textId="60AFF107" w:rsidR="002401D0" w:rsidRDefault="00C14ED9">
      <w:pPr>
        <w:pStyle w:val="ArendeRubrik"/>
      </w:pPr>
      <w:r>
        <w:t>Ändring av ikraftträdandetidpunkter för ibruktagande av informationsresurs inom undervisning och utbildning</w:t>
      </w:r>
    </w:p>
    <w:p w14:paraId="46F615E4" w14:textId="0FA56D1D" w:rsidR="002401D0" w:rsidRDefault="00C14ED9">
      <w:pPr>
        <w:pStyle w:val="ArendeUnderRubrik"/>
      </w:pPr>
      <w:r>
        <w:t>Landskapsregeringens lagförslag LF 12/</w:t>
      </w:r>
      <w:proofErr w:type="gramStart"/>
      <w:r>
        <w:t>2025-2026</w:t>
      </w:r>
      <w:proofErr w:type="gramEnd"/>
    </w:p>
    <w:p w14:paraId="69B29CD3" w14:textId="77777777" w:rsidR="002401D0" w:rsidRDefault="002401D0">
      <w:pPr>
        <w:pStyle w:val="ANormal"/>
      </w:pPr>
    </w:p>
    <w:p w14:paraId="0437320F" w14:textId="77777777" w:rsidR="002401D0" w:rsidRDefault="002401D0">
      <w:pPr>
        <w:pStyle w:val="Innehll1"/>
      </w:pPr>
      <w:r>
        <w:t>INNEHÅLL</w:t>
      </w:r>
    </w:p>
    <w:p w14:paraId="623C8DDF" w14:textId="647DE585" w:rsidR="009B07F0" w:rsidRDefault="002401D0">
      <w:pPr>
        <w:pStyle w:val="Innehll1"/>
        <w:rPr>
          <w:rFonts w:asciiTheme="minorHAnsi" w:eastAsiaTheme="minorEastAsia" w:hAnsiTheme="minorHAnsi" w:cstheme="minorBidi"/>
          <w:kern w:val="2"/>
          <w:sz w:val="24"/>
          <w:szCs w:val="24"/>
          <w:lang w:val="sv-FI" w:eastAsia="sv-FI"/>
          <w14:ligatures w14:val="standardContextual"/>
        </w:rPr>
      </w:pPr>
      <w:r>
        <w:fldChar w:fldCharType="begin"/>
      </w:r>
      <w:r>
        <w:instrText xml:space="preserve"> TOC \o "1-1" \h \z \t "Rubrik 2;2;Rubrik 3;3;RubrikB;2;RubrikC;3" </w:instrText>
      </w:r>
      <w:r>
        <w:fldChar w:fldCharType="separate"/>
      </w:r>
      <w:hyperlink w:anchor="_Toc224543266" w:history="1">
        <w:r w:rsidR="009B07F0" w:rsidRPr="006A51AC">
          <w:rPr>
            <w:rStyle w:val="Hyperlnk"/>
          </w:rPr>
          <w:t>Sammanfattning</w:t>
        </w:r>
        <w:r w:rsidR="009B07F0">
          <w:rPr>
            <w:webHidden/>
          </w:rPr>
          <w:tab/>
        </w:r>
        <w:r w:rsidR="009B07F0">
          <w:rPr>
            <w:webHidden/>
          </w:rPr>
          <w:fldChar w:fldCharType="begin"/>
        </w:r>
        <w:r w:rsidR="009B07F0">
          <w:rPr>
            <w:webHidden/>
          </w:rPr>
          <w:instrText xml:space="preserve"> PAGEREF _Toc224543266 \h </w:instrText>
        </w:r>
        <w:r w:rsidR="009B07F0">
          <w:rPr>
            <w:webHidden/>
          </w:rPr>
        </w:r>
        <w:r w:rsidR="009B07F0">
          <w:rPr>
            <w:webHidden/>
          </w:rPr>
          <w:fldChar w:fldCharType="separate"/>
        </w:r>
        <w:r w:rsidR="00AB14F3">
          <w:rPr>
            <w:webHidden/>
          </w:rPr>
          <w:t>1</w:t>
        </w:r>
        <w:r w:rsidR="009B07F0">
          <w:rPr>
            <w:webHidden/>
          </w:rPr>
          <w:fldChar w:fldCharType="end"/>
        </w:r>
      </w:hyperlink>
    </w:p>
    <w:p w14:paraId="481B8C03" w14:textId="7BC7809C" w:rsidR="009B07F0" w:rsidRDefault="009B07F0">
      <w:pPr>
        <w:pStyle w:val="Innehll2"/>
        <w:rPr>
          <w:rFonts w:asciiTheme="minorHAnsi" w:eastAsiaTheme="minorEastAsia" w:hAnsiTheme="minorHAnsi" w:cstheme="minorBidi"/>
          <w:kern w:val="2"/>
          <w:sz w:val="24"/>
          <w:szCs w:val="24"/>
          <w:lang w:val="sv-FI" w:eastAsia="sv-FI"/>
          <w14:ligatures w14:val="standardContextual"/>
        </w:rPr>
      </w:pPr>
      <w:hyperlink w:anchor="_Toc224543267" w:history="1">
        <w:r w:rsidRPr="006A51AC">
          <w:rPr>
            <w:rStyle w:val="Hyperlnk"/>
          </w:rPr>
          <w:t>Landskapsregeringens förslag</w:t>
        </w:r>
        <w:r>
          <w:rPr>
            <w:webHidden/>
          </w:rPr>
          <w:tab/>
        </w:r>
        <w:r>
          <w:rPr>
            <w:webHidden/>
          </w:rPr>
          <w:fldChar w:fldCharType="begin"/>
        </w:r>
        <w:r>
          <w:rPr>
            <w:webHidden/>
          </w:rPr>
          <w:instrText xml:space="preserve"> PAGEREF _Toc224543267 \h </w:instrText>
        </w:r>
        <w:r>
          <w:rPr>
            <w:webHidden/>
          </w:rPr>
        </w:r>
        <w:r>
          <w:rPr>
            <w:webHidden/>
          </w:rPr>
          <w:fldChar w:fldCharType="separate"/>
        </w:r>
        <w:r w:rsidR="00AB14F3">
          <w:rPr>
            <w:webHidden/>
          </w:rPr>
          <w:t>1</w:t>
        </w:r>
        <w:r>
          <w:rPr>
            <w:webHidden/>
          </w:rPr>
          <w:fldChar w:fldCharType="end"/>
        </w:r>
      </w:hyperlink>
    </w:p>
    <w:p w14:paraId="63D72D6C" w14:textId="5419C1F4" w:rsidR="009B07F0" w:rsidRDefault="009B07F0">
      <w:pPr>
        <w:pStyle w:val="Innehll2"/>
        <w:rPr>
          <w:rFonts w:asciiTheme="minorHAnsi" w:eastAsiaTheme="minorEastAsia" w:hAnsiTheme="minorHAnsi" w:cstheme="minorBidi"/>
          <w:kern w:val="2"/>
          <w:sz w:val="24"/>
          <w:szCs w:val="24"/>
          <w:lang w:val="sv-FI" w:eastAsia="sv-FI"/>
          <w14:ligatures w14:val="standardContextual"/>
        </w:rPr>
      </w:pPr>
      <w:hyperlink w:anchor="_Toc224543268" w:history="1">
        <w:r w:rsidRPr="006A51AC">
          <w:rPr>
            <w:rStyle w:val="Hyperlnk"/>
          </w:rPr>
          <w:t>Utskottets förslag</w:t>
        </w:r>
        <w:r>
          <w:rPr>
            <w:webHidden/>
          </w:rPr>
          <w:tab/>
        </w:r>
        <w:r>
          <w:rPr>
            <w:webHidden/>
          </w:rPr>
          <w:fldChar w:fldCharType="begin"/>
        </w:r>
        <w:r>
          <w:rPr>
            <w:webHidden/>
          </w:rPr>
          <w:instrText xml:space="preserve"> PAGEREF _Toc224543268 \h </w:instrText>
        </w:r>
        <w:r>
          <w:rPr>
            <w:webHidden/>
          </w:rPr>
        </w:r>
        <w:r>
          <w:rPr>
            <w:webHidden/>
          </w:rPr>
          <w:fldChar w:fldCharType="separate"/>
        </w:r>
        <w:r w:rsidR="00AB14F3">
          <w:rPr>
            <w:webHidden/>
          </w:rPr>
          <w:t>1</w:t>
        </w:r>
        <w:r>
          <w:rPr>
            <w:webHidden/>
          </w:rPr>
          <w:fldChar w:fldCharType="end"/>
        </w:r>
      </w:hyperlink>
    </w:p>
    <w:p w14:paraId="50F67C5F" w14:textId="6052BF83" w:rsidR="009B07F0" w:rsidRDefault="009B07F0">
      <w:pPr>
        <w:pStyle w:val="Innehll1"/>
        <w:rPr>
          <w:rFonts w:asciiTheme="minorHAnsi" w:eastAsiaTheme="minorEastAsia" w:hAnsiTheme="minorHAnsi" w:cstheme="minorBidi"/>
          <w:kern w:val="2"/>
          <w:sz w:val="24"/>
          <w:szCs w:val="24"/>
          <w:lang w:val="sv-FI" w:eastAsia="sv-FI"/>
          <w14:ligatures w14:val="standardContextual"/>
        </w:rPr>
      </w:pPr>
      <w:hyperlink w:anchor="_Toc224543269" w:history="1">
        <w:r w:rsidRPr="006A51AC">
          <w:rPr>
            <w:rStyle w:val="Hyperlnk"/>
          </w:rPr>
          <w:t>Ärendets behandling</w:t>
        </w:r>
        <w:r>
          <w:rPr>
            <w:webHidden/>
          </w:rPr>
          <w:tab/>
        </w:r>
        <w:r>
          <w:rPr>
            <w:webHidden/>
          </w:rPr>
          <w:fldChar w:fldCharType="begin"/>
        </w:r>
        <w:r>
          <w:rPr>
            <w:webHidden/>
          </w:rPr>
          <w:instrText xml:space="preserve"> PAGEREF _Toc224543269 \h </w:instrText>
        </w:r>
        <w:r>
          <w:rPr>
            <w:webHidden/>
          </w:rPr>
        </w:r>
        <w:r>
          <w:rPr>
            <w:webHidden/>
          </w:rPr>
          <w:fldChar w:fldCharType="separate"/>
        </w:r>
        <w:r w:rsidR="00AB14F3">
          <w:rPr>
            <w:webHidden/>
          </w:rPr>
          <w:t>1</w:t>
        </w:r>
        <w:r>
          <w:rPr>
            <w:webHidden/>
          </w:rPr>
          <w:fldChar w:fldCharType="end"/>
        </w:r>
      </w:hyperlink>
    </w:p>
    <w:p w14:paraId="1B0E372F" w14:textId="04740D9D" w:rsidR="009B07F0" w:rsidRDefault="009B07F0">
      <w:pPr>
        <w:pStyle w:val="Innehll1"/>
        <w:rPr>
          <w:rFonts w:asciiTheme="minorHAnsi" w:eastAsiaTheme="minorEastAsia" w:hAnsiTheme="minorHAnsi" w:cstheme="minorBidi"/>
          <w:kern w:val="2"/>
          <w:sz w:val="24"/>
          <w:szCs w:val="24"/>
          <w:lang w:val="sv-FI" w:eastAsia="sv-FI"/>
          <w14:ligatures w14:val="standardContextual"/>
        </w:rPr>
      </w:pPr>
      <w:hyperlink w:anchor="_Toc224543270" w:history="1">
        <w:r w:rsidRPr="006A51AC">
          <w:rPr>
            <w:rStyle w:val="Hyperlnk"/>
          </w:rPr>
          <w:t>Utskottets förslag</w:t>
        </w:r>
        <w:r>
          <w:rPr>
            <w:webHidden/>
          </w:rPr>
          <w:tab/>
        </w:r>
        <w:r>
          <w:rPr>
            <w:webHidden/>
          </w:rPr>
          <w:fldChar w:fldCharType="begin"/>
        </w:r>
        <w:r>
          <w:rPr>
            <w:webHidden/>
          </w:rPr>
          <w:instrText xml:space="preserve"> PAGEREF _Toc224543270 \h </w:instrText>
        </w:r>
        <w:r>
          <w:rPr>
            <w:webHidden/>
          </w:rPr>
        </w:r>
        <w:r>
          <w:rPr>
            <w:webHidden/>
          </w:rPr>
          <w:fldChar w:fldCharType="separate"/>
        </w:r>
        <w:r w:rsidR="00AB14F3">
          <w:rPr>
            <w:webHidden/>
          </w:rPr>
          <w:t>1</w:t>
        </w:r>
        <w:r>
          <w:rPr>
            <w:webHidden/>
          </w:rPr>
          <w:fldChar w:fldCharType="end"/>
        </w:r>
      </w:hyperlink>
    </w:p>
    <w:p w14:paraId="49704CCE" w14:textId="0B67C46B" w:rsidR="002401D0" w:rsidRDefault="002401D0">
      <w:pPr>
        <w:pStyle w:val="ANormal"/>
        <w:rPr>
          <w:noProof/>
        </w:rPr>
      </w:pPr>
      <w:r>
        <w:rPr>
          <w:rFonts w:ascii="Verdana" w:hAnsi="Verdana"/>
          <w:noProof/>
          <w:sz w:val="16"/>
          <w:szCs w:val="36"/>
        </w:rPr>
        <w:fldChar w:fldCharType="end"/>
      </w:r>
    </w:p>
    <w:p w14:paraId="743F4D41" w14:textId="77777777" w:rsidR="002401D0" w:rsidRDefault="002401D0">
      <w:pPr>
        <w:pStyle w:val="ANormal"/>
      </w:pPr>
    </w:p>
    <w:p w14:paraId="3B83AF53" w14:textId="77777777" w:rsidR="002401D0" w:rsidRDefault="002401D0">
      <w:pPr>
        <w:pStyle w:val="RubrikA"/>
      </w:pPr>
      <w:bookmarkStart w:id="1" w:name="_Toc529800932"/>
      <w:bookmarkStart w:id="2" w:name="_Toc224543266"/>
      <w:r>
        <w:t>Sammanfattning</w:t>
      </w:r>
      <w:bookmarkEnd w:id="1"/>
      <w:bookmarkEnd w:id="2"/>
    </w:p>
    <w:p w14:paraId="45E9CE9B" w14:textId="77777777" w:rsidR="002401D0" w:rsidRDefault="002401D0">
      <w:pPr>
        <w:pStyle w:val="Rubrikmellanrum"/>
      </w:pPr>
    </w:p>
    <w:p w14:paraId="35A7E6C7" w14:textId="4CDF56E1" w:rsidR="002401D0" w:rsidRDefault="00C14ED9">
      <w:pPr>
        <w:pStyle w:val="RubrikB"/>
      </w:pPr>
      <w:bookmarkStart w:id="3" w:name="_Toc529800933"/>
      <w:bookmarkStart w:id="4" w:name="_Toc224543267"/>
      <w:r>
        <w:t>Landskapsregeringens</w:t>
      </w:r>
      <w:r w:rsidR="002401D0">
        <w:t xml:space="preserve"> förslag</w:t>
      </w:r>
      <w:bookmarkEnd w:id="3"/>
      <w:bookmarkEnd w:id="4"/>
    </w:p>
    <w:p w14:paraId="054D2B4D" w14:textId="77777777" w:rsidR="002401D0" w:rsidRDefault="002401D0">
      <w:pPr>
        <w:pStyle w:val="Rubrikmellanrum"/>
      </w:pPr>
    </w:p>
    <w:p w14:paraId="0B3A695C" w14:textId="77777777" w:rsidR="00C14ED9" w:rsidRDefault="00C14ED9" w:rsidP="00C14ED9">
      <w:pPr>
        <w:pStyle w:val="ANormal"/>
      </w:pPr>
      <w:r>
        <w:t>Landskapslagen om studie- och examensregister trädde i kraft den 1 augusti 2025. I lagens ikraftträdandebestämmelser ingår avvikande ikraftträdandetidpunkter för en del av de informationsresurser som lagen omfattar. I det praktiska genomförandearbetet har det visat sig att informationsresursen inom undervisning och utbildning behöver tas i bruk fem månader senare än avsett gällande införande av uppgifter om grundskoleutbildning och sju månader senare gällande införande av uppgifter om utbildning och examina på gymnasialstadienivå. En ändring av lagens ikraftträdandetidpunkter beträffande denna informationsresurs behöver därför göras.</w:t>
      </w:r>
    </w:p>
    <w:p w14:paraId="7C82D5A0" w14:textId="1DC6C05B" w:rsidR="002401D0" w:rsidRDefault="00C14ED9">
      <w:pPr>
        <w:pStyle w:val="ANormal"/>
      </w:pPr>
      <w:r>
        <w:tab/>
      </w:r>
    </w:p>
    <w:p w14:paraId="3B19E631" w14:textId="77777777" w:rsidR="002401D0" w:rsidRDefault="002401D0">
      <w:pPr>
        <w:pStyle w:val="RubrikB"/>
      </w:pPr>
      <w:bookmarkStart w:id="5" w:name="_Toc529800934"/>
      <w:bookmarkStart w:id="6" w:name="_Toc224543268"/>
      <w:r>
        <w:t>Utskottets förslag</w:t>
      </w:r>
      <w:bookmarkEnd w:id="5"/>
      <w:bookmarkEnd w:id="6"/>
    </w:p>
    <w:p w14:paraId="6BA0BF43" w14:textId="77777777" w:rsidR="002401D0" w:rsidRDefault="002401D0">
      <w:pPr>
        <w:pStyle w:val="Rubrikmellanrum"/>
      </w:pPr>
    </w:p>
    <w:p w14:paraId="0C830744" w14:textId="3102DE53" w:rsidR="002401D0" w:rsidRDefault="009B07F0">
      <w:pPr>
        <w:pStyle w:val="ANormal"/>
      </w:pPr>
      <w:r>
        <w:t>Med hänvisning till landskapsregeringens motiveringar i lagförslaget föreslår utskottet att lagförslaget antas utan ändringar.</w:t>
      </w:r>
    </w:p>
    <w:p w14:paraId="29A815DC" w14:textId="77777777" w:rsidR="002401D0" w:rsidRDefault="002401D0">
      <w:pPr>
        <w:pStyle w:val="ANormal"/>
      </w:pPr>
    </w:p>
    <w:p w14:paraId="305B6427" w14:textId="77777777" w:rsidR="002401D0" w:rsidRDefault="002401D0">
      <w:pPr>
        <w:pStyle w:val="RubrikA"/>
      </w:pPr>
      <w:bookmarkStart w:id="7" w:name="_Toc529800936"/>
      <w:bookmarkStart w:id="8" w:name="_Toc224543269"/>
      <w:r>
        <w:t>Ärendets behandling</w:t>
      </w:r>
      <w:bookmarkEnd w:id="7"/>
      <w:bookmarkEnd w:id="8"/>
    </w:p>
    <w:p w14:paraId="3D1DEDBB" w14:textId="77777777" w:rsidR="002401D0" w:rsidRDefault="002401D0">
      <w:pPr>
        <w:pStyle w:val="Rubrikmellanrum"/>
      </w:pPr>
    </w:p>
    <w:p w14:paraId="72EB609F" w14:textId="3BEAC51F" w:rsidR="00C14ED9" w:rsidRPr="00E15E14" w:rsidRDefault="00C14ED9" w:rsidP="00C14ED9">
      <w:pPr>
        <w:pStyle w:val="ANormal"/>
      </w:pPr>
      <w:r w:rsidRPr="00E15E14">
        <w:t xml:space="preserve">Lagtinget har den </w:t>
      </w:r>
      <w:r>
        <w:t>11 mars</w:t>
      </w:r>
      <w:r w:rsidRPr="00E15E14">
        <w:t xml:space="preserve"> 202</w:t>
      </w:r>
      <w:r>
        <w:t>6</w:t>
      </w:r>
      <w:r w:rsidRPr="00E15E14">
        <w:t xml:space="preserve"> begärt lag- och kulturutskottets yttrande i ärendet. </w:t>
      </w:r>
    </w:p>
    <w:p w14:paraId="4035F64D" w14:textId="2E2704DC" w:rsidR="002401D0" w:rsidRDefault="00C14ED9" w:rsidP="00C14ED9">
      <w:pPr>
        <w:pStyle w:val="ANormal"/>
      </w:pPr>
      <w:r w:rsidRPr="00E15E14">
        <w:tab/>
        <w:t xml:space="preserve">I ärendets avgörande behandling deltog </w:t>
      </w:r>
      <w:r>
        <w:t xml:space="preserve">viceordföranden Sandra </w:t>
      </w:r>
      <w:proofErr w:type="spellStart"/>
      <w:r>
        <w:t>Listherby</w:t>
      </w:r>
      <w:proofErr w:type="spellEnd"/>
      <w:r w:rsidR="00922720">
        <w:t xml:space="preserve">, </w:t>
      </w:r>
      <w:r w:rsidRPr="00E15E14">
        <w:t xml:space="preserve">ledamöterna Anders Holmberg, Peter Lindbäck, Johan Lindström, Henrik </w:t>
      </w:r>
      <w:proofErr w:type="spellStart"/>
      <w:r w:rsidRPr="00E15E14">
        <w:t>Löthman</w:t>
      </w:r>
      <w:proofErr w:type="spellEnd"/>
      <w:r w:rsidRPr="00E15E14">
        <w:t xml:space="preserve"> och Veronica </w:t>
      </w:r>
      <w:proofErr w:type="spellStart"/>
      <w:r w:rsidRPr="00E15E14">
        <w:t>Thörnroos</w:t>
      </w:r>
      <w:proofErr w:type="spellEnd"/>
      <w:r w:rsidR="00922720">
        <w:t xml:space="preserve"> samt ersättaren Tony </w:t>
      </w:r>
      <w:proofErr w:type="spellStart"/>
      <w:r w:rsidR="00922720">
        <w:t>Asumaa</w:t>
      </w:r>
      <w:proofErr w:type="spellEnd"/>
      <w:r w:rsidR="00922720">
        <w:t>.</w:t>
      </w:r>
    </w:p>
    <w:p w14:paraId="7136B9DE" w14:textId="77777777" w:rsidR="002401D0" w:rsidRDefault="002401D0">
      <w:pPr>
        <w:pStyle w:val="ANormal"/>
      </w:pPr>
    </w:p>
    <w:p w14:paraId="5B8567F1" w14:textId="77777777" w:rsidR="002401D0" w:rsidRDefault="002401D0">
      <w:pPr>
        <w:pStyle w:val="RubrikA"/>
      </w:pPr>
      <w:bookmarkStart w:id="9" w:name="_Toc529800937"/>
      <w:bookmarkStart w:id="10" w:name="_Toc224543270"/>
      <w:r>
        <w:t>Utskottets förslag</w:t>
      </w:r>
      <w:bookmarkEnd w:id="9"/>
      <w:bookmarkEnd w:id="10"/>
    </w:p>
    <w:p w14:paraId="27F170C7" w14:textId="77777777" w:rsidR="002401D0" w:rsidRDefault="002401D0">
      <w:pPr>
        <w:pStyle w:val="Rubrikmellanrum"/>
      </w:pPr>
    </w:p>
    <w:p w14:paraId="74804F2B" w14:textId="77777777" w:rsidR="002401D0" w:rsidRDefault="002401D0">
      <w:pPr>
        <w:pStyle w:val="ANormal"/>
      </w:pPr>
      <w:r>
        <w:t>Med hänvisning till det anförda föreslår utskottet</w:t>
      </w:r>
    </w:p>
    <w:p w14:paraId="796A0C65" w14:textId="77777777" w:rsidR="002401D0" w:rsidRDefault="002401D0">
      <w:pPr>
        <w:pStyle w:val="ANormal"/>
      </w:pPr>
    </w:p>
    <w:p w14:paraId="746A6E8E" w14:textId="1761A110" w:rsidR="002401D0" w:rsidRDefault="002401D0">
      <w:pPr>
        <w:pStyle w:val="Klam"/>
      </w:pPr>
      <w:r>
        <w:t>att lagtinget</w:t>
      </w:r>
      <w:r w:rsidR="00C14ED9">
        <w:t xml:space="preserve"> antar lagförslaget </w:t>
      </w:r>
      <w:r w:rsidR="002E5857">
        <w:t>i oförändrad lydelse.</w:t>
      </w:r>
    </w:p>
    <w:p w14:paraId="477C5BCC" w14:textId="77777777" w:rsidR="00C14ED9" w:rsidRDefault="00C14ED9" w:rsidP="00C14ED9">
      <w:pPr>
        <w:pStyle w:val="ANormal"/>
      </w:pPr>
    </w:p>
    <w:p w14:paraId="41709BA2" w14:textId="4A7F36EA" w:rsidR="002401D0" w:rsidRDefault="00C14ED9">
      <w:pPr>
        <w:pStyle w:val="ANormal"/>
      </w:pPr>
      <w:r>
        <w:tab/>
      </w:r>
    </w:p>
    <w:tbl>
      <w:tblPr>
        <w:tblW w:w="7931" w:type="dxa"/>
        <w:tblCellMar>
          <w:left w:w="0" w:type="dxa"/>
          <w:right w:w="0" w:type="dxa"/>
        </w:tblCellMar>
        <w:tblLook w:val="0000" w:firstRow="0" w:lastRow="0" w:firstColumn="0" w:lastColumn="0" w:noHBand="0" w:noVBand="0"/>
      </w:tblPr>
      <w:tblGrid>
        <w:gridCol w:w="4454"/>
        <w:gridCol w:w="3477"/>
      </w:tblGrid>
      <w:tr w:rsidR="002401D0" w14:paraId="20A1C8FA" w14:textId="77777777">
        <w:trPr>
          <w:cantSplit/>
        </w:trPr>
        <w:tc>
          <w:tcPr>
            <w:tcW w:w="7931" w:type="dxa"/>
            <w:gridSpan w:val="2"/>
          </w:tcPr>
          <w:p w14:paraId="180F5E4F" w14:textId="184D4CFC" w:rsidR="002401D0" w:rsidRDefault="002401D0">
            <w:pPr>
              <w:pStyle w:val="ANormal"/>
              <w:keepNext/>
            </w:pPr>
            <w:r>
              <w:lastRenderedPageBreak/>
              <w:t xml:space="preserve">Mariehamn den </w:t>
            </w:r>
            <w:r w:rsidR="002E5857">
              <w:t>17</w:t>
            </w:r>
            <w:r w:rsidR="00FE1785">
              <w:t xml:space="preserve"> mars 2026</w:t>
            </w:r>
          </w:p>
        </w:tc>
      </w:tr>
      <w:tr w:rsidR="002401D0" w14:paraId="455619A5" w14:textId="77777777">
        <w:tc>
          <w:tcPr>
            <w:tcW w:w="4454" w:type="dxa"/>
            <w:vAlign w:val="bottom"/>
          </w:tcPr>
          <w:p w14:paraId="79A7F536" w14:textId="77777777" w:rsidR="002401D0" w:rsidRDefault="002401D0">
            <w:pPr>
              <w:pStyle w:val="ANormal"/>
              <w:keepNext/>
            </w:pPr>
          </w:p>
          <w:p w14:paraId="3B770304" w14:textId="77777777" w:rsidR="002401D0" w:rsidRDefault="002401D0">
            <w:pPr>
              <w:pStyle w:val="ANormal"/>
              <w:keepNext/>
            </w:pPr>
          </w:p>
          <w:p w14:paraId="5FBB8798" w14:textId="77777777" w:rsidR="002401D0" w:rsidRDefault="002401D0">
            <w:pPr>
              <w:pStyle w:val="ANormal"/>
              <w:keepNext/>
            </w:pPr>
            <w:r>
              <w:t>Ordförande</w:t>
            </w:r>
          </w:p>
        </w:tc>
        <w:tc>
          <w:tcPr>
            <w:tcW w:w="3477" w:type="dxa"/>
            <w:vAlign w:val="bottom"/>
          </w:tcPr>
          <w:p w14:paraId="384DB593" w14:textId="77777777" w:rsidR="002401D0" w:rsidRDefault="002401D0">
            <w:pPr>
              <w:pStyle w:val="ANormal"/>
              <w:keepNext/>
            </w:pPr>
          </w:p>
          <w:p w14:paraId="183B9CB3" w14:textId="77777777" w:rsidR="002401D0" w:rsidRDefault="002401D0">
            <w:pPr>
              <w:pStyle w:val="ANormal"/>
              <w:keepNext/>
            </w:pPr>
          </w:p>
          <w:p w14:paraId="41F73FC4" w14:textId="09B19D3B" w:rsidR="002401D0" w:rsidRDefault="002E5857">
            <w:pPr>
              <w:pStyle w:val="ANormal"/>
              <w:keepNext/>
            </w:pPr>
            <w:r>
              <w:t xml:space="preserve">Sandra </w:t>
            </w:r>
            <w:proofErr w:type="spellStart"/>
            <w:r>
              <w:t>Listherby</w:t>
            </w:r>
            <w:proofErr w:type="spellEnd"/>
          </w:p>
        </w:tc>
      </w:tr>
      <w:tr w:rsidR="002401D0" w14:paraId="033241C6" w14:textId="77777777">
        <w:tc>
          <w:tcPr>
            <w:tcW w:w="4454" w:type="dxa"/>
            <w:vAlign w:val="bottom"/>
          </w:tcPr>
          <w:p w14:paraId="1322A7CF" w14:textId="77777777" w:rsidR="002401D0" w:rsidRDefault="002401D0">
            <w:pPr>
              <w:pStyle w:val="ANormal"/>
              <w:keepNext/>
            </w:pPr>
          </w:p>
          <w:p w14:paraId="338C7403" w14:textId="77777777" w:rsidR="002401D0" w:rsidRDefault="002401D0">
            <w:pPr>
              <w:pStyle w:val="ANormal"/>
              <w:keepNext/>
            </w:pPr>
          </w:p>
          <w:p w14:paraId="2E4B5954" w14:textId="77777777" w:rsidR="002401D0" w:rsidRDefault="002401D0">
            <w:pPr>
              <w:pStyle w:val="ANormal"/>
              <w:keepNext/>
            </w:pPr>
            <w:r>
              <w:t>Sekreterare</w:t>
            </w:r>
          </w:p>
        </w:tc>
        <w:tc>
          <w:tcPr>
            <w:tcW w:w="3477" w:type="dxa"/>
            <w:vAlign w:val="bottom"/>
          </w:tcPr>
          <w:p w14:paraId="1BAEB4DF" w14:textId="77777777" w:rsidR="002401D0" w:rsidRDefault="002401D0">
            <w:pPr>
              <w:pStyle w:val="ANormal"/>
              <w:keepNext/>
            </w:pPr>
          </w:p>
          <w:p w14:paraId="185DA22F" w14:textId="77777777" w:rsidR="002401D0" w:rsidRDefault="002401D0">
            <w:pPr>
              <w:pStyle w:val="ANormal"/>
              <w:keepNext/>
            </w:pPr>
          </w:p>
          <w:p w14:paraId="5B23B060" w14:textId="10842B20" w:rsidR="002401D0" w:rsidRDefault="00FE1785">
            <w:pPr>
              <w:pStyle w:val="ANormal"/>
              <w:keepNext/>
            </w:pPr>
            <w:r>
              <w:t>Carina Strand</w:t>
            </w:r>
          </w:p>
        </w:tc>
      </w:tr>
    </w:tbl>
    <w:p w14:paraId="3A11F5D0" w14:textId="77777777" w:rsidR="002401D0" w:rsidRDefault="002401D0">
      <w:pPr>
        <w:pStyle w:val="ANormal"/>
      </w:pPr>
    </w:p>
    <w:sectPr w:rsidR="002401D0">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DB30B" w14:textId="77777777" w:rsidR="00C14ED9" w:rsidRDefault="00C14ED9">
      <w:r>
        <w:separator/>
      </w:r>
    </w:p>
  </w:endnote>
  <w:endnote w:type="continuationSeparator" w:id="0">
    <w:p w14:paraId="341B84E3" w14:textId="77777777" w:rsidR="00C14ED9" w:rsidRDefault="00C14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5D15" w14:textId="77777777" w:rsidR="002401D0" w:rsidRDefault="002401D0">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7EC5C" w14:textId="0E48E935" w:rsidR="002401D0" w:rsidRDefault="002401D0">
    <w:pPr>
      <w:pStyle w:val="Sidfot"/>
      <w:rPr>
        <w:lang w:val="fi-FI"/>
      </w:rPr>
    </w:pPr>
    <w:r>
      <w:fldChar w:fldCharType="begin"/>
    </w:r>
    <w:r>
      <w:rPr>
        <w:lang w:val="fi-FI"/>
      </w:rPr>
      <w:instrText xml:space="preserve"> FILENAME  \* MERGEFORMAT </w:instrText>
    </w:r>
    <w:r>
      <w:fldChar w:fldCharType="separate"/>
    </w:r>
    <w:r w:rsidR="00AB14F3">
      <w:rPr>
        <w:noProof/>
        <w:lang w:val="fi-FI"/>
      </w:rPr>
      <w:t>LKU0720252026.docx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B205" w14:textId="77777777" w:rsidR="002401D0" w:rsidRDefault="002401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82B91" w14:textId="77777777" w:rsidR="00C14ED9" w:rsidRDefault="00C14ED9">
      <w:r>
        <w:separator/>
      </w:r>
    </w:p>
  </w:footnote>
  <w:footnote w:type="continuationSeparator" w:id="0">
    <w:p w14:paraId="1A716718" w14:textId="77777777" w:rsidR="00C14ED9" w:rsidRDefault="00C14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6F92" w14:textId="77777777" w:rsidR="002401D0" w:rsidRDefault="002401D0">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5BD6DD79" w14:textId="77777777" w:rsidR="002401D0" w:rsidRDefault="002401D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5A2B" w14:textId="77777777" w:rsidR="002401D0" w:rsidRDefault="002401D0">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4640921">
    <w:abstractNumId w:val="6"/>
  </w:num>
  <w:num w:numId="2" w16cid:durableId="45423485">
    <w:abstractNumId w:val="3"/>
  </w:num>
  <w:num w:numId="3" w16cid:durableId="1393507373">
    <w:abstractNumId w:val="2"/>
  </w:num>
  <w:num w:numId="4" w16cid:durableId="1042173434">
    <w:abstractNumId w:val="1"/>
  </w:num>
  <w:num w:numId="5" w16cid:durableId="1111364382">
    <w:abstractNumId w:val="0"/>
  </w:num>
  <w:num w:numId="6" w16cid:durableId="698238561">
    <w:abstractNumId w:val="7"/>
  </w:num>
  <w:num w:numId="7" w16cid:durableId="727656628">
    <w:abstractNumId w:val="5"/>
  </w:num>
  <w:num w:numId="8" w16cid:durableId="1114905032">
    <w:abstractNumId w:val="4"/>
  </w:num>
  <w:num w:numId="9" w16cid:durableId="937907500">
    <w:abstractNumId w:val="10"/>
  </w:num>
  <w:num w:numId="10" w16cid:durableId="816993287">
    <w:abstractNumId w:val="13"/>
  </w:num>
  <w:num w:numId="11" w16cid:durableId="1510876362">
    <w:abstractNumId w:val="12"/>
  </w:num>
  <w:num w:numId="12" w16cid:durableId="485360100">
    <w:abstractNumId w:val="16"/>
  </w:num>
  <w:num w:numId="13" w16cid:durableId="895630792">
    <w:abstractNumId w:val="11"/>
  </w:num>
  <w:num w:numId="14" w16cid:durableId="1705522190">
    <w:abstractNumId w:val="15"/>
  </w:num>
  <w:num w:numId="15" w16cid:durableId="711075620">
    <w:abstractNumId w:val="9"/>
  </w:num>
  <w:num w:numId="16" w16cid:durableId="1477726287">
    <w:abstractNumId w:val="21"/>
  </w:num>
  <w:num w:numId="17" w16cid:durableId="943541144">
    <w:abstractNumId w:val="8"/>
  </w:num>
  <w:num w:numId="18" w16cid:durableId="1023020684">
    <w:abstractNumId w:val="17"/>
  </w:num>
  <w:num w:numId="19" w16cid:durableId="1420758619">
    <w:abstractNumId w:val="20"/>
  </w:num>
  <w:num w:numId="20" w16cid:durableId="1495608870">
    <w:abstractNumId w:val="23"/>
  </w:num>
  <w:num w:numId="21" w16cid:durableId="788472159">
    <w:abstractNumId w:val="22"/>
  </w:num>
  <w:num w:numId="22" w16cid:durableId="2117022201">
    <w:abstractNumId w:val="14"/>
  </w:num>
  <w:num w:numId="23" w16cid:durableId="1665667722">
    <w:abstractNumId w:val="18"/>
  </w:num>
  <w:num w:numId="24" w16cid:durableId="1569077290">
    <w:abstractNumId w:val="18"/>
  </w:num>
  <w:num w:numId="25" w16cid:durableId="1398823113">
    <w:abstractNumId w:val="19"/>
  </w:num>
  <w:num w:numId="26" w16cid:durableId="1635983748">
    <w:abstractNumId w:val="14"/>
  </w:num>
  <w:num w:numId="27" w16cid:durableId="2000421663">
    <w:abstractNumId w:val="14"/>
  </w:num>
  <w:num w:numId="28" w16cid:durableId="1942183060">
    <w:abstractNumId w:val="14"/>
  </w:num>
  <w:num w:numId="29" w16cid:durableId="1358195372">
    <w:abstractNumId w:val="14"/>
  </w:num>
  <w:num w:numId="30" w16cid:durableId="104740186">
    <w:abstractNumId w:val="14"/>
  </w:num>
  <w:num w:numId="31" w16cid:durableId="65298764">
    <w:abstractNumId w:val="14"/>
  </w:num>
  <w:num w:numId="32" w16cid:durableId="1673876561">
    <w:abstractNumId w:val="14"/>
  </w:num>
  <w:num w:numId="33" w16cid:durableId="1991713966">
    <w:abstractNumId w:val="14"/>
  </w:num>
  <w:num w:numId="34" w16cid:durableId="1617713139">
    <w:abstractNumId w:val="14"/>
  </w:num>
  <w:num w:numId="35" w16cid:durableId="1603220136">
    <w:abstractNumId w:val="18"/>
  </w:num>
  <w:num w:numId="36" w16cid:durableId="48070194">
    <w:abstractNumId w:val="19"/>
  </w:num>
  <w:num w:numId="37" w16cid:durableId="253324403">
    <w:abstractNumId w:val="14"/>
  </w:num>
  <w:num w:numId="38" w16cid:durableId="1469783789">
    <w:abstractNumId w:val="14"/>
  </w:num>
  <w:num w:numId="39" w16cid:durableId="436367407">
    <w:abstractNumId w:val="14"/>
  </w:num>
  <w:num w:numId="40" w16cid:durableId="2033601810">
    <w:abstractNumId w:val="14"/>
  </w:num>
  <w:num w:numId="41" w16cid:durableId="1773166199">
    <w:abstractNumId w:val="14"/>
  </w:num>
  <w:num w:numId="42" w16cid:durableId="1167940338">
    <w:abstractNumId w:val="14"/>
  </w:num>
  <w:num w:numId="43" w16cid:durableId="1046686785">
    <w:abstractNumId w:val="14"/>
  </w:num>
  <w:num w:numId="44" w16cid:durableId="137917435">
    <w:abstractNumId w:val="14"/>
  </w:num>
  <w:num w:numId="45" w16cid:durableId="7017107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ED9"/>
    <w:rsid w:val="00015E9C"/>
    <w:rsid w:val="00051556"/>
    <w:rsid w:val="000B2DC9"/>
    <w:rsid w:val="000D6353"/>
    <w:rsid w:val="000F7417"/>
    <w:rsid w:val="0015337C"/>
    <w:rsid w:val="002401D0"/>
    <w:rsid w:val="002E5857"/>
    <w:rsid w:val="0036359C"/>
    <w:rsid w:val="006B2E9E"/>
    <w:rsid w:val="006B5D21"/>
    <w:rsid w:val="00723B93"/>
    <w:rsid w:val="007C6482"/>
    <w:rsid w:val="00811D50"/>
    <w:rsid w:val="00817B04"/>
    <w:rsid w:val="00922720"/>
    <w:rsid w:val="00957C36"/>
    <w:rsid w:val="009B07F0"/>
    <w:rsid w:val="009D73B2"/>
    <w:rsid w:val="009F6BA9"/>
    <w:rsid w:val="009F7CE2"/>
    <w:rsid w:val="00AB14F3"/>
    <w:rsid w:val="00AB6CAD"/>
    <w:rsid w:val="00B32E91"/>
    <w:rsid w:val="00B36A8F"/>
    <w:rsid w:val="00B90DEC"/>
    <w:rsid w:val="00C14ED9"/>
    <w:rsid w:val="00CB087E"/>
    <w:rsid w:val="00CD528C"/>
    <w:rsid w:val="00CE6459"/>
    <w:rsid w:val="00CF700E"/>
    <w:rsid w:val="00DC45B2"/>
    <w:rsid w:val="00DE47C1"/>
    <w:rsid w:val="00FA6126"/>
    <w:rsid w:val="00FE178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D7588"/>
  <w15:chartTrackingRefBased/>
  <w15:docId w15:val="{85E8D552-9AA6-4190-BD03-8D86841CE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character" w:customStyle="1" w:styleId="ANormalChar">
    <w:name w:val="ANormal Char"/>
    <w:link w:val="ANormal"/>
    <w:locked/>
    <w:rsid w:val="00C14ED9"/>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t&#228;nkande.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LT-Betänkande.dot</Template>
  <TotalTime>1</TotalTime>
  <Pages>2</Pages>
  <Words>352</Words>
  <Characters>1867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Lag- och kulturutskottets betänkande nr x/2025-2026</vt:lpstr>
    </vt:vector>
  </TitlesOfParts>
  <Company>Ålands lagting</Company>
  <LinksUpToDate>false</LinksUpToDate>
  <CharactersWithSpaces>2215</CharactersWithSpaces>
  <SharedDoc>false</SharedDoc>
  <HLinks>
    <vt:vector size="36" baseType="variant">
      <vt:variant>
        <vt:i4>262192</vt:i4>
      </vt:variant>
      <vt:variant>
        <vt:i4>33</vt:i4>
      </vt:variant>
      <vt:variant>
        <vt:i4>0</vt:i4>
      </vt:variant>
      <vt:variant>
        <vt:i4>5</vt:i4>
      </vt:variant>
      <vt:variant>
        <vt:lpwstr/>
      </vt:variant>
      <vt:variant>
        <vt:lpwstr>_top</vt:lpwstr>
      </vt:variant>
      <vt:variant>
        <vt:i4>1441854</vt:i4>
      </vt:variant>
      <vt:variant>
        <vt:i4>26</vt:i4>
      </vt:variant>
      <vt:variant>
        <vt:i4>0</vt:i4>
      </vt:variant>
      <vt:variant>
        <vt:i4>5</vt:i4>
      </vt:variant>
      <vt:variant>
        <vt:lpwstr/>
      </vt:variant>
      <vt:variant>
        <vt:lpwstr>_Toc23924616</vt:lpwstr>
      </vt:variant>
      <vt:variant>
        <vt:i4>1376318</vt:i4>
      </vt:variant>
      <vt:variant>
        <vt:i4>20</vt:i4>
      </vt:variant>
      <vt:variant>
        <vt:i4>0</vt:i4>
      </vt:variant>
      <vt:variant>
        <vt:i4>5</vt:i4>
      </vt:variant>
      <vt:variant>
        <vt:lpwstr/>
      </vt:variant>
      <vt:variant>
        <vt:lpwstr>_Toc23924615</vt:lpwstr>
      </vt:variant>
      <vt:variant>
        <vt:i4>1310782</vt:i4>
      </vt:variant>
      <vt:variant>
        <vt:i4>14</vt:i4>
      </vt:variant>
      <vt:variant>
        <vt:i4>0</vt:i4>
      </vt:variant>
      <vt:variant>
        <vt:i4>5</vt:i4>
      </vt:variant>
      <vt:variant>
        <vt:lpwstr/>
      </vt:variant>
      <vt:variant>
        <vt:lpwstr>_Toc23924614</vt:lpwstr>
      </vt:variant>
      <vt:variant>
        <vt:i4>1245246</vt:i4>
      </vt:variant>
      <vt:variant>
        <vt:i4>8</vt:i4>
      </vt:variant>
      <vt:variant>
        <vt:i4>0</vt:i4>
      </vt:variant>
      <vt:variant>
        <vt:i4>5</vt:i4>
      </vt:variant>
      <vt:variant>
        <vt:lpwstr/>
      </vt:variant>
      <vt:variant>
        <vt:lpwstr>_Toc23924613</vt:lpwstr>
      </vt:variant>
      <vt:variant>
        <vt:i4>1179710</vt:i4>
      </vt:variant>
      <vt:variant>
        <vt:i4>2</vt:i4>
      </vt:variant>
      <vt:variant>
        <vt:i4>0</vt:i4>
      </vt:variant>
      <vt:variant>
        <vt:i4>5</vt:i4>
      </vt:variant>
      <vt:variant>
        <vt:lpwstr/>
      </vt:variant>
      <vt:variant>
        <vt:lpwstr>_Toc23924612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och kulturutskottets betänkande nr 7/2025-2026</dc:title>
  <dc:subject/>
  <dc:creator>Jessica Laaksonen</dc:creator>
  <cp:keywords/>
  <cp:lastModifiedBy>Jessica Laaksonen</cp:lastModifiedBy>
  <cp:revision>2</cp:revision>
  <cp:lastPrinted>2026-03-17T07:22:00Z</cp:lastPrinted>
  <dcterms:created xsi:type="dcterms:W3CDTF">2026-03-17T10:50:00Z</dcterms:created>
  <dcterms:modified xsi:type="dcterms:W3CDTF">2026-03-17T10:50:00Z</dcterms:modified>
</cp:coreProperties>
</file>