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E023D9" w14:paraId="1F14F0BE" w14:textId="77777777">
        <w:trPr>
          <w:cantSplit/>
          <w:trHeight w:val="20"/>
        </w:trPr>
        <w:tc>
          <w:tcPr>
            <w:tcW w:w="861" w:type="dxa"/>
            <w:vMerge w:val="restart"/>
          </w:tcPr>
          <w:p w14:paraId="3136D66F" w14:textId="02077F56" w:rsidR="00E023D9" w:rsidRDefault="005348E6">
            <w:pPr>
              <w:pStyle w:val="xLedtext"/>
              <w:rPr>
                <w:noProof/>
              </w:rPr>
            </w:pPr>
            <w:r>
              <w:rPr>
                <w:noProof/>
              </w:rPr>
              <w:drawing>
                <wp:anchor distT="0" distB="0" distL="114300" distR="114300" simplePos="0" relativeHeight="251657728" behindDoc="0" locked="0" layoutInCell="1" allowOverlap="1" wp14:anchorId="21956536" wp14:editId="74ACC927">
                  <wp:simplePos x="0" y="0"/>
                  <wp:positionH relativeFrom="column">
                    <wp:posOffset>-31115</wp:posOffset>
                  </wp:positionH>
                  <wp:positionV relativeFrom="paragraph">
                    <wp:posOffset>635</wp:posOffset>
                  </wp:positionV>
                  <wp:extent cx="2647950" cy="685800"/>
                  <wp:effectExtent l="0" t="0" r="0" b="0"/>
                  <wp:wrapNone/>
                  <wp:docPr id="3" name="Bild 2" descr="regeringen_svartv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regeringen_svartvi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47950"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736" w:type="dxa"/>
            <w:gridSpan w:val="3"/>
            <w:vAlign w:val="bottom"/>
          </w:tcPr>
          <w:p w14:paraId="1FCD391E" w14:textId="07C95557" w:rsidR="00E023D9" w:rsidRDefault="005348E6">
            <w:pPr>
              <w:pStyle w:val="xMellanrum"/>
            </w:pPr>
            <w:r w:rsidRPr="0038504B">
              <w:rPr>
                <w:noProof/>
              </w:rPr>
              <w:drawing>
                <wp:inline distT="0" distB="0" distL="0" distR="0" wp14:anchorId="7B589DA8" wp14:editId="167B005B">
                  <wp:extent cx="52070" cy="52070"/>
                  <wp:effectExtent l="0" t="0" r="0" b="0"/>
                  <wp:docPr id="1" name="Bild 1" descr="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5x5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70" cy="52070"/>
                          </a:xfrm>
                          <a:prstGeom prst="rect">
                            <a:avLst/>
                          </a:prstGeom>
                          <a:noFill/>
                          <a:ln>
                            <a:noFill/>
                          </a:ln>
                        </pic:spPr>
                      </pic:pic>
                    </a:graphicData>
                  </a:graphic>
                </wp:inline>
              </w:drawing>
            </w:r>
          </w:p>
        </w:tc>
      </w:tr>
      <w:tr w:rsidR="00E023D9" w14:paraId="420608B2" w14:textId="77777777">
        <w:trPr>
          <w:cantSplit/>
          <w:trHeight w:val="299"/>
        </w:trPr>
        <w:tc>
          <w:tcPr>
            <w:tcW w:w="861" w:type="dxa"/>
            <w:vMerge/>
          </w:tcPr>
          <w:p w14:paraId="01646F63" w14:textId="77777777" w:rsidR="00E023D9" w:rsidRDefault="00E023D9">
            <w:pPr>
              <w:pStyle w:val="xLedtext"/>
            </w:pPr>
          </w:p>
        </w:tc>
        <w:tc>
          <w:tcPr>
            <w:tcW w:w="4448" w:type="dxa"/>
            <w:vAlign w:val="bottom"/>
          </w:tcPr>
          <w:p w14:paraId="0511CB96" w14:textId="77777777" w:rsidR="00E023D9" w:rsidRDefault="00E023D9">
            <w:pPr>
              <w:pStyle w:val="xAvsandare1"/>
            </w:pPr>
          </w:p>
        </w:tc>
        <w:tc>
          <w:tcPr>
            <w:tcW w:w="4288" w:type="dxa"/>
            <w:gridSpan w:val="2"/>
            <w:vAlign w:val="bottom"/>
          </w:tcPr>
          <w:p w14:paraId="16BBE9D3" w14:textId="77777777" w:rsidR="00E023D9" w:rsidRDefault="00E023D9">
            <w:pPr>
              <w:pStyle w:val="xDokTypNr"/>
            </w:pPr>
            <w:r>
              <w:t>PARALLELLTEXTER</w:t>
            </w:r>
          </w:p>
        </w:tc>
      </w:tr>
      <w:tr w:rsidR="00E023D9" w14:paraId="74756B55" w14:textId="77777777">
        <w:trPr>
          <w:cantSplit/>
          <w:trHeight w:val="238"/>
        </w:trPr>
        <w:tc>
          <w:tcPr>
            <w:tcW w:w="861" w:type="dxa"/>
            <w:vMerge/>
          </w:tcPr>
          <w:p w14:paraId="7C886258" w14:textId="77777777" w:rsidR="00E023D9" w:rsidRDefault="00E023D9">
            <w:pPr>
              <w:pStyle w:val="xLedtext"/>
            </w:pPr>
          </w:p>
        </w:tc>
        <w:tc>
          <w:tcPr>
            <w:tcW w:w="4448" w:type="dxa"/>
            <w:vAlign w:val="bottom"/>
          </w:tcPr>
          <w:p w14:paraId="1731B98A" w14:textId="77777777" w:rsidR="00E023D9" w:rsidRDefault="00E023D9">
            <w:pPr>
              <w:pStyle w:val="xLedtext"/>
            </w:pPr>
          </w:p>
        </w:tc>
        <w:tc>
          <w:tcPr>
            <w:tcW w:w="1725" w:type="dxa"/>
            <w:vAlign w:val="bottom"/>
          </w:tcPr>
          <w:p w14:paraId="69A7A870" w14:textId="77777777" w:rsidR="00E023D9" w:rsidRDefault="00E023D9">
            <w:pPr>
              <w:pStyle w:val="xLedtext"/>
            </w:pPr>
            <w:r>
              <w:t>Datum</w:t>
            </w:r>
          </w:p>
        </w:tc>
        <w:tc>
          <w:tcPr>
            <w:tcW w:w="2563" w:type="dxa"/>
            <w:vAlign w:val="bottom"/>
          </w:tcPr>
          <w:p w14:paraId="5FF5D190" w14:textId="77777777" w:rsidR="00E023D9" w:rsidRDefault="00E023D9">
            <w:pPr>
              <w:pStyle w:val="xLedtext"/>
            </w:pPr>
          </w:p>
        </w:tc>
      </w:tr>
      <w:tr w:rsidR="00E023D9" w14:paraId="5555104E" w14:textId="77777777">
        <w:trPr>
          <w:cantSplit/>
          <w:trHeight w:val="238"/>
        </w:trPr>
        <w:tc>
          <w:tcPr>
            <w:tcW w:w="861" w:type="dxa"/>
            <w:vMerge/>
          </w:tcPr>
          <w:p w14:paraId="57A39CE8" w14:textId="77777777" w:rsidR="00E023D9" w:rsidRDefault="00E023D9">
            <w:pPr>
              <w:pStyle w:val="xAvsandare2"/>
            </w:pPr>
          </w:p>
        </w:tc>
        <w:tc>
          <w:tcPr>
            <w:tcW w:w="4448" w:type="dxa"/>
            <w:vAlign w:val="center"/>
          </w:tcPr>
          <w:p w14:paraId="3AC74207" w14:textId="77777777" w:rsidR="00E023D9" w:rsidRDefault="00E023D9">
            <w:pPr>
              <w:pStyle w:val="xAvsandare2"/>
            </w:pPr>
          </w:p>
        </w:tc>
        <w:tc>
          <w:tcPr>
            <w:tcW w:w="1725" w:type="dxa"/>
            <w:vAlign w:val="center"/>
          </w:tcPr>
          <w:p w14:paraId="093CE6E8" w14:textId="50864A90" w:rsidR="00E023D9" w:rsidRDefault="00E023D9">
            <w:pPr>
              <w:pStyle w:val="xDatum1"/>
            </w:pPr>
            <w:r>
              <w:t>20</w:t>
            </w:r>
            <w:r w:rsidR="005348E6">
              <w:t>2</w:t>
            </w:r>
            <w:r w:rsidR="00C30E92">
              <w:t>6</w:t>
            </w:r>
            <w:r>
              <w:t>-</w:t>
            </w:r>
            <w:r w:rsidR="00C30E92">
              <w:t>0</w:t>
            </w:r>
            <w:r w:rsidR="005348E6">
              <w:t>2</w:t>
            </w:r>
            <w:r>
              <w:t>-</w:t>
            </w:r>
            <w:r w:rsidR="00B66C03">
              <w:t>26</w:t>
            </w:r>
          </w:p>
        </w:tc>
        <w:tc>
          <w:tcPr>
            <w:tcW w:w="2563" w:type="dxa"/>
            <w:vAlign w:val="center"/>
          </w:tcPr>
          <w:p w14:paraId="0072F607" w14:textId="77777777" w:rsidR="00E023D9" w:rsidRDefault="00E023D9">
            <w:pPr>
              <w:pStyle w:val="xBeteckning1"/>
            </w:pPr>
          </w:p>
        </w:tc>
      </w:tr>
      <w:tr w:rsidR="00E023D9" w14:paraId="431C86C7" w14:textId="77777777">
        <w:trPr>
          <w:cantSplit/>
          <w:trHeight w:val="238"/>
        </w:trPr>
        <w:tc>
          <w:tcPr>
            <w:tcW w:w="861" w:type="dxa"/>
            <w:vMerge/>
          </w:tcPr>
          <w:p w14:paraId="3B5F6F28" w14:textId="77777777" w:rsidR="00E023D9" w:rsidRDefault="00E023D9">
            <w:pPr>
              <w:pStyle w:val="xLedtext"/>
            </w:pPr>
          </w:p>
        </w:tc>
        <w:tc>
          <w:tcPr>
            <w:tcW w:w="4448" w:type="dxa"/>
            <w:vAlign w:val="bottom"/>
          </w:tcPr>
          <w:p w14:paraId="57382945" w14:textId="77777777" w:rsidR="00E023D9" w:rsidRDefault="00E023D9">
            <w:pPr>
              <w:pStyle w:val="xLedtext"/>
            </w:pPr>
          </w:p>
        </w:tc>
        <w:tc>
          <w:tcPr>
            <w:tcW w:w="1725" w:type="dxa"/>
            <w:vAlign w:val="bottom"/>
          </w:tcPr>
          <w:p w14:paraId="209430CF" w14:textId="77777777" w:rsidR="00E023D9" w:rsidRDefault="00E023D9">
            <w:pPr>
              <w:pStyle w:val="xLedtext"/>
            </w:pPr>
          </w:p>
        </w:tc>
        <w:tc>
          <w:tcPr>
            <w:tcW w:w="2563" w:type="dxa"/>
            <w:vAlign w:val="bottom"/>
          </w:tcPr>
          <w:p w14:paraId="70212886" w14:textId="77777777" w:rsidR="00E023D9" w:rsidRDefault="00E023D9">
            <w:pPr>
              <w:pStyle w:val="xLedtext"/>
            </w:pPr>
          </w:p>
        </w:tc>
      </w:tr>
      <w:tr w:rsidR="00E023D9" w14:paraId="17D410D5" w14:textId="77777777">
        <w:trPr>
          <w:cantSplit/>
          <w:trHeight w:val="238"/>
        </w:trPr>
        <w:tc>
          <w:tcPr>
            <w:tcW w:w="861" w:type="dxa"/>
            <w:vMerge/>
            <w:tcBorders>
              <w:bottom w:val="single" w:sz="4" w:space="0" w:color="auto"/>
            </w:tcBorders>
          </w:tcPr>
          <w:p w14:paraId="386B61ED" w14:textId="77777777" w:rsidR="00E023D9" w:rsidRDefault="00E023D9">
            <w:pPr>
              <w:pStyle w:val="xAvsandare3"/>
            </w:pPr>
          </w:p>
        </w:tc>
        <w:tc>
          <w:tcPr>
            <w:tcW w:w="4448" w:type="dxa"/>
            <w:tcBorders>
              <w:bottom w:val="single" w:sz="4" w:space="0" w:color="auto"/>
            </w:tcBorders>
            <w:vAlign w:val="center"/>
          </w:tcPr>
          <w:p w14:paraId="0A988E94" w14:textId="77777777" w:rsidR="00E023D9" w:rsidRDefault="00E023D9">
            <w:pPr>
              <w:pStyle w:val="xAvsandare3"/>
            </w:pPr>
          </w:p>
        </w:tc>
        <w:tc>
          <w:tcPr>
            <w:tcW w:w="1725" w:type="dxa"/>
            <w:tcBorders>
              <w:bottom w:val="single" w:sz="4" w:space="0" w:color="auto"/>
            </w:tcBorders>
            <w:vAlign w:val="center"/>
          </w:tcPr>
          <w:p w14:paraId="19A27033" w14:textId="77777777" w:rsidR="00E023D9" w:rsidRDefault="00E023D9">
            <w:pPr>
              <w:pStyle w:val="xDatum2"/>
            </w:pPr>
          </w:p>
        </w:tc>
        <w:tc>
          <w:tcPr>
            <w:tcW w:w="2563" w:type="dxa"/>
            <w:tcBorders>
              <w:bottom w:val="single" w:sz="4" w:space="0" w:color="auto"/>
            </w:tcBorders>
            <w:vAlign w:val="center"/>
          </w:tcPr>
          <w:p w14:paraId="07B7235B" w14:textId="77777777" w:rsidR="00E023D9" w:rsidRDefault="00E023D9">
            <w:pPr>
              <w:pStyle w:val="xBeteckning2"/>
            </w:pPr>
          </w:p>
        </w:tc>
      </w:tr>
      <w:tr w:rsidR="00E023D9" w14:paraId="572A7EC8" w14:textId="77777777">
        <w:trPr>
          <w:cantSplit/>
          <w:trHeight w:val="238"/>
        </w:trPr>
        <w:tc>
          <w:tcPr>
            <w:tcW w:w="861" w:type="dxa"/>
            <w:tcBorders>
              <w:top w:val="single" w:sz="4" w:space="0" w:color="auto"/>
            </w:tcBorders>
            <w:vAlign w:val="bottom"/>
          </w:tcPr>
          <w:p w14:paraId="3D968CC0" w14:textId="77777777" w:rsidR="00E023D9" w:rsidRDefault="00E023D9">
            <w:pPr>
              <w:pStyle w:val="xLedtext"/>
            </w:pPr>
          </w:p>
        </w:tc>
        <w:tc>
          <w:tcPr>
            <w:tcW w:w="4448" w:type="dxa"/>
            <w:tcBorders>
              <w:top w:val="single" w:sz="4" w:space="0" w:color="auto"/>
            </w:tcBorders>
            <w:vAlign w:val="bottom"/>
          </w:tcPr>
          <w:p w14:paraId="53A285A1" w14:textId="77777777" w:rsidR="00E023D9" w:rsidRDefault="00E023D9">
            <w:pPr>
              <w:pStyle w:val="xLedtext"/>
            </w:pPr>
          </w:p>
        </w:tc>
        <w:tc>
          <w:tcPr>
            <w:tcW w:w="4288" w:type="dxa"/>
            <w:gridSpan w:val="2"/>
            <w:tcBorders>
              <w:top w:val="single" w:sz="4" w:space="0" w:color="auto"/>
            </w:tcBorders>
            <w:vAlign w:val="bottom"/>
          </w:tcPr>
          <w:p w14:paraId="1CED5033" w14:textId="77777777" w:rsidR="00E023D9" w:rsidRDefault="00E023D9">
            <w:pPr>
              <w:pStyle w:val="xLedtext"/>
            </w:pPr>
          </w:p>
        </w:tc>
      </w:tr>
    </w:tbl>
    <w:p w14:paraId="144E98B9" w14:textId="77777777" w:rsidR="00E023D9" w:rsidRDefault="00E023D9">
      <w:pPr>
        <w:rPr>
          <w:b/>
          <w:bCs/>
        </w:rPr>
        <w:sectPr w:rsidR="00E023D9">
          <w:footerReference w:type="even" r:id="rId9"/>
          <w:footerReference w:type="default" r:id="rId10"/>
          <w:pgSz w:w="11906" w:h="16838" w:code="9"/>
          <w:pgMar w:top="567" w:right="1134" w:bottom="1418" w:left="1191" w:header="624" w:footer="851" w:gutter="0"/>
          <w:cols w:space="708"/>
          <w:docGrid w:linePitch="360"/>
        </w:sectPr>
      </w:pPr>
    </w:p>
    <w:p w14:paraId="2645B16C" w14:textId="579C3017" w:rsidR="00E023D9" w:rsidRDefault="00E023D9">
      <w:pPr>
        <w:pStyle w:val="ArendeOverRubrik"/>
      </w:pPr>
      <w:r>
        <w:t xml:space="preserve">Parallelltexter till landskapsregeringens </w:t>
      </w:r>
      <w:r w:rsidR="005348E6">
        <w:t>lagförslag</w:t>
      </w:r>
    </w:p>
    <w:p w14:paraId="5AB44942" w14:textId="38687044" w:rsidR="00E023D9" w:rsidRDefault="005348E6">
      <w:pPr>
        <w:pStyle w:val="ArendeRubrik"/>
      </w:pPr>
      <w:r w:rsidRPr="005348E6">
        <w:t>Intelligenta transportsystem på vägtransportområdet</w:t>
      </w:r>
    </w:p>
    <w:p w14:paraId="516B5EB0" w14:textId="7BF680B5" w:rsidR="00E023D9" w:rsidRDefault="00E023D9">
      <w:pPr>
        <w:pStyle w:val="ArendeUnderRubrik"/>
      </w:pPr>
      <w:r>
        <w:t xml:space="preserve">Landskapsregeringens </w:t>
      </w:r>
      <w:r w:rsidR="005348E6">
        <w:t>lagförslag</w:t>
      </w:r>
      <w:r>
        <w:t xml:space="preserve"> nr </w:t>
      </w:r>
      <w:r w:rsidR="00B66C03">
        <w:t>10</w:t>
      </w:r>
      <w:r>
        <w:t>/</w:t>
      </w:r>
      <w:proofErr w:type="gramStart"/>
      <w:r>
        <w:t>20</w:t>
      </w:r>
      <w:r w:rsidR="005348E6">
        <w:t>25</w:t>
      </w:r>
      <w:r>
        <w:t>-20</w:t>
      </w:r>
      <w:r w:rsidR="005348E6">
        <w:t>26</w:t>
      </w:r>
      <w:proofErr w:type="gramEnd"/>
    </w:p>
    <w:p w14:paraId="1F1C6D7E" w14:textId="77777777" w:rsidR="00E023D9" w:rsidRDefault="00E023D9">
      <w:pPr>
        <w:pStyle w:val="ANormal"/>
      </w:pPr>
    </w:p>
    <w:p w14:paraId="6252981D" w14:textId="77777777" w:rsidR="00E023D9" w:rsidRDefault="00E023D9">
      <w:pPr>
        <w:pStyle w:val="ANormal"/>
        <w:rPr>
          <w:noProof/>
        </w:rPr>
      </w:pPr>
    </w:p>
    <w:p w14:paraId="15A26EF3" w14:textId="50D6E334" w:rsidR="00E023D9" w:rsidRPr="00D13B66" w:rsidRDefault="00E2395A">
      <w:pPr>
        <w:pStyle w:val="ANormal"/>
        <w:rPr>
          <w:lang w:val="en-GB"/>
        </w:rPr>
      </w:pPr>
      <w:r>
        <w:rPr>
          <w:lang w:val="en-GB"/>
        </w:rPr>
        <w:t>2</w:t>
      </w:r>
      <w:r w:rsidR="00262245">
        <w:rPr>
          <w:lang w:val="en-GB"/>
        </w:rPr>
        <w:t>.</w:t>
      </w:r>
    </w:p>
    <w:p w14:paraId="31457EC8" w14:textId="045FB7CD" w:rsidR="00E2395A" w:rsidRDefault="00E2395A" w:rsidP="00E2395A">
      <w:pPr>
        <w:pStyle w:val="LagHuvRubr"/>
      </w:pPr>
      <w:r w:rsidRPr="00E2395A">
        <w:rPr>
          <w:lang w:val="en-GB"/>
        </w:rPr>
        <w:t>L A N D S K A P S L A G</w:t>
      </w:r>
      <w:r w:rsidR="00DF441C">
        <w:rPr>
          <w:lang w:val="en-GB"/>
        </w:rPr>
        <w:br/>
      </w:r>
      <w:r w:rsidRPr="00450EC6">
        <w:t>om ä</w:t>
      </w:r>
      <w:r>
        <w:t>ndring av l</w:t>
      </w:r>
      <w:r w:rsidRPr="001227EA">
        <w:t>andskapslag</w:t>
      </w:r>
      <w:r>
        <w:t>en</w:t>
      </w:r>
      <w:r w:rsidRPr="001227EA">
        <w:t xml:space="preserve"> </w:t>
      </w:r>
      <w:r>
        <w:t>om ordnande av kollektivtrafiktjänster</w:t>
      </w:r>
    </w:p>
    <w:p w14:paraId="009CC096" w14:textId="77777777" w:rsidR="00E2395A" w:rsidRDefault="00E2395A" w:rsidP="00E2395A">
      <w:pPr>
        <w:pStyle w:val="ANormal"/>
      </w:pPr>
    </w:p>
    <w:p w14:paraId="41E6D743" w14:textId="15A9A250" w:rsidR="00E2395A" w:rsidRPr="00DF441C" w:rsidRDefault="00E2395A" w:rsidP="00DF441C">
      <w:pPr>
        <w:pStyle w:val="ANormal"/>
      </w:pPr>
      <w:r w:rsidRPr="00DF441C">
        <w:tab/>
        <w:t>I enlighet med lagtingets beslut</w:t>
      </w:r>
    </w:p>
    <w:p w14:paraId="4FDD08BB" w14:textId="7B63F07F" w:rsidR="00E2395A" w:rsidRPr="00DF441C" w:rsidRDefault="00E2395A" w:rsidP="00DF441C">
      <w:pPr>
        <w:pStyle w:val="ANormal"/>
      </w:pPr>
      <w:r w:rsidRPr="00DF441C">
        <w:tab/>
      </w:r>
      <w:r w:rsidRPr="00DF441C">
        <w:rPr>
          <w:b/>
          <w:bCs/>
        </w:rPr>
        <w:t>upphävs</w:t>
      </w:r>
      <w:r w:rsidRPr="00DF441C">
        <w:t xml:space="preserve"> 22</w:t>
      </w:r>
      <w:r w:rsidR="00DF441C">
        <w:t> §</w:t>
      </w:r>
      <w:r w:rsidRPr="00DF441C">
        <w:t xml:space="preserve"> landskapslag (2019:60) om ordnande av kollektivtrafiktjänster</w:t>
      </w:r>
    </w:p>
    <w:p w14:paraId="6DA4D8EE" w14:textId="75F415FC" w:rsidR="00E2395A" w:rsidRPr="00DF441C" w:rsidRDefault="00E2395A" w:rsidP="00DF441C">
      <w:pPr>
        <w:pStyle w:val="ANormal"/>
      </w:pPr>
      <w:r w:rsidRPr="00DF441C">
        <w:tab/>
      </w:r>
      <w:r w:rsidRPr="00DF441C">
        <w:rPr>
          <w:b/>
          <w:bCs/>
        </w:rPr>
        <w:t>ändras</w:t>
      </w:r>
      <w:r w:rsidRPr="00DF441C">
        <w:t xml:space="preserve"> 4</w:t>
      </w:r>
      <w:r w:rsidR="00DF441C">
        <w:t> §</w:t>
      </w:r>
      <w:r w:rsidRPr="00DF441C">
        <w:t xml:space="preserve"> 2</w:t>
      </w:r>
      <w:r w:rsidR="00DF441C">
        <w:t> mom.</w:t>
      </w:r>
      <w:r w:rsidRPr="00DF441C">
        <w:t>, 23</w:t>
      </w:r>
      <w:r w:rsidR="00DF441C">
        <w:t> §</w:t>
      </w:r>
      <w:r w:rsidRPr="00DF441C">
        <w:t xml:space="preserve"> 1</w:t>
      </w:r>
      <w:r w:rsidR="00DF441C">
        <w:t> mom.</w:t>
      </w:r>
      <w:r w:rsidRPr="00DF441C">
        <w:t>, 24</w:t>
      </w:r>
      <w:r w:rsidR="00DF441C">
        <w:t> §</w:t>
      </w:r>
      <w:r w:rsidRPr="00DF441C">
        <w:t xml:space="preserve"> 1</w:t>
      </w:r>
      <w:r w:rsidR="00DF441C">
        <w:t> mom.</w:t>
      </w:r>
      <w:r w:rsidRPr="00DF441C">
        <w:t xml:space="preserve"> 1</w:t>
      </w:r>
      <w:r w:rsidR="00DF441C">
        <w:t> punkt</w:t>
      </w:r>
      <w:r w:rsidRPr="00DF441C">
        <w:t>en, 25 och 27</w:t>
      </w:r>
      <w:r w:rsidR="00DF441C">
        <w:t> §</w:t>
      </w:r>
      <w:r w:rsidRPr="00DF441C">
        <w:t>§ av dessa 4</w:t>
      </w:r>
      <w:r w:rsidR="00DF441C">
        <w:t> §</w:t>
      </w:r>
      <w:r w:rsidRPr="00DF441C">
        <w:t xml:space="preserve"> 2</w:t>
      </w:r>
      <w:r w:rsidR="00DF441C">
        <w:t> mom.</w:t>
      </w:r>
      <w:r w:rsidRPr="00DF441C">
        <w:t xml:space="preserve"> sådant det lyder i landskapslag 2021/10 som följer:</w:t>
      </w:r>
    </w:p>
    <w:p w14:paraId="26CFF9DE" w14:textId="77777777" w:rsidR="00E2395A" w:rsidRPr="00DF441C" w:rsidRDefault="00E2395A" w:rsidP="00DF441C">
      <w:pPr>
        <w:pStyle w:val="ANormal"/>
      </w:pPr>
    </w:p>
    <w:p w14:paraId="1BC36BD9" w14:textId="77777777" w:rsidR="00E023D9" w:rsidRPr="00E2395A" w:rsidRDefault="00E023D9">
      <w:pPr>
        <w:pStyle w:val="ANormal"/>
      </w:pPr>
    </w:p>
    <w:tbl>
      <w:tblPr>
        <w:tblW w:w="5000" w:type="pct"/>
        <w:tblLayout w:type="fixed"/>
        <w:tblCellMar>
          <w:left w:w="0" w:type="dxa"/>
          <w:right w:w="0" w:type="dxa"/>
        </w:tblCellMar>
        <w:tblLook w:val="0000" w:firstRow="0" w:lastRow="0" w:firstColumn="0" w:lastColumn="0" w:noHBand="0" w:noVBand="0"/>
      </w:tblPr>
      <w:tblGrid>
        <w:gridCol w:w="3798"/>
        <w:gridCol w:w="228"/>
        <w:gridCol w:w="3798"/>
      </w:tblGrid>
      <w:tr w:rsidR="00E023D9" w14:paraId="31D2BB97" w14:textId="77777777" w:rsidTr="00257ADC">
        <w:tc>
          <w:tcPr>
            <w:tcW w:w="2427" w:type="pct"/>
          </w:tcPr>
          <w:p w14:paraId="330D1895" w14:textId="77777777" w:rsidR="00E023D9" w:rsidRDefault="00E023D9">
            <w:pPr>
              <w:pStyle w:val="xCelltext"/>
              <w:jc w:val="center"/>
            </w:pPr>
            <w:r>
              <w:t>Gällande lydelse</w:t>
            </w:r>
          </w:p>
        </w:tc>
        <w:tc>
          <w:tcPr>
            <w:tcW w:w="146" w:type="pct"/>
          </w:tcPr>
          <w:p w14:paraId="1874E12D" w14:textId="77777777" w:rsidR="00E023D9" w:rsidRDefault="00E023D9">
            <w:pPr>
              <w:pStyle w:val="xCelltext"/>
              <w:jc w:val="center"/>
            </w:pPr>
          </w:p>
        </w:tc>
        <w:tc>
          <w:tcPr>
            <w:tcW w:w="2427" w:type="pct"/>
          </w:tcPr>
          <w:p w14:paraId="56EF350B" w14:textId="77777777" w:rsidR="00E023D9" w:rsidRDefault="00E023D9">
            <w:pPr>
              <w:pStyle w:val="xCelltext"/>
              <w:jc w:val="center"/>
            </w:pPr>
            <w:r>
              <w:t>Föreslagen lydelse</w:t>
            </w:r>
          </w:p>
        </w:tc>
      </w:tr>
      <w:tr w:rsidR="00E023D9" w14:paraId="4729EC6D" w14:textId="77777777" w:rsidTr="00257ADC">
        <w:tc>
          <w:tcPr>
            <w:tcW w:w="2427" w:type="pct"/>
          </w:tcPr>
          <w:p w14:paraId="7C736C77" w14:textId="77777777" w:rsidR="00E023D9" w:rsidRDefault="00E023D9">
            <w:pPr>
              <w:pStyle w:val="ANormal"/>
            </w:pPr>
          </w:p>
          <w:p w14:paraId="7AD0BE4A" w14:textId="5130BED0" w:rsidR="00E023D9" w:rsidRDefault="00E2395A">
            <w:pPr>
              <w:pStyle w:val="LagParagraf"/>
            </w:pPr>
            <w:r>
              <w:t>4</w:t>
            </w:r>
            <w:r w:rsidR="00DF441C">
              <w:t> §</w:t>
            </w:r>
          </w:p>
          <w:p w14:paraId="3ECBEE5B" w14:textId="77777777" w:rsidR="00E2395A" w:rsidRDefault="00E2395A" w:rsidP="00E2395A">
            <w:pPr>
              <w:pStyle w:val="LagPararubrik"/>
            </w:pPr>
            <w:r w:rsidRPr="00E2395A">
              <w:t>Behöriga myndigheter och den allmänna trafikplikten</w:t>
            </w:r>
          </w:p>
          <w:p w14:paraId="3083F047" w14:textId="77777777" w:rsidR="00E2395A" w:rsidRDefault="00E2395A">
            <w:pPr>
              <w:pStyle w:val="ANormal"/>
            </w:pPr>
            <w:r>
              <w:t>- - - - - - - - - - - - - - - - - - - - - - - - - - - - - -</w:t>
            </w:r>
          </w:p>
          <w:p w14:paraId="1AA5F136" w14:textId="27C4867E" w:rsidR="00E2395A" w:rsidRDefault="00E2395A" w:rsidP="00E2395A">
            <w:pPr>
              <w:pStyle w:val="ANormal"/>
            </w:pPr>
            <w:r>
              <w:tab/>
              <w:t>Bestämmelser om behöriga myndigheter enligt</w:t>
            </w:r>
          </w:p>
          <w:p w14:paraId="6B23747D" w14:textId="7588DF20" w:rsidR="00E2395A" w:rsidRPr="00257ADC" w:rsidRDefault="00E2395A" w:rsidP="00E2395A">
            <w:pPr>
              <w:pStyle w:val="ANormal"/>
            </w:pPr>
            <w:r>
              <w:tab/>
            </w:r>
            <w:r w:rsidRPr="00257ADC">
              <w:t>1) EU:s förordning om busspassagerares rättigheter när det gäller tillsynen över passagerarnas och konsumenternas rättigheter finns i V avd. 1</w:t>
            </w:r>
            <w:r w:rsidR="00DF441C" w:rsidRPr="00257ADC">
              <w:t> kap.</w:t>
            </w:r>
            <w:r w:rsidRPr="00257ADC">
              <w:t xml:space="preserve"> 186</w:t>
            </w:r>
            <w:r w:rsidR="00DF441C" w:rsidRPr="00257ADC">
              <w:t> §</w:t>
            </w:r>
            <w:r w:rsidRPr="00257ADC">
              <w:t xml:space="preserve"> i lagen om transportservice (FFS 320/2017) samt</w:t>
            </w:r>
          </w:p>
          <w:p w14:paraId="4BD98196" w14:textId="77777777" w:rsidR="00E2395A" w:rsidRPr="00257ADC" w:rsidRDefault="00E2395A" w:rsidP="00E2395A">
            <w:pPr>
              <w:pStyle w:val="ANormal"/>
            </w:pPr>
            <w:r w:rsidRPr="00257ADC">
              <w:tab/>
              <w:t>2) ITS-direktivet finns i 74</w:t>
            </w:r>
            <w:r w:rsidR="00DF441C" w:rsidRPr="00257ADC">
              <w:t> §</w:t>
            </w:r>
            <w:r w:rsidRPr="00257ADC">
              <w:t xml:space="preserve"> 1</w:t>
            </w:r>
            <w:r w:rsidR="00DF441C" w:rsidRPr="00257ADC">
              <w:t> mom.</w:t>
            </w:r>
            <w:r w:rsidRPr="00257ADC">
              <w:t xml:space="preserve"> i vägtrafiklagen (1983:27) för landskapet Åland (vägtrafiklagen).</w:t>
            </w:r>
          </w:p>
          <w:p w14:paraId="7314FE8C" w14:textId="51F06900" w:rsidR="00DF441C" w:rsidRPr="00E2395A" w:rsidRDefault="00DF441C" w:rsidP="00E2395A">
            <w:pPr>
              <w:pStyle w:val="ANormal"/>
              <w:rPr>
                <w:i/>
                <w:iCs/>
              </w:rPr>
            </w:pPr>
          </w:p>
        </w:tc>
        <w:tc>
          <w:tcPr>
            <w:tcW w:w="146" w:type="pct"/>
          </w:tcPr>
          <w:p w14:paraId="077641AA" w14:textId="77777777" w:rsidR="00E023D9" w:rsidRDefault="00E023D9">
            <w:pPr>
              <w:pStyle w:val="ANormal"/>
            </w:pPr>
          </w:p>
        </w:tc>
        <w:tc>
          <w:tcPr>
            <w:tcW w:w="2427" w:type="pct"/>
          </w:tcPr>
          <w:p w14:paraId="5EC1D386" w14:textId="77777777" w:rsidR="00E023D9" w:rsidRDefault="00E023D9">
            <w:pPr>
              <w:pStyle w:val="ANormal"/>
            </w:pPr>
          </w:p>
          <w:p w14:paraId="74975811" w14:textId="4DA8C0C7" w:rsidR="00E023D9" w:rsidRDefault="00E2395A">
            <w:pPr>
              <w:pStyle w:val="LagParagraf"/>
            </w:pPr>
            <w:r>
              <w:t>4</w:t>
            </w:r>
            <w:r w:rsidR="00DF441C">
              <w:t> §</w:t>
            </w:r>
          </w:p>
          <w:p w14:paraId="02DA5557" w14:textId="77777777" w:rsidR="00E2395A" w:rsidRDefault="00E2395A" w:rsidP="00E2395A">
            <w:pPr>
              <w:pStyle w:val="LagPararubrik"/>
            </w:pPr>
            <w:r w:rsidRPr="00E2395A">
              <w:t>Behöriga myndigheter och den allmänna trafikplikten</w:t>
            </w:r>
          </w:p>
          <w:p w14:paraId="0D0899F7" w14:textId="77777777" w:rsidR="00E2395A" w:rsidRDefault="00E2395A">
            <w:pPr>
              <w:pStyle w:val="ANormal"/>
            </w:pPr>
            <w:r>
              <w:t>- - - - - - - - - - - - - - - - - - - - - - - - - - - - - -</w:t>
            </w:r>
          </w:p>
          <w:p w14:paraId="4CDCA16F" w14:textId="200CA278" w:rsidR="00E2395A" w:rsidRPr="00E2395A" w:rsidRDefault="00E2395A" w:rsidP="00E2395A">
            <w:pPr>
              <w:pStyle w:val="ANormal"/>
            </w:pPr>
            <w:r w:rsidRPr="00E2395A">
              <w:tab/>
              <w:t xml:space="preserve">Bestämmelser om behöriga myndigheter enligt </w:t>
            </w:r>
            <w:r w:rsidRPr="00DF441C">
              <w:rPr>
                <w:b/>
                <w:bCs/>
              </w:rPr>
              <w:t>EU:s förordning om busspassagerares rättigheter när det gäller tillsynen över passagerarnas och konsumenternas rättigheter finns i 186</w:t>
            </w:r>
            <w:r w:rsidR="00DF441C" w:rsidRPr="00DF441C">
              <w:rPr>
                <w:b/>
                <w:bCs/>
              </w:rPr>
              <w:t> §</w:t>
            </w:r>
            <w:r w:rsidRPr="00DF441C">
              <w:rPr>
                <w:b/>
                <w:bCs/>
              </w:rPr>
              <w:t xml:space="preserve"> i lagen om transportservice (FFS 320/2017).</w:t>
            </w:r>
          </w:p>
        </w:tc>
      </w:tr>
      <w:tr w:rsidR="00E2395A" w14:paraId="2CD51C32" w14:textId="77777777" w:rsidTr="00257ADC">
        <w:tc>
          <w:tcPr>
            <w:tcW w:w="2427" w:type="pct"/>
          </w:tcPr>
          <w:p w14:paraId="516DA30C" w14:textId="77777777" w:rsidR="00E2395A" w:rsidRDefault="00E2395A">
            <w:pPr>
              <w:pStyle w:val="ANormal"/>
            </w:pPr>
          </w:p>
          <w:p w14:paraId="4E3BD0AA" w14:textId="635493ED" w:rsidR="00E2395A" w:rsidRPr="00DF441C" w:rsidRDefault="00E2395A" w:rsidP="00E2395A">
            <w:pPr>
              <w:pStyle w:val="LagParagraf"/>
              <w:rPr>
                <w:b/>
                <w:bCs/>
              </w:rPr>
            </w:pPr>
            <w:r w:rsidRPr="00DF441C">
              <w:rPr>
                <w:b/>
                <w:bCs/>
              </w:rPr>
              <w:t>22</w:t>
            </w:r>
            <w:r w:rsidR="00DF441C" w:rsidRPr="00DF441C">
              <w:rPr>
                <w:b/>
                <w:bCs/>
              </w:rPr>
              <w:t> §</w:t>
            </w:r>
          </w:p>
          <w:p w14:paraId="4EDCAE57" w14:textId="77777777" w:rsidR="00E2395A" w:rsidRPr="00DF441C" w:rsidRDefault="00E2395A" w:rsidP="00DF441C">
            <w:pPr>
              <w:pStyle w:val="LagPararubrik"/>
              <w:rPr>
                <w:b/>
                <w:bCs/>
              </w:rPr>
            </w:pPr>
            <w:r w:rsidRPr="00DF441C">
              <w:rPr>
                <w:b/>
                <w:bCs/>
              </w:rPr>
              <w:t>Väsentlig information om mobilitetstjänster och kombinationstjänster</w:t>
            </w:r>
          </w:p>
          <w:p w14:paraId="143A1A63" w14:textId="31A96C27" w:rsidR="00E2395A" w:rsidRPr="00DF441C" w:rsidRDefault="00E2395A" w:rsidP="00E2395A">
            <w:pPr>
              <w:pStyle w:val="ANormal"/>
              <w:rPr>
                <w:b/>
                <w:bCs/>
              </w:rPr>
            </w:pPr>
            <w:r w:rsidRPr="00DF441C">
              <w:rPr>
                <w:b/>
                <w:bCs/>
              </w:rPr>
              <w:tab/>
              <w:t xml:space="preserve">Om en tjänsteleverantör etablerat eller avser att etablera en verksamhet som innebär att någon form av mobilitetstjänster inom kollektivtrafik ska tillhandahållas allmänheten och tjänsteleverantören ifråga, inom ramen för nämnda verksamhet, upprättat eller avser att upprätta digitala informationssystem ska denne vid utformningen av de digitala informationssystemen se till att väsentliga och aktuella uppgifter om mobilitetstjänsterna ifråga finns att tillgå i maskinläsbar form och kan användas fritt med hjälp av en förbindelse som </w:t>
            </w:r>
            <w:r w:rsidRPr="00DF441C">
              <w:rPr>
                <w:b/>
                <w:bCs/>
              </w:rPr>
              <w:lastRenderedPageBreak/>
              <w:t>upprättats i dessa informationssystem (öppet gränssnitt). Väsentliga uppgifter omfattar åtminstone information om rutter, hållplatser, tidtabeller, priser och tillgång till tjänsterna samt fordonens tillgänglighet.</w:t>
            </w:r>
          </w:p>
          <w:p w14:paraId="1412F7C6" w14:textId="05464263" w:rsidR="00E2395A" w:rsidRPr="00DF441C" w:rsidRDefault="00E2395A" w:rsidP="00E2395A">
            <w:pPr>
              <w:pStyle w:val="ANormal"/>
              <w:rPr>
                <w:b/>
                <w:bCs/>
              </w:rPr>
            </w:pPr>
            <w:r w:rsidRPr="00DF441C">
              <w:rPr>
                <w:b/>
                <w:bCs/>
              </w:rPr>
              <w:tab/>
              <w:t>Webbadressen eller webbadresserna för det gränssnitt som avses i 1</w:t>
            </w:r>
            <w:r w:rsidR="00DF441C" w:rsidRPr="00DF441C">
              <w:rPr>
                <w:b/>
                <w:bCs/>
              </w:rPr>
              <w:t> mom.</w:t>
            </w:r>
            <w:r w:rsidRPr="00DF441C">
              <w:rPr>
                <w:b/>
                <w:bCs/>
              </w:rPr>
              <w:t xml:space="preserve"> och för den in-formation som behövs för att få tillgång till gränssnittet samt uppdateringarna av materialet ska i momentet avsedda fall meddelas till landskapsregeringen innan verksamheten inleds eller i fråga om uppdateringar omedelbart när den nya adressen är känd.</w:t>
            </w:r>
          </w:p>
          <w:p w14:paraId="36B8160F" w14:textId="6B6F8E0D" w:rsidR="00E2395A" w:rsidRPr="00DF441C" w:rsidRDefault="00E2395A" w:rsidP="00E2395A">
            <w:pPr>
              <w:pStyle w:val="ANormal"/>
              <w:rPr>
                <w:b/>
                <w:bCs/>
              </w:rPr>
            </w:pPr>
            <w:r w:rsidRPr="00DF441C">
              <w:rPr>
                <w:b/>
                <w:bCs/>
              </w:rPr>
              <w:tab/>
              <w:t xml:space="preserve">Utöver det som föreskrivs om passagerarrättigheter någon annanstans i lag ska i de fall en tjänsteleverantör etablerat eller avser att etablera en verksamhet som innebär att förmedlingstjänster eller kombinationstjänster ska tillhandahållas allmänheten ska tjänsteleverantören </w:t>
            </w:r>
            <w:proofErr w:type="gramStart"/>
            <w:r w:rsidRPr="00DF441C">
              <w:rPr>
                <w:b/>
                <w:bCs/>
              </w:rPr>
              <w:t>ifråga</w:t>
            </w:r>
            <w:proofErr w:type="gramEnd"/>
            <w:r w:rsidRPr="00DF441C">
              <w:rPr>
                <w:b/>
                <w:bCs/>
              </w:rPr>
              <w:t>, då avtalet sluts, ge passagerarna information om vem de kan vända sig till under de olika skedena av resekedjan och efter varje skede, om tjänsten inte utförs i enlighet med den bekräftelse passageraren fått.</w:t>
            </w:r>
          </w:p>
          <w:p w14:paraId="4F3320F4" w14:textId="4CF924F8" w:rsidR="00E2395A" w:rsidRPr="00DF441C" w:rsidRDefault="00E2395A" w:rsidP="00E2395A">
            <w:pPr>
              <w:pStyle w:val="ANormal"/>
              <w:rPr>
                <w:b/>
                <w:bCs/>
              </w:rPr>
            </w:pPr>
            <w:r w:rsidRPr="00DF441C">
              <w:rPr>
                <w:b/>
                <w:bCs/>
              </w:rPr>
              <w:tab/>
              <w:t>Landskapsregeringen kan tillhandahålla teknisk service som alternativt kan användas för den förmedling av information som avses i 1</w:t>
            </w:r>
            <w:r w:rsidR="00DF441C" w:rsidRPr="00DF441C">
              <w:rPr>
                <w:b/>
                <w:bCs/>
              </w:rPr>
              <w:t> mom.</w:t>
            </w:r>
          </w:p>
          <w:p w14:paraId="5E0DB701" w14:textId="77777777" w:rsidR="00E2395A" w:rsidRPr="00DF441C" w:rsidRDefault="00E2395A" w:rsidP="00E2395A">
            <w:pPr>
              <w:pStyle w:val="ANormal"/>
              <w:rPr>
                <w:b/>
                <w:bCs/>
              </w:rPr>
            </w:pPr>
            <w:r w:rsidRPr="00DF441C">
              <w:rPr>
                <w:b/>
                <w:bCs/>
              </w:rPr>
              <w:tab/>
              <w:t>Landskapsregeringen kan genom landskapsförordning utfärda närmare bestämmelser om den väsentliga information som avses i 1</w:t>
            </w:r>
            <w:r w:rsidR="00DF441C" w:rsidRPr="00DF441C">
              <w:rPr>
                <w:b/>
                <w:bCs/>
              </w:rPr>
              <w:t> mom.</w:t>
            </w:r>
            <w:r w:rsidRPr="00DF441C">
              <w:rPr>
                <w:b/>
                <w:bCs/>
              </w:rPr>
              <w:t xml:space="preserve"> och de krav som ställs på informationens aktualitet samt om teknisk interoperabilitet.</w:t>
            </w:r>
          </w:p>
          <w:p w14:paraId="527D2BF7" w14:textId="26606215" w:rsidR="00DF441C" w:rsidRPr="00E2395A" w:rsidRDefault="00DF441C" w:rsidP="00E2395A">
            <w:pPr>
              <w:pStyle w:val="ANormal"/>
            </w:pPr>
          </w:p>
        </w:tc>
        <w:tc>
          <w:tcPr>
            <w:tcW w:w="146" w:type="pct"/>
          </w:tcPr>
          <w:p w14:paraId="270C7D78" w14:textId="77777777" w:rsidR="00E2395A" w:rsidRDefault="00E2395A">
            <w:pPr>
              <w:pStyle w:val="ANormal"/>
            </w:pPr>
          </w:p>
        </w:tc>
        <w:tc>
          <w:tcPr>
            <w:tcW w:w="2427" w:type="pct"/>
          </w:tcPr>
          <w:p w14:paraId="252F5ABD" w14:textId="77777777" w:rsidR="00E2395A" w:rsidRDefault="00E2395A">
            <w:pPr>
              <w:pStyle w:val="ANormal"/>
            </w:pPr>
          </w:p>
          <w:p w14:paraId="5AEEDB16" w14:textId="77777777" w:rsidR="00257ADC" w:rsidRDefault="00257ADC" w:rsidP="00DF441C">
            <w:pPr>
              <w:pStyle w:val="ANormal"/>
            </w:pPr>
          </w:p>
          <w:p w14:paraId="4D7A100F" w14:textId="7D3AFC52" w:rsidR="00E2395A" w:rsidRPr="00DF441C" w:rsidRDefault="00DF441C" w:rsidP="00DF441C">
            <w:pPr>
              <w:pStyle w:val="ANormal"/>
              <w:rPr>
                <w:i/>
                <w:iCs/>
              </w:rPr>
            </w:pPr>
            <w:r>
              <w:tab/>
            </w:r>
            <w:r w:rsidR="00E2395A" w:rsidRPr="00DF441C">
              <w:rPr>
                <w:i/>
                <w:iCs/>
              </w:rPr>
              <w:t>Paragrafen upphävd.</w:t>
            </w:r>
          </w:p>
          <w:p w14:paraId="25363D29" w14:textId="55763E62" w:rsidR="00E2395A" w:rsidRDefault="00DF441C" w:rsidP="00DF441C">
            <w:pPr>
              <w:pStyle w:val="ANormal"/>
            </w:pPr>
            <w:r w:rsidRPr="00DF441C">
              <w:rPr>
                <w:i/>
                <w:iCs/>
              </w:rPr>
              <w:tab/>
            </w:r>
            <w:r w:rsidR="00E2395A" w:rsidRPr="00DF441C">
              <w:rPr>
                <w:i/>
                <w:iCs/>
              </w:rPr>
              <w:t>Motsvarar 2</w:t>
            </w:r>
            <w:r w:rsidRPr="00DF441C">
              <w:rPr>
                <w:i/>
                <w:iCs/>
              </w:rPr>
              <w:t> </w:t>
            </w:r>
            <w:r w:rsidR="00E2395A" w:rsidRPr="00DF441C">
              <w:rPr>
                <w:i/>
                <w:iCs/>
              </w:rPr>
              <w:t>kap</w:t>
            </w:r>
            <w:r w:rsidRPr="00DF441C">
              <w:rPr>
                <w:i/>
                <w:iCs/>
              </w:rPr>
              <w:t>.</w:t>
            </w:r>
            <w:r w:rsidR="00E2395A" w:rsidRPr="00DF441C">
              <w:rPr>
                <w:i/>
                <w:iCs/>
              </w:rPr>
              <w:t xml:space="preserve"> i lag om digitala informationstjänster för trafiksystemet</w:t>
            </w:r>
          </w:p>
        </w:tc>
      </w:tr>
      <w:tr w:rsidR="00E2395A" w14:paraId="4A21174B" w14:textId="77777777" w:rsidTr="00257ADC">
        <w:tc>
          <w:tcPr>
            <w:tcW w:w="2427" w:type="pct"/>
          </w:tcPr>
          <w:p w14:paraId="18238E76" w14:textId="77777777" w:rsidR="00E2395A" w:rsidRDefault="00E2395A">
            <w:pPr>
              <w:pStyle w:val="ANormal"/>
            </w:pPr>
          </w:p>
          <w:p w14:paraId="09F5821C" w14:textId="48B20C7E" w:rsidR="00E2395A" w:rsidRDefault="00E2395A" w:rsidP="00E2395A">
            <w:pPr>
              <w:pStyle w:val="LagParagraf"/>
            </w:pPr>
            <w:r>
              <w:t>23</w:t>
            </w:r>
            <w:r w:rsidR="00DF441C">
              <w:t> §</w:t>
            </w:r>
          </w:p>
          <w:p w14:paraId="16821563" w14:textId="77777777" w:rsidR="00E2395A" w:rsidRDefault="00E2395A" w:rsidP="00E2395A">
            <w:pPr>
              <w:pStyle w:val="LagPararubrik"/>
            </w:pPr>
            <w:r w:rsidRPr="00E2395A">
              <w:t>Biljett- och betalningssystemens interoperabilitet</w:t>
            </w:r>
          </w:p>
          <w:p w14:paraId="2355EC4B" w14:textId="2500C020" w:rsidR="00E2395A" w:rsidRPr="00DF441C" w:rsidRDefault="00E2395A" w:rsidP="00E2395A">
            <w:pPr>
              <w:pStyle w:val="ANormal"/>
              <w:keepNext/>
            </w:pPr>
            <w:r w:rsidRPr="00DF441C">
              <w:tab/>
              <w:t>Om digitala informationssystem upprättats i enlighet med bestämmelserna i 22</w:t>
            </w:r>
            <w:r w:rsidR="00DF441C" w:rsidRPr="00DF441C">
              <w:t> §</w:t>
            </w:r>
            <w:r w:rsidRPr="00DF441C">
              <w:t xml:space="preserve"> gäller för den som tillhandahåller transporttjänster eller förmedlingstjänster inom kollektivtrafik för allmänheten eller den som för sådana tjänsteleverantörers räkning svarar för biljett- och avgiftssystemet att denne ska ge andra tjänsteleverantörer som tillhandahåller mobilitetstjänster för allmänheten fritt tillträde till det försäljningsgränssnitt som används för biljett- och avgiftssystemet för att</w:t>
            </w:r>
          </w:p>
          <w:p w14:paraId="3256AF0C" w14:textId="77777777" w:rsidR="00E2395A" w:rsidRPr="00DF441C" w:rsidRDefault="00E2395A" w:rsidP="00E2395A">
            <w:pPr>
              <w:pStyle w:val="ANormal"/>
              <w:keepNext/>
            </w:pPr>
            <w:r w:rsidRPr="00DF441C">
              <w:tab/>
              <w:t xml:space="preserve">1) möjliggöra köp av en sådan biljettprodukt som berättigar till en enkelresa till </w:t>
            </w:r>
            <w:r w:rsidRPr="00DF441C">
              <w:lastRenderedPageBreak/>
              <w:t xml:space="preserve">normalpris och i fråga om vilken den </w:t>
            </w:r>
            <w:proofErr w:type="spellStart"/>
            <w:r w:rsidRPr="00DF441C">
              <w:t>reserätt</w:t>
            </w:r>
            <w:proofErr w:type="spellEnd"/>
            <w:r w:rsidRPr="00DF441C">
              <w:t xml:space="preserve"> som baserar sig på biljettprodukten enkelt ska kunna påvisas med hjälp av allmänt tillgänglig teknik, eller</w:t>
            </w:r>
          </w:p>
          <w:p w14:paraId="428622DF" w14:textId="77777777" w:rsidR="00E2395A" w:rsidRPr="00DF441C" w:rsidRDefault="00E2395A" w:rsidP="00E2395A">
            <w:pPr>
              <w:pStyle w:val="ANormal"/>
              <w:keepNext/>
            </w:pPr>
            <w:r w:rsidRPr="00DF441C">
              <w:tab/>
              <w:t>2) reservera en enskild resa eller transport vars exakta pris inte är känt när tjänsten inleds, eller som av någon annan orsak enligt överenskommelse ska betalas efter det att tjänsten utförts.</w:t>
            </w:r>
          </w:p>
          <w:p w14:paraId="5BB24DCD" w14:textId="77777777" w:rsidR="00E2395A" w:rsidRDefault="00E2395A">
            <w:pPr>
              <w:pStyle w:val="ANormal"/>
            </w:pPr>
            <w:r>
              <w:t>- - - - - - - - - - - - - - - - - - - - - - - - - - - - - -</w:t>
            </w:r>
          </w:p>
          <w:p w14:paraId="52B74BAA" w14:textId="56653CAE" w:rsidR="00E2395A" w:rsidRPr="00E2395A" w:rsidRDefault="00E2395A" w:rsidP="00E2395A">
            <w:pPr>
              <w:pStyle w:val="ANormal"/>
            </w:pPr>
          </w:p>
        </w:tc>
        <w:tc>
          <w:tcPr>
            <w:tcW w:w="146" w:type="pct"/>
          </w:tcPr>
          <w:p w14:paraId="5CDEA387" w14:textId="77777777" w:rsidR="00E2395A" w:rsidRDefault="00E2395A">
            <w:pPr>
              <w:pStyle w:val="ANormal"/>
            </w:pPr>
          </w:p>
        </w:tc>
        <w:tc>
          <w:tcPr>
            <w:tcW w:w="2427" w:type="pct"/>
          </w:tcPr>
          <w:p w14:paraId="630EA83D" w14:textId="77777777" w:rsidR="00E2395A" w:rsidRDefault="00E2395A">
            <w:pPr>
              <w:pStyle w:val="ANormal"/>
            </w:pPr>
          </w:p>
          <w:p w14:paraId="2FDC9767" w14:textId="665D05F1" w:rsidR="00E2395A" w:rsidRDefault="00E2395A" w:rsidP="00E2395A">
            <w:pPr>
              <w:pStyle w:val="LagParagraf"/>
            </w:pPr>
            <w:r>
              <w:t>23</w:t>
            </w:r>
            <w:r w:rsidR="00DF441C">
              <w:t> §</w:t>
            </w:r>
          </w:p>
          <w:p w14:paraId="559D39C4" w14:textId="77777777" w:rsidR="00E2395A" w:rsidRDefault="00E2395A" w:rsidP="00E2395A">
            <w:pPr>
              <w:pStyle w:val="LagPararubrik"/>
            </w:pPr>
            <w:r w:rsidRPr="00E2395A">
              <w:t>Biljett- och betalningssystemens interoperabilitet</w:t>
            </w:r>
          </w:p>
          <w:p w14:paraId="501493C5" w14:textId="77777777" w:rsidR="00E2395A" w:rsidRDefault="00E2395A" w:rsidP="00E2395A">
            <w:pPr>
              <w:pStyle w:val="ANormal"/>
              <w:keepNext/>
              <w:rPr>
                <w:b/>
                <w:bCs/>
              </w:rPr>
            </w:pPr>
            <w:r>
              <w:tab/>
            </w:r>
            <w:r w:rsidRPr="00250E8E">
              <w:rPr>
                <w:b/>
                <w:bCs/>
              </w:rPr>
              <w:t>Den som erbjuder transporttjänster eller förmedlingstjänster inom kollektivtrafik för allmänheten eller den som för sådana tjänsteleverantörers räkning ansvarar för biljett- och avgiftssystemet ska ge dem som tillhandahåller mobilitets- och kombinationstjänster tillträde till det försäljningsgränssnitt som används för biljett- och avgiftssystemet för att utan villkor som begränsar användningen</w:t>
            </w:r>
          </w:p>
          <w:p w14:paraId="293DBF6C" w14:textId="77777777" w:rsidR="00DF441C" w:rsidRPr="00250E8E" w:rsidRDefault="00DF441C" w:rsidP="00E2395A">
            <w:pPr>
              <w:pStyle w:val="ANormal"/>
              <w:keepNext/>
              <w:rPr>
                <w:b/>
                <w:bCs/>
              </w:rPr>
            </w:pPr>
          </w:p>
          <w:p w14:paraId="4075C1E9" w14:textId="77777777" w:rsidR="00E2395A" w:rsidRPr="00B35E4E" w:rsidRDefault="00E2395A" w:rsidP="00E2395A">
            <w:pPr>
              <w:pStyle w:val="ANormal"/>
              <w:keepNext/>
              <w:rPr>
                <w:b/>
                <w:bCs/>
              </w:rPr>
            </w:pPr>
            <w:r w:rsidRPr="00B35E4E">
              <w:rPr>
                <w:b/>
                <w:bCs/>
              </w:rPr>
              <w:tab/>
              <w:t xml:space="preserve">1) möjliggöra köp av åtminstone en sådan biljett som berättigar till en </w:t>
            </w:r>
            <w:r w:rsidRPr="00B35E4E">
              <w:rPr>
                <w:b/>
                <w:bCs/>
              </w:rPr>
              <w:lastRenderedPageBreak/>
              <w:t>enkelresa till normalpris där det enkelt går att bevisa rätten till resan med hjälp av allmänt tillgänglig teknik, eller</w:t>
            </w:r>
          </w:p>
          <w:p w14:paraId="3B72F1F5" w14:textId="77777777" w:rsidR="00DF441C" w:rsidRDefault="00DF441C" w:rsidP="00E2395A">
            <w:pPr>
              <w:pStyle w:val="ANormal"/>
              <w:keepNext/>
              <w:rPr>
                <w:b/>
                <w:bCs/>
              </w:rPr>
            </w:pPr>
          </w:p>
          <w:p w14:paraId="009CDD38" w14:textId="40E5657B" w:rsidR="00E2395A" w:rsidRDefault="00E2395A" w:rsidP="00E2395A">
            <w:pPr>
              <w:pStyle w:val="ANormal"/>
              <w:keepNext/>
              <w:rPr>
                <w:b/>
                <w:bCs/>
              </w:rPr>
            </w:pPr>
            <w:r w:rsidRPr="00B35E4E">
              <w:rPr>
                <w:b/>
                <w:bCs/>
              </w:rPr>
              <w:tab/>
              <w:t>2) reservera en enskild resa eller transport vars exakta pris inte är känt när tjänsten inleds, eller som av någon annan orsak enligt överenskommelse ska betalas efter det att tjänsten utförts.</w:t>
            </w:r>
          </w:p>
          <w:p w14:paraId="2CB66137" w14:textId="77777777" w:rsidR="00E2395A" w:rsidRDefault="00E2395A">
            <w:pPr>
              <w:pStyle w:val="ANormal"/>
            </w:pPr>
            <w:r>
              <w:t>- - - - - - - - - - - - - - - - - - - - - - - - - - - - - -</w:t>
            </w:r>
          </w:p>
          <w:p w14:paraId="64346C06" w14:textId="26714979" w:rsidR="00E2395A" w:rsidRPr="00E2395A" w:rsidRDefault="00E2395A" w:rsidP="00E2395A">
            <w:pPr>
              <w:pStyle w:val="ANormal"/>
            </w:pPr>
          </w:p>
        </w:tc>
      </w:tr>
      <w:tr w:rsidR="00E2395A" w14:paraId="1731BBF4" w14:textId="77777777" w:rsidTr="00257ADC">
        <w:tc>
          <w:tcPr>
            <w:tcW w:w="2427" w:type="pct"/>
          </w:tcPr>
          <w:p w14:paraId="21416DAC" w14:textId="77777777" w:rsidR="00E2395A" w:rsidRDefault="00E2395A">
            <w:pPr>
              <w:pStyle w:val="ANormal"/>
            </w:pPr>
          </w:p>
          <w:p w14:paraId="744AD7A5" w14:textId="089CA6BE" w:rsidR="00E2395A" w:rsidRDefault="00E2395A" w:rsidP="00E2395A">
            <w:pPr>
              <w:pStyle w:val="LagParagraf"/>
            </w:pPr>
            <w:r>
              <w:t>24</w:t>
            </w:r>
            <w:r w:rsidR="00DF441C">
              <w:t> §</w:t>
            </w:r>
          </w:p>
          <w:p w14:paraId="3ACED476" w14:textId="77777777" w:rsidR="00E2395A" w:rsidRDefault="00E2395A" w:rsidP="00E2395A">
            <w:pPr>
              <w:pStyle w:val="LagPararubrik"/>
            </w:pPr>
            <w:r w:rsidRPr="00E2395A">
              <w:t>Främjande av interoperabilitet i offentliga upphandlingar</w:t>
            </w:r>
          </w:p>
          <w:p w14:paraId="7ACC5C6D" w14:textId="77777777" w:rsidR="00E2395A" w:rsidRDefault="00E2395A" w:rsidP="00E2395A">
            <w:pPr>
              <w:pStyle w:val="ANormal"/>
              <w:keepNext/>
            </w:pPr>
            <w:r>
              <w:tab/>
              <w:t>Landskapsregeringen bör kräva att det vid upphandling av mobilitetstjänster eller biljett- och betalningssystem i anslutning till dem enligt denna lag eller i enlighet med blankettlagen om upphandling i anbudsförfrågan, upphandlingsannonsen och upphandlingskontraktet förutsätts att</w:t>
            </w:r>
          </w:p>
          <w:p w14:paraId="0D02B344" w14:textId="14A48049" w:rsidR="00E2395A" w:rsidRDefault="00E2395A" w:rsidP="00E2395A">
            <w:pPr>
              <w:pStyle w:val="ANormal"/>
              <w:keepNext/>
            </w:pPr>
            <w:r w:rsidRPr="00DF441C">
              <w:tab/>
              <w:t>1) en tjänsteleverantör som faller in under tillämpningsområdet för 22</w:t>
            </w:r>
            <w:r w:rsidR="00DF441C" w:rsidRPr="00DF441C">
              <w:t> §</w:t>
            </w:r>
            <w:r w:rsidRPr="00DF441C">
              <w:t xml:space="preserve"> har gett en beskrivning av hur dennes skyldigheter enligt 22</w:t>
            </w:r>
            <w:r w:rsidR="00DF441C" w:rsidRPr="00DF441C">
              <w:t> §</w:t>
            </w:r>
            <w:r w:rsidRPr="00DF441C">
              <w:t xml:space="preserve"> har uppfyllts,</w:t>
            </w:r>
          </w:p>
          <w:p w14:paraId="2C849E21" w14:textId="77777777" w:rsidR="00DF441C" w:rsidRDefault="00DF441C" w:rsidP="00E2395A">
            <w:pPr>
              <w:pStyle w:val="ANormal"/>
              <w:keepNext/>
            </w:pPr>
          </w:p>
          <w:p w14:paraId="519D7B35" w14:textId="77777777" w:rsidR="00DF441C" w:rsidRPr="00DF441C" w:rsidRDefault="00DF441C" w:rsidP="00E2395A">
            <w:pPr>
              <w:pStyle w:val="ANormal"/>
              <w:keepNext/>
            </w:pPr>
          </w:p>
          <w:p w14:paraId="096EC546" w14:textId="77777777" w:rsidR="00E2395A" w:rsidRDefault="00E2395A">
            <w:pPr>
              <w:pStyle w:val="ANormal"/>
            </w:pPr>
            <w:r>
              <w:t>- - - - - - - - - - - - - - - - - - - - - - - - - - - - - -</w:t>
            </w:r>
          </w:p>
          <w:p w14:paraId="7E24EAC2" w14:textId="12070058" w:rsidR="00E2395A" w:rsidRPr="00E2395A" w:rsidRDefault="00E2395A" w:rsidP="00E2395A">
            <w:pPr>
              <w:pStyle w:val="ANormal"/>
            </w:pPr>
          </w:p>
        </w:tc>
        <w:tc>
          <w:tcPr>
            <w:tcW w:w="146" w:type="pct"/>
          </w:tcPr>
          <w:p w14:paraId="694F2370" w14:textId="77777777" w:rsidR="00E2395A" w:rsidRDefault="00E2395A">
            <w:pPr>
              <w:pStyle w:val="ANormal"/>
            </w:pPr>
          </w:p>
        </w:tc>
        <w:tc>
          <w:tcPr>
            <w:tcW w:w="2427" w:type="pct"/>
          </w:tcPr>
          <w:p w14:paraId="2A5890DC" w14:textId="77777777" w:rsidR="00E2395A" w:rsidRDefault="00E2395A">
            <w:pPr>
              <w:pStyle w:val="ANormal"/>
            </w:pPr>
          </w:p>
          <w:p w14:paraId="02AE9623" w14:textId="20D6CEF1" w:rsidR="00E2395A" w:rsidRDefault="00E2395A" w:rsidP="00E2395A">
            <w:pPr>
              <w:pStyle w:val="LagParagraf"/>
            </w:pPr>
            <w:r>
              <w:t>24</w:t>
            </w:r>
            <w:r w:rsidR="00DF441C">
              <w:t> §</w:t>
            </w:r>
          </w:p>
          <w:p w14:paraId="154DB401" w14:textId="77777777" w:rsidR="00E2395A" w:rsidRDefault="00E2395A" w:rsidP="00E2395A">
            <w:pPr>
              <w:pStyle w:val="LagPararubrik"/>
            </w:pPr>
            <w:r w:rsidRPr="00E2395A">
              <w:t>Främjande av interoperabilitet i offentliga upphandlingar</w:t>
            </w:r>
          </w:p>
          <w:p w14:paraId="1DBAEF6F" w14:textId="77777777" w:rsidR="00C30E92" w:rsidRDefault="00C30E92" w:rsidP="00C30E92">
            <w:pPr>
              <w:pStyle w:val="ANormal"/>
              <w:keepNext/>
            </w:pPr>
            <w:r>
              <w:tab/>
              <w:t>Landskapsregeringen bör kräva att det vid upphandling av mobilitetstjänster eller biljett- och betalningssystem i anslutning till dem enligt denna lag eller i enlighet med blankettlagen om upphandling i anbudsförfrågan, upphandlingsannonsen och upphandlingskontraktet förutsätts att</w:t>
            </w:r>
          </w:p>
          <w:p w14:paraId="4EAD40BC" w14:textId="43EBE2C6" w:rsidR="00E2395A" w:rsidRPr="00250E8E" w:rsidRDefault="00E2395A" w:rsidP="00E2395A">
            <w:pPr>
              <w:pStyle w:val="ANormal"/>
              <w:rPr>
                <w:b/>
                <w:bCs/>
              </w:rPr>
            </w:pPr>
            <w:r>
              <w:tab/>
            </w:r>
            <w:r w:rsidRPr="00250E8E">
              <w:rPr>
                <w:b/>
                <w:bCs/>
              </w:rPr>
              <w:t xml:space="preserve">1) tjänsteleverantören har gett en beskrivning för hur leverantörens skyldigheter enligt landskapslagen </w:t>
            </w:r>
            <w:r w:rsidR="00C30E92">
              <w:rPr>
                <w:b/>
                <w:bCs/>
              </w:rPr>
              <w:t>(</w:t>
            </w:r>
            <w:proofErr w:type="gramStart"/>
            <w:r w:rsidR="00C30E92">
              <w:rPr>
                <w:b/>
                <w:bCs/>
              </w:rPr>
              <w:t>2026:xx</w:t>
            </w:r>
            <w:proofErr w:type="gramEnd"/>
            <w:r w:rsidR="00C30E92">
              <w:rPr>
                <w:b/>
                <w:bCs/>
              </w:rPr>
              <w:t xml:space="preserve">) </w:t>
            </w:r>
            <w:r w:rsidRPr="00250E8E">
              <w:rPr>
                <w:b/>
                <w:bCs/>
              </w:rPr>
              <w:t>om tillämpning av lagen om digitala informationstjänster för trafiksystemet har uppfyllts,</w:t>
            </w:r>
          </w:p>
          <w:p w14:paraId="27FC177A" w14:textId="77777777" w:rsidR="00E2395A" w:rsidRDefault="00E2395A">
            <w:pPr>
              <w:pStyle w:val="ANormal"/>
            </w:pPr>
            <w:r>
              <w:t>- - - - - - - - - - - - - - - - - - - - - - - - - - - - - -</w:t>
            </w:r>
          </w:p>
          <w:p w14:paraId="1C0F6F68" w14:textId="10CD75B6" w:rsidR="00E2395A" w:rsidRPr="00E2395A" w:rsidRDefault="00E2395A" w:rsidP="00E2395A">
            <w:pPr>
              <w:pStyle w:val="ANormal"/>
            </w:pPr>
          </w:p>
        </w:tc>
      </w:tr>
      <w:tr w:rsidR="00E2395A" w14:paraId="7BEC86C5" w14:textId="77777777" w:rsidTr="00257ADC">
        <w:tc>
          <w:tcPr>
            <w:tcW w:w="2427" w:type="pct"/>
          </w:tcPr>
          <w:p w14:paraId="6DA55A42" w14:textId="77777777" w:rsidR="00E2395A" w:rsidRDefault="00E2395A">
            <w:pPr>
              <w:pStyle w:val="ANormal"/>
            </w:pPr>
          </w:p>
          <w:p w14:paraId="5A95C071" w14:textId="5039536A" w:rsidR="00E2395A" w:rsidRDefault="005348E6" w:rsidP="005348E6">
            <w:pPr>
              <w:pStyle w:val="LagParagraf"/>
            </w:pPr>
            <w:r>
              <w:t>25</w:t>
            </w:r>
            <w:r w:rsidR="00DF441C">
              <w:t> §</w:t>
            </w:r>
          </w:p>
          <w:p w14:paraId="33A9A636" w14:textId="77777777" w:rsidR="005348E6" w:rsidRDefault="005348E6" w:rsidP="005348E6">
            <w:pPr>
              <w:pStyle w:val="LagPararubrik"/>
            </w:pPr>
            <w:r w:rsidRPr="005348E6">
              <w:t>Allmänna krav på tillträde till ett gränssnitt</w:t>
            </w:r>
          </w:p>
          <w:p w14:paraId="4FA3A165" w14:textId="767C0AD3" w:rsidR="005348E6" w:rsidRPr="00257ADC" w:rsidRDefault="005348E6" w:rsidP="005348E6">
            <w:pPr>
              <w:pStyle w:val="ANormal"/>
              <w:keepNext/>
            </w:pPr>
            <w:r>
              <w:tab/>
              <w:t xml:space="preserve">Tillgång till information och informationssystem med hjälp av ett öppet gränssnitt enligt </w:t>
            </w:r>
            <w:r w:rsidRPr="008A1F56">
              <w:rPr>
                <w:i/>
                <w:iCs/>
              </w:rPr>
              <w:t>22 och</w:t>
            </w:r>
            <w:r>
              <w:t xml:space="preserve"> 23</w:t>
            </w:r>
            <w:r w:rsidR="00DF441C">
              <w:t> §</w:t>
            </w:r>
            <w:r>
              <w:t xml:space="preserve">§, </w:t>
            </w:r>
            <w:r w:rsidRPr="00257ADC">
              <w:t>under de förutsättningar som anges i dessa paragrafer, samt de stödtjänster, de användarvillkor, den programvara, de licenser och andra tjänster som eventuellt behövs för tillträdet till ett gränssnitt ska tillhandahållas på rättvisa, skäliga och icke-diskriminerande villkor.</w:t>
            </w:r>
          </w:p>
          <w:p w14:paraId="28035C10" w14:textId="77777777" w:rsidR="005348E6" w:rsidRDefault="005348E6" w:rsidP="005348E6">
            <w:pPr>
              <w:pStyle w:val="ANormal"/>
            </w:pPr>
            <w:r w:rsidRPr="00257ADC">
              <w:tab/>
              <w:t>Om de i 22 och 23</w:t>
            </w:r>
            <w:r w:rsidR="00DF441C" w:rsidRPr="00257ADC">
              <w:t> §</w:t>
            </w:r>
            <w:r w:rsidRPr="00257ADC">
              <w:t>§ angivna omständigheterna föreligger ska de tjänsteleverantörer som till följd därav ålagts</w:t>
            </w:r>
            <w:r>
              <w:t xml:space="preserve"> att ge tillträde till ett gränssnitt som avses i dessa paragrafer, se till att tillträdet kan ske utan att informationssäkerheten för tjänsten eller integritetsskyddet äventyras.</w:t>
            </w:r>
          </w:p>
          <w:p w14:paraId="67DBB8C3" w14:textId="2BF0140C" w:rsidR="00DF441C" w:rsidRPr="005348E6" w:rsidRDefault="00DF441C" w:rsidP="005348E6">
            <w:pPr>
              <w:pStyle w:val="ANormal"/>
            </w:pPr>
          </w:p>
        </w:tc>
        <w:tc>
          <w:tcPr>
            <w:tcW w:w="146" w:type="pct"/>
          </w:tcPr>
          <w:p w14:paraId="734BF4DE" w14:textId="77777777" w:rsidR="00E2395A" w:rsidRDefault="00E2395A">
            <w:pPr>
              <w:pStyle w:val="ANormal"/>
            </w:pPr>
          </w:p>
        </w:tc>
        <w:tc>
          <w:tcPr>
            <w:tcW w:w="2427" w:type="pct"/>
          </w:tcPr>
          <w:p w14:paraId="5483C300" w14:textId="77777777" w:rsidR="00E2395A" w:rsidRDefault="00E2395A">
            <w:pPr>
              <w:pStyle w:val="ANormal"/>
            </w:pPr>
          </w:p>
          <w:p w14:paraId="46AC05FC" w14:textId="4365F9B2" w:rsidR="00E2395A" w:rsidRDefault="005348E6" w:rsidP="005348E6">
            <w:pPr>
              <w:pStyle w:val="LagParagraf"/>
            </w:pPr>
            <w:r>
              <w:t>25</w:t>
            </w:r>
            <w:r w:rsidR="00DF441C">
              <w:t> §</w:t>
            </w:r>
          </w:p>
          <w:p w14:paraId="350BD617" w14:textId="77777777" w:rsidR="005348E6" w:rsidRDefault="005348E6" w:rsidP="005348E6">
            <w:pPr>
              <w:pStyle w:val="LagPararubrik"/>
            </w:pPr>
            <w:r w:rsidRPr="005348E6">
              <w:t>Allmänna krav på tillträde till ett gränssnitt</w:t>
            </w:r>
          </w:p>
          <w:p w14:paraId="2221009B" w14:textId="502E8214" w:rsidR="005348E6" w:rsidRDefault="005348E6" w:rsidP="005348E6">
            <w:pPr>
              <w:pStyle w:val="ANormal"/>
              <w:keepNext/>
            </w:pPr>
            <w:r>
              <w:tab/>
              <w:t xml:space="preserve">Tillgång till information och informationssystem med hjälp av ett öppet gränssnitt enligt </w:t>
            </w:r>
            <w:r w:rsidRPr="008A1F56">
              <w:rPr>
                <w:b/>
                <w:bCs/>
              </w:rPr>
              <w:t>23</w:t>
            </w:r>
            <w:r w:rsidR="00DF441C">
              <w:rPr>
                <w:b/>
                <w:bCs/>
              </w:rPr>
              <w:t> §</w:t>
            </w:r>
            <w:r w:rsidRPr="008A1F56">
              <w:rPr>
                <w:b/>
                <w:bCs/>
              </w:rPr>
              <w:t xml:space="preserve"> och</w:t>
            </w:r>
            <w:r>
              <w:t xml:space="preserve"> de stödtjänster, de användarvillkor, den programvara, de licenser och andra tjänster som eventuellt behövs för tillträdet till ett gränssnitt ska tillhandahållas på rättvisa, skäliga och icke-diskriminerande villkor.</w:t>
            </w:r>
          </w:p>
          <w:p w14:paraId="379CB0C3" w14:textId="77777777" w:rsidR="00DF441C" w:rsidRDefault="00DF441C" w:rsidP="005348E6">
            <w:pPr>
              <w:pStyle w:val="ANormal"/>
            </w:pPr>
          </w:p>
          <w:p w14:paraId="5E3FF3D5" w14:textId="77777777" w:rsidR="00DF441C" w:rsidRDefault="00DF441C" w:rsidP="005348E6">
            <w:pPr>
              <w:pStyle w:val="ANormal"/>
            </w:pPr>
          </w:p>
          <w:p w14:paraId="43FDD54B" w14:textId="1135F68B" w:rsidR="005348E6" w:rsidRPr="005348E6" w:rsidRDefault="005348E6" w:rsidP="005348E6">
            <w:pPr>
              <w:pStyle w:val="ANormal"/>
            </w:pPr>
            <w:r>
              <w:tab/>
            </w:r>
            <w:r w:rsidRPr="008A1F56">
              <w:rPr>
                <w:b/>
                <w:bCs/>
              </w:rPr>
              <w:t xml:space="preserve">Tjänsteleverantörer som är skyldiga </w:t>
            </w:r>
            <w:r w:rsidRPr="008A1F56">
              <w:t>att ge</w:t>
            </w:r>
            <w:r>
              <w:t xml:space="preserve"> tillträde till ett </w:t>
            </w:r>
            <w:r w:rsidRPr="00CD19CB">
              <w:rPr>
                <w:b/>
                <w:bCs/>
              </w:rPr>
              <w:t>öppet</w:t>
            </w:r>
            <w:r>
              <w:t xml:space="preserve"> gränssnitt </w:t>
            </w:r>
            <w:r w:rsidRPr="008A1F56">
              <w:rPr>
                <w:b/>
                <w:bCs/>
              </w:rPr>
              <w:t>ska</w:t>
            </w:r>
            <w:r>
              <w:t xml:space="preserve"> se till att tillträdet kan ske utan att informationssäkerheten för tjänsten eller integritetsskyddet äventyras.</w:t>
            </w:r>
          </w:p>
        </w:tc>
      </w:tr>
      <w:tr w:rsidR="00E023D9" w14:paraId="6868E316" w14:textId="77777777" w:rsidTr="00257ADC">
        <w:tc>
          <w:tcPr>
            <w:tcW w:w="2427" w:type="pct"/>
          </w:tcPr>
          <w:p w14:paraId="2E5FE7EB" w14:textId="77777777" w:rsidR="00E023D9" w:rsidRDefault="00E023D9">
            <w:pPr>
              <w:pStyle w:val="ANormal"/>
            </w:pPr>
          </w:p>
          <w:p w14:paraId="0259FA09" w14:textId="14DF8974" w:rsidR="00E023D9" w:rsidRDefault="005348E6">
            <w:pPr>
              <w:pStyle w:val="LagParagraf"/>
            </w:pPr>
            <w:r>
              <w:t>27</w:t>
            </w:r>
            <w:r w:rsidR="00DF441C">
              <w:t> §</w:t>
            </w:r>
          </w:p>
          <w:p w14:paraId="3C929682" w14:textId="77777777" w:rsidR="005348E6" w:rsidRDefault="005348E6" w:rsidP="005348E6">
            <w:pPr>
              <w:pStyle w:val="LagPararubrik"/>
            </w:pPr>
            <w:r w:rsidRPr="005348E6">
              <w:t>Införande av intelligenta trafiksystem</w:t>
            </w:r>
          </w:p>
          <w:p w14:paraId="7C82E082" w14:textId="77777777" w:rsidR="005348E6" w:rsidRDefault="005348E6" w:rsidP="005348E6">
            <w:pPr>
              <w:pStyle w:val="ANormal"/>
            </w:pPr>
            <w:r>
              <w:tab/>
              <w:t xml:space="preserve">Bestämmelser om intelligenta trafiksystem och landskapsregeringens skyldigheter vid införande av intelligenta </w:t>
            </w:r>
            <w:r>
              <w:lastRenderedPageBreak/>
              <w:t xml:space="preserve">trafiksystem finns i </w:t>
            </w:r>
            <w:r w:rsidRPr="00257ADC">
              <w:t>73</w:t>
            </w:r>
            <w:r w:rsidR="00DF441C" w:rsidRPr="00257ADC">
              <w:t> §</w:t>
            </w:r>
            <w:r w:rsidRPr="00257ADC">
              <w:t xml:space="preserve"> och 74</w:t>
            </w:r>
            <w:r w:rsidR="00DF441C" w:rsidRPr="00257ADC">
              <w:t> §</w:t>
            </w:r>
            <w:r w:rsidRPr="00257ADC">
              <w:t xml:space="preserve"> 2</w:t>
            </w:r>
            <w:r w:rsidR="00DF441C" w:rsidRPr="00257ADC">
              <w:t> mom.</w:t>
            </w:r>
            <w:r w:rsidRPr="00257ADC">
              <w:t xml:space="preserve"> i vägtrafiklagen.</w:t>
            </w:r>
          </w:p>
          <w:p w14:paraId="3050DF70" w14:textId="334BD641" w:rsidR="00257ADC" w:rsidRPr="005348E6" w:rsidRDefault="00257ADC" w:rsidP="005348E6">
            <w:pPr>
              <w:pStyle w:val="ANormal"/>
            </w:pPr>
          </w:p>
        </w:tc>
        <w:tc>
          <w:tcPr>
            <w:tcW w:w="146" w:type="pct"/>
          </w:tcPr>
          <w:p w14:paraId="2998A6F4" w14:textId="77777777" w:rsidR="00E023D9" w:rsidRDefault="00E023D9">
            <w:pPr>
              <w:pStyle w:val="ANormal"/>
            </w:pPr>
          </w:p>
        </w:tc>
        <w:tc>
          <w:tcPr>
            <w:tcW w:w="2427" w:type="pct"/>
          </w:tcPr>
          <w:p w14:paraId="60499B42" w14:textId="77777777" w:rsidR="00E023D9" w:rsidRDefault="00E023D9">
            <w:pPr>
              <w:pStyle w:val="ANormal"/>
            </w:pPr>
          </w:p>
          <w:p w14:paraId="3FFDDCBC" w14:textId="7B7B206B" w:rsidR="00E023D9" w:rsidRDefault="005348E6">
            <w:pPr>
              <w:pStyle w:val="LagParagraf"/>
            </w:pPr>
            <w:r>
              <w:t>27</w:t>
            </w:r>
            <w:r w:rsidR="00DF441C">
              <w:t> §</w:t>
            </w:r>
          </w:p>
          <w:p w14:paraId="0EC4FD1D" w14:textId="77777777" w:rsidR="005348E6" w:rsidRDefault="005348E6" w:rsidP="005348E6">
            <w:pPr>
              <w:pStyle w:val="LagPararubrik"/>
            </w:pPr>
            <w:r w:rsidRPr="005348E6">
              <w:t>Införande av intelligenta trafiksystem</w:t>
            </w:r>
          </w:p>
          <w:p w14:paraId="25727827" w14:textId="77777777" w:rsidR="005348E6" w:rsidRDefault="005348E6" w:rsidP="005348E6">
            <w:pPr>
              <w:pStyle w:val="ANormal"/>
              <w:rPr>
                <w:b/>
                <w:bCs/>
              </w:rPr>
            </w:pPr>
            <w:r>
              <w:tab/>
              <w:t xml:space="preserve">Bestämmelser om intelligenta trafiksystem och landskapsregeringens skyldigheter vid införande av intelligenta </w:t>
            </w:r>
            <w:r>
              <w:lastRenderedPageBreak/>
              <w:t xml:space="preserve">trafiksystem finns i </w:t>
            </w:r>
            <w:r w:rsidRPr="005348E6">
              <w:rPr>
                <w:b/>
                <w:bCs/>
              </w:rPr>
              <w:t>landskapslag</w:t>
            </w:r>
            <w:r w:rsidR="00C30E92">
              <w:rPr>
                <w:b/>
                <w:bCs/>
              </w:rPr>
              <w:t>en</w:t>
            </w:r>
            <w:r w:rsidRPr="005348E6">
              <w:rPr>
                <w:b/>
                <w:bCs/>
              </w:rPr>
              <w:t xml:space="preserve"> om tillämpning av lagen om digitala informationstjänster för trafiksystemet.</w:t>
            </w:r>
          </w:p>
          <w:p w14:paraId="02D60ACC" w14:textId="5D6BC190" w:rsidR="00DF441C" w:rsidRPr="005348E6" w:rsidRDefault="00DF441C" w:rsidP="005348E6">
            <w:pPr>
              <w:pStyle w:val="ANormal"/>
            </w:pPr>
          </w:p>
        </w:tc>
      </w:tr>
      <w:tr w:rsidR="00DF441C" w14:paraId="5B273B35" w14:textId="77777777" w:rsidTr="00257ADC">
        <w:tc>
          <w:tcPr>
            <w:tcW w:w="2427" w:type="pct"/>
          </w:tcPr>
          <w:p w14:paraId="2346AA23" w14:textId="77777777" w:rsidR="00DF441C" w:rsidRDefault="00DF441C">
            <w:pPr>
              <w:pStyle w:val="ANormal"/>
            </w:pPr>
          </w:p>
        </w:tc>
        <w:tc>
          <w:tcPr>
            <w:tcW w:w="146" w:type="pct"/>
          </w:tcPr>
          <w:p w14:paraId="68F9D89B" w14:textId="77777777" w:rsidR="00DF441C" w:rsidRDefault="00DF441C">
            <w:pPr>
              <w:pStyle w:val="ANormal"/>
            </w:pPr>
          </w:p>
        </w:tc>
        <w:tc>
          <w:tcPr>
            <w:tcW w:w="2427" w:type="pct"/>
          </w:tcPr>
          <w:p w14:paraId="122997BB" w14:textId="77777777" w:rsidR="00DF441C" w:rsidRDefault="00DF441C">
            <w:pPr>
              <w:pStyle w:val="ANormal"/>
            </w:pPr>
          </w:p>
          <w:p w14:paraId="114E28A4" w14:textId="77777777" w:rsidR="00257ADC" w:rsidRDefault="00257ADC" w:rsidP="00257ADC">
            <w:pPr>
              <w:pStyle w:val="ANormal"/>
              <w:jc w:val="center"/>
            </w:pPr>
            <w:hyperlink w:anchor="_top" w:tooltip="Klicka för att gå till toppen av dokumentet" w:history="1">
              <w:r>
                <w:rPr>
                  <w:rStyle w:val="Hyperlnk"/>
                </w:rPr>
                <w:t>__________________</w:t>
              </w:r>
            </w:hyperlink>
          </w:p>
          <w:p w14:paraId="7E79E4A1" w14:textId="77777777" w:rsidR="00257ADC" w:rsidRDefault="00257ADC" w:rsidP="00257ADC">
            <w:pPr>
              <w:pStyle w:val="ANormal"/>
            </w:pPr>
          </w:p>
          <w:p w14:paraId="2544F884" w14:textId="77777777" w:rsidR="00257ADC" w:rsidRDefault="00257ADC" w:rsidP="00257ADC">
            <w:pPr>
              <w:pStyle w:val="ANormal"/>
            </w:pPr>
            <w:r>
              <w:tab/>
              <w:t>Denna lag träder i kraft den</w:t>
            </w:r>
          </w:p>
          <w:p w14:paraId="3DF1E80E" w14:textId="77777777" w:rsidR="00257ADC" w:rsidRDefault="00257ADC" w:rsidP="00257ADC">
            <w:pPr>
              <w:pStyle w:val="ANormal"/>
            </w:pPr>
          </w:p>
          <w:p w14:paraId="0BF1CE4F" w14:textId="77777777" w:rsidR="00257ADC" w:rsidRDefault="00257ADC">
            <w:pPr>
              <w:pStyle w:val="ANormal"/>
              <w:jc w:val="center"/>
            </w:pPr>
            <w:hyperlink w:anchor="_top" w:tooltip="Klicka för att gå till toppen av dokumentet" w:history="1">
              <w:r>
                <w:rPr>
                  <w:rStyle w:val="Hyperlnk"/>
                </w:rPr>
                <w:t>__________________</w:t>
              </w:r>
            </w:hyperlink>
          </w:p>
          <w:p w14:paraId="53F78E9F" w14:textId="77777777" w:rsidR="00DF441C" w:rsidRDefault="00DF441C">
            <w:pPr>
              <w:pStyle w:val="ANormal"/>
            </w:pPr>
          </w:p>
        </w:tc>
      </w:tr>
    </w:tbl>
    <w:p w14:paraId="79C47326" w14:textId="77777777" w:rsidR="00257ADC" w:rsidRPr="00257ADC" w:rsidRDefault="00257ADC" w:rsidP="00257ADC">
      <w:pPr>
        <w:pStyle w:val="ANormal"/>
      </w:pPr>
    </w:p>
    <w:p w14:paraId="6DE919E1" w14:textId="04603456" w:rsidR="005348E6" w:rsidRDefault="005348E6" w:rsidP="005348E6">
      <w:pPr>
        <w:pStyle w:val="ANormal"/>
        <w:jc w:val="center"/>
      </w:pPr>
      <w:hyperlink w:anchor="_top" w:tooltip="Klicka för att gå till toppen av dokumentet" w:history="1">
        <w:r>
          <w:rPr>
            <w:rStyle w:val="Hyperlnk"/>
          </w:rPr>
          <w:t>__________________</w:t>
        </w:r>
      </w:hyperlink>
    </w:p>
    <w:p w14:paraId="1ADCBEEE" w14:textId="77777777" w:rsidR="00E023D9" w:rsidRDefault="00E023D9">
      <w:pPr>
        <w:pStyle w:val="ANormal"/>
      </w:pPr>
    </w:p>
    <w:sectPr w:rsidR="00E023D9">
      <w:headerReference w:type="even" r:id="rId11"/>
      <w:headerReference w:type="default" r:id="rId12"/>
      <w:footerReference w:type="default" r:id="rId13"/>
      <w:type w:val="continuous"/>
      <w:pgSz w:w="11906" w:h="16838" w:code="9"/>
      <w:pgMar w:top="1134" w:right="2041"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49A87" w14:textId="77777777" w:rsidR="00E2395A" w:rsidRDefault="00E2395A">
      <w:r>
        <w:separator/>
      </w:r>
    </w:p>
  </w:endnote>
  <w:endnote w:type="continuationSeparator" w:id="0">
    <w:p w14:paraId="4E78B541" w14:textId="77777777" w:rsidR="00E2395A" w:rsidRDefault="00E23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E8708" w14:textId="77777777" w:rsidR="00E023D9" w:rsidRDefault="00E023D9">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32D5F" w14:textId="1BE1E49A" w:rsidR="00E023D9" w:rsidRDefault="00257ADC">
    <w:pPr>
      <w:pStyle w:val="Sidfot"/>
      <w:rPr>
        <w:lang w:val="fi-FI"/>
      </w:rPr>
    </w:pPr>
    <w:r>
      <w:t>LF</w:t>
    </w:r>
    <w:r w:rsidR="00B66C03">
      <w:t>10</w:t>
    </w:r>
    <w:r>
      <w:t>20252026-P.docx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522A" w14:textId="77777777" w:rsidR="00E023D9" w:rsidRDefault="00E023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D02E3" w14:textId="77777777" w:rsidR="00E2395A" w:rsidRDefault="00E2395A">
      <w:r>
        <w:separator/>
      </w:r>
    </w:p>
  </w:footnote>
  <w:footnote w:type="continuationSeparator" w:id="0">
    <w:p w14:paraId="3284FF62" w14:textId="77777777" w:rsidR="00E2395A" w:rsidRDefault="00E23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BF6F" w14:textId="77777777" w:rsidR="00E023D9" w:rsidRDefault="00E023D9">
    <w:pPr>
      <w:pStyle w:val="Sidhuvud"/>
      <w:ind w:left="-912"/>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46D4BF6E" w14:textId="77777777" w:rsidR="00E023D9" w:rsidRDefault="00E023D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39A32" w14:textId="77777777" w:rsidR="00E023D9" w:rsidRDefault="00E023D9">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203517524">
    <w:abstractNumId w:val="6"/>
  </w:num>
  <w:num w:numId="2" w16cid:durableId="571812430">
    <w:abstractNumId w:val="3"/>
  </w:num>
  <w:num w:numId="3" w16cid:durableId="828399252">
    <w:abstractNumId w:val="2"/>
  </w:num>
  <w:num w:numId="4" w16cid:durableId="521751417">
    <w:abstractNumId w:val="1"/>
  </w:num>
  <w:num w:numId="5" w16cid:durableId="641429424">
    <w:abstractNumId w:val="0"/>
  </w:num>
  <w:num w:numId="6" w16cid:durableId="339083586">
    <w:abstractNumId w:val="7"/>
  </w:num>
  <w:num w:numId="7" w16cid:durableId="1732849033">
    <w:abstractNumId w:val="5"/>
  </w:num>
  <w:num w:numId="8" w16cid:durableId="538934983">
    <w:abstractNumId w:val="4"/>
  </w:num>
  <w:num w:numId="9" w16cid:durableId="1709337205">
    <w:abstractNumId w:val="10"/>
  </w:num>
  <w:num w:numId="10" w16cid:durableId="1461876371">
    <w:abstractNumId w:val="13"/>
  </w:num>
  <w:num w:numId="11" w16cid:durableId="714089593">
    <w:abstractNumId w:val="12"/>
  </w:num>
  <w:num w:numId="12" w16cid:durableId="1654334719">
    <w:abstractNumId w:val="16"/>
  </w:num>
  <w:num w:numId="13" w16cid:durableId="19137267">
    <w:abstractNumId w:val="11"/>
  </w:num>
  <w:num w:numId="14" w16cid:durableId="1378578610">
    <w:abstractNumId w:val="15"/>
  </w:num>
  <w:num w:numId="15" w16cid:durableId="914127714">
    <w:abstractNumId w:val="9"/>
  </w:num>
  <w:num w:numId="16" w16cid:durableId="1056316511">
    <w:abstractNumId w:val="21"/>
  </w:num>
  <w:num w:numId="17" w16cid:durableId="256255119">
    <w:abstractNumId w:val="8"/>
  </w:num>
  <w:num w:numId="18" w16cid:durableId="1178694016">
    <w:abstractNumId w:val="17"/>
  </w:num>
  <w:num w:numId="19" w16cid:durableId="156658707">
    <w:abstractNumId w:val="20"/>
  </w:num>
  <w:num w:numId="20" w16cid:durableId="1923223025">
    <w:abstractNumId w:val="23"/>
  </w:num>
  <w:num w:numId="21" w16cid:durableId="419454127">
    <w:abstractNumId w:val="22"/>
  </w:num>
  <w:num w:numId="22" w16cid:durableId="41058230">
    <w:abstractNumId w:val="14"/>
  </w:num>
  <w:num w:numId="23" w16cid:durableId="1283465424">
    <w:abstractNumId w:val="18"/>
  </w:num>
  <w:num w:numId="24" w16cid:durableId="76828079">
    <w:abstractNumId w:val="18"/>
  </w:num>
  <w:num w:numId="25" w16cid:durableId="1700550290">
    <w:abstractNumId w:val="19"/>
  </w:num>
  <w:num w:numId="26" w16cid:durableId="1721980269">
    <w:abstractNumId w:val="14"/>
  </w:num>
  <w:num w:numId="27" w16cid:durableId="1946182515">
    <w:abstractNumId w:val="14"/>
  </w:num>
  <w:num w:numId="28" w16cid:durableId="250555503">
    <w:abstractNumId w:val="14"/>
  </w:num>
  <w:num w:numId="29" w16cid:durableId="1788962284">
    <w:abstractNumId w:val="14"/>
  </w:num>
  <w:num w:numId="30" w16cid:durableId="1486778873">
    <w:abstractNumId w:val="14"/>
  </w:num>
  <w:num w:numId="31" w16cid:durableId="953370722">
    <w:abstractNumId w:val="14"/>
  </w:num>
  <w:num w:numId="32" w16cid:durableId="188030839">
    <w:abstractNumId w:val="14"/>
  </w:num>
  <w:num w:numId="33" w16cid:durableId="1648196424">
    <w:abstractNumId w:val="14"/>
  </w:num>
  <w:num w:numId="34" w16cid:durableId="1474985502">
    <w:abstractNumId w:val="14"/>
  </w:num>
  <w:num w:numId="35" w16cid:durableId="160196569">
    <w:abstractNumId w:val="18"/>
  </w:num>
  <w:num w:numId="36" w16cid:durableId="846797368">
    <w:abstractNumId w:val="19"/>
  </w:num>
  <w:num w:numId="37" w16cid:durableId="379984748">
    <w:abstractNumId w:val="14"/>
  </w:num>
  <w:num w:numId="38" w16cid:durableId="834684181">
    <w:abstractNumId w:val="14"/>
  </w:num>
  <w:num w:numId="39" w16cid:durableId="1873378846">
    <w:abstractNumId w:val="14"/>
  </w:num>
  <w:num w:numId="40" w16cid:durableId="584649450">
    <w:abstractNumId w:val="14"/>
  </w:num>
  <w:num w:numId="41" w16cid:durableId="1921600364">
    <w:abstractNumId w:val="14"/>
  </w:num>
  <w:num w:numId="42" w16cid:durableId="848907677">
    <w:abstractNumId w:val="14"/>
  </w:num>
  <w:num w:numId="43" w16cid:durableId="1434132699">
    <w:abstractNumId w:val="14"/>
  </w:num>
  <w:num w:numId="44" w16cid:durableId="387807432">
    <w:abstractNumId w:val="14"/>
  </w:num>
  <w:num w:numId="45" w16cid:durableId="15460245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5A"/>
    <w:rsid w:val="001610EB"/>
    <w:rsid w:val="001B459E"/>
    <w:rsid w:val="00257ADC"/>
    <w:rsid w:val="00262245"/>
    <w:rsid w:val="00285A07"/>
    <w:rsid w:val="003028C4"/>
    <w:rsid w:val="00407EFE"/>
    <w:rsid w:val="00411F65"/>
    <w:rsid w:val="00505C57"/>
    <w:rsid w:val="005348E6"/>
    <w:rsid w:val="00700BAE"/>
    <w:rsid w:val="00A314BF"/>
    <w:rsid w:val="00B66C03"/>
    <w:rsid w:val="00C30E92"/>
    <w:rsid w:val="00CE2BDD"/>
    <w:rsid w:val="00D13B66"/>
    <w:rsid w:val="00DF441C"/>
    <w:rsid w:val="00E023D9"/>
    <w:rsid w:val="00E2395A"/>
    <w:rsid w:val="00FC6D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48B58F"/>
  <w15:chartTrackingRefBased/>
  <w15:docId w15:val="{A7ED83C8-596D-4E74-9FDF-1EBB0C249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48E6"/>
    <w:rPr>
      <w:sz w:val="24"/>
      <w:szCs w:val="24"/>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pPr>
      <w:tabs>
        <w:tab w:val="left" w:pos="283"/>
      </w:tabs>
      <w:jc w:val="both"/>
    </w:pPr>
    <w:rPr>
      <w:sz w:val="22"/>
    </w:rPr>
  </w:style>
  <w:style w:type="paragraph" w:customStyle="1" w:styleId="xLedtext">
    <w:name w:val="xLedtext"/>
    <w:rPr>
      <w:rFonts w:ascii="Verdana" w:hAnsi="Verdana" w:cs="Arial"/>
      <w:sz w:val="14"/>
      <w:szCs w:val="15"/>
    </w:rPr>
  </w:style>
  <w:style w:type="paragraph" w:customStyle="1" w:styleId="xDatum1">
    <w:name w:val="xDatum1"/>
    <w:basedOn w:val="xCelltext"/>
  </w:style>
  <w:style w:type="paragraph" w:customStyle="1" w:styleId="xCelltext">
    <w:name w:val="xCelltext"/>
    <w:rPr>
      <w:rFonts w:ascii="Arial" w:hAnsi="Arial"/>
      <w:sz w:val="18"/>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semiHidden/>
    <w:pPr>
      <w:widowControl w:val="0"/>
      <w:tabs>
        <w:tab w:val="right" w:leader="dot" w:pos="7938"/>
      </w:tabs>
      <w:ind w:right="284"/>
    </w:pPr>
    <w:rPr>
      <w:rFonts w:ascii="Verdana" w:hAnsi="Verdana"/>
      <w:noProof/>
      <w:sz w:val="16"/>
      <w:szCs w:val="36"/>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rPr>
  </w:style>
  <w:style w:type="paragraph" w:customStyle="1" w:styleId="ArendeRubrik">
    <w:name w:val="ArendeRubrik"/>
    <w:next w:val="ArendeUnderRubrik"/>
    <w:pPr>
      <w:suppressAutoHyphens/>
    </w:pPr>
    <w:rPr>
      <w:rFonts w:ascii="Arial" w:hAnsi="Arial" w:cs="Arial"/>
      <w:b/>
      <w:bCs/>
      <w:sz w:val="26"/>
    </w:rPr>
  </w:style>
  <w:style w:type="paragraph" w:customStyle="1" w:styleId="ArendeUnderRubrik">
    <w:name w:val="ArendeUnderRubrik"/>
    <w:pPr>
      <w:numPr>
        <w:numId w:val="35"/>
      </w:numPr>
      <w:suppressAutoHyphens/>
    </w:pPr>
    <w:rPr>
      <w:rFonts w:ascii="Verdana" w:hAnsi="Verdana" w:cs="Arial"/>
      <w:sz w:val="16"/>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9"/>
    </w:pPr>
    <w:rPr>
      <w:bCs w:val="0"/>
      <w:sz w:val="22"/>
    </w:rPr>
  </w:style>
  <w:style w:type="paragraph" w:customStyle="1" w:styleId="LagParagraf">
    <w:name w:val="LagParagraf"/>
    <w:basedOn w:val="LagKapitel"/>
    <w:next w:val="LagPararubrik"/>
    <w:rPr>
      <w:b w:val="0"/>
    </w:rPr>
  </w:style>
  <w:style w:type="paragraph" w:customStyle="1" w:styleId="LagPararubrik">
    <w:name w:val="LagPararubrik"/>
    <w:basedOn w:val="LagKapitel"/>
    <w:next w:val="ANormal"/>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character" w:styleId="Kommentarsreferens">
    <w:name w:val="annotation reference"/>
    <w:uiPriority w:val="99"/>
    <w:unhideWhenUsed/>
    <w:rsid w:val="00E2395A"/>
    <w:rPr>
      <w:sz w:val="16"/>
      <w:szCs w:val="16"/>
    </w:rPr>
  </w:style>
  <w:style w:type="paragraph" w:styleId="Kommentarer">
    <w:name w:val="annotation text"/>
    <w:basedOn w:val="Normal"/>
    <w:link w:val="KommentarerChar"/>
    <w:uiPriority w:val="99"/>
    <w:unhideWhenUsed/>
    <w:rsid w:val="00E2395A"/>
    <w:rPr>
      <w:sz w:val="20"/>
      <w:szCs w:val="20"/>
    </w:rPr>
  </w:style>
  <w:style w:type="character" w:customStyle="1" w:styleId="KommentarerChar">
    <w:name w:val="Kommentarer Char"/>
    <w:basedOn w:val="Standardstycketeckensnitt"/>
    <w:link w:val="Kommentarer"/>
    <w:uiPriority w:val="99"/>
    <w:rsid w:val="00E23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Mallar\Lagberedning\LS-Paralle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LS-Parallell.dot</Template>
  <TotalTime>2</TotalTime>
  <Pages>4</Pages>
  <Words>1392</Words>
  <Characters>7378</Characters>
  <Application>Microsoft Office Word</Application>
  <DocSecurity>0</DocSecurity>
  <Lines>61</Lines>
  <Paragraphs>17</Paragraphs>
  <ScaleCrop>false</ScaleCrop>
  <HeadingPairs>
    <vt:vector size="2" baseType="variant">
      <vt:variant>
        <vt:lpstr>Rubrik</vt:lpstr>
      </vt:variant>
      <vt:variant>
        <vt:i4>1</vt:i4>
      </vt:variant>
    </vt:vector>
  </HeadingPairs>
  <TitlesOfParts>
    <vt:vector size="1" baseType="lpstr">
      <vt:lpstr>NyLS-Parallell</vt:lpstr>
    </vt:vector>
  </TitlesOfParts>
  <Company>Ålands landskapsstyrelse</Company>
  <LinksUpToDate>false</LinksUpToDate>
  <CharactersWithSpaces>8753</CharactersWithSpaces>
  <SharedDoc>false</SharedDoc>
  <HLinks>
    <vt:vector size="12" baseType="variant">
      <vt:variant>
        <vt:i4>1310783</vt:i4>
      </vt:variant>
      <vt:variant>
        <vt:i4>8</vt:i4>
      </vt:variant>
      <vt:variant>
        <vt:i4>0</vt:i4>
      </vt:variant>
      <vt:variant>
        <vt:i4>5</vt:i4>
      </vt:variant>
      <vt:variant>
        <vt:lpwstr/>
      </vt:variant>
      <vt:variant>
        <vt:lpwstr>_Toc530991380</vt:lpwstr>
      </vt:variant>
      <vt:variant>
        <vt:i4>1769535</vt:i4>
      </vt:variant>
      <vt:variant>
        <vt:i4>2</vt:i4>
      </vt:variant>
      <vt:variant>
        <vt:i4>0</vt:i4>
      </vt:variant>
      <vt:variant>
        <vt:i4>5</vt:i4>
      </vt:variant>
      <vt:variant>
        <vt:lpwstr/>
      </vt:variant>
      <vt:variant>
        <vt:lpwstr>_Toc530991379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NyLS-Parallell</dc:title>
  <dc:subject>Ny parallellmall</dc:subject>
  <dc:creator>Patrik Lönngren</dc:creator>
  <cp:keywords/>
  <dc:description/>
  <cp:lastModifiedBy>Pia Grüssner</cp:lastModifiedBy>
  <cp:revision>2</cp:revision>
  <cp:lastPrinted>2026-02-24T11:18:00Z</cp:lastPrinted>
  <dcterms:created xsi:type="dcterms:W3CDTF">2026-02-26T08:15:00Z</dcterms:created>
  <dcterms:modified xsi:type="dcterms:W3CDTF">2026-02-26T08:15:00Z</dcterms:modified>
</cp:coreProperties>
</file>