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1D3E4AE9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7BA5F01B" w14:textId="5BA38446" w:rsidR="00337A19" w:rsidRDefault="00A7694D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4BB7AE6D" wp14:editId="2B165C34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27F92CF4" w14:textId="132A12F5" w:rsidR="00337A19" w:rsidRDefault="00A7694D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60AB75EB" wp14:editId="0709846E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292EBE33" w14:textId="77777777">
        <w:trPr>
          <w:cantSplit/>
          <w:trHeight w:val="299"/>
        </w:trPr>
        <w:tc>
          <w:tcPr>
            <w:tcW w:w="861" w:type="dxa"/>
            <w:vMerge/>
          </w:tcPr>
          <w:p w14:paraId="79CC7DF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5089AAF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26230976" w14:textId="3213F89F" w:rsidR="00337A19" w:rsidRDefault="00337A19" w:rsidP="009F1162">
            <w:pPr>
              <w:pStyle w:val="xDokTypNr"/>
            </w:pPr>
            <w:r>
              <w:t xml:space="preserve">BESLUT LTB </w:t>
            </w:r>
            <w:r w:rsidR="00A7694D">
              <w:t>5</w:t>
            </w:r>
            <w:r>
              <w:t>/20</w:t>
            </w:r>
            <w:r w:rsidR="00A7694D">
              <w:t>26</w:t>
            </w:r>
          </w:p>
        </w:tc>
      </w:tr>
      <w:tr w:rsidR="00337A19" w14:paraId="19D07417" w14:textId="77777777">
        <w:trPr>
          <w:cantSplit/>
          <w:trHeight w:val="238"/>
        </w:trPr>
        <w:tc>
          <w:tcPr>
            <w:tcW w:w="861" w:type="dxa"/>
            <w:vMerge/>
          </w:tcPr>
          <w:p w14:paraId="01436533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18E119F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1246CE2B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415FF896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40938E17" w14:textId="77777777">
        <w:trPr>
          <w:cantSplit/>
          <w:trHeight w:val="238"/>
        </w:trPr>
        <w:tc>
          <w:tcPr>
            <w:tcW w:w="861" w:type="dxa"/>
            <w:vMerge/>
          </w:tcPr>
          <w:p w14:paraId="6D024D33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0C589C3C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3E6E6344" w14:textId="5CC59E94" w:rsidR="00337A19" w:rsidRDefault="00337A19">
            <w:pPr>
              <w:pStyle w:val="xDatum1"/>
            </w:pPr>
            <w:r>
              <w:t>20</w:t>
            </w:r>
            <w:r w:rsidR="00A7694D">
              <w:t>26-03-16</w:t>
            </w:r>
          </w:p>
        </w:tc>
        <w:tc>
          <w:tcPr>
            <w:tcW w:w="2563" w:type="dxa"/>
            <w:vAlign w:val="center"/>
          </w:tcPr>
          <w:p w14:paraId="2BE30DC2" w14:textId="61298D22" w:rsidR="00337A19" w:rsidRDefault="00A7694D">
            <w:pPr>
              <w:pStyle w:val="xBeteckning1"/>
            </w:pPr>
            <w:r>
              <w:t>LF 8/</w:t>
            </w:r>
            <w:proofErr w:type="gramStart"/>
            <w:r>
              <w:t>2025-2026</w:t>
            </w:r>
            <w:proofErr w:type="gramEnd"/>
          </w:p>
        </w:tc>
      </w:tr>
      <w:tr w:rsidR="00337A19" w14:paraId="43F5C1C2" w14:textId="77777777">
        <w:trPr>
          <w:cantSplit/>
          <w:trHeight w:val="238"/>
        </w:trPr>
        <w:tc>
          <w:tcPr>
            <w:tcW w:w="861" w:type="dxa"/>
            <w:vMerge/>
          </w:tcPr>
          <w:p w14:paraId="77BECE30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DF8EC5D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1909F67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243FF063" w14:textId="77777777" w:rsidR="00337A19" w:rsidRDefault="00337A19">
            <w:pPr>
              <w:pStyle w:val="xLedtext"/>
            </w:pPr>
          </w:p>
        </w:tc>
      </w:tr>
      <w:tr w:rsidR="00337A19" w14:paraId="1746CC59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461712DE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E3BB9A4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544DD777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494FD90E" w14:textId="77777777" w:rsidR="00337A19" w:rsidRDefault="00337A19">
            <w:pPr>
              <w:pStyle w:val="xBeteckning2"/>
            </w:pPr>
          </w:p>
        </w:tc>
      </w:tr>
      <w:tr w:rsidR="00337A19" w14:paraId="4EBF84F5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121A3924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130EE682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3DADC731" w14:textId="77777777" w:rsidR="00337A19" w:rsidRDefault="00337A19">
            <w:pPr>
              <w:pStyle w:val="xLedtext"/>
            </w:pPr>
          </w:p>
        </w:tc>
      </w:tr>
      <w:tr w:rsidR="00337A19" w14:paraId="1C0C6E8D" w14:textId="77777777">
        <w:trPr>
          <w:cantSplit/>
          <w:trHeight w:val="238"/>
        </w:trPr>
        <w:tc>
          <w:tcPr>
            <w:tcW w:w="861" w:type="dxa"/>
          </w:tcPr>
          <w:p w14:paraId="245C82E6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0C166782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528D914F" w14:textId="77777777" w:rsidR="00337A19" w:rsidRDefault="00337A19">
            <w:pPr>
              <w:pStyle w:val="xCelltext"/>
            </w:pPr>
          </w:p>
        </w:tc>
      </w:tr>
    </w:tbl>
    <w:p w14:paraId="23F9CB73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40FEC568" w14:textId="77777777" w:rsidR="00337A19" w:rsidRDefault="00337A19">
      <w:pPr>
        <w:pStyle w:val="ArendeOverRubrik"/>
      </w:pPr>
      <w:r>
        <w:t>Ålands lagtings beslut om antagande av</w:t>
      </w:r>
    </w:p>
    <w:p w14:paraId="1320BDC7" w14:textId="5A999CCB" w:rsidR="00A7694D" w:rsidRPr="00A7694D" w:rsidRDefault="00337A19" w:rsidP="00A7694D">
      <w:pPr>
        <w:pStyle w:val="ArendeRubrik"/>
        <w:outlineLvl w:val="0"/>
      </w:pPr>
      <w:bookmarkStart w:id="1" w:name="_Toc65564307"/>
      <w:r>
        <w:t>Landskapslag</w:t>
      </w:r>
      <w:bookmarkEnd w:id="1"/>
      <w:r w:rsidR="00A7694D">
        <w:t xml:space="preserve"> </w:t>
      </w:r>
      <w:r w:rsidR="00A7694D" w:rsidRPr="00214126">
        <w:rPr>
          <w:lang w:val="sv-FI"/>
        </w:rPr>
        <w:t xml:space="preserve">om </w:t>
      </w:r>
      <w:r w:rsidR="00A7694D" w:rsidRPr="00E72AB9">
        <w:t>tillämpning av Europeiska unionens statsstödsregler</w:t>
      </w:r>
    </w:p>
    <w:p w14:paraId="46EE2B20" w14:textId="77777777" w:rsidR="00337A19" w:rsidRDefault="00337A19">
      <w:pPr>
        <w:pStyle w:val="ANormal"/>
      </w:pPr>
    </w:p>
    <w:p w14:paraId="619F7A65" w14:textId="77777777" w:rsidR="00A7694D" w:rsidRPr="00E72AB9" w:rsidRDefault="00337A19" w:rsidP="00A7694D">
      <w:pPr>
        <w:pStyle w:val="ANormal"/>
      </w:pPr>
      <w:r>
        <w:tab/>
        <w:t xml:space="preserve">I enlighet med lagtingets beslut </w:t>
      </w:r>
      <w:r w:rsidR="00A7694D" w:rsidRPr="00E72AB9">
        <w:t>föreskrivs:</w:t>
      </w:r>
    </w:p>
    <w:p w14:paraId="3E276EF0" w14:textId="77777777" w:rsidR="00A7694D" w:rsidRPr="00E72AB9" w:rsidRDefault="00A7694D" w:rsidP="00A7694D">
      <w:pPr>
        <w:pStyle w:val="ANormal"/>
      </w:pPr>
      <w:bookmarkStart w:id="2" w:name="_Hlk210222043"/>
    </w:p>
    <w:p w14:paraId="09D7C11C" w14:textId="77777777" w:rsidR="00A7694D" w:rsidRPr="00E72AB9" w:rsidRDefault="00A7694D" w:rsidP="00A7694D">
      <w:pPr>
        <w:pStyle w:val="LagParagraf"/>
      </w:pPr>
      <w:bookmarkStart w:id="3" w:name="_Hlk210223170"/>
      <w:r w:rsidRPr="00E72AB9">
        <w:t>1 §</w:t>
      </w:r>
    </w:p>
    <w:p w14:paraId="3518136F" w14:textId="77777777" w:rsidR="00A7694D" w:rsidRPr="00E72AB9" w:rsidRDefault="00A7694D" w:rsidP="00A7694D">
      <w:pPr>
        <w:pStyle w:val="LagPararubrik"/>
      </w:pPr>
      <w:r w:rsidRPr="00E72AB9">
        <w:t>Tillämpningsområde</w:t>
      </w:r>
    </w:p>
    <w:p w14:paraId="77AE4F01" w14:textId="77777777" w:rsidR="00A7694D" w:rsidRPr="00E72AB9" w:rsidRDefault="00A7694D" w:rsidP="00A7694D">
      <w:pPr>
        <w:pStyle w:val="ANormal"/>
      </w:pPr>
      <w:r w:rsidRPr="00E72AB9">
        <w:tab/>
        <w:t>Denna lag innehåller bestämmelser om tillämpning av Europeiska unionens statsstödsregler.</w:t>
      </w:r>
    </w:p>
    <w:p w14:paraId="7519D6B7" w14:textId="77777777" w:rsidR="00A7694D" w:rsidRPr="00E72AB9" w:rsidRDefault="00A7694D" w:rsidP="00A7694D">
      <w:pPr>
        <w:pStyle w:val="ANormal"/>
      </w:pPr>
      <w:r w:rsidRPr="00E72AB9">
        <w:tab/>
        <w:t>Lagen tillämpas på landskaps- och kommunala myndigheter, t</w:t>
      </w:r>
      <w:r w:rsidRPr="00E72AB9">
        <w:rPr>
          <w:szCs w:val="22"/>
        </w:rPr>
        <w:t xml:space="preserve">ill Ålands lagting ansluten förvaltning, landskapets affärsverk och på av dessa inrättade </w:t>
      </w:r>
      <w:bookmarkStart w:id="4" w:name="_Hlk210226001"/>
      <w:r w:rsidRPr="00E72AB9">
        <w:rPr>
          <w:szCs w:val="22"/>
        </w:rPr>
        <w:t xml:space="preserve">offentliga företag eller offentligrättsliga inrättningar </w:t>
      </w:r>
      <w:bookmarkStart w:id="5" w:name="_Hlk210226120"/>
      <w:bookmarkEnd w:id="4"/>
      <w:r w:rsidRPr="00E72AB9">
        <w:rPr>
          <w:szCs w:val="22"/>
        </w:rPr>
        <w:t>då dessa med landskaps- eller kommunala offentliga medel beviljar stöd</w:t>
      </w:r>
      <w:bookmarkEnd w:id="5"/>
      <w:r w:rsidRPr="00E72AB9">
        <w:rPr>
          <w:szCs w:val="22"/>
        </w:rPr>
        <w:t xml:space="preserve"> enligt </w:t>
      </w:r>
      <w:r w:rsidRPr="00E72AB9">
        <w:t>Europeiska unionens statsstödsregler.</w:t>
      </w:r>
    </w:p>
    <w:p w14:paraId="7B4F2655" w14:textId="77777777" w:rsidR="00A7694D" w:rsidRPr="00E72AB9" w:rsidRDefault="00A7694D" w:rsidP="00A7694D">
      <w:pPr>
        <w:pStyle w:val="ANormal"/>
        <w:rPr>
          <w:szCs w:val="22"/>
        </w:rPr>
      </w:pPr>
      <w:r w:rsidRPr="00E72AB9">
        <w:rPr>
          <w:szCs w:val="22"/>
        </w:rPr>
        <w:tab/>
        <w:t>Denna lag tillämpas om inte annat föreskrivs i annan lag eller i EU-lagstiftning.</w:t>
      </w:r>
    </w:p>
    <w:bookmarkEnd w:id="2"/>
    <w:p w14:paraId="267E94D3" w14:textId="77777777" w:rsidR="00A7694D" w:rsidRPr="00E72AB9" w:rsidRDefault="00A7694D" w:rsidP="00A7694D">
      <w:pPr>
        <w:pStyle w:val="ANormal"/>
        <w:rPr>
          <w:szCs w:val="22"/>
        </w:rPr>
      </w:pPr>
    </w:p>
    <w:p w14:paraId="61202590" w14:textId="77777777" w:rsidR="00A7694D" w:rsidRPr="00E72AB9" w:rsidRDefault="00A7694D" w:rsidP="00A7694D">
      <w:pPr>
        <w:pStyle w:val="LagParagraf"/>
        <w:rPr>
          <w:szCs w:val="22"/>
        </w:rPr>
      </w:pPr>
      <w:r w:rsidRPr="00E72AB9">
        <w:t>2 §</w:t>
      </w:r>
    </w:p>
    <w:p w14:paraId="294DE705" w14:textId="77777777" w:rsidR="00A7694D" w:rsidRPr="00E72AB9" w:rsidRDefault="00A7694D" w:rsidP="00A7694D">
      <w:pPr>
        <w:pStyle w:val="LagPararubrik"/>
      </w:pPr>
      <w:r w:rsidRPr="00E72AB9">
        <w:t>Skyldighet att offentliggöra uppgifter om stöd och att iaktta öppenhet</w:t>
      </w:r>
    </w:p>
    <w:p w14:paraId="2CA47F43" w14:textId="77777777" w:rsidR="00A7694D" w:rsidRPr="00E72AB9" w:rsidRDefault="00A7694D" w:rsidP="00A7694D">
      <w:pPr>
        <w:pStyle w:val="ANormal"/>
        <w:rPr>
          <w:szCs w:val="22"/>
        </w:rPr>
      </w:pPr>
      <w:r w:rsidRPr="00E72AB9">
        <w:rPr>
          <w:szCs w:val="22"/>
        </w:rPr>
        <w:tab/>
        <w:t>Bestämmelser om skyldighet för de myndigheter och aktörer som avses i 1 § 2 mom. att anmäla uppgifter för offentliggörande när de beviljar stöd finns i de gruppundantagsförordningar som antagits av kommissionen med stöd av artikel 1 i rådets förordning (EU) 2015/1588 om tillämpningen av artiklarna 107 och 108 i fördraget om Europeiska unionens funktionssätt på vissa slag av övergripande statligt stöd.</w:t>
      </w:r>
    </w:p>
    <w:p w14:paraId="3DB2FC04" w14:textId="77777777" w:rsidR="00A7694D" w:rsidRPr="00E72AB9" w:rsidRDefault="00A7694D" w:rsidP="00A7694D">
      <w:pPr>
        <w:pStyle w:val="ANormal"/>
        <w:rPr>
          <w:szCs w:val="22"/>
        </w:rPr>
      </w:pPr>
      <w:r w:rsidRPr="00E72AB9">
        <w:rPr>
          <w:szCs w:val="22"/>
        </w:rPr>
        <w:tab/>
        <w:t>Om beviljande av ett statligt stöd grundar sig på ett kommissionsbeslut som fattats genom ett anmälningsförfarande enligt artikel 108.3 i fördraget om Europeiska unionens funktionssätt, ska de myndigheter och aktörer som avses i 1 § 2 mom. iaktta de skyldigheter i fråga om offentliggörande och öppenhet som nämns i det beslutet.</w:t>
      </w:r>
    </w:p>
    <w:p w14:paraId="167AF4A8" w14:textId="77777777" w:rsidR="00A7694D" w:rsidRPr="00E72AB9" w:rsidRDefault="00A7694D" w:rsidP="00A7694D">
      <w:pPr>
        <w:pStyle w:val="ANormal"/>
      </w:pPr>
    </w:p>
    <w:p w14:paraId="06088449" w14:textId="77777777" w:rsidR="00A7694D" w:rsidRPr="00E72AB9" w:rsidRDefault="00A7694D" w:rsidP="00A7694D">
      <w:pPr>
        <w:pStyle w:val="LagParagraf"/>
      </w:pPr>
      <w:r w:rsidRPr="00E72AB9">
        <w:t>3 §</w:t>
      </w:r>
    </w:p>
    <w:p w14:paraId="0FC7A14A" w14:textId="77777777" w:rsidR="00A7694D" w:rsidRPr="00E72AB9" w:rsidRDefault="00A7694D" w:rsidP="00A7694D">
      <w:pPr>
        <w:pStyle w:val="LagPararubrik"/>
      </w:pPr>
      <w:r w:rsidRPr="00E72AB9">
        <w:t xml:space="preserve">Skyldighet att </w:t>
      </w:r>
      <w:bookmarkStart w:id="6" w:name="_Hlk210645719"/>
      <w:r w:rsidRPr="00E72AB9">
        <w:t>övervaka och rapportera stöd av mindre betydelse</w:t>
      </w:r>
      <w:bookmarkEnd w:id="6"/>
    </w:p>
    <w:p w14:paraId="78835345" w14:textId="07615717" w:rsidR="00A7694D" w:rsidRPr="00E72AB9" w:rsidRDefault="00A7694D" w:rsidP="00A7694D">
      <w:pPr>
        <w:pStyle w:val="ANormal"/>
      </w:pPr>
      <w:r w:rsidRPr="00E72AB9">
        <w:tab/>
        <w:t xml:space="preserve">Om det föreskrivs om registreringskrav i ett centralt register gällande stöd av mindre betydelse i </w:t>
      </w:r>
      <w:r w:rsidRPr="00E72AB9">
        <w:rPr>
          <w:szCs w:val="22"/>
        </w:rPr>
        <w:t xml:space="preserve">de förordningar som har antagits av Europeiska kommissionen med stöd av artikel 2 i rådets förordning (EU) 2015/1588 om tillämpningen av artiklarna 107 och 108 i fördraget om Europeiska unionens funktionssätt på vissa slag av övergripande statligt stöd, ansvarar den myndighet eller aktör i 1 § 2 mom. </w:t>
      </w:r>
      <w:r w:rsidRPr="00E72AB9">
        <w:t>som beviljat stödet för att</w:t>
      </w:r>
    </w:p>
    <w:p w14:paraId="611E7187" w14:textId="77777777" w:rsidR="00A7694D" w:rsidRPr="00E72AB9" w:rsidRDefault="00A7694D" w:rsidP="00A7694D">
      <w:pPr>
        <w:pStyle w:val="ANormal"/>
      </w:pPr>
      <w:r w:rsidRPr="00E72AB9">
        <w:tab/>
        <w:t>1) förutsättningarna för beviljandet av stödet är uppfyllda,</w:t>
      </w:r>
    </w:p>
    <w:p w14:paraId="67F644CC" w14:textId="77777777" w:rsidR="00A7694D" w:rsidRPr="00E72AB9" w:rsidRDefault="00A7694D" w:rsidP="00A7694D">
      <w:pPr>
        <w:pStyle w:val="ANormal"/>
      </w:pPr>
      <w:r w:rsidRPr="00E72AB9">
        <w:tab/>
        <w:t>2) stödet övervakas,</w:t>
      </w:r>
    </w:p>
    <w:p w14:paraId="6DBA3081" w14:textId="77777777" w:rsidR="00A7694D" w:rsidRPr="00E72AB9" w:rsidRDefault="00A7694D" w:rsidP="00A7694D">
      <w:pPr>
        <w:pStyle w:val="ANormal"/>
      </w:pPr>
      <w:r w:rsidRPr="00E72AB9">
        <w:tab/>
        <w:t>3) uppgifter om stödet i den omfattning och på det sätt som kommissionen bestämt bevaras och lämnas till det centrala registret på unionsnivå.</w:t>
      </w:r>
    </w:p>
    <w:p w14:paraId="1AE3C25F" w14:textId="77777777" w:rsidR="00A7694D" w:rsidRPr="00E72AB9" w:rsidRDefault="00A7694D" w:rsidP="00A7694D">
      <w:pPr>
        <w:pStyle w:val="ANormal"/>
      </w:pPr>
      <w:r w:rsidRPr="00E72AB9">
        <w:tab/>
        <w:t>Behövliga uppgifter som kommissionen bestämt för att övervaka och rapportera stöd av mindre betydelse ska lämnas till det centrala registret på unionsnivå trots bestämmelser om sekretess.</w:t>
      </w:r>
    </w:p>
    <w:p w14:paraId="2EA47394" w14:textId="77777777" w:rsidR="00A7694D" w:rsidRPr="00E72AB9" w:rsidRDefault="00A7694D" w:rsidP="00A7694D">
      <w:pPr>
        <w:pStyle w:val="ANormal"/>
      </w:pPr>
      <w:r w:rsidRPr="00E72AB9">
        <w:tab/>
        <w:t>Landskapsregeringen kan genom landskapsförordning utfärda närmare bestämmelser om de skyldigheter som avses i 1 mom.</w:t>
      </w:r>
    </w:p>
    <w:p w14:paraId="75F2D006" w14:textId="77777777" w:rsidR="00A7694D" w:rsidRPr="00E72AB9" w:rsidRDefault="00A7694D" w:rsidP="00A7694D">
      <w:pPr>
        <w:pStyle w:val="ANormal"/>
      </w:pPr>
      <w:bookmarkStart w:id="7" w:name="_Hlk210292483"/>
      <w:bookmarkEnd w:id="3"/>
    </w:p>
    <w:p w14:paraId="7F237F85" w14:textId="77777777" w:rsidR="00A7694D" w:rsidRPr="00E72AB9" w:rsidRDefault="00A7694D" w:rsidP="00A7694D">
      <w:pPr>
        <w:pStyle w:val="LagParagraf"/>
      </w:pPr>
      <w:r w:rsidRPr="00E72AB9">
        <w:t>4 §</w:t>
      </w:r>
    </w:p>
    <w:p w14:paraId="0FE00F93" w14:textId="77777777" w:rsidR="00A7694D" w:rsidRPr="00E72AB9" w:rsidRDefault="00A7694D" w:rsidP="00A7694D">
      <w:pPr>
        <w:pStyle w:val="LagPararubrik"/>
      </w:pPr>
      <w:r w:rsidRPr="00E72AB9">
        <w:lastRenderedPageBreak/>
        <w:t>Kontrollbesök hos företag</w:t>
      </w:r>
    </w:p>
    <w:p w14:paraId="21C2306E" w14:textId="77777777" w:rsidR="00A7694D" w:rsidRPr="00E72AB9" w:rsidRDefault="00A7694D" w:rsidP="00A7694D">
      <w:pPr>
        <w:pStyle w:val="ANormal"/>
      </w:pPr>
      <w:r w:rsidRPr="00E72AB9">
        <w:tab/>
        <w:t>Då Europeiska kommissionen beslutar om att genomföra kontrollbesök på ort och ställe hos företag enligt rådets förordning (EU) 2015/1589 tar Ålands landskapsregering emot underrättelsen om kontrollbesöket och meddelar företaget. Tjänstemän från landskapsregeringen och övriga tjänstemän som ansvarar för stödet får närvara vid kontrollbesöket.</w:t>
      </w:r>
    </w:p>
    <w:p w14:paraId="31C89E04" w14:textId="77777777" w:rsidR="00A7694D" w:rsidRPr="00E72AB9" w:rsidRDefault="00A7694D" w:rsidP="00A7694D">
      <w:pPr>
        <w:pStyle w:val="ANormal"/>
      </w:pPr>
      <w:r w:rsidRPr="00E72AB9">
        <w:tab/>
        <w:t>Om företaget motsätter sig kontrollbesöket och förhindrar att det genomförs ska polisen lämna handräckning för att kommissionen ska kunna genomföra kontrollbesöket. Bestämmelser om handräckning finns i 9 kap. 1 § i polislagen (FFS 872/2011), tillämplig på Åland enligt landskapslagen (2021:12) om tillämpning på Åland av polislagen. Begäran om handräckning ska lämnas till Ålands polismyndighet av landskapsregeringen.</w:t>
      </w:r>
    </w:p>
    <w:p w14:paraId="7862BFD0" w14:textId="77777777" w:rsidR="00A7694D" w:rsidRPr="00E72AB9" w:rsidRDefault="00A7694D" w:rsidP="00A7694D">
      <w:pPr>
        <w:pStyle w:val="ANormal"/>
      </w:pPr>
    </w:p>
    <w:p w14:paraId="7F658FE3" w14:textId="77777777" w:rsidR="00A7694D" w:rsidRPr="00E72AB9" w:rsidRDefault="00A7694D" w:rsidP="00A7694D">
      <w:pPr>
        <w:pStyle w:val="LagParagraf"/>
      </w:pPr>
      <w:r w:rsidRPr="00E72AB9">
        <w:t>5 §</w:t>
      </w:r>
    </w:p>
    <w:p w14:paraId="764DE515" w14:textId="77777777" w:rsidR="00A7694D" w:rsidRPr="00E72AB9" w:rsidRDefault="00A7694D" w:rsidP="00A7694D">
      <w:pPr>
        <w:pStyle w:val="LagPararubrik"/>
        <w:rPr>
          <w:i w:val="0"/>
          <w:iCs w:val="0"/>
        </w:rPr>
      </w:pPr>
      <w:r w:rsidRPr="00E72AB9">
        <w:t>Ändringssökande</w:t>
      </w:r>
    </w:p>
    <w:p w14:paraId="255A4CF1" w14:textId="77777777" w:rsidR="00A7694D" w:rsidRPr="00E72AB9" w:rsidRDefault="00A7694D" w:rsidP="00A7694D">
      <w:pPr>
        <w:pStyle w:val="ANormal"/>
      </w:pPr>
      <w:r w:rsidRPr="00E72AB9">
        <w:tab/>
        <w:t>Beslut som meddelats med stöd av denna lag får överklagas genom besvär hos Ålands förvaltningsdomstol. Besvär över beslut som fattats av landskapsregeringen anförs dock hos Högsta förvaltningsdomstolen.</w:t>
      </w:r>
    </w:p>
    <w:p w14:paraId="14468C33" w14:textId="77777777" w:rsidR="00A7694D" w:rsidRPr="00E72AB9" w:rsidRDefault="00A7694D" w:rsidP="00A7694D">
      <w:pPr>
        <w:pStyle w:val="ANormal"/>
      </w:pPr>
    </w:p>
    <w:p w14:paraId="717D416A" w14:textId="77777777" w:rsidR="00A7694D" w:rsidRPr="00E72AB9" w:rsidRDefault="00A7694D" w:rsidP="00A7694D">
      <w:pPr>
        <w:pStyle w:val="LagParagraf"/>
      </w:pPr>
      <w:r w:rsidRPr="00E72AB9">
        <w:t>6 §</w:t>
      </w:r>
    </w:p>
    <w:p w14:paraId="6D4364E2" w14:textId="77777777" w:rsidR="00A7694D" w:rsidRPr="00E72AB9" w:rsidRDefault="00A7694D" w:rsidP="00A7694D">
      <w:pPr>
        <w:pStyle w:val="LagPararubrik"/>
      </w:pPr>
      <w:r w:rsidRPr="00E72AB9">
        <w:t>Ikraftträdande</w:t>
      </w:r>
    </w:p>
    <w:p w14:paraId="4D82292A" w14:textId="77777777" w:rsidR="00A7694D" w:rsidRPr="00E72AB9" w:rsidRDefault="00A7694D" w:rsidP="00A7694D">
      <w:pPr>
        <w:pStyle w:val="ANormal"/>
      </w:pPr>
      <w:r w:rsidRPr="00E72AB9">
        <w:tab/>
        <w:t xml:space="preserve">Denna lag träder i kraft den </w:t>
      </w:r>
      <w:proofErr w:type="gramStart"/>
      <w:r w:rsidRPr="00E72AB9">
        <w:t xml:space="preserve">  .</w:t>
      </w:r>
      <w:proofErr w:type="gramEnd"/>
    </w:p>
    <w:p w14:paraId="1571FBDD" w14:textId="77777777" w:rsidR="00A7694D" w:rsidRPr="00E72AB9" w:rsidRDefault="00A7694D" w:rsidP="00A7694D">
      <w:pPr>
        <w:pStyle w:val="ANormal"/>
      </w:pPr>
    </w:p>
    <w:bookmarkEnd w:id="7"/>
    <w:p w14:paraId="50D80B53" w14:textId="77777777" w:rsidR="00A7694D" w:rsidRPr="00E72AB9" w:rsidRDefault="00A7694D" w:rsidP="00A7694D">
      <w:pPr>
        <w:pStyle w:val="ANormal"/>
        <w:jc w:val="center"/>
      </w:pPr>
      <w:r w:rsidRPr="00E72AB9">
        <w:fldChar w:fldCharType="begin"/>
      </w:r>
      <w:r w:rsidRPr="00E72AB9">
        <w:instrText>HYPERLINK \l "_top" \o "Klicka för att gå till toppen av dokumentet"</w:instrText>
      </w:r>
      <w:r w:rsidRPr="00E72AB9">
        <w:fldChar w:fldCharType="separate"/>
      </w:r>
      <w:r w:rsidRPr="00E72AB9">
        <w:rPr>
          <w:rStyle w:val="Hyperlnk"/>
        </w:rPr>
        <w:t>__________________</w:t>
      </w:r>
      <w:r w:rsidRPr="00E72AB9">
        <w:fldChar w:fldCharType="end"/>
      </w:r>
    </w:p>
    <w:p w14:paraId="39F93986" w14:textId="0B375848" w:rsidR="00337A19" w:rsidRDefault="00337A19" w:rsidP="005C5E44">
      <w:pPr>
        <w:pStyle w:val="ANormal"/>
        <w:suppressAutoHyphens/>
        <w:outlineLvl w:val="0"/>
      </w:pPr>
    </w:p>
    <w:p w14:paraId="2920ADC9" w14:textId="77777777" w:rsidR="00337A19" w:rsidRDefault="00337A19">
      <w:pPr>
        <w:pStyle w:val="ANormal"/>
      </w:pPr>
      <w:r>
        <w:tab/>
      </w:r>
    </w:p>
    <w:p w14:paraId="65B7C545" w14:textId="77777777" w:rsidR="00337A19" w:rsidRDefault="00337A19">
      <w:pPr>
        <w:pStyle w:val="ANormal"/>
      </w:pPr>
    </w:p>
    <w:p w14:paraId="5617CC52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0CF792D6" w14:textId="77777777">
        <w:trPr>
          <w:cantSplit/>
        </w:trPr>
        <w:tc>
          <w:tcPr>
            <w:tcW w:w="6706" w:type="dxa"/>
            <w:gridSpan w:val="2"/>
          </w:tcPr>
          <w:p w14:paraId="6A0640F9" w14:textId="0ADEE96F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A7694D">
              <w:t>16 mars 2026</w:t>
            </w:r>
          </w:p>
        </w:tc>
      </w:tr>
      <w:tr w:rsidR="00337A19" w14:paraId="5E225983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10C8D152" w14:textId="77777777" w:rsidR="00337A19" w:rsidRDefault="00337A19">
            <w:pPr>
              <w:pStyle w:val="ANormal"/>
              <w:keepNext/>
            </w:pPr>
          </w:p>
          <w:p w14:paraId="0312E566" w14:textId="77777777" w:rsidR="00337A19" w:rsidRDefault="00337A19">
            <w:pPr>
              <w:pStyle w:val="ANormal"/>
              <w:keepNext/>
            </w:pPr>
          </w:p>
          <w:p w14:paraId="06F72CC9" w14:textId="77777777" w:rsidR="00337A19" w:rsidRDefault="00337A19">
            <w:pPr>
              <w:pStyle w:val="ANormal"/>
              <w:keepNext/>
            </w:pPr>
          </w:p>
          <w:p w14:paraId="537DCD5F" w14:textId="40084B90" w:rsidR="00337A19" w:rsidRDefault="00A7694D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1C3CA8BF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586F0FD7" w14:textId="77777777">
        <w:tc>
          <w:tcPr>
            <w:tcW w:w="3353" w:type="dxa"/>
            <w:vAlign w:val="bottom"/>
          </w:tcPr>
          <w:p w14:paraId="66D0E448" w14:textId="77777777" w:rsidR="00337A19" w:rsidRDefault="00337A19">
            <w:pPr>
              <w:pStyle w:val="ANormal"/>
              <w:keepNext/>
              <w:jc w:val="center"/>
            </w:pPr>
          </w:p>
          <w:p w14:paraId="76D29B5C" w14:textId="77777777" w:rsidR="00337A19" w:rsidRDefault="00337A19">
            <w:pPr>
              <w:pStyle w:val="ANormal"/>
              <w:keepNext/>
              <w:jc w:val="center"/>
            </w:pPr>
          </w:p>
          <w:p w14:paraId="089F0645" w14:textId="50A3E46D" w:rsidR="00337A19" w:rsidRDefault="00A7694D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</w:t>
            </w:r>
          </w:p>
          <w:p w14:paraId="57C043A1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05EF6B08" w14:textId="77777777" w:rsidR="00337A19" w:rsidRDefault="00337A19">
            <w:pPr>
              <w:pStyle w:val="ANormal"/>
              <w:keepNext/>
              <w:jc w:val="center"/>
            </w:pPr>
          </w:p>
          <w:p w14:paraId="4CE9C8D4" w14:textId="77777777" w:rsidR="00337A19" w:rsidRDefault="00337A19">
            <w:pPr>
              <w:pStyle w:val="ANormal"/>
              <w:keepNext/>
              <w:jc w:val="center"/>
            </w:pPr>
          </w:p>
          <w:p w14:paraId="3FCA4C53" w14:textId="044B688E" w:rsidR="00337A19" w:rsidRDefault="00A7694D">
            <w:pPr>
              <w:pStyle w:val="ANormal"/>
              <w:keepNext/>
              <w:jc w:val="center"/>
            </w:pPr>
            <w:r>
              <w:t>Pernilla Söderlund</w:t>
            </w:r>
          </w:p>
          <w:p w14:paraId="4EDEE7CA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37BF94AE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122B" w14:textId="77777777" w:rsidR="00A7694D" w:rsidRDefault="00A7694D">
      <w:r>
        <w:separator/>
      </w:r>
    </w:p>
  </w:endnote>
  <w:endnote w:type="continuationSeparator" w:id="0">
    <w:p w14:paraId="1B318B63" w14:textId="77777777" w:rsidR="00A7694D" w:rsidRDefault="00A7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B320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FFAC" w14:textId="77777777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A7694D">
      <w:rPr>
        <w:noProof/>
        <w:lang w:val="fi-FI"/>
      </w:rPr>
      <w:t>Dokument1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D45D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E1C1" w14:textId="77777777" w:rsidR="00A7694D" w:rsidRDefault="00A7694D">
      <w:r>
        <w:separator/>
      </w:r>
    </w:p>
  </w:footnote>
  <w:footnote w:type="continuationSeparator" w:id="0">
    <w:p w14:paraId="1A4B4451" w14:textId="77777777" w:rsidR="00A7694D" w:rsidRDefault="00A7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46DE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62A96EF7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2B1A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1545593">
    <w:abstractNumId w:val="6"/>
  </w:num>
  <w:num w:numId="2" w16cid:durableId="1056010288">
    <w:abstractNumId w:val="3"/>
  </w:num>
  <w:num w:numId="3" w16cid:durableId="1093666075">
    <w:abstractNumId w:val="2"/>
  </w:num>
  <w:num w:numId="4" w16cid:durableId="745109178">
    <w:abstractNumId w:val="1"/>
  </w:num>
  <w:num w:numId="5" w16cid:durableId="1115562576">
    <w:abstractNumId w:val="0"/>
  </w:num>
  <w:num w:numId="6" w16cid:durableId="1205677670">
    <w:abstractNumId w:val="7"/>
  </w:num>
  <w:num w:numId="7" w16cid:durableId="474029772">
    <w:abstractNumId w:val="5"/>
  </w:num>
  <w:num w:numId="8" w16cid:durableId="1524973784">
    <w:abstractNumId w:val="4"/>
  </w:num>
  <w:num w:numId="9" w16cid:durableId="911622947">
    <w:abstractNumId w:val="10"/>
  </w:num>
  <w:num w:numId="10" w16cid:durableId="678889394">
    <w:abstractNumId w:val="13"/>
  </w:num>
  <w:num w:numId="11" w16cid:durableId="879322489">
    <w:abstractNumId w:val="12"/>
  </w:num>
  <w:num w:numId="12" w16cid:durableId="1475676743">
    <w:abstractNumId w:val="16"/>
  </w:num>
  <w:num w:numId="13" w16cid:durableId="115947369">
    <w:abstractNumId w:val="11"/>
  </w:num>
  <w:num w:numId="14" w16cid:durableId="1449737536">
    <w:abstractNumId w:val="15"/>
  </w:num>
  <w:num w:numId="15" w16cid:durableId="190386503">
    <w:abstractNumId w:val="9"/>
  </w:num>
  <w:num w:numId="16" w16cid:durableId="1938322024">
    <w:abstractNumId w:val="21"/>
  </w:num>
  <w:num w:numId="17" w16cid:durableId="1005935962">
    <w:abstractNumId w:val="8"/>
  </w:num>
  <w:num w:numId="18" w16cid:durableId="1881357003">
    <w:abstractNumId w:val="17"/>
  </w:num>
  <w:num w:numId="19" w16cid:durableId="1761635422">
    <w:abstractNumId w:val="20"/>
  </w:num>
  <w:num w:numId="20" w16cid:durableId="1081827828">
    <w:abstractNumId w:val="23"/>
  </w:num>
  <w:num w:numId="21" w16cid:durableId="1843931008">
    <w:abstractNumId w:val="22"/>
  </w:num>
  <w:num w:numId="22" w16cid:durableId="601839555">
    <w:abstractNumId w:val="14"/>
  </w:num>
  <w:num w:numId="23" w16cid:durableId="1253470419">
    <w:abstractNumId w:val="18"/>
  </w:num>
  <w:num w:numId="24" w16cid:durableId="1843549026">
    <w:abstractNumId w:val="18"/>
  </w:num>
  <w:num w:numId="25" w16cid:durableId="489638599">
    <w:abstractNumId w:val="19"/>
  </w:num>
  <w:num w:numId="26" w16cid:durableId="1540047353">
    <w:abstractNumId w:val="14"/>
  </w:num>
  <w:num w:numId="27" w16cid:durableId="1730886666">
    <w:abstractNumId w:val="14"/>
  </w:num>
  <w:num w:numId="28" w16cid:durableId="709379384">
    <w:abstractNumId w:val="14"/>
  </w:num>
  <w:num w:numId="29" w16cid:durableId="2107724867">
    <w:abstractNumId w:val="14"/>
  </w:num>
  <w:num w:numId="30" w16cid:durableId="314144415">
    <w:abstractNumId w:val="14"/>
  </w:num>
  <w:num w:numId="31" w16cid:durableId="765737511">
    <w:abstractNumId w:val="14"/>
  </w:num>
  <w:num w:numId="32" w16cid:durableId="1986275177">
    <w:abstractNumId w:val="14"/>
  </w:num>
  <w:num w:numId="33" w16cid:durableId="1950426143">
    <w:abstractNumId w:val="14"/>
  </w:num>
  <w:num w:numId="34" w16cid:durableId="43482198">
    <w:abstractNumId w:val="14"/>
  </w:num>
  <w:num w:numId="35" w16cid:durableId="1666738127">
    <w:abstractNumId w:val="18"/>
  </w:num>
  <w:num w:numId="36" w16cid:durableId="694386250">
    <w:abstractNumId w:val="19"/>
  </w:num>
  <w:num w:numId="37" w16cid:durableId="1419139192">
    <w:abstractNumId w:val="14"/>
  </w:num>
  <w:num w:numId="38" w16cid:durableId="1261640290">
    <w:abstractNumId w:val="14"/>
  </w:num>
  <w:num w:numId="39" w16cid:durableId="1518812004">
    <w:abstractNumId w:val="14"/>
  </w:num>
  <w:num w:numId="40" w16cid:durableId="793252027">
    <w:abstractNumId w:val="14"/>
  </w:num>
  <w:num w:numId="41" w16cid:durableId="1899437701">
    <w:abstractNumId w:val="14"/>
  </w:num>
  <w:num w:numId="42" w16cid:durableId="429737930">
    <w:abstractNumId w:val="14"/>
  </w:num>
  <w:num w:numId="43" w16cid:durableId="560603012">
    <w:abstractNumId w:val="14"/>
  </w:num>
  <w:num w:numId="44" w16cid:durableId="225267392">
    <w:abstractNumId w:val="14"/>
  </w:num>
  <w:num w:numId="45" w16cid:durableId="18550682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4D"/>
    <w:rsid w:val="00004B5B"/>
    <w:rsid w:val="00284C7A"/>
    <w:rsid w:val="002E1682"/>
    <w:rsid w:val="00337A19"/>
    <w:rsid w:val="0038180C"/>
    <w:rsid w:val="003B6770"/>
    <w:rsid w:val="004D7ED5"/>
    <w:rsid w:val="004E7D01"/>
    <w:rsid w:val="004F64FE"/>
    <w:rsid w:val="005C5E44"/>
    <w:rsid w:val="005E1BD9"/>
    <w:rsid w:val="005F6898"/>
    <w:rsid w:val="006538ED"/>
    <w:rsid w:val="008414E5"/>
    <w:rsid w:val="00867707"/>
    <w:rsid w:val="008B5FA2"/>
    <w:rsid w:val="00936678"/>
    <w:rsid w:val="009E1423"/>
    <w:rsid w:val="009F1162"/>
    <w:rsid w:val="00A7694D"/>
    <w:rsid w:val="00B5110A"/>
    <w:rsid w:val="00BA3751"/>
    <w:rsid w:val="00BD48EF"/>
    <w:rsid w:val="00BE2983"/>
    <w:rsid w:val="00D636DC"/>
    <w:rsid w:val="00DD3988"/>
    <w:rsid w:val="00E6237B"/>
    <w:rsid w:val="00EA6624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0EAB2"/>
  <w15:docId w15:val="{20D4B437-C049-4870-972C-BF7C6713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3</TotalTime>
  <Pages>2</Pages>
  <Words>531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5/2026</dc:title>
  <dc:creator>Jessica Laaksonen</dc:creator>
  <cp:lastModifiedBy>Jessica Laaksonen</cp:lastModifiedBy>
  <cp:revision>2</cp:revision>
  <cp:lastPrinted>2005-03-31T06:40:00Z</cp:lastPrinted>
  <dcterms:created xsi:type="dcterms:W3CDTF">2026-03-10T10:39:00Z</dcterms:created>
  <dcterms:modified xsi:type="dcterms:W3CDTF">2026-03-16T06:38:00Z</dcterms:modified>
</cp:coreProperties>
</file>