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576E85BF" w14:textId="77777777">
        <w:trPr>
          <w:cantSplit/>
          <w:trHeight w:val="20"/>
        </w:trPr>
        <w:tc>
          <w:tcPr>
            <w:tcW w:w="861" w:type="dxa"/>
            <w:vMerge w:val="restart"/>
          </w:tcPr>
          <w:p w14:paraId="71BDD4C2" w14:textId="5D6B5A7A" w:rsidR="00AF3004" w:rsidRDefault="00FA4E23">
            <w:pPr>
              <w:pStyle w:val="xLedtext"/>
              <w:keepNext/>
              <w:rPr>
                <w:noProof/>
              </w:rPr>
            </w:pPr>
            <w:r>
              <w:rPr>
                <w:noProof/>
                <w:sz w:val="20"/>
              </w:rPr>
              <w:drawing>
                <wp:anchor distT="0" distB="0" distL="114300" distR="114300" simplePos="0" relativeHeight="251657728" behindDoc="0" locked="0" layoutInCell="1" allowOverlap="1" wp14:anchorId="319446C2" wp14:editId="7A7AD43B">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36" w:type="dxa"/>
            <w:gridSpan w:val="3"/>
            <w:vAlign w:val="bottom"/>
          </w:tcPr>
          <w:p w14:paraId="1A98151C" w14:textId="48C15493" w:rsidR="00AF3004" w:rsidRDefault="00FA4E23">
            <w:pPr>
              <w:pStyle w:val="xMellanrum"/>
            </w:pPr>
            <w:r>
              <w:rPr>
                <w:noProof/>
              </w:rPr>
              <w:drawing>
                <wp:inline distT="0" distB="0" distL="0" distR="0" wp14:anchorId="206B4051" wp14:editId="4DD39328">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61F2EDCB" w14:textId="77777777">
        <w:trPr>
          <w:cantSplit/>
          <w:trHeight w:val="299"/>
        </w:trPr>
        <w:tc>
          <w:tcPr>
            <w:tcW w:w="861" w:type="dxa"/>
            <w:vMerge/>
          </w:tcPr>
          <w:p w14:paraId="460DE187" w14:textId="77777777" w:rsidR="00AF3004" w:rsidRDefault="00AF3004">
            <w:pPr>
              <w:pStyle w:val="xLedtext"/>
            </w:pPr>
          </w:p>
        </w:tc>
        <w:tc>
          <w:tcPr>
            <w:tcW w:w="4448" w:type="dxa"/>
            <w:vAlign w:val="bottom"/>
          </w:tcPr>
          <w:p w14:paraId="1D91DC86" w14:textId="77777777" w:rsidR="00AF3004" w:rsidRDefault="00AF3004">
            <w:pPr>
              <w:pStyle w:val="xAvsandare1"/>
            </w:pPr>
          </w:p>
        </w:tc>
        <w:tc>
          <w:tcPr>
            <w:tcW w:w="4288" w:type="dxa"/>
            <w:gridSpan w:val="2"/>
            <w:vAlign w:val="bottom"/>
          </w:tcPr>
          <w:p w14:paraId="7FC5CA68" w14:textId="69AB4E91" w:rsidR="00AF3004" w:rsidRDefault="00FA4E23">
            <w:pPr>
              <w:pStyle w:val="xDokTypNr"/>
            </w:pPr>
            <w:r>
              <w:t>LAGFÖRSLAG</w:t>
            </w:r>
            <w:r w:rsidR="00AF3004">
              <w:t xml:space="preserve"> nr </w:t>
            </w:r>
            <w:r w:rsidR="009B6FC4">
              <w:t>3</w:t>
            </w:r>
            <w:r w:rsidR="00AF3004">
              <w:t>/20</w:t>
            </w:r>
            <w:r>
              <w:t>2</w:t>
            </w:r>
            <w:r w:rsidR="00756031">
              <w:t>5</w:t>
            </w:r>
            <w:r>
              <w:t>–</w:t>
            </w:r>
            <w:r w:rsidR="00AF3004">
              <w:t>20</w:t>
            </w:r>
            <w:r>
              <w:t>2</w:t>
            </w:r>
            <w:r w:rsidR="00756031">
              <w:t>6</w:t>
            </w:r>
          </w:p>
        </w:tc>
      </w:tr>
      <w:tr w:rsidR="00AF3004" w14:paraId="1300C558" w14:textId="77777777">
        <w:trPr>
          <w:cantSplit/>
          <w:trHeight w:val="238"/>
        </w:trPr>
        <w:tc>
          <w:tcPr>
            <w:tcW w:w="861" w:type="dxa"/>
            <w:vMerge/>
          </w:tcPr>
          <w:p w14:paraId="3F9961E2" w14:textId="77777777" w:rsidR="00AF3004" w:rsidRDefault="00AF3004">
            <w:pPr>
              <w:pStyle w:val="xLedtext"/>
            </w:pPr>
          </w:p>
        </w:tc>
        <w:tc>
          <w:tcPr>
            <w:tcW w:w="4448" w:type="dxa"/>
            <w:vAlign w:val="bottom"/>
          </w:tcPr>
          <w:p w14:paraId="7A4CEC78" w14:textId="77777777" w:rsidR="00AF3004" w:rsidRDefault="00AF3004">
            <w:pPr>
              <w:pStyle w:val="xLedtext"/>
            </w:pPr>
          </w:p>
        </w:tc>
        <w:tc>
          <w:tcPr>
            <w:tcW w:w="1725" w:type="dxa"/>
            <w:vAlign w:val="bottom"/>
          </w:tcPr>
          <w:p w14:paraId="7418C1D5" w14:textId="77777777" w:rsidR="00AF3004" w:rsidRDefault="00AF3004">
            <w:pPr>
              <w:pStyle w:val="xLedtext"/>
              <w:rPr>
                <w:lang w:val="de-DE"/>
              </w:rPr>
            </w:pPr>
            <w:r>
              <w:rPr>
                <w:lang w:val="de-DE"/>
              </w:rPr>
              <w:t>Datum</w:t>
            </w:r>
          </w:p>
        </w:tc>
        <w:tc>
          <w:tcPr>
            <w:tcW w:w="2563" w:type="dxa"/>
            <w:vAlign w:val="bottom"/>
          </w:tcPr>
          <w:p w14:paraId="74D10D86" w14:textId="77777777" w:rsidR="00AF3004" w:rsidRDefault="00AF3004">
            <w:pPr>
              <w:pStyle w:val="xLedtext"/>
              <w:rPr>
                <w:lang w:val="de-DE"/>
              </w:rPr>
            </w:pPr>
          </w:p>
        </w:tc>
      </w:tr>
      <w:tr w:rsidR="00AF3004" w14:paraId="26FF9345" w14:textId="77777777">
        <w:trPr>
          <w:cantSplit/>
          <w:trHeight w:val="238"/>
        </w:trPr>
        <w:tc>
          <w:tcPr>
            <w:tcW w:w="861" w:type="dxa"/>
            <w:vMerge/>
          </w:tcPr>
          <w:p w14:paraId="1F9F7798" w14:textId="77777777" w:rsidR="00AF3004" w:rsidRDefault="00AF3004">
            <w:pPr>
              <w:pStyle w:val="xAvsandare2"/>
              <w:rPr>
                <w:lang w:val="de-DE"/>
              </w:rPr>
            </w:pPr>
          </w:p>
        </w:tc>
        <w:tc>
          <w:tcPr>
            <w:tcW w:w="4448" w:type="dxa"/>
            <w:vAlign w:val="center"/>
          </w:tcPr>
          <w:p w14:paraId="43BBC5A8" w14:textId="77777777" w:rsidR="00AF3004" w:rsidRDefault="00AF3004">
            <w:pPr>
              <w:pStyle w:val="xAvsandare2"/>
              <w:rPr>
                <w:lang w:val="de-DE"/>
              </w:rPr>
            </w:pPr>
          </w:p>
        </w:tc>
        <w:tc>
          <w:tcPr>
            <w:tcW w:w="1725" w:type="dxa"/>
            <w:vAlign w:val="center"/>
          </w:tcPr>
          <w:p w14:paraId="159A83CB" w14:textId="6F84A8BD" w:rsidR="00AF3004" w:rsidRDefault="00AF3004">
            <w:pPr>
              <w:pStyle w:val="xDatum1"/>
              <w:rPr>
                <w:lang w:val="de-DE"/>
              </w:rPr>
            </w:pPr>
            <w:r>
              <w:rPr>
                <w:lang w:val="de-DE"/>
              </w:rPr>
              <w:t>20</w:t>
            </w:r>
            <w:r w:rsidR="007D0F0F">
              <w:rPr>
                <w:lang w:val="de-DE"/>
              </w:rPr>
              <w:t>25</w:t>
            </w:r>
            <w:r>
              <w:rPr>
                <w:lang w:val="de-DE"/>
              </w:rPr>
              <w:t>-</w:t>
            </w:r>
            <w:r w:rsidR="007D0F0F">
              <w:rPr>
                <w:lang w:val="de-DE"/>
              </w:rPr>
              <w:t>11</w:t>
            </w:r>
            <w:r>
              <w:rPr>
                <w:lang w:val="de-DE"/>
              </w:rPr>
              <w:t>-</w:t>
            </w:r>
            <w:r w:rsidR="007D0F0F">
              <w:rPr>
                <w:lang w:val="de-DE"/>
              </w:rPr>
              <w:t>17</w:t>
            </w:r>
          </w:p>
        </w:tc>
        <w:tc>
          <w:tcPr>
            <w:tcW w:w="2563" w:type="dxa"/>
            <w:vAlign w:val="center"/>
          </w:tcPr>
          <w:p w14:paraId="63BEBA57" w14:textId="77777777" w:rsidR="00AF3004" w:rsidRDefault="00AF3004">
            <w:pPr>
              <w:pStyle w:val="xBeteckning1"/>
              <w:rPr>
                <w:lang w:val="de-DE"/>
              </w:rPr>
            </w:pPr>
          </w:p>
        </w:tc>
      </w:tr>
      <w:tr w:rsidR="00AF3004" w14:paraId="66936C61" w14:textId="77777777">
        <w:trPr>
          <w:cantSplit/>
          <w:trHeight w:val="238"/>
        </w:trPr>
        <w:tc>
          <w:tcPr>
            <w:tcW w:w="861" w:type="dxa"/>
            <w:vMerge/>
          </w:tcPr>
          <w:p w14:paraId="35C1749D" w14:textId="77777777" w:rsidR="00AF3004" w:rsidRDefault="00AF3004">
            <w:pPr>
              <w:pStyle w:val="xLedtext"/>
              <w:rPr>
                <w:lang w:val="de-DE"/>
              </w:rPr>
            </w:pPr>
          </w:p>
        </w:tc>
        <w:tc>
          <w:tcPr>
            <w:tcW w:w="4448" w:type="dxa"/>
            <w:vAlign w:val="bottom"/>
          </w:tcPr>
          <w:p w14:paraId="59A38DDD" w14:textId="77777777" w:rsidR="00AF3004" w:rsidRDefault="00AF3004">
            <w:pPr>
              <w:pStyle w:val="xLedtext"/>
              <w:rPr>
                <w:lang w:val="de-DE"/>
              </w:rPr>
            </w:pPr>
          </w:p>
        </w:tc>
        <w:tc>
          <w:tcPr>
            <w:tcW w:w="1725" w:type="dxa"/>
            <w:vAlign w:val="bottom"/>
          </w:tcPr>
          <w:p w14:paraId="72864786" w14:textId="77777777" w:rsidR="00AF3004" w:rsidRDefault="00AF3004">
            <w:pPr>
              <w:pStyle w:val="xLedtext"/>
              <w:rPr>
                <w:lang w:val="de-DE"/>
              </w:rPr>
            </w:pPr>
          </w:p>
        </w:tc>
        <w:tc>
          <w:tcPr>
            <w:tcW w:w="2563" w:type="dxa"/>
            <w:vAlign w:val="bottom"/>
          </w:tcPr>
          <w:p w14:paraId="2472E3A1" w14:textId="77777777" w:rsidR="00AF3004" w:rsidRDefault="00AF3004">
            <w:pPr>
              <w:pStyle w:val="xLedtext"/>
              <w:rPr>
                <w:lang w:val="de-DE"/>
              </w:rPr>
            </w:pPr>
          </w:p>
        </w:tc>
      </w:tr>
      <w:tr w:rsidR="00AF3004" w14:paraId="4BD60FB0" w14:textId="77777777">
        <w:trPr>
          <w:cantSplit/>
          <w:trHeight w:val="238"/>
        </w:trPr>
        <w:tc>
          <w:tcPr>
            <w:tcW w:w="861" w:type="dxa"/>
            <w:vMerge/>
            <w:tcBorders>
              <w:bottom w:val="single" w:sz="4" w:space="0" w:color="auto"/>
            </w:tcBorders>
          </w:tcPr>
          <w:p w14:paraId="40B1BDB9" w14:textId="77777777" w:rsidR="00AF3004" w:rsidRDefault="00AF3004">
            <w:pPr>
              <w:pStyle w:val="xAvsandare3"/>
              <w:rPr>
                <w:lang w:val="de-DE"/>
              </w:rPr>
            </w:pPr>
          </w:p>
        </w:tc>
        <w:tc>
          <w:tcPr>
            <w:tcW w:w="4448" w:type="dxa"/>
            <w:tcBorders>
              <w:bottom w:val="single" w:sz="4" w:space="0" w:color="auto"/>
            </w:tcBorders>
            <w:vAlign w:val="center"/>
          </w:tcPr>
          <w:p w14:paraId="7DC83F0A" w14:textId="77777777" w:rsidR="00AF3004" w:rsidRDefault="00AF3004">
            <w:pPr>
              <w:pStyle w:val="xAvsandare3"/>
              <w:rPr>
                <w:lang w:val="de-DE"/>
              </w:rPr>
            </w:pPr>
          </w:p>
        </w:tc>
        <w:tc>
          <w:tcPr>
            <w:tcW w:w="1725" w:type="dxa"/>
            <w:tcBorders>
              <w:bottom w:val="single" w:sz="4" w:space="0" w:color="auto"/>
            </w:tcBorders>
            <w:vAlign w:val="center"/>
          </w:tcPr>
          <w:p w14:paraId="062764DD" w14:textId="77777777" w:rsidR="00AF3004" w:rsidRDefault="00AF3004">
            <w:pPr>
              <w:pStyle w:val="xDatum2"/>
              <w:rPr>
                <w:lang w:val="de-DE"/>
              </w:rPr>
            </w:pPr>
          </w:p>
        </w:tc>
        <w:tc>
          <w:tcPr>
            <w:tcW w:w="2563" w:type="dxa"/>
            <w:tcBorders>
              <w:bottom w:val="single" w:sz="4" w:space="0" w:color="auto"/>
            </w:tcBorders>
            <w:vAlign w:val="center"/>
          </w:tcPr>
          <w:p w14:paraId="30551A13" w14:textId="77777777" w:rsidR="00AF3004" w:rsidRDefault="00AF3004">
            <w:pPr>
              <w:pStyle w:val="xBeteckning2"/>
              <w:rPr>
                <w:lang w:val="de-DE"/>
              </w:rPr>
            </w:pPr>
          </w:p>
        </w:tc>
      </w:tr>
      <w:tr w:rsidR="00AF3004" w14:paraId="33245921" w14:textId="77777777">
        <w:trPr>
          <w:cantSplit/>
          <w:trHeight w:val="238"/>
        </w:trPr>
        <w:tc>
          <w:tcPr>
            <w:tcW w:w="861" w:type="dxa"/>
            <w:tcBorders>
              <w:top w:val="single" w:sz="4" w:space="0" w:color="auto"/>
            </w:tcBorders>
            <w:vAlign w:val="bottom"/>
          </w:tcPr>
          <w:p w14:paraId="6E24A309" w14:textId="77777777" w:rsidR="00AF3004" w:rsidRDefault="00AF3004">
            <w:pPr>
              <w:pStyle w:val="xLedtext"/>
              <w:rPr>
                <w:lang w:val="de-DE"/>
              </w:rPr>
            </w:pPr>
          </w:p>
        </w:tc>
        <w:tc>
          <w:tcPr>
            <w:tcW w:w="4448" w:type="dxa"/>
            <w:tcBorders>
              <w:top w:val="single" w:sz="4" w:space="0" w:color="auto"/>
            </w:tcBorders>
            <w:vAlign w:val="bottom"/>
          </w:tcPr>
          <w:p w14:paraId="0E8F70C8" w14:textId="77777777" w:rsidR="00AF3004" w:rsidRDefault="00AF3004">
            <w:pPr>
              <w:pStyle w:val="xLedtext"/>
              <w:rPr>
                <w:lang w:val="de-DE"/>
              </w:rPr>
            </w:pPr>
          </w:p>
        </w:tc>
        <w:tc>
          <w:tcPr>
            <w:tcW w:w="4288" w:type="dxa"/>
            <w:gridSpan w:val="2"/>
            <w:tcBorders>
              <w:top w:val="single" w:sz="4" w:space="0" w:color="auto"/>
            </w:tcBorders>
            <w:vAlign w:val="bottom"/>
          </w:tcPr>
          <w:p w14:paraId="2FE65A56" w14:textId="77777777" w:rsidR="00AF3004" w:rsidRDefault="00AF3004">
            <w:pPr>
              <w:pStyle w:val="xLedtext"/>
              <w:rPr>
                <w:lang w:val="de-DE"/>
              </w:rPr>
            </w:pPr>
          </w:p>
        </w:tc>
      </w:tr>
      <w:tr w:rsidR="00AF3004" w14:paraId="58CDF2CD" w14:textId="77777777">
        <w:trPr>
          <w:cantSplit/>
          <w:trHeight w:val="238"/>
        </w:trPr>
        <w:tc>
          <w:tcPr>
            <w:tcW w:w="861" w:type="dxa"/>
          </w:tcPr>
          <w:p w14:paraId="147C1032" w14:textId="77777777" w:rsidR="00AF3004" w:rsidRDefault="00AF3004">
            <w:pPr>
              <w:pStyle w:val="xCelltext"/>
              <w:rPr>
                <w:lang w:val="de-DE"/>
              </w:rPr>
            </w:pPr>
          </w:p>
        </w:tc>
        <w:tc>
          <w:tcPr>
            <w:tcW w:w="4448" w:type="dxa"/>
            <w:vMerge w:val="restart"/>
          </w:tcPr>
          <w:p w14:paraId="76861365" w14:textId="77777777" w:rsidR="00AF3004" w:rsidRDefault="00AF3004">
            <w:pPr>
              <w:pStyle w:val="xMottagare1"/>
            </w:pPr>
            <w:bookmarkStart w:id="0" w:name="_top"/>
            <w:bookmarkEnd w:id="0"/>
            <w:r>
              <w:t>Till Ålands lagting</w:t>
            </w:r>
          </w:p>
        </w:tc>
        <w:tc>
          <w:tcPr>
            <w:tcW w:w="4288" w:type="dxa"/>
            <w:gridSpan w:val="2"/>
            <w:vMerge w:val="restart"/>
          </w:tcPr>
          <w:p w14:paraId="10A3039A" w14:textId="62AA2061" w:rsidR="00F644C1" w:rsidRPr="00F644C1" w:rsidRDefault="00F644C1" w:rsidP="0072132F">
            <w:pPr>
              <w:pStyle w:val="xMottagare3"/>
            </w:pPr>
          </w:p>
        </w:tc>
      </w:tr>
      <w:tr w:rsidR="00AF3004" w14:paraId="234C0D1C" w14:textId="77777777">
        <w:trPr>
          <w:cantSplit/>
          <w:trHeight w:val="238"/>
        </w:trPr>
        <w:tc>
          <w:tcPr>
            <w:tcW w:w="861" w:type="dxa"/>
          </w:tcPr>
          <w:p w14:paraId="6FE883BA" w14:textId="77777777" w:rsidR="00AF3004" w:rsidRDefault="00AF3004">
            <w:pPr>
              <w:pStyle w:val="xCelltext"/>
            </w:pPr>
          </w:p>
        </w:tc>
        <w:tc>
          <w:tcPr>
            <w:tcW w:w="4448" w:type="dxa"/>
            <w:vMerge/>
            <w:vAlign w:val="center"/>
          </w:tcPr>
          <w:p w14:paraId="46126DEE" w14:textId="77777777" w:rsidR="00AF3004" w:rsidRDefault="00AF3004">
            <w:pPr>
              <w:pStyle w:val="xCelltext"/>
            </w:pPr>
          </w:p>
        </w:tc>
        <w:tc>
          <w:tcPr>
            <w:tcW w:w="4288" w:type="dxa"/>
            <w:gridSpan w:val="2"/>
            <w:vMerge/>
            <w:vAlign w:val="center"/>
          </w:tcPr>
          <w:p w14:paraId="4C102AF0" w14:textId="77777777" w:rsidR="00AF3004" w:rsidRDefault="00AF3004">
            <w:pPr>
              <w:pStyle w:val="xCelltext"/>
            </w:pPr>
          </w:p>
        </w:tc>
      </w:tr>
      <w:tr w:rsidR="00AF3004" w14:paraId="0DD53244" w14:textId="77777777">
        <w:trPr>
          <w:cantSplit/>
          <w:trHeight w:val="238"/>
        </w:trPr>
        <w:tc>
          <w:tcPr>
            <w:tcW w:w="861" w:type="dxa"/>
          </w:tcPr>
          <w:p w14:paraId="379FAF6F" w14:textId="77777777" w:rsidR="00AF3004" w:rsidRDefault="00AF3004">
            <w:pPr>
              <w:pStyle w:val="xCelltext"/>
            </w:pPr>
          </w:p>
        </w:tc>
        <w:tc>
          <w:tcPr>
            <w:tcW w:w="4448" w:type="dxa"/>
            <w:vMerge/>
            <w:vAlign w:val="center"/>
          </w:tcPr>
          <w:p w14:paraId="0419FB03" w14:textId="77777777" w:rsidR="00AF3004" w:rsidRDefault="00AF3004">
            <w:pPr>
              <w:pStyle w:val="xCelltext"/>
            </w:pPr>
          </w:p>
        </w:tc>
        <w:tc>
          <w:tcPr>
            <w:tcW w:w="4288" w:type="dxa"/>
            <w:gridSpan w:val="2"/>
            <w:vMerge/>
            <w:vAlign w:val="center"/>
          </w:tcPr>
          <w:p w14:paraId="73BF52B7" w14:textId="77777777" w:rsidR="00AF3004" w:rsidRDefault="00AF3004">
            <w:pPr>
              <w:pStyle w:val="xCelltext"/>
            </w:pPr>
          </w:p>
        </w:tc>
      </w:tr>
      <w:tr w:rsidR="00AF3004" w14:paraId="42B4B9CC" w14:textId="77777777">
        <w:trPr>
          <w:cantSplit/>
          <w:trHeight w:val="238"/>
        </w:trPr>
        <w:tc>
          <w:tcPr>
            <w:tcW w:w="861" w:type="dxa"/>
          </w:tcPr>
          <w:p w14:paraId="46F610E0" w14:textId="77777777" w:rsidR="00AF3004" w:rsidRDefault="00AF3004">
            <w:pPr>
              <w:pStyle w:val="xCelltext"/>
            </w:pPr>
          </w:p>
        </w:tc>
        <w:tc>
          <w:tcPr>
            <w:tcW w:w="4448" w:type="dxa"/>
            <w:vMerge/>
            <w:vAlign w:val="center"/>
          </w:tcPr>
          <w:p w14:paraId="68F247BA" w14:textId="77777777" w:rsidR="00AF3004" w:rsidRDefault="00AF3004">
            <w:pPr>
              <w:pStyle w:val="xCelltext"/>
            </w:pPr>
          </w:p>
        </w:tc>
        <w:tc>
          <w:tcPr>
            <w:tcW w:w="4288" w:type="dxa"/>
            <w:gridSpan w:val="2"/>
            <w:vMerge/>
            <w:vAlign w:val="center"/>
          </w:tcPr>
          <w:p w14:paraId="31B6890E" w14:textId="77777777" w:rsidR="00AF3004" w:rsidRDefault="00AF3004">
            <w:pPr>
              <w:pStyle w:val="xCelltext"/>
            </w:pPr>
          </w:p>
        </w:tc>
      </w:tr>
      <w:tr w:rsidR="00AF3004" w14:paraId="1DB3DA6A" w14:textId="77777777">
        <w:trPr>
          <w:cantSplit/>
          <w:trHeight w:val="238"/>
        </w:trPr>
        <w:tc>
          <w:tcPr>
            <w:tcW w:w="861" w:type="dxa"/>
          </w:tcPr>
          <w:p w14:paraId="2A48AD8A" w14:textId="77777777" w:rsidR="00AF3004" w:rsidRDefault="00AF3004">
            <w:pPr>
              <w:pStyle w:val="xCelltext"/>
            </w:pPr>
          </w:p>
        </w:tc>
        <w:tc>
          <w:tcPr>
            <w:tcW w:w="4448" w:type="dxa"/>
            <w:vMerge/>
            <w:vAlign w:val="center"/>
          </w:tcPr>
          <w:p w14:paraId="41364639" w14:textId="77777777" w:rsidR="00AF3004" w:rsidRDefault="00AF3004">
            <w:pPr>
              <w:pStyle w:val="xCelltext"/>
            </w:pPr>
          </w:p>
        </w:tc>
        <w:tc>
          <w:tcPr>
            <w:tcW w:w="4288" w:type="dxa"/>
            <w:gridSpan w:val="2"/>
            <w:vMerge/>
            <w:vAlign w:val="center"/>
          </w:tcPr>
          <w:p w14:paraId="5A30D04C" w14:textId="77777777" w:rsidR="00AF3004" w:rsidRDefault="00AF3004">
            <w:pPr>
              <w:pStyle w:val="xCelltext"/>
            </w:pPr>
          </w:p>
        </w:tc>
      </w:tr>
    </w:tbl>
    <w:p w14:paraId="17CED014" w14:textId="77777777" w:rsidR="00AF3004" w:rsidRDefault="00AF3004">
      <w:pPr>
        <w:rPr>
          <w:b/>
          <w:bCs/>
        </w:rPr>
        <w:sectPr w:rsidR="00AF3004">
          <w:footerReference w:type="even" r:id="rId10"/>
          <w:footerReference w:type="default" r:id="rId11"/>
          <w:pgSz w:w="11906" w:h="16838" w:code="9"/>
          <w:pgMar w:top="567" w:right="1134" w:bottom="1134" w:left="1191" w:header="624" w:footer="851" w:gutter="0"/>
          <w:cols w:space="708"/>
          <w:docGrid w:linePitch="360"/>
        </w:sectPr>
      </w:pPr>
    </w:p>
    <w:p w14:paraId="74115240" w14:textId="1751279C" w:rsidR="00AF3004" w:rsidRDefault="00FA4E23">
      <w:pPr>
        <w:pStyle w:val="ArendeRubrik"/>
      </w:pPr>
      <w:r>
        <w:t>Sänkning av skattekompletteringen</w:t>
      </w:r>
    </w:p>
    <w:p w14:paraId="578D49EC" w14:textId="77777777" w:rsidR="00AF3004" w:rsidRDefault="00AF3004">
      <w:pPr>
        <w:pStyle w:val="ANormal"/>
      </w:pPr>
    </w:p>
    <w:p w14:paraId="6259D97E" w14:textId="77777777" w:rsidR="00AF3004" w:rsidRDefault="00AF3004">
      <w:pPr>
        <w:pStyle w:val="ANormal"/>
      </w:pPr>
    </w:p>
    <w:p w14:paraId="2BF9B328" w14:textId="77777777" w:rsidR="00AF3004" w:rsidRDefault="00AF3004">
      <w:pPr>
        <w:pStyle w:val="RubrikA"/>
      </w:pPr>
      <w:bookmarkStart w:id="1" w:name="_Toc214272957"/>
      <w:r>
        <w:t>Huvudsakligt innehåll</w:t>
      </w:r>
      <w:bookmarkEnd w:id="1"/>
    </w:p>
    <w:p w14:paraId="255ACD17" w14:textId="77777777" w:rsidR="00AF3004" w:rsidRDefault="00AF3004">
      <w:pPr>
        <w:pStyle w:val="Rubrikmellanrum"/>
      </w:pPr>
    </w:p>
    <w:p w14:paraId="0298113C" w14:textId="6873E9B2" w:rsidR="00726007" w:rsidRDefault="002930DA">
      <w:pPr>
        <w:pStyle w:val="ANormal"/>
      </w:pPr>
      <w:r>
        <w:t xml:space="preserve">Landskapsregeringen föreslår att kompletteringsandelen inom landskapsandelssystemet sänks från och med 2026. </w:t>
      </w:r>
      <w:r w:rsidR="000F1EF9">
        <w:t>Enligt landskapslagen om landskapsandelar till kommunerna anger kompletteringsandelen hur stor del av landskapsandelssystemets totalvolym som utgörs av kompletteringen av skatteinkomsterna. Enligt lagens nu gällande lydelse ska kompletteringsandelen vara minst 33</w:t>
      </w:r>
      <w:r w:rsidR="007D0F0F">
        <w:t xml:space="preserve"> </w:t>
      </w:r>
      <w:r w:rsidR="000F1EF9">
        <w:t>procent och högst 50</w:t>
      </w:r>
      <w:r w:rsidR="007D0F0F">
        <w:t xml:space="preserve"> </w:t>
      </w:r>
      <w:r w:rsidR="000F1EF9">
        <w:t>procent. Landskapsregeringen föreslår att</w:t>
      </w:r>
      <w:r>
        <w:t xml:space="preserve"> den övre gränsen </w:t>
      </w:r>
      <w:r w:rsidR="000F1EF9">
        <w:t>sänks</w:t>
      </w:r>
      <w:r>
        <w:t xml:space="preserve"> från 50</w:t>
      </w:r>
      <w:r w:rsidR="007D0F0F">
        <w:t xml:space="preserve"> </w:t>
      </w:r>
      <w:r>
        <w:t>procent till 41</w:t>
      </w:r>
      <w:r w:rsidR="007D0F0F">
        <w:t xml:space="preserve"> </w:t>
      </w:r>
      <w:r>
        <w:t>procent.</w:t>
      </w:r>
    </w:p>
    <w:p w14:paraId="2D43F4C7" w14:textId="015BF1D2" w:rsidR="00726007" w:rsidRPr="00726007" w:rsidRDefault="00726007" w:rsidP="00726007">
      <w:pPr>
        <w:tabs>
          <w:tab w:val="left" w:pos="283"/>
        </w:tabs>
        <w:jc w:val="both"/>
        <w:rPr>
          <w:sz w:val="22"/>
          <w:szCs w:val="20"/>
        </w:rPr>
      </w:pPr>
      <w:r w:rsidRPr="00726007">
        <w:rPr>
          <w:sz w:val="22"/>
          <w:szCs w:val="20"/>
        </w:rPr>
        <w:tab/>
      </w:r>
      <w:r w:rsidR="000F1EF9">
        <w:rPr>
          <w:sz w:val="22"/>
          <w:szCs w:val="20"/>
        </w:rPr>
        <w:t>Landskapsregeringen fattar beslut om kompletteringen av skatteinkomsterna senast den 11</w:t>
      </w:r>
      <w:r w:rsidR="007D0F0F">
        <w:rPr>
          <w:sz w:val="22"/>
          <w:szCs w:val="20"/>
        </w:rPr>
        <w:t xml:space="preserve"> </w:t>
      </w:r>
      <w:r w:rsidR="000F1EF9">
        <w:rPr>
          <w:sz w:val="22"/>
          <w:szCs w:val="20"/>
        </w:rPr>
        <w:t xml:space="preserve">januari varje år. </w:t>
      </w:r>
      <w:r w:rsidRPr="00726007">
        <w:rPr>
          <w:sz w:val="22"/>
          <w:szCs w:val="20"/>
        </w:rPr>
        <w:t xml:space="preserve">Den föreslagna lagen </w:t>
      </w:r>
      <w:r w:rsidR="000F1EF9">
        <w:rPr>
          <w:sz w:val="22"/>
          <w:szCs w:val="20"/>
        </w:rPr>
        <w:t xml:space="preserve">bör således träda i kraft innan dess. Förslaget </w:t>
      </w:r>
      <w:r w:rsidRPr="00726007">
        <w:rPr>
          <w:sz w:val="22"/>
          <w:szCs w:val="20"/>
        </w:rPr>
        <w:t>sammanhänger med landskapets budget på ett sådant sätt att den bör sättas i kraft på de grunder som anges i 20</w:t>
      </w:r>
      <w:r w:rsidR="007D0F0F">
        <w:rPr>
          <w:sz w:val="22"/>
          <w:szCs w:val="20"/>
        </w:rPr>
        <w:t> §</w:t>
      </w:r>
      <w:r w:rsidRPr="00726007">
        <w:rPr>
          <w:sz w:val="22"/>
          <w:szCs w:val="20"/>
        </w:rPr>
        <w:t xml:space="preserve"> 3</w:t>
      </w:r>
      <w:r w:rsidR="007D0F0F">
        <w:rPr>
          <w:sz w:val="22"/>
          <w:szCs w:val="20"/>
        </w:rPr>
        <w:t> mom.</w:t>
      </w:r>
      <w:r w:rsidRPr="00726007">
        <w:rPr>
          <w:sz w:val="22"/>
          <w:szCs w:val="20"/>
        </w:rPr>
        <w:t xml:space="preserve"> självstyrelselagen.</w:t>
      </w:r>
    </w:p>
    <w:p w14:paraId="7A065EFA" w14:textId="77777777" w:rsidR="00AF3004" w:rsidRDefault="00AF3004">
      <w:pPr>
        <w:pStyle w:val="ANormal"/>
        <w:jc w:val="center"/>
      </w:pPr>
      <w:hyperlink w:anchor="_top" w:tooltip="Klicka för att gå till toppen av dokumentet" w:history="1">
        <w:r>
          <w:rPr>
            <w:rStyle w:val="Hyperlnk"/>
          </w:rPr>
          <w:t>__________________</w:t>
        </w:r>
      </w:hyperlink>
    </w:p>
    <w:p w14:paraId="61769E38" w14:textId="77777777" w:rsidR="00AF3004" w:rsidRDefault="00AF3004">
      <w:pPr>
        <w:pStyle w:val="ANormal"/>
      </w:pPr>
    </w:p>
    <w:p w14:paraId="1EA0BEDC" w14:textId="77777777" w:rsidR="00AF3004" w:rsidRDefault="00AF3004">
      <w:pPr>
        <w:pStyle w:val="ANormal"/>
      </w:pPr>
      <w:r>
        <w:br w:type="page"/>
      </w:r>
    </w:p>
    <w:p w14:paraId="17C6C2B5" w14:textId="77777777" w:rsidR="00AF3004" w:rsidRDefault="00AF3004">
      <w:pPr>
        <w:pStyle w:val="Innehll1"/>
      </w:pPr>
      <w:r>
        <w:lastRenderedPageBreak/>
        <w:t>INNEHÅLL</w:t>
      </w:r>
    </w:p>
    <w:p w14:paraId="4864A599" w14:textId="1075627C" w:rsidR="00224C54" w:rsidRDefault="00AF3004">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"1-3" \h \z </w:instrText>
      </w:r>
      <w:r>
        <w:fldChar w:fldCharType="separate"/>
      </w:r>
      <w:hyperlink w:anchor="_Toc214272957" w:history="1">
        <w:r w:rsidR="00224C54" w:rsidRPr="00962E7A">
          <w:rPr>
            <w:rStyle w:val="Hyperlnk"/>
          </w:rPr>
          <w:t>Huvudsakligt innehåll</w:t>
        </w:r>
        <w:r w:rsidR="00224C54">
          <w:rPr>
            <w:webHidden/>
          </w:rPr>
          <w:tab/>
        </w:r>
        <w:r w:rsidR="00224C54">
          <w:rPr>
            <w:webHidden/>
          </w:rPr>
          <w:fldChar w:fldCharType="begin"/>
        </w:r>
        <w:r w:rsidR="00224C54">
          <w:rPr>
            <w:webHidden/>
          </w:rPr>
          <w:instrText xml:space="preserve"> PAGEREF _Toc214272957 \h </w:instrText>
        </w:r>
        <w:r w:rsidR="00224C54">
          <w:rPr>
            <w:webHidden/>
          </w:rPr>
        </w:r>
        <w:r w:rsidR="00224C54">
          <w:rPr>
            <w:webHidden/>
          </w:rPr>
          <w:fldChar w:fldCharType="separate"/>
        </w:r>
        <w:r w:rsidR="00224C54">
          <w:rPr>
            <w:webHidden/>
          </w:rPr>
          <w:t>1</w:t>
        </w:r>
        <w:r w:rsidR="00224C54">
          <w:rPr>
            <w:webHidden/>
          </w:rPr>
          <w:fldChar w:fldCharType="end"/>
        </w:r>
      </w:hyperlink>
    </w:p>
    <w:p w14:paraId="5831AE3B" w14:textId="4E6FB7D1" w:rsidR="00224C54" w:rsidRDefault="00224C54">
      <w:pPr>
        <w:pStyle w:val="Innehll1"/>
        <w:rPr>
          <w:rFonts w:asciiTheme="minorHAnsi" w:eastAsiaTheme="minorEastAsia" w:hAnsiTheme="minorHAnsi" w:cstheme="minorBidi"/>
          <w:kern w:val="2"/>
          <w:sz w:val="24"/>
          <w:szCs w:val="24"/>
          <w:lang w:val="sv-FI" w:eastAsia="sv-FI"/>
          <w14:ligatures w14:val="standardContextual"/>
        </w:rPr>
      </w:pPr>
      <w:hyperlink w:anchor="_Toc214272958" w:history="1">
        <w:r w:rsidRPr="00962E7A">
          <w:rPr>
            <w:rStyle w:val="Hyperlnk"/>
          </w:rPr>
          <w:t>Allmän motivering</w:t>
        </w:r>
        <w:r>
          <w:rPr>
            <w:webHidden/>
          </w:rPr>
          <w:tab/>
        </w:r>
        <w:r>
          <w:rPr>
            <w:webHidden/>
          </w:rPr>
          <w:fldChar w:fldCharType="begin"/>
        </w:r>
        <w:r>
          <w:rPr>
            <w:webHidden/>
          </w:rPr>
          <w:instrText xml:space="preserve"> PAGEREF _Toc214272958 \h </w:instrText>
        </w:r>
        <w:r>
          <w:rPr>
            <w:webHidden/>
          </w:rPr>
        </w:r>
        <w:r>
          <w:rPr>
            <w:webHidden/>
          </w:rPr>
          <w:fldChar w:fldCharType="separate"/>
        </w:r>
        <w:r>
          <w:rPr>
            <w:webHidden/>
          </w:rPr>
          <w:t>3</w:t>
        </w:r>
        <w:r>
          <w:rPr>
            <w:webHidden/>
          </w:rPr>
          <w:fldChar w:fldCharType="end"/>
        </w:r>
      </w:hyperlink>
    </w:p>
    <w:p w14:paraId="04F5EA80" w14:textId="20D41C9B" w:rsidR="00224C54" w:rsidRDefault="00224C54">
      <w:pPr>
        <w:pStyle w:val="Innehll2"/>
        <w:rPr>
          <w:rFonts w:asciiTheme="minorHAnsi" w:eastAsiaTheme="minorEastAsia" w:hAnsiTheme="minorHAnsi" w:cstheme="minorBidi"/>
          <w:kern w:val="2"/>
          <w:sz w:val="24"/>
          <w:szCs w:val="24"/>
          <w:lang w:val="sv-FI" w:eastAsia="sv-FI"/>
          <w14:ligatures w14:val="standardContextual"/>
        </w:rPr>
      </w:pPr>
      <w:hyperlink w:anchor="_Toc214272959" w:history="1">
        <w:r w:rsidRPr="00962E7A">
          <w:rPr>
            <w:rStyle w:val="Hyperlnk"/>
          </w:rPr>
          <w:t>1. Bakgrund</w:t>
        </w:r>
        <w:r>
          <w:rPr>
            <w:webHidden/>
          </w:rPr>
          <w:tab/>
        </w:r>
        <w:r>
          <w:rPr>
            <w:webHidden/>
          </w:rPr>
          <w:fldChar w:fldCharType="begin"/>
        </w:r>
        <w:r>
          <w:rPr>
            <w:webHidden/>
          </w:rPr>
          <w:instrText xml:space="preserve"> PAGEREF _Toc214272959 \h </w:instrText>
        </w:r>
        <w:r>
          <w:rPr>
            <w:webHidden/>
          </w:rPr>
        </w:r>
        <w:r>
          <w:rPr>
            <w:webHidden/>
          </w:rPr>
          <w:fldChar w:fldCharType="separate"/>
        </w:r>
        <w:r>
          <w:rPr>
            <w:webHidden/>
          </w:rPr>
          <w:t>3</w:t>
        </w:r>
        <w:r>
          <w:rPr>
            <w:webHidden/>
          </w:rPr>
          <w:fldChar w:fldCharType="end"/>
        </w:r>
      </w:hyperlink>
    </w:p>
    <w:p w14:paraId="6931D48A" w14:textId="118D4F52" w:rsidR="00224C54" w:rsidRDefault="00224C54">
      <w:pPr>
        <w:pStyle w:val="Innehll2"/>
        <w:rPr>
          <w:rFonts w:asciiTheme="minorHAnsi" w:eastAsiaTheme="minorEastAsia" w:hAnsiTheme="minorHAnsi" w:cstheme="minorBidi"/>
          <w:kern w:val="2"/>
          <w:sz w:val="24"/>
          <w:szCs w:val="24"/>
          <w:lang w:val="sv-FI" w:eastAsia="sv-FI"/>
          <w14:ligatures w14:val="standardContextual"/>
        </w:rPr>
      </w:pPr>
      <w:hyperlink w:anchor="_Toc214272960" w:history="1">
        <w:r w:rsidRPr="00962E7A">
          <w:rPr>
            <w:rStyle w:val="Hyperlnk"/>
          </w:rPr>
          <w:t>2. Överväganden och landskapsregeringens förslag</w:t>
        </w:r>
        <w:r>
          <w:rPr>
            <w:webHidden/>
          </w:rPr>
          <w:tab/>
        </w:r>
        <w:r>
          <w:rPr>
            <w:webHidden/>
          </w:rPr>
          <w:fldChar w:fldCharType="begin"/>
        </w:r>
        <w:r>
          <w:rPr>
            <w:webHidden/>
          </w:rPr>
          <w:instrText xml:space="preserve"> PAGEREF _Toc214272960 \h </w:instrText>
        </w:r>
        <w:r>
          <w:rPr>
            <w:webHidden/>
          </w:rPr>
        </w:r>
        <w:r>
          <w:rPr>
            <w:webHidden/>
          </w:rPr>
          <w:fldChar w:fldCharType="separate"/>
        </w:r>
        <w:r>
          <w:rPr>
            <w:webHidden/>
          </w:rPr>
          <w:t>3</w:t>
        </w:r>
        <w:r>
          <w:rPr>
            <w:webHidden/>
          </w:rPr>
          <w:fldChar w:fldCharType="end"/>
        </w:r>
      </w:hyperlink>
    </w:p>
    <w:p w14:paraId="37B39A22" w14:textId="3751F79B" w:rsidR="00224C54" w:rsidRDefault="00224C54">
      <w:pPr>
        <w:pStyle w:val="Innehll2"/>
        <w:rPr>
          <w:rFonts w:asciiTheme="minorHAnsi" w:eastAsiaTheme="minorEastAsia" w:hAnsiTheme="minorHAnsi" w:cstheme="minorBidi"/>
          <w:kern w:val="2"/>
          <w:sz w:val="24"/>
          <w:szCs w:val="24"/>
          <w:lang w:val="sv-FI" w:eastAsia="sv-FI"/>
          <w14:ligatures w14:val="standardContextual"/>
        </w:rPr>
      </w:pPr>
      <w:hyperlink w:anchor="_Toc214272961" w:history="1">
        <w:r w:rsidRPr="00962E7A">
          <w:rPr>
            <w:rStyle w:val="Hyperlnk"/>
          </w:rPr>
          <w:t>3. Förslagets konsekvenser</w:t>
        </w:r>
        <w:r>
          <w:rPr>
            <w:webHidden/>
          </w:rPr>
          <w:tab/>
        </w:r>
        <w:r>
          <w:rPr>
            <w:webHidden/>
          </w:rPr>
          <w:fldChar w:fldCharType="begin"/>
        </w:r>
        <w:r>
          <w:rPr>
            <w:webHidden/>
          </w:rPr>
          <w:instrText xml:space="preserve"> PAGEREF _Toc214272961 \h </w:instrText>
        </w:r>
        <w:r>
          <w:rPr>
            <w:webHidden/>
          </w:rPr>
        </w:r>
        <w:r>
          <w:rPr>
            <w:webHidden/>
          </w:rPr>
          <w:fldChar w:fldCharType="separate"/>
        </w:r>
        <w:r>
          <w:rPr>
            <w:webHidden/>
          </w:rPr>
          <w:t>4</w:t>
        </w:r>
        <w:r>
          <w:rPr>
            <w:webHidden/>
          </w:rPr>
          <w:fldChar w:fldCharType="end"/>
        </w:r>
      </w:hyperlink>
    </w:p>
    <w:p w14:paraId="002CE8B1" w14:textId="0C7186C6" w:rsidR="00224C54" w:rsidRDefault="00224C54">
      <w:pPr>
        <w:pStyle w:val="Innehll2"/>
        <w:rPr>
          <w:rFonts w:asciiTheme="minorHAnsi" w:eastAsiaTheme="minorEastAsia" w:hAnsiTheme="minorHAnsi" w:cstheme="minorBidi"/>
          <w:kern w:val="2"/>
          <w:sz w:val="24"/>
          <w:szCs w:val="24"/>
          <w:lang w:val="sv-FI" w:eastAsia="sv-FI"/>
          <w14:ligatures w14:val="standardContextual"/>
        </w:rPr>
      </w:pPr>
      <w:hyperlink w:anchor="_Toc214272962" w:history="1">
        <w:r w:rsidRPr="00962E7A">
          <w:rPr>
            <w:rStyle w:val="Hyperlnk"/>
          </w:rPr>
          <w:t>4. Beredning och ikraftträdande</w:t>
        </w:r>
        <w:r>
          <w:rPr>
            <w:webHidden/>
          </w:rPr>
          <w:tab/>
        </w:r>
        <w:r>
          <w:rPr>
            <w:webHidden/>
          </w:rPr>
          <w:fldChar w:fldCharType="begin"/>
        </w:r>
        <w:r>
          <w:rPr>
            <w:webHidden/>
          </w:rPr>
          <w:instrText xml:space="preserve"> PAGEREF _Toc214272962 \h </w:instrText>
        </w:r>
        <w:r>
          <w:rPr>
            <w:webHidden/>
          </w:rPr>
        </w:r>
        <w:r>
          <w:rPr>
            <w:webHidden/>
          </w:rPr>
          <w:fldChar w:fldCharType="separate"/>
        </w:r>
        <w:r>
          <w:rPr>
            <w:webHidden/>
          </w:rPr>
          <w:t>5</w:t>
        </w:r>
        <w:r>
          <w:rPr>
            <w:webHidden/>
          </w:rPr>
          <w:fldChar w:fldCharType="end"/>
        </w:r>
      </w:hyperlink>
    </w:p>
    <w:p w14:paraId="55E775B6" w14:textId="55AD7DCB" w:rsidR="00224C54" w:rsidRDefault="00224C54">
      <w:pPr>
        <w:pStyle w:val="Innehll1"/>
        <w:rPr>
          <w:rFonts w:asciiTheme="minorHAnsi" w:eastAsiaTheme="minorEastAsia" w:hAnsiTheme="minorHAnsi" w:cstheme="minorBidi"/>
          <w:kern w:val="2"/>
          <w:sz w:val="24"/>
          <w:szCs w:val="24"/>
          <w:lang w:val="sv-FI" w:eastAsia="sv-FI"/>
          <w14:ligatures w14:val="standardContextual"/>
        </w:rPr>
      </w:pPr>
      <w:hyperlink w:anchor="_Toc214272963" w:history="1">
        <w:r w:rsidRPr="00962E7A">
          <w:rPr>
            <w:rStyle w:val="Hyperlnk"/>
          </w:rPr>
          <w:t>Detaljmotivering</w:t>
        </w:r>
        <w:r>
          <w:rPr>
            <w:webHidden/>
          </w:rPr>
          <w:tab/>
        </w:r>
        <w:r>
          <w:rPr>
            <w:webHidden/>
          </w:rPr>
          <w:fldChar w:fldCharType="begin"/>
        </w:r>
        <w:r>
          <w:rPr>
            <w:webHidden/>
          </w:rPr>
          <w:instrText xml:space="preserve"> PAGEREF _Toc214272963 \h </w:instrText>
        </w:r>
        <w:r>
          <w:rPr>
            <w:webHidden/>
          </w:rPr>
        </w:r>
        <w:r>
          <w:rPr>
            <w:webHidden/>
          </w:rPr>
          <w:fldChar w:fldCharType="separate"/>
        </w:r>
        <w:r>
          <w:rPr>
            <w:webHidden/>
          </w:rPr>
          <w:t>5</w:t>
        </w:r>
        <w:r>
          <w:rPr>
            <w:webHidden/>
          </w:rPr>
          <w:fldChar w:fldCharType="end"/>
        </w:r>
      </w:hyperlink>
    </w:p>
    <w:p w14:paraId="2B9BB5CA" w14:textId="04C474B8" w:rsidR="00224C54" w:rsidRDefault="00224C54">
      <w:pPr>
        <w:pStyle w:val="Innehll1"/>
        <w:rPr>
          <w:rFonts w:asciiTheme="minorHAnsi" w:eastAsiaTheme="minorEastAsia" w:hAnsiTheme="minorHAnsi" w:cstheme="minorBidi"/>
          <w:kern w:val="2"/>
          <w:sz w:val="24"/>
          <w:szCs w:val="24"/>
          <w:lang w:val="sv-FI" w:eastAsia="sv-FI"/>
          <w14:ligatures w14:val="standardContextual"/>
        </w:rPr>
      </w:pPr>
      <w:hyperlink w:anchor="_Toc214272964" w:history="1">
        <w:r w:rsidRPr="00962E7A">
          <w:rPr>
            <w:rStyle w:val="Hyperlnk"/>
          </w:rPr>
          <w:t>Lagtext</w:t>
        </w:r>
        <w:r>
          <w:rPr>
            <w:webHidden/>
          </w:rPr>
          <w:tab/>
        </w:r>
        <w:r>
          <w:rPr>
            <w:webHidden/>
          </w:rPr>
          <w:fldChar w:fldCharType="begin"/>
        </w:r>
        <w:r>
          <w:rPr>
            <w:webHidden/>
          </w:rPr>
          <w:instrText xml:space="preserve"> PAGEREF _Toc214272964 \h </w:instrText>
        </w:r>
        <w:r>
          <w:rPr>
            <w:webHidden/>
          </w:rPr>
        </w:r>
        <w:r>
          <w:rPr>
            <w:webHidden/>
          </w:rPr>
          <w:fldChar w:fldCharType="separate"/>
        </w:r>
        <w:r>
          <w:rPr>
            <w:webHidden/>
          </w:rPr>
          <w:t>6</w:t>
        </w:r>
        <w:r>
          <w:rPr>
            <w:webHidden/>
          </w:rPr>
          <w:fldChar w:fldCharType="end"/>
        </w:r>
      </w:hyperlink>
    </w:p>
    <w:p w14:paraId="0F99D31D" w14:textId="45F9295C" w:rsidR="00224C54" w:rsidRDefault="00224C54">
      <w:pPr>
        <w:pStyle w:val="Innehll2"/>
        <w:rPr>
          <w:rFonts w:asciiTheme="minorHAnsi" w:eastAsiaTheme="minorEastAsia" w:hAnsiTheme="minorHAnsi" w:cstheme="minorBidi"/>
          <w:kern w:val="2"/>
          <w:sz w:val="24"/>
          <w:szCs w:val="24"/>
          <w:lang w:val="sv-FI" w:eastAsia="sv-FI"/>
          <w14:ligatures w14:val="standardContextual"/>
        </w:rPr>
      </w:pPr>
      <w:hyperlink w:anchor="_Toc214272965" w:history="1">
        <w:r w:rsidRPr="00962E7A">
          <w:rPr>
            <w:rStyle w:val="Hyperlnk"/>
            <w:lang w:val="en-GB"/>
          </w:rPr>
          <w:t xml:space="preserve">L A N D S K A P S L A G </w:t>
        </w:r>
        <w:r w:rsidRPr="00962E7A">
          <w:rPr>
            <w:rStyle w:val="Hyperlnk"/>
          </w:rPr>
          <w:t>om ändring av 21 och 23 §§ landskapslagen om landskapsandelar till kommunerna</w:t>
        </w:r>
        <w:r>
          <w:rPr>
            <w:webHidden/>
          </w:rPr>
          <w:tab/>
        </w:r>
        <w:r>
          <w:rPr>
            <w:webHidden/>
          </w:rPr>
          <w:fldChar w:fldCharType="begin"/>
        </w:r>
        <w:r>
          <w:rPr>
            <w:webHidden/>
          </w:rPr>
          <w:instrText xml:space="preserve"> PAGEREF _Toc214272965 \h </w:instrText>
        </w:r>
        <w:r>
          <w:rPr>
            <w:webHidden/>
          </w:rPr>
        </w:r>
        <w:r>
          <w:rPr>
            <w:webHidden/>
          </w:rPr>
          <w:fldChar w:fldCharType="separate"/>
        </w:r>
        <w:r>
          <w:rPr>
            <w:webHidden/>
          </w:rPr>
          <w:t>6</w:t>
        </w:r>
        <w:r>
          <w:rPr>
            <w:webHidden/>
          </w:rPr>
          <w:fldChar w:fldCharType="end"/>
        </w:r>
      </w:hyperlink>
    </w:p>
    <w:p w14:paraId="1B44B303" w14:textId="62244C49" w:rsidR="00224C54" w:rsidRDefault="00224C54">
      <w:pPr>
        <w:pStyle w:val="Innehll1"/>
        <w:rPr>
          <w:rFonts w:asciiTheme="minorHAnsi" w:eastAsiaTheme="minorEastAsia" w:hAnsiTheme="minorHAnsi" w:cstheme="minorBidi"/>
          <w:kern w:val="2"/>
          <w:sz w:val="24"/>
          <w:szCs w:val="24"/>
          <w:lang w:val="sv-FI" w:eastAsia="sv-FI"/>
          <w14:ligatures w14:val="standardContextual"/>
        </w:rPr>
      </w:pPr>
      <w:hyperlink w:anchor="_Toc214272966" w:history="1">
        <w:r w:rsidRPr="00962E7A">
          <w:rPr>
            <w:rStyle w:val="Hyperlnk"/>
          </w:rPr>
          <w:t>Parallelltexter</w:t>
        </w:r>
        <w:r>
          <w:rPr>
            <w:webHidden/>
          </w:rPr>
          <w:tab/>
        </w:r>
        <w:r>
          <w:rPr>
            <w:webHidden/>
          </w:rPr>
          <w:fldChar w:fldCharType="begin"/>
        </w:r>
        <w:r>
          <w:rPr>
            <w:webHidden/>
          </w:rPr>
          <w:instrText xml:space="preserve"> PAGEREF _Toc214272966 \h </w:instrText>
        </w:r>
        <w:r>
          <w:rPr>
            <w:webHidden/>
          </w:rPr>
        </w:r>
        <w:r>
          <w:rPr>
            <w:webHidden/>
          </w:rPr>
          <w:fldChar w:fldCharType="separate"/>
        </w:r>
        <w:r>
          <w:rPr>
            <w:webHidden/>
          </w:rPr>
          <w:t>7</w:t>
        </w:r>
        <w:r>
          <w:rPr>
            <w:webHidden/>
          </w:rPr>
          <w:fldChar w:fldCharType="end"/>
        </w:r>
      </w:hyperlink>
    </w:p>
    <w:p w14:paraId="794AF452" w14:textId="35944BC3" w:rsidR="00AF3004" w:rsidRDefault="00AF3004">
      <w:pPr>
        <w:pStyle w:val="ANormal"/>
        <w:rPr>
          <w:noProof/>
        </w:rPr>
      </w:pPr>
      <w:r>
        <w:rPr>
          <w:rFonts w:ascii="Verdana" w:hAnsi="Verdana"/>
          <w:noProof/>
          <w:sz w:val="16"/>
          <w:szCs w:val="36"/>
        </w:rPr>
        <w:fldChar w:fldCharType="end"/>
      </w:r>
    </w:p>
    <w:p w14:paraId="4B8BE7B2" w14:textId="77777777" w:rsidR="00AF3004" w:rsidRDefault="00AF3004">
      <w:pPr>
        <w:pStyle w:val="ANormal"/>
      </w:pPr>
      <w:r>
        <w:br w:type="page"/>
      </w:r>
    </w:p>
    <w:p w14:paraId="514485E2" w14:textId="77777777" w:rsidR="00AF3004" w:rsidRDefault="00AF3004">
      <w:pPr>
        <w:pStyle w:val="RubrikA"/>
      </w:pPr>
      <w:bookmarkStart w:id="2" w:name="_Toc214272958"/>
      <w:r>
        <w:lastRenderedPageBreak/>
        <w:t>Allmän motivering</w:t>
      </w:r>
      <w:bookmarkEnd w:id="2"/>
    </w:p>
    <w:p w14:paraId="4CD1105C" w14:textId="77777777" w:rsidR="00AF3004" w:rsidRDefault="00AF3004">
      <w:pPr>
        <w:pStyle w:val="Rubrikmellanrum"/>
      </w:pPr>
    </w:p>
    <w:p w14:paraId="00B8E1F6" w14:textId="69C476BB" w:rsidR="00803060" w:rsidRDefault="00AF3004" w:rsidP="00803060">
      <w:pPr>
        <w:pStyle w:val="RubrikB"/>
      </w:pPr>
      <w:bookmarkStart w:id="3" w:name="_Toc214272959"/>
      <w:r>
        <w:t>1. Bakgrund</w:t>
      </w:r>
      <w:bookmarkEnd w:id="3"/>
    </w:p>
    <w:p w14:paraId="2C3129F3" w14:textId="77777777" w:rsidR="00803060" w:rsidRPr="00803060" w:rsidRDefault="00803060" w:rsidP="00803060">
      <w:pPr>
        <w:pStyle w:val="Rubrikmellanrum"/>
      </w:pPr>
    </w:p>
    <w:p w14:paraId="7B99CCEE" w14:textId="040EF8B0" w:rsidR="00B93562" w:rsidRDefault="00371485" w:rsidP="00B93562">
      <w:pPr>
        <w:pStyle w:val="ANormal"/>
      </w:pPr>
      <w:r>
        <w:t xml:space="preserve">Landskapsandelssystemet utgörs av både inkomstutjämning och kostnadsutjämning. Inkomstutjämningen sker i form av komplettering av skatteinkomsterna. </w:t>
      </w:r>
      <w:r w:rsidR="00B93562">
        <w:t>Den så kallade skattekompletteringen regleras i 6</w:t>
      </w:r>
      <w:r w:rsidR="007D0F0F">
        <w:t> kap.</w:t>
      </w:r>
      <w:r w:rsidR="00B93562">
        <w:t xml:space="preserve"> i </w:t>
      </w:r>
      <w:r w:rsidR="00B93562" w:rsidRPr="00C255D6">
        <w:t>landskapslagen (2017:120) om landskapsandelar till kommunerna</w:t>
      </w:r>
      <w:r w:rsidR="00B93562">
        <w:t xml:space="preserve"> (nedan landskapsandelslagen).</w:t>
      </w:r>
      <w:r w:rsidR="00B93562" w:rsidRPr="00C255D6">
        <w:t xml:space="preserve"> </w:t>
      </w:r>
      <w:r w:rsidR="00B93562">
        <w:t xml:space="preserve">Syftet med skattekompletteringen är att utjämna skillnader i skattekraft mellan kommunerna. </w:t>
      </w:r>
      <w:r w:rsidR="00BF7DEF">
        <w:t xml:space="preserve">Med skattekraft avses den beskattningsbara inkomsten vid kommunens inkomstbeskattning per invånare i kommunen. </w:t>
      </w:r>
      <w:r w:rsidR="00B93562" w:rsidRPr="00C255D6">
        <w:t>Grunden för beräkning av skattekompletteringen är kommunernas intäkter från förvärvsinkomst- och samfundsbeskattningen</w:t>
      </w:r>
      <w:r w:rsidR="00BF7DEF">
        <w:t>.</w:t>
      </w:r>
      <w:r w:rsidR="00BF7DEF" w:rsidRPr="00BF7DEF">
        <w:t xml:space="preserve"> </w:t>
      </w:r>
      <w:r w:rsidR="00BF7DEF">
        <w:t xml:space="preserve">Som intäkter från samfundsbeskattningen betraktas också </w:t>
      </w:r>
      <w:r w:rsidR="0018590F">
        <w:t xml:space="preserve">den </w:t>
      </w:r>
      <w:r w:rsidR="00BF7DEF">
        <w:t>kompensation</w:t>
      </w:r>
      <w:r w:rsidR="0018590F">
        <w:t xml:space="preserve"> kommunerna får enligt landskapslagen (2023:5) om kompensation till kommunerna</w:t>
      </w:r>
      <w:r w:rsidR="00BF7DEF">
        <w:t xml:space="preserve"> </w:t>
      </w:r>
      <w:r w:rsidR="0018590F">
        <w:t>för</w:t>
      </w:r>
      <w:r w:rsidR="00BF7DEF">
        <w:t xml:space="preserve"> sänkta samfundsskatteintäkter</w:t>
      </w:r>
      <w:r w:rsidR="00B93562" w:rsidRPr="00C255D6">
        <w:t>. För att undvika alltför stora fluktuationer används ett medeltal av de fem senast avslutade beskattningarna vid beräkningen.</w:t>
      </w:r>
    </w:p>
    <w:p w14:paraId="08556363" w14:textId="0A2568A5" w:rsidR="00F50566" w:rsidRDefault="00B71539" w:rsidP="00B93562">
      <w:pPr>
        <w:pStyle w:val="ANormal"/>
      </w:pPr>
      <w:r>
        <w:tab/>
      </w:r>
      <w:r w:rsidR="0037319D">
        <w:t>Utgångspunkten</w:t>
      </w:r>
      <w:r>
        <w:t xml:space="preserve"> för skattekompletteringen är en jämförelse mellan </w:t>
      </w:r>
      <w:r w:rsidR="0037319D">
        <w:t xml:space="preserve">alla kommuners </w:t>
      </w:r>
      <w:r>
        <w:t>sammanlagda skattekraft (kompletteringsgräns) och den enskilda kommunens skattekraft (kommunens kompletteringstal).</w:t>
      </w:r>
      <w:r w:rsidR="0037319D">
        <w:t xml:space="preserve"> </w:t>
      </w:r>
      <w:r w:rsidR="00B93562">
        <w:t>För att höja komplettering</w:t>
      </w:r>
      <w:r w:rsidR="0037319D">
        <w:t>sgräns</w:t>
      </w:r>
      <w:r w:rsidR="00B93562">
        <w:t>en tillämpas en uppräkningsfaktor</w:t>
      </w:r>
      <w:r w:rsidR="0037319D">
        <w:t xml:space="preserve">, som 2025 är </w:t>
      </w:r>
      <w:r w:rsidR="0037319D" w:rsidRPr="00021093">
        <w:t>1,1</w:t>
      </w:r>
      <w:r w:rsidR="00021093" w:rsidRPr="00021093">
        <w:t>6</w:t>
      </w:r>
      <w:r w:rsidR="00B93562">
        <w:t>.</w:t>
      </w:r>
      <w:r w:rsidR="00B93562" w:rsidRPr="00937DC3">
        <w:t xml:space="preserve"> </w:t>
      </w:r>
      <w:r w:rsidR="00DF568E">
        <w:t>Enligt lagen ska skattekompletteringen utgöra mellan 33 och 50</w:t>
      </w:r>
      <w:r w:rsidR="007D0F0F">
        <w:t xml:space="preserve"> </w:t>
      </w:r>
      <w:r w:rsidR="00DF568E">
        <w:t>procent av landskapsandelssystemets totalvolym (kompletteringsandel). Uppräkningsfaktorn</w:t>
      </w:r>
      <w:r w:rsidR="00DF568E" w:rsidRPr="00DF568E">
        <w:t xml:space="preserve"> </w:t>
      </w:r>
      <w:r w:rsidR="00DF568E">
        <w:t>ska justeras om kompletteringsandelen underskrider 33</w:t>
      </w:r>
      <w:r w:rsidR="007D0F0F">
        <w:t xml:space="preserve"> </w:t>
      </w:r>
      <w:r w:rsidR="00DF568E">
        <w:t>procent eller överskrider 50</w:t>
      </w:r>
      <w:r w:rsidR="007D0F0F">
        <w:t xml:space="preserve"> </w:t>
      </w:r>
      <w:r w:rsidR="00DF568E">
        <w:t>procent av totalvolymen, samt om alla enskilda kommuner har en skattekraft som underskrider kompletteringsgränsen. Skillnaden mellan kommunens skattekraft och den sammanlagda skattekraften utjämnas till 95</w:t>
      </w:r>
      <w:r w:rsidR="007D0F0F">
        <w:t xml:space="preserve"> </w:t>
      </w:r>
      <w:r w:rsidR="00DF568E">
        <w:t>procent.</w:t>
      </w:r>
    </w:p>
    <w:p w14:paraId="790072DD" w14:textId="77777777" w:rsidR="00FC30BC" w:rsidRDefault="00FC30BC" w:rsidP="00AA0DF0">
      <w:pPr>
        <w:tabs>
          <w:tab w:val="left" w:pos="283"/>
        </w:tabs>
        <w:jc w:val="both"/>
        <w:rPr>
          <w:sz w:val="22"/>
          <w:szCs w:val="20"/>
        </w:rPr>
      </w:pPr>
    </w:p>
    <w:p w14:paraId="1A484258" w14:textId="31CA2E71" w:rsidR="00D35E01" w:rsidRDefault="00D35E01" w:rsidP="00D35E01">
      <w:pPr>
        <w:pStyle w:val="RubrikB"/>
      </w:pPr>
      <w:bookmarkStart w:id="4" w:name="_Toc214272960"/>
      <w:r>
        <w:t>2. Överväganden och landskapsregeringens förslag</w:t>
      </w:r>
      <w:bookmarkEnd w:id="4"/>
    </w:p>
    <w:p w14:paraId="0AD86B5F" w14:textId="77777777" w:rsidR="00D35E01" w:rsidRDefault="00D35E01" w:rsidP="00D35E01">
      <w:pPr>
        <w:pStyle w:val="Rubrikmellanrum"/>
      </w:pPr>
    </w:p>
    <w:p w14:paraId="12FED5FB" w14:textId="765766BF" w:rsidR="00D35E01" w:rsidRDefault="0087324A" w:rsidP="00D35E01">
      <w:pPr>
        <w:pStyle w:val="ANormal"/>
      </w:pPr>
      <w:r>
        <w:t>Under de senaste åren har skattekompletteringen ökat avsevärt</w:t>
      </w:r>
      <w:r w:rsidR="00CC75D3">
        <w:t>. Från 2018, när det nuvarande landskapsandelssystemet togs i bruk,</w:t>
      </w:r>
      <w:r>
        <w:t xml:space="preserve"> </w:t>
      </w:r>
      <w:r w:rsidR="00CC75D3">
        <w:t>fram till 2023 steg skattekompletteringen med sammanlagt cirka 1,5 miljoner euro. Åren 2024 och 2025 var ökningen drygt 1</w:t>
      </w:r>
      <w:r w:rsidR="007D0F0F">
        <w:t xml:space="preserve"> </w:t>
      </w:r>
      <w:r w:rsidR="00CC75D3">
        <w:t>miljon euro per år och beräknas ytterligare öka med drygt 800 000 euro för 2026. Sammantaget skulle det innebära att ökningen för de tre åren 2024–2026 skulle vara dubbelt så stor som för sexårsperioden 2018–2023.</w:t>
      </w:r>
    </w:p>
    <w:p w14:paraId="042C9147" w14:textId="4836146B" w:rsidR="00CD4F75" w:rsidRDefault="00CD4F75" w:rsidP="00D35E01">
      <w:pPr>
        <w:pStyle w:val="ANormal"/>
      </w:pPr>
      <w:r>
        <w:tab/>
      </w:r>
      <w:r w:rsidR="00AE3218">
        <w:t xml:space="preserve">Den allt snabbare ökningen av skattekompletteringen kan till stor del förklaras av att Brändö kommuns skattekraft </w:t>
      </w:r>
      <w:r w:rsidR="00035BF3">
        <w:t>har ökat</w:t>
      </w:r>
      <w:r w:rsidR="00AE3218">
        <w:t xml:space="preserve"> </w:t>
      </w:r>
      <w:r w:rsidR="00A73EA6">
        <w:t>så att den sedan 2024 är högre än Mariehamns skattekraft</w:t>
      </w:r>
      <w:r w:rsidR="00035BF3">
        <w:t xml:space="preserve">. </w:t>
      </w:r>
      <w:r w:rsidR="00A73EA6">
        <w:t>Fram till och med 2023 hade Mariehamn den högsta skattekraften. Det betyder att det nu</w:t>
      </w:r>
      <w:r w:rsidR="00AE3218">
        <w:t xml:space="preserve"> </w:t>
      </w:r>
      <w:r w:rsidR="00035BF3">
        <w:t>är</w:t>
      </w:r>
      <w:r w:rsidR="00AE3218">
        <w:t xml:space="preserve"> Brändö som överskrider kompletteringsgränsen och därmed inte </w:t>
      </w:r>
      <w:r w:rsidR="00A73EA6">
        <w:t xml:space="preserve">har rätt till </w:t>
      </w:r>
      <w:r w:rsidR="00AE3218">
        <w:t xml:space="preserve">någon skattekomplettering. </w:t>
      </w:r>
      <w:r w:rsidR="00035BF3">
        <w:t>Eftersom en kommuns</w:t>
      </w:r>
      <w:r w:rsidR="0003763E">
        <w:t xml:space="preserve"> </w:t>
      </w:r>
      <w:r w:rsidR="00035BF3">
        <w:t>kompletteringsbelopp baseras på antalet invånare i kommunen</w:t>
      </w:r>
      <w:r w:rsidR="00AE3218">
        <w:t xml:space="preserve"> </w:t>
      </w:r>
      <w:r w:rsidR="00035BF3">
        <w:t xml:space="preserve">blir effekten på totalbeloppet mycket större om en kommun med många invånare får skattekomplettering än om en kommun med få invånare får det. </w:t>
      </w:r>
      <w:r w:rsidR="0003763E">
        <w:t xml:space="preserve">Det här innebär också att systemet är känsligt för </w:t>
      </w:r>
      <w:r w:rsidR="001A1D2A">
        <w:t>ändringar av skattesatsen</w:t>
      </w:r>
      <w:r w:rsidR="0003763E">
        <w:t xml:space="preserve"> i kommuner som har många invånare.</w:t>
      </w:r>
    </w:p>
    <w:p w14:paraId="198C7BCC" w14:textId="0467EABC" w:rsidR="001A1D2A" w:rsidRDefault="001A1D2A" w:rsidP="001A1D2A">
      <w:pPr>
        <w:pStyle w:val="ANormal"/>
      </w:pPr>
      <w:r>
        <w:tab/>
      </w:r>
      <w:r w:rsidR="00A73EA6">
        <w:t>En annan sak som bör beaktas i sammanhanget är att landskapsregeringen s</w:t>
      </w:r>
      <w:r>
        <w:t xml:space="preserve">edan 2023 betalar kompensation till kommunerna dels för sänkta samfundsskatteintäkter, dels för den förlust av skatteintäkter som orsakas av resekostnadsavdraget och grundavdraget. </w:t>
      </w:r>
      <w:r w:rsidR="00D25CB7">
        <w:t xml:space="preserve">Kompensationerna beräknas enligt faktiskt utfall av beskattningen. </w:t>
      </w:r>
      <w:r>
        <w:t xml:space="preserve">Kompensationen för sänkta samfundsskatteintäkter har sin bakgrund i social- och hälsovårdsreformen i riket och har som syfte att motverka att de </w:t>
      </w:r>
      <w:r w:rsidRPr="00703036">
        <w:t>åländska kommunernas intäkter på ett obefogat sätt påverkas av reformen.</w:t>
      </w:r>
      <w:r>
        <w:t xml:space="preserve"> Kompensationen för förlust av skatteintäkter på grund av resekostnadsavdraget och grundavdraget infördes i samband med att grundavdraget reformerades så att den så kallade nedtrappningsgraden </w:t>
      </w:r>
      <w:r>
        <w:lastRenderedPageBreak/>
        <w:t>sänktes från 18</w:t>
      </w:r>
      <w:r w:rsidR="007D0F0F">
        <w:t xml:space="preserve"> </w:t>
      </w:r>
      <w:r>
        <w:t>procent till 8,4</w:t>
      </w:r>
      <w:r w:rsidR="007D0F0F">
        <w:t xml:space="preserve"> </w:t>
      </w:r>
      <w:r>
        <w:t xml:space="preserve">procent. </w:t>
      </w:r>
      <w:r w:rsidR="00A73EA6">
        <w:t>Som tidigare nämnts ingår k</w:t>
      </w:r>
      <w:r>
        <w:t>ompensationen för sänkta samfundsskatteintäkter i grunden för skattekompletteringen</w:t>
      </w:r>
      <w:r w:rsidR="00A73EA6">
        <w:t xml:space="preserve">, vilket däremot </w:t>
      </w:r>
      <w:r>
        <w:t>kompensationen för förlust av skatteintäkter på grund av resekostnadsavdraget och grundavdraget inte gör.</w:t>
      </w:r>
    </w:p>
    <w:p w14:paraId="174B4E32" w14:textId="4D061FA5" w:rsidR="00D25CB7" w:rsidRDefault="001A1D2A" w:rsidP="00D35E01">
      <w:pPr>
        <w:pStyle w:val="ANormal"/>
      </w:pPr>
      <w:r>
        <w:tab/>
        <w:t xml:space="preserve">Den kompensation som betalas till kommunerna för förlust av skatteintäkter på grund av resekostnadsavdraget och grundavdraget uppgår till uppskattningsvis 5 miljoner </w:t>
      </w:r>
      <w:r w:rsidR="00C209A8">
        <w:t>euro per år, varav cirka 4</w:t>
      </w:r>
      <w:r w:rsidR="007D0F0F">
        <w:t xml:space="preserve"> </w:t>
      </w:r>
      <w:r w:rsidR="00C209A8">
        <w:t xml:space="preserve">miljoner föranleds av grundavdraget. Att denna kompensation </w:t>
      </w:r>
      <w:r w:rsidR="00D25CB7">
        <w:t>inte beaktar att</w:t>
      </w:r>
      <w:r w:rsidR="00C209A8">
        <w:t xml:space="preserve"> skattekompletteringen </w:t>
      </w:r>
      <w:r w:rsidR="00D25CB7">
        <w:t xml:space="preserve">utjämnar skillnaderna i skattekraft innebär att vissa kommuner får dubbelkompensation. En kommun med stora relativa faktiska avdrag, och därmed en lägre skattekraft, får en högre skattekomplettering samtidigt som kommunen får högre ersättning via kompensationen. Det omvända gäller för en kommun med relativt låga </w:t>
      </w:r>
      <w:r w:rsidR="006B051B">
        <w:t>avdrag. Denna synpunkt framförs i den utvärdering av landskapsandelssystemet som slutfördes i början av 2025</w:t>
      </w:r>
      <w:r w:rsidR="006B051B">
        <w:rPr>
          <w:rStyle w:val="Fotnotsreferens"/>
        </w:rPr>
        <w:footnoteReference w:id="1"/>
      </w:r>
      <w:r w:rsidR="00D25CB7">
        <w:t>.</w:t>
      </w:r>
    </w:p>
    <w:p w14:paraId="720418C0" w14:textId="4BD10FD4" w:rsidR="00D4653D" w:rsidRDefault="004A4EEE" w:rsidP="00D35E01">
      <w:pPr>
        <w:pStyle w:val="ANormal"/>
      </w:pPr>
      <w:r>
        <w:tab/>
        <w:t xml:space="preserve">För att undvika en fortsatt kraftig och oproportionerlig ökning av skattekompletteringen föreslår landskapsregeringen en sänkning av den övre gränsen för </w:t>
      </w:r>
      <w:r w:rsidR="00A73EA6">
        <w:t xml:space="preserve">kompletteringsandelen, det vill säga </w:t>
      </w:r>
      <w:r>
        <w:t>skattekompletteringens andel av landskapsandelssystemets totalbelopp.</w:t>
      </w:r>
      <w:r w:rsidR="00AD6632">
        <w:t xml:space="preserve"> En sänkning av den övre gränsen från 50</w:t>
      </w:r>
      <w:r w:rsidR="007D0F0F">
        <w:t xml:space="preserve"> </w:t>
      </w:r>
      <w:r w:rsidR="00AD6632">
        <w:t>procent till 41</w:t>
      </w:r>
      <w:r w:rsidR="007D0F0F">
        <w:t xml:space="preserve"> </w:t>
      </w:r>
      <w:r w:rsidR="00AD6632">
        <w:t xml:space="preserve">procent innebär samtidigt att uppräkningsfaktorn </w:t>
      </w:r>
      <w:r w:rsidR="00A73EA6">
        <w:t>justeras ner</w:t>
      </w:r>
      <w:r w:rsidR="00021093">
        <w:t xml:space="preserve"> till</w:t>
      </w:r>
      <w:r w:rsidR="00AD6632">
        <w:t xml:space="preserve"> 1,15 </w:t>
      </w:r>
      <w:r w:rsidR="00021093">
        <w:t>för</w:t>
      </w:r>
      <w:r w:rsidR="00AD6632">
        <w:t xml:space="preserve"> 2026.</w:t>
      </w:r>
    </w:p>
    <w:p w14:paraId="1BC7D6A4" w14:textId="77777777" w:rsidR="00D4653D" w:rsidRDefault="00D4653D" w:rsidP="00D35E01">
      <w:pPr>
        <w:pStyle w:val="ANormal"/>
      </w:pPr>
    </w:p>
    <w:p w14:paraId="77FD7E7B" w14:textId="33B6A71E" w:rsidR="00D35E01" w:rsidRDefault="00D35E01" w:rsidP="00D35E01">
      <w:pPr>
        <w:pStyle w:val="RubrikB"/>
      </w:pPr>
      <w:bookmarkStart w:id="5" w:name="_Toc214272961"/>
      <w:r>
        <w:t>3. Förslagets konsekvenser</w:t>
      </w:r>
      <w:bookmarkEnd w:id="5"/>
    </w:p>
    <w:p w14:paraId="0D6B9BAB" w14:textId="77777777" w:rsidR="00D35E01" w:rsidRDefault="00D35E01" w:rsidP="00D35E01">
      <w:pPr>
        <w:pStyle w:val="Rubrikmellanrum"/>
      </w:pPr>
    </w:p>
    <w:p w14:paraId="6FB369A8" w14:textId="2B0BC4DA" w:rsidR="005C571F" w:rsidRDefault="00CC4F99" w:rsidP="00D35E01">
      <w:pPr>
        <w:pStyle w:val="ANormal"/>
      </w:pPr>
      <w:r>
        <w:t>Förslaget har ekonomiska konsekvenser för landskapet och för kommunerna. För 2026 beräknas landskapets kostnader för skattekompletteringen minska med drygt 1,1</w:t>
      </w:r>
      <w:r w:rsidR="007D0F0F">
        <w:t xml:space="preserve"> </w:t>
      </w:r>
      <w:r>
        <w:t>miljoner euro medan kommunernas intäkter beräknas minska med motsvarande belopp. Den uppskattade effekten för de enskilda kommunerna visas i nedanstående tabell:</w:t>
      </w:r>
    </w:p>
    <w:p w14:paraId="37A0380D" w14:textId="77777777" w:rsidR="00CC4F99" w:rsidRDefault="00CC4F99" w:rsidP="00D35E01">
      <w:pPr>
        <w:pStyle w:val="ANormal"/>
      </w:pPr>
    </w:p>
    <w:tbl>
      <w:tblPr>
        <w:tblW w:w="5164" w:type="dxa"/>
        <w:jc w:val="center"/>
        <w:tblCellMar>
          <w:left w:w="70" w:type="dxa"/>
          <w:right w:w="70" w:type="dxa"/>
        </w:tblCellMar>
        <w:tblLook w:val="04A0" w:firstRow="1" w:lastRow="0" w:firstColumn="1" w:lastColumn="0" w:noHBand="0" w:noVBand="1"/>
      </w:tblPr>
      <w:tblGrid>
        <w:gridCol w:w="1256"/>
        <w:gridCol w:w="1316"/>
        <w:gridCol w:w="1296"/>
        <w:gridCol w:w="1296"/>
      </w:tblGrid>
      <w:tr w:rsidR="005F1C3D" w:rsidRPr="007046EE" w14:paraId="3A4F606E" w14:textId="77777777" w:rsidTr="005F1C3D">
        <w:trPr>
          <w:trHeight w:val="330"/>
          <w:jc w:val="center"/>
        </w:trPr>
        <w:tc>
          <w:tcPr>
            <w:tcW w:w="3868" w:type="dxa"/>
            <w:gridSpan w:val="3"/>
            <w:tcBorders>
              <w:top w:val="single" w:sz="4" w:space="0" w:color="auto"/>
              <w:left w:val="single" w:sz="4" w:space="0" w:color="auto"/>
              <w:bottom w:val="single" w:sz="4" w:space="0" w:color="auto"/>
              <w:right w:val="nil"/>
            </w:tcBorders>
            <w:noWrap/>
            <w:vAlign w:val="bottom"/>
            <w:hideMark/>
          </w:tcPr>
          <w:p w14:paraId="2B8041E1" w14:textId="35B181CE" w:rsidR="005F1C3D" w:rsidRPr="007046EE" w:rsidRDefault="005F1C3D" w:rsidP="00A73EA6">
            <w:pPr>
              <w:pStyle w:val="Tabelltext"/>
              <w:keepNext/>
              <w:jc w:val="center"/>
              <w:rPr>
                <w:b/>
                <w:bCs/>
              </w:rPr>
            </w:pPr>
            <w:r w:rsidRPr="005F1C3D">
              <w:rPr>
                <w:b/>
                <w:bCs/>
                <w:sz w:val="22"/>
                <w:szCs w:val="22"/>
                <w:lang w:val="sv-FI" w:eastAsia="sv-FI"/>
              </w:rPr>
              <w:t>Skattekomplettering 202</w:t>
            </w:r>
            <w:r w:rsidR="009D66F8">
              <w:rPr>
                <w:b/>
                <w:bCs/>
                <w:sz w:val="22"/>
                <w:szCs w:val="22"/>
                <w:lang w:val="sv-FI" w:eastAsia="sv-FI"/>
              </w:rPr>
              <w:t>6</w:t>
            </w:r>
          </w:p>
        </w:tc>
        <w:tc>
          <w:tcPr>
            <w:tcW w:w="1296" w:type="dxa"/>
            <w:tcBorders>
              <w:top w:val="single" w:sz="4" w:space="0" w:color="auto"/>
              <w:left w:val="nil"/>
              <w:bottom w:val="single" w:sz="4" w:space="0" w:color="auto"/>
              <w:right w:val="single" w:sz="4" w:space="0" w:color="auto"/>
            </w:tcBorders>
            <w:noWrap/>
            <w:vAlign w:val="bottom"/>
          </w:tcPr>
          <w:p w14:paraId="726C2835" w14:textId="68B21303" w:rsidR="005F1C3D" w:rsidRPr="007046EE" w:rsidRDefault="005F1C3D" w:rsidP="00A73EA6">
            <w:pPr>
              <w:pStyle w:val="Tabelltext"/>
              <w:keepNext/>
              <w:jc w:val="center"/>
              <w:rPr>
                <w:b/>
                <w:bCs/>
              </w:rPr>
            </w:pPr>
          </w:p>
        </w:tc>
      </w:tr>
      <w:tr w:rsidR="005F1C3D" w:rsidRPr="007046EE" w14:paraId="4EDCC995" w14:textId="77777777" w:rsidTr="005F1C3D">
        <w:trPr>
          <w:trHeight w:val="330"/>
          <w:jc w:val="center"/>
        </w:trPr>
        <w:tc>
          <w:tcPr>
            <w:tcW w:w="1256" w:type="dxa"/>
            <w:tcBorders>
              <w:top w:val="single" w:sz="4" w:space="0" w:color="auto"/>
              <w:left w:val="single" w:sz="4" w:space="0" w:color="auto"/>
              <w:bottom w:val="single" w:sz="4" w:space="0" w:color="auto"/>
              <w:right w:val="single" w:sz="4" w:space="0" w:color="auto"/>
            </w:tcBorders>
            <w:noWrap/>
            <w:vAlign w:val="bottom"/>
          </w:tcPr>
          <w:p w14:paraId="73F39A6D" w14:textId="77777777" w:rsidR="005F1C3D" w:rsidRPr="007046EE" w:rsidRDefault="005F1C3D" w:rsidP="00A73EA6">
            <w:pPr>
              <w:pStyle w:val="Tabelltext"/>
              <w:keepNext/>
              <w:jc w:val="center"/>
              <w:rPr>
                <w:b/>
                <w:bCs/>
                <w:lang w:val="sv-FI" w:eastAsia="sv-FI"/>
              </w:rPr>
            </w:pPr>
          </w:p>
        </w:tc>
        <w:tc>
          <w:tcPr>
            <w:tcW w:w="1316" w:type="dxa"/>
            <w:tcBorders>
              <w:top w:val="single" w:sz="4" w:space="0" w:color="auto"/>
              <w:left w:val="single" w:sz="4" w:space="0" w:color="auto"/>
              <w:bottom w:val="single" w:sz="4" w:space="0" w:color="auto"/>
              <w:right w:val="single" w:sz="4" w:space="0" w:color="auto"/>
            </w:tcBorders>
            <w:noWrap/>
            <w:vAlign w:val="bottom"/>
          </w:tcPr>
          <w:p w14:paraId="63784F97" w14:textId="2751961D" w:rsidR="005F1C3D" w:rsidRPr="007046EE" w:rsidRDefault="005F1C3D" w:rsidP="00A73EA6">
            <w:pPr>
              <w:pStyle w:val="Tabelltext"/>
              <w:keepNext/>
              <w:jc w:val="center"/>
              <w:rPr>
                <w:b/>
                <w:bCs/>
              </w:rPr>
            </w:pPr>
            <w:r w:rsidRPr="007046EE">
              <w:rPr>
                <w:b/>
                <w:bCs/>
              </w:rPr>
              <w:t>Gällande lag</w:t>
            </w:r>
          </w:p>
        </w:tc>
        <w:tc>
          <w:tcPr>
            <w:tcW w:w="1296" w:type="dxa"/>
            <w:tcBorders>
              <w:top w:val="single" w:sz="4" w:space="0" w:color="auto"/>
              <w:left w:val="single" w:sz="4" w:space="0" w:color="auto"/>
              <w:bottom w:val="single" w:sz="4" w:space="0" w:color="auto"/>
              <w:right w:val="single" w:sz="4" w:space="0" w:color="auto"/>
            </w:tcBorders>
            <w:noWrap/>
            <w:vAlign w:val="bottom"/>
          </w:tcPr>
          <w:p w14:paraId="199247C6" w14:textId="7FF8A38F" w:rsidR="005F1C3D" w:rsidRPr="007046EE" w:rsidRDefault="005F1C3D" w:rsidP="00A73EA6">
            <w:pPr>
              <w:pStyle w:val="Tabelltext"/>
              <w:keepNext/>
              <w:jc w:val="center"/>
              <w:rPr>
                <w:b/>
                <w:bCs/>
              </w:rPr>
            </w:pPr>
            <w:r w:rsidRPr="007046EE">
              <w:rPr>
                <w:b/>
                <w:bCs/>
              </w:rPr>
              <w:t>Förslag</w:t>
            </w:r>
          </w:p>
        </w:tc>
        <w:tc>
          <w:tcPr>
            <w:tcW w:w="1296" w:type="dxa"/>
            <w:tcBorders>
              <w:top w:val="single" w:sz="4" w:space="0" w:color="auto"/>
              <w:left w:val="single" w:sz="4" w:space="0" w:color="auto"/>
              <w:bottom w:val="single" w:sz="4" w:space="0" w:color="auto"/>
              <w:right w:val="single" w:sz="4" w:space="0" w:color="auto"/>
            </w:tcBorders>
            <w:noWrap/>
            <w:vAlign w:val="bottom"/>
          </w:tcPr>
          <w:p w14:paraId="1BD82A55" w14:textId="00A79AAA" w:rsidR="005F1C3D" w:rsidRDefault="005F1C3D" w:rsidP="00A73EA6">
            <w:pPr>
              <w:pStyle w:val="Tabelltext"/>
              <w:keepNext/>
              <w:jc w:val="center"/>
              <w:rPr>
                <w:b/>
                <w:bCs/>
              </w:rPr>
            </w:pPr>
            <w:r>
              <w:rPr>
                <w:b/>
                <w:bCs/>
              </w:rPr>
              <w:t>Skillnad</w:t>
            </w:r>
          </w:p>
        </w:tc>
      </w:tr>
      <w:tr w:rsidR="00CC4F99" w14:paraId="09DCDEF1"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12333A73" w14:textId="77777777" w:rsidR="00CC4F99" w:rsidRDefault="00CC4F99" w:rsidP="00A73EA6">
            <w:pPr>
              <w:pStyle w:val="Tabelltext"/>
              <w:keepNext/>
            </w:pPr>
            <w:r>
              <w:t>Brändö</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52560320" w14:textId="77777777" w:rsidR="00CC4F99" w:rsidRPr="00CC4F99" w:rsidRDefault="00CC4F99" w:rsidP="00A73EA6">
            <w:pPr>
              <w:pStyle w:val="Tabelltext"/>
              <w:keepNext/>
              <w:jc w:val="right"/>
            </w:pPr>
            <w:r w:rsidRPr="00CC4F99">
              <w:t xml:space="preserve">0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8C2C90D" w14:textId="77777777" w:rsidR="00CC4F99" w:rsidRDefault="00CC4F99" w:rsidP="00A73EA6">
            <w:pPr>
              <w:pStyle w:val="Tabelltext"/>
              <w:keepNext/>
              <w:jc w:val="right"/>
            </w:pPr>
            <w:r>
              <w:t xml:space="preserve">0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73A7DD2C" w14:textId="77777777" w:rsidR="00CC4F99" w:rsidRDefault="00CC4F99" w:rsidP="00A73EA6">
            <w:pPr>
              <w:pStyle w:val="Tabelltext"/>
              <w:keepNext/>
              <w:jc w:val="right"/>
            </w:pPr>
            <w:r>
              <w:t xml:space="preserve">0  </w:t>
            </w:r>
          </w:p>
        </w:tc>
      </w:tr>
      <w:tr w:rsidR="00CC4F99" w14:paraId="7D7CAEC4"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9618410" w14:textId="77777777" w:rsidR="00CC4F99" w:rsidRDefault="00CC4F99" w:rsidP="00A73EA6">
            <w:pPr>
              <w:pStyle w:val="Tabelltext"/>
              <w:keepNext/>
            </w:pPr>
            <w:r>
              <w:t>Eckerö</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2D1442B7" w14:textId="4FEF5097" w:rsidR="00CC4F99" w:rsidRPr="00CC4F99" w:rsidRDefault="00CC4F99" w:rsidP="00A73EA6">
            <w:pPr>
              <w:pStyle w:val="Tabelltext"/>
              <w:keepNext/>
              <w:jc w:val="right"/>
            </w:pPr>
            <w:r w:rsidRPr="00CC4F99">
              <w:t>1</w:t>
            </w:r>
            <w:r w:rsidR="007D0F0F">
              <w:t> </w:t>
            </w:r>
            <w:r w:rsidRPr="00CC4F99">
              <w:t>312</w:t>
            </w:r>
            <w:r w:rsidR="007D0F0F">
              <w:t> </w:t>
            </w:r>
            <w:r w:rsidRPr="00CC4F99">
              <w:t xml:space="preserve">289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7D502558" w14:textId="2B5C85A8" w:rsidR="00CC4F99" w:rsidRDefault="00CC4F99" w:rsidP="00A73EA6">
            <w:pPr>
              <w:pStyle w:val="Tabelltext"/>
              <w:keepNext/>
              <w:jc w:val="right"/>
            </w:pPr>
            <w:r>
              <w:t>1</w:t>
            </w:r>
            <w:r w:rsidR="007D0F0F">
              <w:t> </w:t>
            </w:r>
            <w:r>
              <w:t>276</w:t>
            </w:r>
            <w:r w:rsidR="007D0F0F">
              <w:t> </w:t>
            </w:r>
            <w:r>
              <w:t xml:space="preserve">202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06B58A06" w14:textId="0EC9F9C1" w:rsidR="00CC4F99" w:rsidRDefault="00CC4F99" w:rsidP="00A73EA6">
            <w:pPr>
              <w:pStyle w:val="Tabelltext"/>
              <w:keepNext/>
              <w:jc w:val="right"/>
            </w:pPr>
            <w:r>
              <w:t>-36</w:t>
            </w:r>
            <w:r w:rsidR="007D0F0F">
              <w:t> </w:t>
            </w:r>
            <w:r>
              <w:t xml:space="preserve">087  </w:t>
            </w:r>
          </w:p>
        </w:tc>
      </w:tr>
      <w:tr w:rsidR="00CC4F99" w14:paraId="39B8BC09"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334983F3" w14:textId="77777777" w:rsidR="00CC4F99" w:rsidRDefault="00CC4F99" w:rsidP="00A73EA6">
            <w:pPr>
              <w:pStyle w:val="Tabelltext"/>
              <w:keepNext/>
            </w:pPr>
            <w:r>
              <w:t>Finström</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2657C6BD" w14:textId="780E35D0" w:rsidR="00CC4F99" w:rsidRPr="00CC4F99" w:rsidRDefault="00CC4F99" w:rsidP="00A73EA6">
            <w:pPr>
              <w:pStyle w:val="Tabelltext"/>
              <w:keepNext/>
              <w:jc w:val="right"/>
            </w:pPr>
            <w:r w:rsidRPr="00CC4F99">
              <w:t>2</w:t>
            </w:r>
            <w:r w:rsidR="007D0F0F">
              <w:t> </w:t>
            </w:r>
            <w:r w:rsidRPr="00CC4F99">
              <w:t>985</w:t>
            </w:r>
            <w:r w:rsidR="007D0F0F">
              <w:t> </w:t>
            </w:r>
            <w:r w:rsidRPr="00CC4F99">
              <w:t xml:space="preserve">508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07002C0" w14:textId="4723E0BC" w:rsidR="00CC4F99" w:rsidRDefault="00CC4F99" w:rsidP="00A73EA6">
            <w:pPr>
              <w:pStyle w:val="Tabelltext"/>
              <w:keepNext/>
              <w:jc w:val="right"/>
            </w:pPr>
            <w:r>
              <w:t>2</w:t>
            </w:r>
            <w:r w:rsidR="007D0F0F">
              <w:t> </w:t>
            </w:r>
            <w:r>
              <w:t>887</w:t>
            </w:r>
            <w:r w:rsidR="007D0F0F">
              <w:t> </w:t>
            </w:r>
            <w:r>
              <w:t xml:space="preserve">445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4263B2B" w14:textId="2759D5A0" w:rsidR="00CC4F99" w:rsidRDefault="00CC4F99" w:rsidP="00A73EA6">
            <w:pPr>
              <w:pStyle w:val="Tabelltext"/>
              <w:keepNext/>
              <w:jc w:val="right"/>
            </w:pPr>
            <w:r>
              <w:t>-98</w:t>
            </w:r>
            <w:r w:rsidR="007D0F0F">
              <w:t> </w:t>
            </w:r>
            <w:r>
              <w:t xml:space="preserve">062  </w:t>
            </w:r>
          </w:p>
        </w:tc>
      </w:tr>
      <w:tr w:rsidR="00CC4F99" w14:paraId="75739886"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F126FD2" w14:textId="77777777" w:rsidR="00CC4F99" w:rsidRDefault="00CC4F99" w:rsidP="00A73EA6">
            <w:pPr>
              <w:pStyle w:val="Tabelltext"/>
              <w:keepNext/>
            </w:pPr>
            <w:r>
              <w:t>Föglö</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0158C13B" w14:textId="5114AD3A" w:rsidR="00CC4F99" w:rsidRPr="00CC4F99" w:rsidRDefault="00CC4F99" w:rsidP="00A73EA6">
            <w:pPr>
              <w:pStyle w:val="Tabelltext"/>
              <w:keepNext/>
              <w:jc w:val="right"/>
            </w:pPr>
            <w:r w:rsidRPr="00CC4F99">
              <w:t>560</w:t>
            </w:r>
            <w:r w:rsidR="007D0F0F">
              <w:t> </w:t>
            </w:r>
            <w:r w:rsidRPr="00CC4F99">
              <w:t xml:space="preserve">538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4F9A450" w14:textId="0898D0AF" w:rsidR="00CC4F99" w:rsidRDefault="00CC4F99" w:rsidP="00A73EA6">
            <w:pPr>
              <w:pStyle w:val="Tabelltext"/>
              <w:keepNext/>
              <w:jc w:val="right"/>
            </w:pPr>
            <w:r>
              <w:t>541</w:t>
            </w:r>
            <w:r w:rsidR="007D0F0F">
              <w:t> </w:t>
            </w:r>
            <w:r>
              <w:t xml:space="preserve">759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8216D87" w14:textId="0D4CABD8" w:rsidR="00CC4F99" w:rsidRDefault="00CC4F99" w:rsidP="00A73EA6">
            <w:pPr>
              <w:pStyle w:val="Tabelltext"/>
              <w:keepNext/>
              <w:jc w:val="right"/>
            </w:pPr>
            <w:r>
              <w:t>-18</w:t>
            </w:r>
            <w:r w:rsidR="007D0F0F">
              <w:t> </w:t>
            </w:r>
            <w:r>
              <w:t xml:space="preserve">778  </w:t>
            </w:r>
          </w:p>
        </w:tc>
      </w:tr>
      <w:tr w:rsidR="00CC4F99" w14:paraId="767C24FC"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6EAF4DA1" w14:textId="77777777" w:rsidR="00CC4F99" w:rsidRDefault="00CC4F99" w:rsidP="00A73EA6">
            <w:pPr>
              <w:pStyle w:val="Tabelltext"/>
              <w:keepNext/>
            </w:pPr>
            <w:r>
              <w:t>Geta</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56420A8E" w14:textId="67DA317D" w:rsidR="00CC4F99" w:rsidRPr="00CC4F99" w:rsidRDefault="00CC4F99" w:rsidP="00A73EA6">
            <w:pPr>
              <w:pStyle w:val="Tabelltext"/>
              <w:keepNext/>
              <w:jc w:val="right"/>
            </w:pPr>
            <w:r w:rsidRPr="00CC4F99">
              <w:t>1</w:t>
            </w:r>
            <w:r w:rsidR="007D0F0F">
              <w:t> </w:t>
            </w:r>
            <w:r w:rsidRPr="00CC4F99">
              <w:t>121</w:t>
            </w:r>
            <w:r w:rsidR="007D0F0F">
              <w:t> </w:t>
            </w:r>
            <w:r w:rsidRPr="00CC4F99">
              <w:t xml:space="preserve">305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E9BC72C" w14:textId="247AEB91" w:rsidR="00CC4F99" w:rsidRDefault="00CC4F99" w:rsidP="00A73EA6">
            <w:pPr>
              <w:pStyle w:val="Tabelltext"/>
              <w:keepNext/>
              <w:jc w:val="right"/>
            </w:pPr>
            <w:r>
              <w:t>1</w:t>
            </w:r>
            <w:r w:rsidR="007D0F0F">
              <w:t> </w:t>
            </w:r>
            <w:r>
              <w:t>101</w:t>
            </w:r>
            <w:r w:rsidR="007D0F0F">
              <w:t> </w:t>
            </w:r>
            <w:r>
              <w:t xml:space="preserve">686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7934B7CD" w14:textId="4ADB0D58" w:rsidR="00CC4F99" w:rsidRDefault="00CC4F99" w:rsidP="00A73EA6">
            <w:pPr>
              <w:pStyle w:val="Tabelltext"/>
              <w:keepNext/>
              <w:jc w:val="right"/>
            </w:pPr>
            <w:r>
              <w:t>-19</w:t>
            </w:r>
            <w:r w:rsidR="007D0F0F">
              <w:t> </w:t>
            </w:r>
            <w:r>
              <w:t xml:space="preserve">618  </w:t>
            </w:r>
          </w:p>
        </w:tc>
      </w:tr>
      <w:tr w:rsidR="00CC4F99" w14:paraId="6C82C612"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13A3DEF2" w14:textId="77777777" w:rsidR="00CC4F99" w:rsidRDefault="00CC4F99" w:rsidP="00A73EA6">
            <w:pPr>
              <w:pStyle w:val="Tabelltext"/>
              <w:keepNext/>
            </w:pPr>
            <w:r>
              <w:t>Hammarland</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10ACA616" w14:textId="0A7709CE" w:rsidR="00CC4F99" w:rsidRPr="00CC4F99" w:rsidRDefault="00CC4F99" w:rsidP="00A73EA6">
            <w:pPr>
              <w:pStyle w:val="Tabelltext"/>
              <w:keepNext/>
              <w:jc w:val="right"/>
            </w:pPr>
            <w:r w:rsidRPr="00CC4F99">
              <w:t>2</w:t>
            </w:r>
            <w:r w:rsidR="007D0F0F">
              <w:t> </w:t>
            </w:r>
            <w:r w:rsidRPr="00CC4F99">
              <w:t>379</w:t>
            </w:r>
            <w:r w:rsidR="007D0F0F">
              <w:t> </w:t>
            </w:r>
            <w:r w:rsidRPr="00CC4F99">
              <w:t xml:space="preserve">179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A6C47FF" w14:textId="10867D88" w:rsidR="00CC4F99" w:rsidRDefault="00CC4F99" w:rsidP="00A73EA6">
            <w:pPr>
              <w:pStyle w:val="Tabelltext"/>
              <w:keepNext/>
              <w:jc w:val="right"/>
            </w:pPr>
            <w:r>
              <w:t>2</w:t>
            </w:r>
            <w:r w:rsidR="007D0F0F">
              <w:t> </w:t>
            </w:r>
            <w:r>
              <w:t>317</w:t>
            </w:r>
            <w:r w:rsidR="007D0F0F">
              <w:t> </w:t>
            </w:r>
            <w:r>
              <w:t xml:space="preserve">295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712EFB5" w14:textId="050B742A" w:rsidR="00CC4F99" w:rsidRDefault="00CC4F99" w:rsidP="00A73EA6">
            <w:pPr>
              <w:pStyle w:val="Tabelltext"/>
              <w:keepNext/>
              <w:jc w:val="right"/>
            </w:pPr>
            <w:r>
              <w:t>-61</w:t>
            </w:r>
            <w:r w:rsidR="007D0F0F">
              <w:t> </w:t>
            </w:r>
            <w:r>
              <w:t xml:space="preserve">883  </w:t>
            </w:r>
          </w:p>
        </w:tc>
      </w:tr>
      <w:tr w:rsidR="00CC4F99" w14:paraId="5ED4FAF4"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6FF5A024" w14:textId="77777777" w:rsidR="00CC4F99" w:rsidRDefault="00CC4F99" w:rsidP="00A73EA6">
            <w:pPr>
              <w:pStyle w:val="Tabelltext"/>
              <w:keepNext/>
            </w:pPr>
            <w:r>
              <w:t>Jomala</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3D0D6BCE" w14:textId="3B089F22" w:rsidR="00CC4F99" w:rsidRPr="00CC4F99" w:rsidRDefault="00CC4F99" w:rsidP="00A73EA6">
            <w:pPr>
              <w:pStyle w:val="Tabelltext"/>
              <w:keepNext/>
              <w:jc w:val="right"/>
            </w:pPr>
            <w:r w:rsidRPr="00CC4F99">
              <w:t>3</w:t>
            </w:r>
            <w:r w:rsidR="007D0F0F">
              <w:t> </w:t>
            </w:r>
            <w:r w:rsidRPr="00CC4F99">
              <w:t>259</w:t>
            </w:r>
            <w:r w:rsidR="007D0F0F">
              <w:t> </w:t>
            </w:r>
            <w:r w:rsidRPr="00CC4F99">
              <w:t xml:space="preserve">735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6ED98E0" w14:textId="18CD264F" w:rsidR="00CC4F99" w:rsidRDefault="00CC4F99" w:rsidP="00A73EA6">
            <w:pPr>
              <w:pStyle w:val="Tabelltext"/>
              <w:keepNext/>
              <w:jc w:val="right"/>
            </w:pPr>
            <w:r>
              <w:t>3</w:t>
            </w:r>
            <w:r w:rsidR="007D0F0F">
              <w:t> </w:t>
            </w:r>
            <w:r>
              <w:t>040</w:t>
            </w:r>
            <w:r w:rsidR="007D0F0F">
              <w:t> </w:t>
            </w:r>
            <w:r>
              <w:t xml:space="preserve">722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240E9774" w14:textId="3A344EA8" w:rsidR="00CC4F99" w:rsidRDefault="00CC4F99" w:rsidP="00A73EA6">
            <w:pPr>
              <w:pStyle w:val="Tabelltext"/>
              <w:keepNext/>
              <w:jc w:val="right"/>
            </w:pPr>
            <w:r>
              <w:t>-219</w:t>
            </w:r>
            <w:r w:rsidR="007D0F0F">
              <w:t> </w:t>
            </w:r>
            <w:r>
              <w:t xml:space="preserve">012  </w:t>
            </w:r>
          </w:p>
        </w:tc>
      </w:tr>
      <w:tr w:rsidR="00CC4F99" w14:paraId="39B6D05E"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2BAC5D3A" w14:textId="77777777" w:rsidR="00CC4F99" w:rsidRDefault="00CC4F99" w:rsidP="00A73EA6">
            <w:pPr>
              <w:pStyle w:val="Tabelltext"/>
              <w:keepNext/>
            </w:pPr>
            <w:r>
              <w:t>Kumlinge</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0E8133D8" w14:textId="6EE715EC" w:rsidR="00CC4F99" w:rsidRPr="00CC4F99" w:rsidRDefault="00CC4F99" w:rsidP="00A73EA6">
            <w:pPr>
              <w:pStyle w:val="Tabelltext"/>
              <w:keepNext/>
              <w:jc w:val="right"/>
            </w:pPr>
            <w:r w:rsidRPr="00CC4F99">
              <w:t>270</w:t>
            </w:r>
            <w:r w:rsidR="007D0F0F">
              <w:t> </w:t>
            </w:r>
            <w:r w:rsidRPr="00CC4F99">
              <w:t xml:space="preserve">476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0DAE9AAC" w14:textId="5F91E868" w:rsidR="00CC4F99" w:rsidRDefault="00CC4F99" w:rsidP="00A73EA6">
            <w:pPr>
              <w:pStyle w:val="Tabelltext"/>
              <w:keepNext/>
              <w:jc w:val="right"/>
            </w:pPr>
            <w:r>
              <w:t>260</w:t>
            </w:r>
            <w:r w:rsidR="007D0F0F">
              <w:t> </w:t>
            </w:r>
            <w:r>
              <w:t xml:space="preserve">236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7E706A9C" w14:textId="20FF57E0" w:rsidR="00CC4F99" w:rsidRDefault="00CC4F99" w:rsidP="00A73EA6">
            <w:pPr>
              <w:pStyle w:val="Tabelltext"/>
              <w:keepNext/>
              <w:jc w:val="right"/>
            </w:pPr>
            <w:r>
              <w:t>-10</w:t>
            </w:r>
            <w:r w:rsidR="007D0F0F">
              <w:t> </w:t>
            </w:r>
            <w:r>
              <w:t xml:space="preserve">239  </w:t>
            </w:r>
          </w:p>
        </w:tc>
      </w:tr>
      <w:tr w:rsidR="00CC4F99" w14:paraId="53E0D05C"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35647CFE" w14:textId="77777777" w:rsidR="00CC4F99" w:rsidRDefault="00CC4F99" w:rsidP="00A73EA6">
            <w:pPr>
              <w:pStyle w:val="Tabelltext"/>
              <w:keepNext/>
            </w:pPr>
            <w:r>
              <w:t>Kökar</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6B1BE3C1" w14:textId="02F9C982" w:rsidR="00CC4F99" w:rsidRPr="00CC4F99" w:rsidRDefault="00CC4F99" w:rsidP="00A73EA6">
            <w:pPr>
              <w:pStyle w:val="Tabelltext"/>
              <w:keepNext/>
              <w:jc w:val="right"/>
            </w:pPr>
            <w:r w:rsidRPr="00CC4F99">
              <w:t>393</w:t>
            </w:r>
            <w:r w:rsidR="007D0F0F">
              <w:t> </w:t>
            </w:r>
            <w:r w:rsidRPr="00CC4F99">
              <w:t xml:space="preserve">268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27FD47E5" w14:textId="08932BE0" w:rsidR="00CC4F99" w:rsidRDefault="00CC4F99" w:rsidP="00A73EA6">
            <w:pPr>
              <w:pStyle w:val="Tabelltext"/>
              <w:keepNext/>
              <w:jc w:val="right"/>
            </w:pPr>
            <w:r>
              <w:t>384</w:t>
            </w:r>
            <w:r w:rsidR="007D0F0F">
              <w:t> </w:t>
            </w:r>
            <w:r>
              <w:t xml:space="preserve">145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ABBDB82" w14:textId="2DECFE51" w:rsidR="00CC4F99" w:rsidRDefault="00CC4F99" w:rsidP="00A73EA6">
            <w:pPr>
              <w:pStyle w:val="Tabelltext"/>
              <w:keepNext/>
              <w:jc w:val="right"/>
            </w:pPr>
            <w:r>
              <w:t>-9</w:t>
            </w:r>
            <w:r w:rsidR="007D0F0F">
              <w:t> </w:t>
            </w:r>
            <w:r>
              <w:t xml:space="preserve">123  </w:t>
            </w:r>
          </w:p>
        </w:tc>
      </w:tr>
      <w:tr w:rsidR="00CC4F99" w14:paraId="7C1A8BFF"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72A633DC" w14:textId="77777777" w:rsidR="00CC4F99" w:rsidRDefault="00CC4F99" w:rsidP="00A73EA6">
            <w:pPr>
              <w:pStyle w:val="Tabelltext"/>
              <w:keepNext/>
            </w:pPr>
            <w:r>
              <w:t>Lemland</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6D2061FA" w14:textId="40BA8301" w:rsidR="00CC4F99" w:rsidRPr="00CC4F99" w:rsidRDefault="00CC4F99" w:rsidP="00A73EA6">
            <w:pPr>
              <w:pStyle w:val="Tabelltext"/>
              <w:keepNext/>
              <w:jc w:val="right"/>
            </w:pPr>
            <w:r w:rsidRPr="00CC4F99">
              <w:t>1</w:t>
            </w:r>
            <w:r w:rsidR="007D0F0F">
              <w:t> </w:t>
            </w:r>
            <w:r w:rsidRPr="00CC4F99">
              <w:t>990</w:t>
            </w:r>
            <w:r w:rsidR="007D0F0F">
              <w:t> </w:t>
            </w:r>
            <w:r w:rsidRPr="00CC4F99">
              <w:t xml:space="preserve">587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0E5B92C2" w14:textId="7A499587" w:rsidR="00CC4F99" w:rsidRDefault="00CC4F99" w:rsidP="00A73EA6">
            <w:pPr>
              <w:pStyle w:val="Tabelltext"/>
              <w:keepNext/>
              <w:jc w:val="right"/>
            </w:pPr>
            <w:r>
              <w:t>1</w:t>
            </w:r>
            <w:r w:rsidR="007D0F0F">
              <w:t> </w:t>
            </w:r>
            <w:r>
              <w:t>908</w:t>
            </w:r>
            <w:r w:rsidR="007D0F0F">
              <w:t> </w:t>
            </w:r>
            <w:r>
              <w:t xml:space="preserve">549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6A19D558" w14:textId="2F9D6D09" w:rsidR="00CC4F99" w:rsidRDefault="00CC4F99" w:rsidP="00A73EA6">
            <w:pPr>
              <w:pStyle w:val="Tabelltext"/>
              <w:keepNext/>
              <w:jc w:val="right"/>
            </w:pPr>
            <w:r>
              <w:t>-82</w:t>
            </w:r>
            <w:r w:rsidR="007D0F0F">
              <w:t> </w:t>
            </w:r>
            <w:r>
              <w:t xml:space="preserve">038  </w:t>
            </w:r>
          </w:p>
        </w:tc>
      </w:tr>
      <w:tr w:rsidR="00CC4F99" w14:paraId="1C34F266"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2179BF95" w14:textId="77777777" w:rsidR="00CC4F99" w:rsidRDefault="00CC4F99" w:rsidP="00A73EA6">
            <w:pPr>
              <w:pStyle w:val="Tabelltext"/>
              <w:keepNext/>
            </w:pPr>
            <w:r>
              <w:t>Lumparland</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56B77A0A" w14:textId="1E62DE29" w:rsidR="00CC4F99" w:rsidRPr="00CC4F99" w:rsidRDefault="00CC4F99" w:rsidP="00A73EA6">
            <w:pPr>
              <w:pStyle w:val="Tabelltext"/>
              <w:keepNext/>
              <w:jc w:val="right"/>
            </w:pPr>
            <w:r w:rsidRPr="00CC4F99">
              <w:t>352</w:t>
            </w:r>
            <w:r w:rsidR="007D0F0F">
              <w:t> </w:t>
            </w:r>
            <w:r w:rsidRPr="00CC4F99">
              <w:t xml:space="preserve">412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57D1B357" w14:textId="65DCF834" w:rsidR="00CC4F99" w:rsidRDefault="00CC4F99" w:rsidP="00A73EA6">
            <w:pPr>
              <w:pStyle w:val="Tabelltext"/>
              <w:keepNext/>
              <w:jc w:val="right"/>
            </w:pPr>
            <w:r>
              <w:t>338</w:t>
            </w:r>
            <w:r w:rsidR="007D0F0F">
              <w:t> </w:t>
            </w:r>
            <w:r>
              <w:t xml:space="preserve">309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22D9E50D" w14:textId="75F6CCD9" w:rsidR="00CC4F99" w:rsidRDefault="00CC4F99" w:rsidP="00A73EA6">
            <w:pPr>
              <w:pStyle w:val="Tabelltext"/>
              <w:keepNext/>
              <w:jc w:val="right"/>
            </w:pPr>
            <w:r>
              <w:t>-14</w:t>
            </w:r>
            <w:r w:rsidR="007D0F0F">
              <w:t> </w:t>
            </w:r>
            <w:r>
              <w:t xml:space="preserve">103  </w:t>
            </w:r>
          </w:p>
        </w:tc>
      </w:tr>
      <w:tr w:rsidR="00CC4F99" w14:paraId="28FB8242"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36440241" w14:textId="77777777" w:rsidR="00CC4F99" w:rsidRDefault="00CC4F99" w:rsidP="00A73EA6">
            <w:pPr>
              <w:pStyle w:val="Tabelltext"/>
              <w:keepNext/>
            </w:pPr>
            <w:r>
              <w:t>Saltvik</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6A17513A" w14:textId="4B2ACBEB" w:rsidR="00CC4F99" w:rsidRPr="00CC4F99" w:rsidRDefault="00CC4F99" w:rsidP="00A73EA6">
            <w:pPr>
              <w:pStyle w:val="Tabelltext"/>
              <w:keepNext/>
              <w:jc w:val="right"/>
            </w:pPr>
            <w:r w:rsidRPr="00CC4F99">
              <w:t>1</w:t>
            </w:r>
            <w:r w:rsidR="007D0F0F">
              <w:t> </w:t>
            </w:r>
            <w:r w:rsidRPr="00CC4F99">
              <w:t>144</w:t>
            </w:r>
            <w:r w:rsidR="007D0F0F">
              <w:t> </w:t>
            </w:r>
            <w:r w:rsidRPr="00CC4F99">
              <w:t xml:space="preserve">163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B940134" w14:textId="66116FD2" w:rsidR="00CC4F99" w:rsidRDefault="00CC4F99" w:rsidP="00A73EA6">
            <w:pPr>
              <w:pStyle w:val="Tabelltext"/>
              <w:keepNext/>
              <w:jc w:val="right"/>
            </w:pPr>
            <w:r>
              <w:t>1</w:t>
            </w:r>
            <w:r w:rsidR="007D0F0F">
              <w:t> </w:t>
            </w:r>
            <w:r>
              <w:t>078</w:t>
            </w:r>
            <w:r w:rsidR="007D0F0F">
              <w:t> </w:t>
            </w:r>
            <w:r>
              <w:t xml:space="preserve">003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17FEE748" w14:textId="401A11A9" w:rsidR="00CC4F99" w:rsidRDefault="00CC4F99" w:rsidP="00A73EA6">
            <w:pPr>
              <w:pStyle w:val="Tabelltext"/>
              <w:keepNext/>
              <w:jc w:val="right"/>
            </w:pPr>
            <w:r>
              <w:t>-66</w:t>
            </w:r>
            <w:r w:rsidR="007D0F0F">
              <w:t> </w:t>
            </w:r>
            <w:r>
              <w:t xml:space="preserve">160  </w:t>
            </w:r>
          </w:p>
        </w:tc>
      </w:tr>
      <w:tr w:rsidR="00CC4F99" w14:paraId="67AC2CFB"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53C0F44B" w14:textId="77777777" w:rsidR="00CC4F99" w:rsidRDefault="00CC4F99" w:rsidP="00A73EA6">
            <w:pPr>
              <w:pStyle w:val="Tabelltext"/>
              <w:keepNext/>
            </w:pPr>
            <w:r>
              <w:t>Sottunga</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2C68C4AD" w14:textId="2DC62D98" w:rsidR="00CC4F99" w:rsidRPr="00CC4F99" w:rsidRDefault="00CC4F99" w:rsidP="00A73EA6">
            <w:pPr>
              <w:pStyle w:val="Tabelltext"/>
              <w:keepNext/>
              <w:jc w:val="right"/>
            </w:pPr>
            <w:r w:rsidRPr="00CC4F99">
              <w:t>115</w:t>
            </w:r>
            <w:r w:rsidR="007D0F0F">
              <w:t> </w:t>
            </w:r>
            <w:r w:rsidRPr="00CC4F99">
              <w:t xml:space="preserve">040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A4DFC1C" w14:textId="67643653" w:rsidR="00CC4F99" w:rsidRDefault="00CC4F99" w:rsidP="00A73EA6">
            <w:pPr>
              <w:pStyle w:val="Tabelltext"/>
              <w:keepNext/>
              <w:jc w:val="right"/>
            </w:pPr>
            <w:r>
              <w:t>111</w:t>
            </w:r>
            <w:r w:rsidR="007D0F0F">
              <w:t> </w:t>
            </w:r>
            <w:r>
              <w:t xml:space="preserve">271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2CCDA127" w14:textId="6344F160" w:rsidR="00CC4F99" w:rsidRDefault="00CC4F99" w:rsidP="00A73EA6">
            <w:pPr>
              <w:pStyle w:val="Tabelltext"/>
              <w:keepNext/>
              <w:jc w:val="right"/>
            </w:pPr>
            <w:r>
              <w:t>-3</w:t>
            </w:r>
            <w:r w:rsidR="007D0F0F">
              <w:t> </w:t>
            </w:r>
            <w:r>
              <w:t xml:space="preserve">770  </w:t>
            </w:r>
          </w:p>
        </w:tc>
      </w:tr>
      <w:tr w:rsidR="00CC4F99" w14:paraId="1CDBE363"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534694E4" w14:textId="77777777" w:rsidR="00CC4F99" w:rsidRDefault="00CC4F99" w:rsidP="00A73EA6">
            <w:pPr>
              <w:pStyle w:val="Tabelltext"/>
              <w:keepNext/>
            </w:pPr>
            <w:r>
              <w:t>Sund</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55CAC465" w14:textId="6A9A56AF" w:rsidR="00CC4F99" w:rsidRPr="00CC4F99" w:rsidRDefault="00CC4F99" w:rsidP="00A73EA6">
            <w:pPr>
              <w:pStyle w:val="Tabelltext"/>
              <w:keepNext/>
              <w:jc w:val="right"/>
            </w:pPr>
            <w:r w:rsidRPr="00CC4F99">
              <w:t>1</w:t>
            </w:r>
            <w:r w:rsidR="007D0F0F">
              <w:t> </w:t>
            </w:r>
            <w:r w:rsidRPr="00CC4F99">
              <w:t>329</w:t>
            </w:r>
            <w:r w:rsidR="007D0F0F">
              <w:t> </w:t>
            </w:r>
            <w:r w:rsidRPr="00CC4F99">
              <w:t xml:space="preserve">915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5EDD412A" w14:textId="62900975" w:rsidR="00CC4F99" w:rsidRDefault="00CC4F99" w:rsidP="00A73EA6">
            <w:pPr>
              <w:pStyle w:val="Tabelltext"/>
              <w:keepNext/>
              <w:jc w:val="right"/>
            </w:pPr>
            <w:r>
              <w:t>1</w:t>
            </w:r>
            <w:r w:rsidR="007D0F0F">
              <w:t> </w:t>
            </w:r>
            <w:r>
              <w:t>287</w:t>
            </w:r>
            <w:r w:rsidR="007D0F0F">
              <w:t> </w:t>
            </w:r>
            <w:r>
              <w:t xml:space="preserve">293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6919C65E" w14:textId="262B55D5" w:rsidR="00CC4F99" w:rsidRDefault="00CC4F99" w:rsidP="00A73EA6">
            <w:pPr>
              <w:pStyle w:val="Tabelltext"/>
              <w:keepNext/>
              <w:jc w:val="right"/>
            </w:pPr>
            <w:r>
              <w:t>-42</w:t>
            </w:r>
            <w:r w:rsidR="007D0F0F">
              <w:t> </w:t>
            </w:r>
            <w:r>
              <w:t xml:space="preserve">623  </w:t>
            </w:r>
          </w:p>
        </w:tc>
      </w:tr>
      <w:tr w:rsidR="00CC4F99" w14:paraId="07A71592"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3AAEFB45" w14:textId="77777777" w:rsidR="00CC4F99" w:rsidRDefault="00CC4F99" w:rsidP="00A73EA6">
            <w:pPr>
              <w:pStyle w:val="Tabelltext"/>
              <w:keepNext/>
            </w:pPr>
            <w:r>
              <w:t>Vårdö</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65EA69A5" w14:textId="16C5DEE9" w:rsidR="00CC4F99" w:rsidRPr="00CC4F99" w:rsidRDefault="00CC4F99" w:rsidP="00A73EA6">
            <w:pPr>
              <w:pStyle w:val="Tabelltext"/>
              <w:keepNext/>
              <w:jc w:val="right"/>
            </w:pPr>
            <w:r w:rsidRPr="00CC4F99">
              <w:t>748</w:t>
            </w:r>
            <w:r w:rsidR="007D0F0F">
              <w:t> </w:t>
            </w:r>
            <w:r w:rsidRPr="00CC4F99">
              <w:t xml:space="preserve">227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6CE3C823" w14:textId="6C8D7D0C" w:rsidR="00CC4F99" w:rsidRDefault="00CC4F99" w:rsidP="00A73EA6">
            <w:pPr>
              <w:pStyle w:val="Tabelltext"/>
              <w:keepNext/>
              <w:jc w:val="right"/>
            </w:pPr>
            <w:r>
              <w:t>731</w:t>
            </w:r>
            <w:r w:rsidR="007D0F0F">
              <w:t> </w:t>
            </w:r>
            <w:r>
              <w:t xml:space="preserve">092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7981E7D0" w14:textId="7FED690E" w:rsidR="00CC4F99" w:rsidRDefault="00CC4F99" w:rsidP="00A73EA6">
            <w:pPr>
              <w:pStyle w:val="Tabelltext"/>
              <w:keepNext/>
              <w:jc w:val="right"/>
            </w:pPr>
            <w:r>
              <w:t>-17</w:t>
            </w:r>
            <w:r w:rsidR="007D0F0F">
              <w:t> </w:t>
            </w:r>
            <w:r>
              <w:t xml:space="preserve">135  </w:t>
            </w:r>
          </w:p>
        </w:tc>
      </w:tr>
      <w:tr w:rsidR="00CC4F99" w14:paraId="6538A152" w14:textId="77777777" w:rsidTr="005F1C3D">
        <w:trPr>
          <w:trHeight w:val="300"/>
          <w:jc w:val="center"/>
        </w:trPr>
        <w:tc>
          <w:tcPr>
            <w:tcW w:w="1256" w:type="dxa"/>
            <w:tcBorders>
              <w:top w:val="single" w:sz="4" w:space="0" w:color="auto"/>
              <w:left w:val="single" w:sz="4" w:space="0" w:color="auto"/>
              <w:bottom w:val="single" w:sz="4" w:space="0" w:color="auto"/>
              <w:right w:val="single" w:sz="4" w:space="0" w:color="auto"/>
            </w:tcBorders>
            <w:noWrap/>
            <w:vAlign w:val="bottom"/>
            <w:hideMark/>
          </w:tcPr>
          <w:p w14:paraId="2FF33105" w14:textId="77777777" w:rsidR="00CC4F99" w:rsidRDefault="00CC4F99" w:rsidP="00A73EA6">
            <w:pPr>
              <w:pStyle w:val="Tabelltext"/>
              <w:keepNext/>
            </w:pPr>
            <w:r>
              <w:t>Mariehamn</w:t>
            </w:r>
          </w:p>
        </w:tc>
        <w:tc>
          <w:tcPr>
            <w:tcW w:w="1316" w:type="dxa"/>
            <w:tcBorders>
              <w:top w:val="single" w:sz="4" w:space="0" w:color="auto"/>
              <w:left w:val="single" w:sz="4" w:space="0" w:color="auto"/>
              <w:bottom w:val="single" w:sz="4" w:space="0" w:color="auto"/>
              <w:right w:val="single" w:sz="4" w:space="0" w:color="auto"/>
            </w:tcBorders>
            <w:noWrap/>
            <w:vAlign w:val="bottom"/>
            <w:hideMark/>
          </w:tcPr>
          <w:p w14:paraId="1FAC6263" w14:textId="2812A868" w:rsidR="00CC4F99" w:rsidRPr="00CC4F99" w:rsidRDefault="00CC4F99" w:rsidP="00A73EA6">
            <w:pPr>
              <w:pStyle w:val="Tabelltext"/>
              <w:keepNext/>
              <w:jc w:val="right"/>
            </w:pPr>
            <w:r w:rsidRPr="00CC4F99">
              <w:t>791</w:t>
            </w:r>
            <w:r w:rsidR="007D0F0F">
              <w:t> </w:t>
            </w:r>
            <w:r w:rsidRPr="00CC4F99">
              <w:t xml:space="preserve">782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33473413" w14:textId="120B8B04" w:rsidR="00CC4F99" w:rsidRDefault="00CC4F99" w:rsidP="00A73EA6">
            <w:pPr>
              <w:pStyle w:val="Tabelltext"/>
              <w:keepNext/>
              <w:jc w:val="right"/>
            </w:pPr>
            <w:r>
              <w:t>359</w:t>
            </w:r>
            <w:r w:rsidR="007D0F0F">
              <w:t> </w:t>
            </w:r>
            <w:r>
              <w:t xml:space="preserve">959  </w:t>
            </w:r>
          </w:p>
        </w:tc>
        <w:tc>
          <w:tcPr>
            <w:tcW w:w="1296" w:type="dxa"/>
            <w:tcBorders>
              <w:top w:val="single" w:sz="4" w:space="0" w:color="auto"/>
              <w:left w:val="single" w:sz="4" w:space="0" w:color="auto"/>
              <w:bottom w:val="single" w:sz="4" w:space="0" w:color="auto"/>
              <w:right w:val="single" w:sz="4" w:space="0" w:color="auto"/>
            </w:tcBorders>
            <w:noWrap/>
            <w:vAlign w:val="bottom"/>
            <w:hideMark/>
          </w:tcPr>
          <w:p w14:paraId="4DA59B03" w14:textId="3D3C02F0" w:rsidR="00CC4F99" w:rsidRDefault="00CC4F99" w:rsidP="00A73EA6">
            <w:pPr>
              <w:pStyle w:val="Tabelltext"/>
              <w:keepNext/>
              <w:jc w:val="right"/>
            </w:pPr>
            <w:r>
              <w:t>-431</w:t>
            </w:r>
            <w:r w:rsidR="007D0F0F">
              <w:t> </w:t>
            </w:r>
            <w:r>
              <w:t xml:space="preserve">823  </w:t>
            </w:r>
          </w:p>
        </w:tc>
      </w:tr>
      <w:tr w:rsidR="00CC4F99" w:rsidRPr="007046EE" w14:paraId="6BCDE99A" w14:textId="77777777" w:rsidTr="009D66F8">
        <w:trPr>
          <w:trHeight w:val="332"/>
          <w:jc w:val="center"/>
        </w:trPr>
        <w:tc>
          <w:tcPr>
            <w:tcW w:w="1256" w:type="dxa"/>
            <w:tcBorders>
              <w:top w:val="single" w:sz="4" w:space="0" w:color="auto"/>
              <w:left w:val="single" w:sz="4" w:space="0" w:color="auto"/>
              <w:bottom w:val="single" w:sz="4" w:space="0" w:color="auto"/>
              <w:right w:val="single" w:sz="4" w:space="0" w:color="auto"/>
            </w:tcBorders>
            <w:noWrap/>
            <w:vAlign w:val="center"/>
            <w:hideMark/>
          </w:tcPr>
          <w:p w14:paraId="4891C1D2" w14:textId="3FCBCC62" w:rsidR="00CC4F99" w:rsidRPr="007046EE" w:rsidRDefault="007046EE" w:rsidP="00A73EA6">
            <w:pPr>
              <w:pStyle w:val="Tabelltext"/>
              <w:keepNext/>
              <w:rPr>
                <w:b/>
                <w:bCs/>
              </w:rPr>
            </w:pPr>
            <w:r>
              <w:rPr>
                <w:b/>
                <w:bCs/>
              </w:rPr>
              <w:t>TOTALT</w:t>
            </w:r>
          </w:p>
        </w:tc>
        <w:tc>
          <w:tcPr>
            <w:tcW w:w="1316" w:type="dxa"/>
            <w:tcBorders>
              <w:top w:val="single" w:sz="4" w:space="0" w:color="auto"/>
              <w:left w:val="single" w:sz="4" w:space="0" w:color="auto"/>
              <w:bottom w:val="single" w:sz="4" w:space="0" w:color="auto"/>
              <w:right w:val="single" w:sz="4" w:space="0" w:color="auto"/>
            </w:tcBorders>
            <w:noWrap/>
            <w:vAlign w:val="center"/>
            <w:hideMark/>
          </w:tcPr>
          <w:p w14:paraId="1AC578DF" w14:textId="2EFF7198" w:rsidR="00CC4F99" w:rsidRPr="007046EE" w:rsidRDefault="00CC4F99" w:rsidP="00A73EA6">
            <w:pPr>
              <w:pStyle w:val="Tabelltext"/>
              <w:keepNext/>
              <w:jc w:val="right"/>
              <w:rPr>
                <w:b/>
                <w:bCs/>
              </w:rPr>
            </w:pPr>
            <w:r w:rsidRPr="007046EE">
              <w:rPr>
                <w:b/>
                <w:bCs/>
              </w:rPr>
              <w:t>18</w:t>
            </w:r>
            <w:r w:rsidR="007D0F0F">
              <w:rPr>
                <w:b/>
                <w:bCs/>
              </w:rPr>
              <w:t> </w:t>
            </w:r>
            <w:r w:rsidRPr="007046EE">
              <w:rPr>
                <w:b/>
                <w:bCs/>
              </w:rPr>
              <w:t>754</w:t>
            </w:r>
            <w:r w:rsidR="007D0F0F">
              <w:rPr>
                <w:b/>
                <w:bCs/>
              </w:rPr>
              <w:t> </w:t>
            </w:r>
            <w:r w:rsidRPr="007046EE">
              <w:rPr>
                <w:b/>
                <w:bCs/>
              </w:rPr>
              <w:t xml:space="preserve">423  </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4BAC5DA" w14:textId="4A1E7AB2" w:rsidR="00CC4F99" w:rsidRPr="007046EE" w:rsidRDefault="00CC4F99" w:rsidP="00A73EA6">
            <w:pPr>
              <w:pStyle w:val="Tabelltext"/>
              <w:keepNext/>
              <w:jc w:val="right"/>
              <w:rPr>
                <w:b/>
                <w:bCs/>
              </w:rPr>
            </w:pPr>
            <w:r w:rsidRPr="007046EE">
              <w:rPr>
                <w:b/>
                <w:bCs/>
              </w:rPr>
              <w:t>17</w:t>
            </w:r>
            <w:r w:rsidR="007D0F0F">
              <w:rPr>
                <w:b/>
                <w:bCs/>
              </w:rPr>
              <w:t> </w:t>
            </w:r>
            <w:r w:rsidRPr="007046EE">
              <w:rPr>
                <w:b/>
                <w:bCs/>
              </w:rPr>
              <w:t>623</w:t>
            </w:r>
            <w:r w:rsidR="007D0F0F">
              <w:rPr>
                <w:b/>
                <w:bCs/>
              </w:rPr>
              <w:t> </w:t>
            </w:r>
            <w:r w:rsidRPr="007046EE">
              <w:rPr>
                <w:b/>
                <w:bCs/>
              </w:rPr>
              <w:t xml:space="preserve">967  </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C44F092" w14:textId="354F6EBD" w:rsidR="00CC4F99" w:rsidRPr="007046EE" w:rsidRDefault="00CC4F99" w:rsidP="00A73EA6">
            <w:pPr>
              <w:pStyle w:val="Tabelltext"/>
              <w:keepNext/>
              <w:jc w:val="right"/>
              <w:rPr>
                <w:b/>
                <w:bCs/>
              </w:rPr>
            </w:pPr>
            <w:r w:rsidRPr="007046EE">
              <w:rPr>
                <w:b/>
                <w:bCs/>
              </w:rPr>
              <w:t>-1</w:t>
            </w:r>
            <w:r w:rsidR="007D0F0F">
              <w:rPr>
                <w:b/>
                <w:bCs/>
              </w:rPr>
              <w:t> </w:t>
            </w:r>
            <w:r w:rsidRPr="007046EE">
              <w:rPr>
                <w:b/>
                <w:bCs/>
              </w:rPr>
              <w:t>130</w:t>
            </w:r>
            <w:r w:rsidR="007D0F0F">
              <w:rPr>
                <w:b/>
                <w:bCs/>
              </w:rPr>
              <w:t> </w:t>
            </w:r>
            <w:r w:rsidRPr="007046EE">
              <w:rPr>
                <w:b/>
                <w:bCs/>
              </w:rPr>
              <w:t xml:space="preserve">455  </w:t>
            </w:r>
          </w:p>
        </w:tc>
      </w:tr>
    </w:tbl>
    <w:p w14:paraId="6D41E090" w14:textId="77777777" w:rsidR="00094D31" w:rsidRDefault="00094D31" w:rsidP="00D35E01">
      <w:pPr>
        <w:pStyle w:val="ANormal"/>
      </w:pPr>
    </w:p>
    <w:p w14:paraId="2FCE3B61" w14:textId="4C1D0826" w:rsidR="00D35E01" w:rsidRDefault="00D35E01" w:rsidP="00D35E01">
      <w:pPr>
        <w:pStyle w:val="RubrikB"/>
      </w:pPr>
      <w:bookmarkStart w:id="6" w:name="_Toc214272962"/>
      <w:r>
        <w:lastRenderedPageBreak/>
        <w:t>4. Beredning och ikraftträdande</w:t>
      </w:r>
      <w:bookmarkEnd w:id="6"/>
    </w:p>
    <w:p w14:paraId="5ADB56C0" w14:textId="77777777" w:rsidR="00D35E01" w:rsidRDefault="00D35E01" w:rsidP="00D35E01">
      <w:pPr>
        <w:pStyle w:val="Rubrikmellanrum"/>
      </w:pPr>
    </w:p>
    <w:p w14:paraId="3122FE1C" w14:textId="666C38C6" w:rsidR="00D35E01" w:rsidRDefault="00D35E01" w:rsidP="00D35E01">
      <w:pPr>
        <w:pStyle w:val="ANormal"/>
      </w:pPr>
      <w:r>
        <w:t xml:space="preserve">Lagförslaget har beretts som tjänstemannaberedning vid lagberedningen </w:t>
      </w:r>
      <w:r w:rsidR="009D66F8">
        <w:t>i samarbete med</w:t>
      </w:r>
      <w:r>
        <w:t xml:space="preserve"> finansavdelningen. Förslaget har behandlats vid ett kommunalt samråd den 13 oktober </w:t>
      </w:r>
      <w:r w:rsidR="009D66F8">
        <w:t xml:space="preserve">2025 </w:t>
      </w:r>
      <w:r>
        <w:t xml:space="preserve">och </w:t>
      </w:r>
      <w:r w:rsidR="009D66F8">
        <w:t xml:space="preserve">med hänvisning till dess brådskande art </w:t>
      </w:r>
      <w:r>
        <w:t xml:space="preserve">har </w:t>
      </w:r>
      <w:r w:rsidR="009D66F8">
        <w:t xml:space="preserve">det </w:t>
      </w:r>
      <w:r>
        <w:t>därför inte skickats på någon remiss.</w:t>
      </w:r>
    </w:p>
    <w:p w14:paraId="267B4FEA" w14:textId="489595CF" w:rsidR="00D35E01" w:rsidRPr="002D7BAC" w:rsidRDefault="00D35E01" w:rsidP="00D35E01">
      <w:pPr>
        <w:tabs>
          <w:tab w:val="left" w:pos="283"/>
        </w:tabs>
        <w:jc w:val="both"/>
        <w:rPr>
          <w:sz w:val="22"/>
          <w:szCs w:val="20"/>
        </w:rPr>
      </w:pPr>
      <w:r w:rsidRPr="002D7BAC">
        <w:rPr>
          <w:sz w:val="22"/>
          <w:szCs w:val="20"/>
        </w:rPr>
        <w:tab/>
        <w:t>Förslaget sammanhänger med landskapsregeringens förslag till budget för 202</w:t>
      </w:r>
      <w:r>
        <w:rPr>
          <w:sz w:val="22"/>
          <w:szCs w:val="20"/>
        </w:rPr>
        <w:t>6</w:t>
      </w:r>
      <w:r w:rsidRPr="002D7BAC">
        <w:rPr>
          <w:sz w:val="22"/>
          <w:szCs w:val="20"/>
        </w:rPr>
        <w:t xml:space="preserve"> och är avsett att behandlas tillsammans med det</w:t>
      </w:r>
      <w:r w:rsidR="009D66F8">
        <w:rPr>
          <w:sz w:val="22"/>
          <w:szCs w:val="20"/>
        </w:rPr>
        <w:t xml:space="preserve">. Anslaget för landskapsandelar och stöd till kommunerna har dimensionerats </w:t>
      </w:r>
      <w:r w:rsidR="00647DCF">
        <w:rPr>
          <w:sz w:val="22"/>
          <w:szCs w:val="20"/>
        </w:rPr>
        <w:t xml:space="preserve">utifrån </w:t>
      </w:r>
      <w:r w:rsidR="009D66F8">
        <w:rPr>
          <w:sz w:val="22"/>
          <w:szCs w:val="20"/>
        </w:rPr>
        <w:t xml:space="preserve">det här föreliggande förslaget </w:t>
      </w:r>
      <w:r w:rsidRPr="002D7BAC">
        <w:rPr>
          <w:sz w:val="22"/>
          <w:szCs w:val="20"/>
        </w:rPr>
        <w:t xml:space="preserve">(se anslag </w:t>
      </w:r>
      <w:r>
        <w:rPr>
          <w:sz w:val="22"/>
          <w:szCs w:val="20"/>
        </w:rPr>
        <w:t>330</w:t>
      </w:r>
      <w:r w:rsidRPr="002D7BAC">
        <w:rPr>
          <w:sz w:val="22"/>
          <w:szCs w:val="20"/>
        </w:rPr>
        <w:t xml:space="preserve"> i budgetförslaget). </w:t>
      </w:r>
      <w:r w:rsidRPr="007720FD">
        <w:rPr>
          <w:sz w:val="22"/>
          <w:szCs w:val="22"/>
        </w:rPr>
        <w:t>Beslut om kompletteringen av skatteinkomsterna för 202</w:t>
      </w:r>
      <w:r>
        <w:rPr>
          <w:sz w:val="22"/>
          <w:szCs w:val="22"/>
        </w:rPr>
        <w:t>6</w:t>
      </w:r>
      <w:r w:rsidRPr="007720FD">
        <w:rPr>
          <w:sz w:val="22"/>
          <w:szCs w:val="22"/>
        </w:rPr>
        <w:t xml:space="preserve"> fattas av landskapsregeringen senast den 11 januari 202</w:t>
      </w:r>
      <w:r>
        <w:rPr>
          <w:sz w:val="22"/>
          <w:szCs w:val="22"/>
        </w:rPr>
        <w:t xml:space="preserve">6. Med hänvisning till att förslaget </w:t>
      </w:r>
      <w:r w:rsidR="009D66F8">
        <w:rPr>
          <w:sz w:val="22"/>
          <w:szCs w:val="22"/>
        </w:rPr>
        <w:t xml:space="preserve">har konsekvenser för </w:t>
      </w:r>
      <w:r>
        <w:rPr>
          <w:sz w:val="22"/>
          <w:szCs w:val="22"/>
        </w:rPr>
        <w:t>kommunerna</w:t>
      </w:r>
      <w:r w:rsidR="009D66F8">
        <w:rPr>
          <w:sz w:val="22"/>
          <w:szCs w:val="22"/>
        </w:rPr>
        <w:t>s ekonomi</w:t>
      </w:r>
      <w:r>
        <w:rPr>
          <w:sz w:val="22"/>
          <w:szCs w:val="22"/>
        </w:rPr>
        <w:t xml:space="preserve"> är det</w:t>
      </w:r>
      <w:r w:rsidRPr="002D7BAC">
        <w:rPr>
          <w:sz w:val="22"/>
          <w:szCs w:val="20"/>
        </w:rPr>
        <w:t xml:space="preserve"> angeläget att </w:t>
      </w:r>
      <w:r>
        <w:rPr>
          <w:sz w:val="22"/>
          <w:szCs w:val="20"/>
        </w:rPr>
        <w:t xml:space="preserve">de ändrade reglerna kan tillämpas när beslutet om skattekompletteringen fattas. </w:t>
      </w:r>
      <w:r w:rsidRPr="002D7BAC">
        <w:rPr>
          <w:sz w:val="22"/>
          <w:szCs w:val="20"/>
        </w:rPr>
        <w:t xml:space="preserve">Det är därför viktigt att den föreslagna lagen träder i kraft </w:t>
      </w:r>
      <w:r>
        <w:rPr>
          <w:sz w:val="22"/>
          <w:szCs w:val="20"/>
        </w:rPr>
        <w:t>senast den 11 januari 2026</w:t>
      </w:r>
      <w:r w:rsidRPr="002D7BAC">
        <w:rPr>
          <w:sz w:val="22"/>
          <w:szCs w:val="20"/>
        </w:rPr>
        <w:t>. Mot bakgrund av detta anser landskapsregeringen att den lag som ingår i lagförslaget uppfyller de villkor som ställs i 20</w:t>
      </w:r>
      <w:r w:rsidR="007D0F0F">
        <w:rPr>
          <w:sz w:val="22"/>
          <w:szCs w:val="20"/>
        </w:rPr>
        <w:t> §</w:t>
      </w:r>
      <w:r w:rsidRPr="002D7BAC">
        <w:rPr>
          <w:sz w:val="22"/>
          <w:szCs w:val="20"/>
        </w:rPr>
        <w:t xml:space="preserve"> 3</w:t>
      </w:r>
      <w:r w:rsidR="007D0F0F">
        <w:rPr>
          <w:sz w:val="22"/>
          <w:szCs w:val="20"/>
        </w:rPr>
        <w:t> mom.</w:t>
      </w:r>
      <w:r w:rsidRPr="002D7BAC">
        <w:rPr>
          <w:sz w:val="22"/>
          <w:szCs w:val="20"/>
        </w:rPr>
        <w:t xml:space="preserve"> självstyrelselagen och att den därför bör behandlas enligt dessa undantagsbestämmelser.</w:t>
      </w:r>
    </w:p>
    <w:p w14:paraId="3C0270F7" w14:textId="77777777" w:rsidR="00AF3004" w:rsidRDefault="00AF3004" w:rsidP="007D0F0F">
      <w:pPr>
        <w:pStyle w:val="ANormal"/>
      </w:pPr>
    </w:p>
    <w:p w14:paraId="44B477C4" w14:textId="77777777" w:rsidR="00AF3004" w:rsidRDefault="00AF3004">
      <w:pPr>
        <w:pStyle w:val="RubrikA"/>
      </w:pPr>
      <w:bookmarkStart w:id="7" w:name="_Toc214272963"/>
      <w:r>
        <w:t>Detaljmotivering</w:t>
      </w:r>
      <w:bookmarkEnd w:id="7"/>
    </w:p>
    <w:p w14:paraId="5A637158" w14:textId="77777777" w:rsidR="00AF3004" w:rsidRDefault="00AF3004">
      <w:pPr>
        <w:pStyle w:val="Rubrikmellanrum"/>
      </w:pPr>
    </w:p>
    <w:p w14:paraId="7F1CD083" w14:textId="3882BE2A" w:rsidR="00AF3004" w:rsidRDefault="0041382E">
      <w:pPr>
        <w:pStyle w:val="ANormal"/>
      </w:pPr>
      <w:r>
        <w:t>21</w:t>
      </w:r>
      <w:r w:rsidR="007D0F0F">
        <w:t> §</w:t>
      </w:r>
      <w:r w:rsidR="00AF3004">
        <w:t xml:space="preserve"> </w:t>
      </w:r>
      <w:r>
        <w:rPr>
          <w:i/>
          <w:iCs/>
        </w:rPr>
        <w:t>Kompletteringsgräns</w:t>
      </w:r>
      <w:r w:rsidR="00AF3004">
        <w:rPr>
          <w:i/>
          <w:iCs/>
        </w:rPr>
        <w:t>.</w:t>
      </w:r>
      <w:r w:rsidR="00AF3004">
        <w:t xml:space="preserve"> </w:t>
      </w:r>
      <w:r>
        <w:t>I paragrafens</w:t>
      </w:r>
      <w:r w:rsidR="00853B5B">
        <w:t xml:space="preserve"> nu gällande lydelse</w:t>
      </w:r>
      <w:r>
        <w:t xml:space="preserve"> </w:t>
      </w:r>
      <w:r w:rsidR="00853B5B">
        <w:t xml:space="preserve">anges i </w:t>
      </w:r>
      <w:r>
        <w:t>2</w:t>
      </w:r>
      <w:r w:rsidR="007D0F0F">
        <w:t> mom.</w:t>
      </w:r>
      <w:r>
        <w:t xml:space="preserve"> att kompletteringsgränsen ska ha en nivå som innebär att skattekompletteringens totalbelopp ska utgöra en andel av landskapsandelssystemets totalvolym som är minst 33</w:t>
      </w:r>
      <w:r w:rsidR="007D0F0F">
        <w:t xml:space="preserve"> </w:t>
      </w:r>
      <w:r>
        <w:t>procent och högst 50</w:t>
      </w:r>
      <w:r w:rsidR="007D0F0F">
        <w:t xml:space="preserve"> </w:t>
      </w:r>
      <w:r>
        <w:t xml:space="preserve">procent. Enligt förslaget sänks den övre gränsen </w:t>
      </w:r>
      <w:r w:rsidR="00B5508A">
        <w:t>till 41</w:t>
      </w:r>
      <w:r w:rsidR="007D0F0F">
        <w:t xml:space="preserve"> </w:t>
      </w:r>
      <w:r w:rsidR="00B5508A">
        <w:t>procent.</w:t>
      </w:r>
    </w:p>
    <w:p w14:paraId="0F782F66" w14:textId="77777777" w:rsidR="00AF3004" w:rsidRDefault="00AF3004">
      <w:pPr>
        <w:pStyle w:val="ANormal"/>
      </w:pPr>
    </w:p>
    <w:p w14:paraId="227B2E12" w14:textId="1C83DBFA" w:rsidR="0041382E" w:rsidRDefault="0041382E" w:rsidP="0041382E">
      <w:pPr>
        <w:pStyle w:val="ANormal"/>
      </w:pPr>
      <w:r>
        <w:t>23</w:t>
      </w:r>
      <w:r w:rsidR="007D0F0F">
        <w:t> §</w:t>
      </w:r>
      <w:r>
        <w:t xml:space="preserve"> </w:t>
      </w:r>
      <w:r>
        <w:rPr>
          <w:i/>
          <w:iCs/>
        </w:rPr>
        <w:t>Justering av uppräkningsfaktorn.</w:t>
      </w:r>
      <w:r>
        <w:t xml:space="preserve"> </w:t>
      </w:r>
      <w:r w:rsidR="00853B5B">
        <w:t>I paragrafens 2</w:t>
      </w:r>
      <w:r w:rsidR="007D0F0F">
        <w:t> mom.</w:t>
      </w:r>
      <w:r w:rsidR="00853B5B">
        <w:t xml:space="preserve"> anges hur uppräkningsfaktorn ska justeras om skattekompletteringens totalbelopp överstiger den övre gränsen för kompletteringsandelen. I det fallet ska uppräkningsfaktorn sänkas till det närmaste värde som innebär att kompletteringsandelen inte överstiger den övre gränsen. Momentet ändras med hänvisning till att den övre gränsen föreslås bli sänkt från 50</w:t>
      </w:r>
      <w:r w:rsidR="007D0F0F">
        <w:t xml:space="preserve"> </w:t>
      </w:r>
      <w:r w:rsidR="00853B5B">
        <w:t>procent till 41</w:t>
      </w:r>
      <w:r w:rsidR="007D0F0F">
        <w:t xml:space="preserve"> </w:t>
      </w:r>
      <w:r w:rsidR="00853B5B">
        <w:t>procent av landskapsandelssystemets totalvolym. Förslaget innebär att uppräkningsfaktorn för 2026 sänks från 1,16 till 1,15.</w:t>
      </w:r>
    </w:p>
    <w:p w14:paraId="760D4701" w14:textId="77777777" w:rsidR="00F1498C" w:rsidRDefault="00F1498C">
      <w:pPr>
        <w:pStyle w:val="ANormal"/>
      </w:pPr>
    </w:p>
    <w:p w14:paraId="10BF0EA2" w14:textId="77777777" w:rsidR="00AF3004" w:rsidRDefault="00AF3004">
      <w:pPr>
        <w:pStyle w:val="RubrikA"/>
      </w:pPr>
      <w:r>
        <w:br w:type="page"/>
      </w:r>
      <w:bookmarkStart w:id="8" w:name="_Toc214272964"/>
      <w:r>
        <w:lastRenderedPageBreak/>
        <w:t>Lagtext</w:t>
      </w:r>
      <w:bookmarkEnd w:id="8"/>
    </w:p>
    <w:p w14:paraId="0CA127A2" w14:textId="77777777" w:rsidR="00AF3004" w:rsidRDefault="00AF3004">
      <w:pPr>
        <w:pStyle w:val="Rubrikmellanrum"/>
      </w:pPr>
    </w:p>
    <w:p w14:paraId="1D7A2FF8" w14:textId="77777777" w:rsidR="00AF3004" w:rsidRDefault="00AF3004">
      <w:pPr>
        <w:pStyle w:val="ANormal"/>
      </w:pPr>
      <w:r>
        <w:t>Landskapsregeringen föreslår att följande lag antas.</w:t>
      </w:r>
    </w:p>
    <w:p w14:paraId="738F06D2" w14:textId="77777777" w:rsidR="00AF3004" w:rsidRDefault="00AF3004">
      <w:pPr>
        <w:pStyle w:val="ANormal"/>
      </w:pPr>
    </w:p>
    <w:p w14:paraId="51059C4D" w14:textId="5A6FC44E" w:rsidR="00AF3004" w:rsidRPr="00756031" w:rsidRDefault="00AF3004">
      <w:pPr>
        <w:pStyle w:val="ANormal"/>
        <w:rPr>
          <w:lang w:val="sv-FI"/>
        </w:rPr>
      </w:pPr>
    </w:p>
    <w:p w14:paraId="5F4A131B" w14:textId="4D24A59C" w:rsidR="00AF3004" w:rsidRPr="007D0F0F" w:rsidRDefault="00AF3004">
      <w:pPr>
        <w:pStyle w:val="LagHuvRubr"/>
      </w:pPr>
      <w:bookmarkStart w:id="9" w:name="_Toc214272965"/>
      <w:r w:rsidRPr="00756031">
        <w:rPr>
          <w:lang w:val="sv-FI"/>
        </w:rPr>
        <w:t>L A N D S K A P S L A G</w:t>
      </w:r>
      <w:r w:rsidRPr="00756031">
        <w:rPr>
          <w:lang w:val="sv-FI"/>
        </w:rPr>
        <w:br/>
      </w:r>
      <w:r w:rsidRPr="007D0F0F">
        <w:t>om</w:t>
      </w:r>
      <w:r w:rsidR="00BA3DAE" w:rsidRPr="007D0F0F">
        <w:t xml:space="preserve"> ändring av 21</w:t>
      </w:r>
      <w:r w:rsidR="00BE5599" w:rsidRPr="007D0F0F">
        <w:t xml:space="preserve"> och 23</w:t>
      </w:r>
      <w:r w:rsidR="007D0F0F" w:rsidRPr="007D0F0F">
        <w:t> §</w:t>
      </w:r>
      <w:r w:rsidR="00BE5599" w:rsidRPr="007D0F0F">
        <w:t>§</w:t>
      </w:r>
      <w:r w:rsidR="00BA3DAE" w:rsidRPr="007D0F0F">
        <w:t xml:space="preserve"> landskapslagen om landskapsandelar till kommunerna</w:t>
      </w:r>
      <w:bookmarkEnd w:id="9"/>
    </w:p>
    <w:p w14:paraId="37CBEA8B" w14:textId="77777777" w:rsidR="00AF3004" w:rsidRPr="00756031" w:rsidRDefault="00AF3004">
      <w:pPr>
        <w:pStyle w:val="ANormal"/>
        <w:rPr>
          <w:lang w:val="sv-FI"/>
        </w:rPr>
      </w:pPr>
    </w:p>
    <w:p w14:paraId="24F1BA61" w14:textId="4C137193" w:rsidR="00AF3004" w:rsidRDefault="00AF3004">
      <w:pPr>
        <w:pStyle w:val="ANormal"/>
      </w:pPr>
      <w:r>
        <w:tab/>
        <w:t xml:space="preserve">I enlighet med lagtingets beslut </w:t>
      </w:r>
      <w:r w:rsidR="00732B93" w:rsidRPr="00732B93">
        <w:rPr>
          <w:b/>
          <w:bCs/>
        </w:rPr>
        <w:t>ändras</w:t>
      </w:r>
      <w:r w:rsidR="00732B93">
        <w:t xml:space="preserve"> 21</w:t>
      </w:r>
      <w:r w:rsidR="007D0F0F">
        <w:t> §</w:t>
      </w:r>
      <w:r w:rsidR="00732B93">
        <w:t xml:space="preserve"> 2</w:t>
      </w:r>
      <w:r w:rsidR="007D0F0F">
        <w:t> mom.</w:t>
      </w:r>
      <w:r w:rsidR="00BE5599">
        <w:t xml:space="preserve"> och 23</w:t>
      </w:r>
      <w:r w:rsidR="007D0F0F">
        <w:t> §</w:t>
      </w:r>
      <w:r w:rsidR="00BE5599">
        <w:t xml:space="preserve"> 2</w:t>
      </w:r>
      <w:r w:rsidR="007D0F0F">
        <w:t> mom.</w:t>
      </w:r>
      <w:r w:rsidR="00BE5599">
        <w:t xml:space="preserve"> </w:t>
      </w:r>
      <w:r w:rsidR="00732B93">
        <w:t>landskapslagen (2017:120) om landskapsandelar till kommunerna som följer</w:t>
      </w:r>
      <w:r>
        <w:t>:</w:t>
      </w:r>
    </w:p>
    <w:p w14:paraId="674BDFFE" w14:textId="77777777" w:rsidR="00697781" w:rsidRDefault="00697781">
      <w:pPr>
        <w:pStyle w:val="ANormal"/>
      </w:pPr>
    </w:p>
    <w:p w14:paraId="0D30444D" w14:textId="011FC1D3" w:rsidR="00697781" w:rsidRDefault="00697781" w:rsidP="00697781">
      <w:pPr>
        <w:pStyle w:val="LagParagraf"/>
      </w:pPr>
      <w:r>
        <w:t>21</w:t>
      </w:r>
      <w:r w:rsidR="007D0F0F">
        <w:t> §</w:t>
      </w:r>
    </w:p>
    <w:p w14:paraId="1460E448" w14:textId="07295690" w:rsidR="00697781" w:rsidRDefault="00697781" w:rsidP="00697781">
      <w:pPr>
        <w:pStyle w:val="LagPararubrik"/>
      </w:pPr>
      <w:r>
        <w:t>Kompletteringsgräns</w:t>
      </w:r>
    </w:p>
    <w:p w14:paraId="1A46DF33" w14:textId="77777777" w:rsidR="00B2357C" w:rsidRDefault="00B2357C">
      <w:pPr>
        <w:pStyle w:val="ANormal"/>
      </w:pPr>
      <w:r>
        <w:t>- - - - - - - - - - - - - - - - - - - - - - - - - - - - - - - - - - - - - - - - - - - - - - - - - - - -</w:t>
      </w:r>
    </w:p>
    <w:p w14:paraId="34754BD6" w14:textId="5E8FB002" w:rsidR="00697781" w:rsidRDefault="00697781" w:rsidP="00697781">
      <w:pPr>
        <w:pStyle w:val="ANormal"/>
      </w:pPr>
      <w:r>
        <w:tab/>
        <w:t>Kompletteringsgränsen ska ha en nivå som innebär att totalbeloppet för kompletteringen av skatteinkomsterna för finansåret utgör en andel (</w:t>
      </w:r>
      <w:r w:rsidRPr="00B2357C">
        <w:rPr>
          <w:i/>
          <w:iCs/>
        </w:rPr>
        <w:t>kompletteringsandelen</w:t>
      </w:r>
      <w:r>
        <w:t xml:space="preserve">) som är minst 33 procent och högst </w:t>
      </w:r>
      <w:r w:rsidR="00B2357C">
        <w:t>41</w:t>
      </w:r>
      <w:r>
        <w:t xml:space="preserve"> procent av landskapsandelssystemets totalvolym. Med landskapsandelssystemets totalvolym avses summan av totalbeloppet för kompletteringen av skatteinkomsterna för finansåret och det sammanlagda beloppet av landskapsandelarna samma finansår. Om kompletteringsandelen är mindre än 33 procent eller större än </w:t>
      </w:r>
      <w:r w:rsidR="00B2357C">
        <w:t>41</w:t>
      </w:r>
      <w:r>
        <w:t xml:space="preserve"> procent justeras uppräkningsfaktorn för det finansåret i enlighet med bestämmelserna i 23</w:t>
      </w:r>
      <w:r w:rsidR="007D0F0F">
        <w:t> §</w:t>
      </w:r>
      <w:r>
        <w:t>.</w:t>
      </w:r>
    </w:p>
    <w:p w14:paraId="672944F9" w14:textId="77777777" w:rsidR="00B2357C" w:rsidRDefault="00B2357C">
      <w:pPr>
        <w:pStyle w:val="ANormal"/>
      </w:pPr>
      <w:r>
        <w:t>- - - - - - - - - - - - - - - - - - - - - - - - - - - - - - - - - - - - - - - - - - - - - - - - - - - -</w:t>
      </w:r>
    </w:p>
    <w:p w14:paraId="4317F14D" w14:textId="77777777" w:rsidR="00732B93" w:rsidRDefault="00732B93" w:rsidP="00697781">
      <w:pPr>
        <w:pStyle w:val="ANormal"/>
      </w:pPr>
    </w:p>
    <w:p w14:paraId="3D7895F5" w14:textId="084593B8" w:rsidR="00732B93" w:rsidRDefault="00732B93" w:rsidP="00732B93">
      <w:pPr>
        <w:pStyle w:val="LagParagraf"/>
      </w:pPr>
      <w:r>
        <w:t>23</w:t>
      </w:r>
      <w:r w:rsidR="007D0F0F">
        <w:t> §</w:t>
      </w:r>
    </w:p>
    <w:p w14:paraId="4729B4A0" w14:textId="507C9C63" w:rsidR="00732B93" w:rsidRDefault="00732B93" w:rsidP="00732B93">
      <w:pPr>
        <w:pStyle w:val="LagPararubrik"/>
      </w:pPr>
      <w:r>
        <w:t>Justering av uppräkningsfaktorn</w:t>
      </w:r>
    </w:p>
    <w:p w14:paraId="0A0A6F05" w14:textId="77777777" w:rsidR="00B2357C" w:rsidRDefault="00B2357C">
      <w:pPr>
        <w:pStyle w:val="ANormal"/>
      </w:pPr>
      <w:r>
        <w:t>- - - - - - - - - - - - - - - - - - - - - - - - - - - - - - - - - - - - - - - - - - - - - - - - - - - -</w:t>
      </w:r>
    </w:p>
    <w:p w14:paraId="61C7A3F6" w14:textId="5B2219E0" w:rsidR="00732B93" w:rsidRDefault="00732B93" w:rsidP="00732B93">
      <w:pPr>
        <w:pStyle w:val="ANormal"/>
      </w:pPr>
      <w:r>
        <w:tab/>
        <w:t xml:space="preserve">Om kompletteringsandelen överstiger </w:t>
      </w:r>
      <w:r w:rsidR="00B2357C">
        <w:t>41</w:t>
      </w:r>
      <w:r>
        <w:t xml:space="preserve"> procent av totalvolymen ska uppräkningsfaktorn sänkas till det närmaste värde som innebär att kompletteringsandelen är </w:t>
      </w:r>
      <w:r w:rsidR="00B2357C">
        <w:t>41</w:t>
      </w:r>
      <w:r>
        <w:t xml:space="preserve"> procent eller mindre.</w:t>
      </w:r>
    </w:p>
    <w:p w14:paraId="4EE45EA6" w14:textId="77777777" w:rsidR="00B2357C" w:rsidRDefault="00B2357C">
      <w:pPr>
        <w:pStyle w:val="ANormal"/>
      </w:pPr>
      <w:r>
        <w:t>- - - - - - - - - - - - - - - - - - - - - - - - - - - - - - - - - - - - - - - - - - - - - - - - - - - -</w:t>
      </w:r>
    </w:p>
    <w:p w14:paraId="3DCCEBBF" w14:textId="77777777" w:rsidR="00AF3004" w:rsidRDefault="00AF3004">
      <w:pPr>
        <w:pStyle w:val="ANormal"/>
        <w:jc w:val="center"/>
      </w:pPr>
      <w:hyperlink w:anchor="_top" w:tooltip="Klicka för att gå till toppen av dokumentet" w:history="1">
        <w:r>
          <w:rPr>
            <w:rStyle w:val="Hyperlnk"/>
          </w:rPr>
          <w:t>__________________</w:t>
        </w:r>
      </w:hyperlink>
    </w:p>
    <w:p w14:paraId="797CD873" w14:textId="77777777" w:rsidR="00AF3004" w:rsidRDefault="00AF3004">
      <w:pPr>
        <w:pStyle w:val="ANormal"/>
      </w:pPr>
    </w:p>
    <w:p w14:paraId="3834E5B9" w14:textId="08C8C2DF" w:rsidR="00884FD7" w:rsidRDefault="00884FD7" w:rsidP="00884FD7">
      <w:pPr>
        <w:pStyle w:val="ANormal"/>
      </w:pPr>
      <w:r>
        <w:tab/>
        <w:t>Lagtinget bemyndigar landskapsregeringen att bestämma att denna lag helt eller delvis ska träda i kraft i den ordning som föreskrivs i 20</w:t>
      </w:r>
      <w:r w:rsidR="007D0F0F">
        <w:t> §</w:t>
      </w:r>
      <w:r>
        <w:t xml:space="preserve"> 3</w:t>
      </w:r>
      <w:r w:rsidR="007D0F0F">
        <w:t> mom.</w:t>
      </w:r>
      <w:r>
        <w:t xml:space="preserve"> självstyrelselagen (1991:71) för Åland.</w:t>
      </w:r>
    </w:p>
    <w:p w14:paraId="605DCC10" w14:textId="56D9E36B" w:rsidR="00884FD7" w:rsidRDefault="00884FD7" w:rsidP="00884FD7">
      <w:pPr>
        <w:pStyle w:val="ANormal"/>
      </w:pPr>
      <w:r>
        <w:tab/>
        <w:t xml:space="preserve">Denna lag träder i kraft den … och tillämpas första gången vid beräkning av kompletteringen av skatteinkomsterna för finansåret 2026. </w:t>
      </w:r>
    </w:p>
    <w:p w14:paraId="1E8C17AE" w14:textId="77777777" w:rsidR="00884FD7" w:rsidRDefault="00884FD7">
      <w:pPr>
        <w:pStyle w:val="ANormal"/>
      </w:pPr>
    </w:p>
    <w:p w14:paraId="45889A5B"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38409536" w14:textId="77777777">
        <w:trPr>
          <w:cantSplit/>
        </w:trPr>
        <w:tc>
          <w:tcPr>
            <w:tcW w:w="7931" w:type="dxa"/>
            <w:gridSpan w:val="2"/>
          </w:tcPr>
          <w:p w14:paraId="24966229" w14:textId="5388A51D" w:rsidR="00AF3004" w:rsidRDefault="00AF3004">
            <w:pPr>
              <w:pStyle w:val="ANormal"/>
              <w:keepNext/>
            </w:pPr>
            <w:r>
              <w:t xml:space="preserve">Mariehamn </w:t>
            </w:r>
            <w:r w:rsidR="009B6FC4">
              <w:t>den 17 november 2025</w:t>
            </w:r>
          </w:p>
        </w:tc>
      </w:tr>
      <w:tr w:rsidR="00AF3004" w14:paraId="187DF972" w14:textId="77777777">
        <w:tc>
          <w:tcPr>
            <w:tcW w:w="4454" w:type="dxa"/>
            <w:vAlign w:val="bottom"/>
          </w:tcPr>
          <w:p w14:paraId="20A91C0D" w14:textId="77777777" w:rsidR="00AF3004" w:rsidRDefault="00AF3004">
            <w:pPr>
              <w:pStyle w:val="ANormal"/>
              <w:keepNext/>
            </w:pPr>
          </w:p>
          <w:p w14:paraId="12A5D3A0" w14:textId="77777777" w:rsidR="00AF3004" w:rsidRDefault="00AF3004">
            <w:pPr>
              <w:pStyle w:val="ANormal"/>
              <w:keepNext/>
            </w:pPr>
          </w:p>
          <w:p w14:paraId="7EB45DBD" w14:textId="77777777" w:rsidR="00AF3004" w:rsidRDefault="00AF3004">
            <w:pPr>
              <w:pStyle w:val="ANormal"/>
              <w:keepNext/>
            </w:pPr>
            <w:r>
              <w:t>L a n t r å d</w:t>
            </w:r>
          </w:p>
        </w:tc>
        <w:tc>
          <w:tcPr>
            <w:tcW w:w="3477" w:type="dxa"/>
            <w:vAlign w:val="bottom"/>
          </w:tcPr>
          <w:p w14:paraId="687D19D6" w14:textId="77777777" w:rsidR="00AF3004" w:rsidRDefault="00AF3004">
            <w:pPr>
              <w:pStyle w:val="ANormal"/>
              <w:keepNext/>
            </w:pPr>
          </w:p>
          <w:p w14:paraId="22552273" w14:textId="77777777" w:rsidR="00AF3004" w:rsidRDefault="00AF3004">
            <w:pPr>
              <w:pStyle w:val="ANormal"/>
              <w:keepNext/>
            </w:pPr>
          </w:p>
          <w:p w14:paraId="37176B59" w14:textId="32B28D9E" w:rsidR="00AF3004" w:rsidRDefault="0041382E">
            <w:pPr>
              <w:pStyle w:val="ANormal"/>
              <w:keepNext/>
            </w:pPr>
            <w:r>
              <w:t>Katrin Sjögren</w:t>
            </w:r>
          </w:p>
        </w:tc>
      </w:tr>
      <w:tr w:rsidR="00AF3004" w14:paraId="5D341C50" w14:textId="77777777">
        <w:tc>
          <w:tcPr>
            <w:tcW w:w="4454" w:type="dxa"/>
            <w:vAlign w:val="bottom"/>
          </w:tcPr>
          <w:p w14:paraId="33D74229" w14:textId="77777777" w:rsidR="00AF3004" w:rsidRDefault="00AF3004">
            <w:pPr>
              <w:pStyle w:val="ANormal"/>
              <w:keepNext/>
            </w:pPr>
          </w:p>
          <w:p w14:paraId="6411FE20" w14:textId="77777777" w:rsidR="00AF3004" w:rsidRDefault="00AF3004">
            <w:pPr>
              <w:pStyle w:val="ANormal"/>
              <w:keepNext/>
            </w:pPr>
          </w:p>
          <w:p w14:paraId="214F0CA9" w14:textId="3F3B2573" w:rsidR="00AF3004" w:rsidRDefault="00AF3004">
            <w:pPr>
              <w:pStyle w:val="ANormal"/>
              <w:keepNext/>
            </w:pPr>
            <w:r>
              <w:t xml:space="preserve">Föredragande </w:t>
            </w:r>
            <w:r w:rsidR="00FA4E23">
              <w:t>minister</w:t>
            </w:r>
          </w:p>
        </w:tc>
        <w:tc>
          <w:tcPr>
            <w:tcW w:w="3477" w:type="dxa"/>
            <w:vAlign w:val="bottom"/>
          </w:tcPr>
          <w:p w14:paraId="70A56C9C" w14:textId="77777777" w:rsidR="00AF3004" w:rsidRDefault="00AF3004">
            <w:pPr>
              <w:pStyle w:val="ANormal"/>
              <w:keepNext/>
            </w:pPr>
          </w:p>
          <w:p w14:paraId="154485E0" w14:textId="77777777" w:rsidR="00AF3004" w:rsidRDefault="00AF3004">
            <w:pPr>
              <w:pStyle w:val="ANormal"/>
              <w:keepNext/>
            </w:pPr>
          </w:p>
          <w:p w14:paraId="00D096C1" w14:textId="361ECB95" w:rsidR="00AF3004" w:rsidRDefault="0041382E">
            <w:pPr>
              <w:pStyle w:val="ANormal"/>
              <w:keepNext/>
            </w:pPr>
            <w:r>
              <w:t xml:space="preserve">Mats </w:t>
            </w:r>
            <w:proofErr w:type="spellStart"/>
            <w:r>
              <w:t>Perämaa</w:t>
            </w:r>
            <w:proofErr w:type="spellEnd"/>
          </w:p>
        </w:tc>
      </w:tr>
    </w:tbl>
    <w:p w14:paraId="332F1DBA" w14:textId="77777777" w:rsidR="00AF3004" w:rsidRDefault="00AF3004">
      <w:pPr>
        <w:pStyle w:val="ANormal"/>
      </w:pPr>
    </w:p>
    <w:p w14:paraId="020F0407" w14:textId="151A245D" w:rsidR="00224C54" w:rsidRDefault="00224C54">
      <w:pPr>
        <w:rPr>
          <w:sz w:val="22"/>
          <w:szCs w:val="20"/>
        </w:rPr>
      </w:pPr>
      <w:r>
        <w:br w:type="page"/>
      </w:r>
    </w:p>
    <w:p w14:paraId="26F1B086" w14:textId="50E623A0" w:rsidR="00224C54" w:rsidRDefault="00224C54" w:rsidP="00224C54">
      <w:pPr>
        <w:pStyle w:val="RubrikA"/>
      </w:pPr>
      <w:bookmarkStart w:id="10" w:name="_Toc214272966"/>
      <w:r>
        <w:lastRenderedPageBreak/>
        <w:t>Parallelltexter</w:t>
      </w:r>
      <w:bookmarkEnd w:id="10"/>
    </w:p>
    <w:p w14:paraId="7789E19E" w14:textId="77777777" w:rsidR="00224C54" w:rsidRDefault="00224C54" w:rsidP="00224C54">
      <w:pPr>
        <w:pStyle w:val="Rubrikmellanrum"/>
      </w:pPr>
    </w:p>
    <w:p w14:paraId="6B7E2A8E" w14:textId="10E3CB6C" w:rsidR="00224C54" w:rsidRPr="00224C54" w:rsidRDefault="00224C54" w:rsidP="00224C54">
      <w:pPr>
        <w:pStyle w:val="ArendeUnderRubrik"/>
      </w:pPr>
      <w:r>
        <w:t xml:space="preserve">Parallelltexter till landskapsregeringens lagförslag nr </w:t>
      </w:r>
      <w:r w:rsidR="009B6FC4">
        <w:t>3</w:t>
      </w:r>
      <w:r>
        <w:t>/</w:t>
      </w:r>
      <w:proofErr w:type="gramStart"/>
      <w:r>
        <w:t>2025-2026</w:t>
      </w:r>
      <w:proofErr w:type="gramEnd"/>
    </w:p>
    <w:sectPr w:rsidR="00224C54" w:rsidRPr="00224C5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348F" w14:textId="77777777" w:rsidR="00FA4E23" w:rsidRDefault="00FA4E23">
      <w:r>
        <w:separator/>
      </w:r>
    </w:p>
  </w:endnote>
  <w:endnote w:type="continuationSeparator" w:id="0">
    <w:p w14:paraId="15006D86" w14:textId="77777777" w:rsidR="00FA4E23" w:rsidRDefault="00FA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93ED"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16EA" w14:textId="624C6D56" w:rsidR="00AF3004" w:rsidRDefault="00224C54">
    <w:pPr>
      <w:pStyle w:val="Sidfot"/>
      <w:rPr>
        <w:lang w:val="fi-FI"/>
      </w:rPr>
    </w:pPr>
    <w:r>
      <w:t>LF</w:t>
    </w:r>
    <w:r w:rsidR="009B6FC4">
      <w:t>03</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A2FF"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BB6A" w14:textId="77777777" w:rsidR="00FA4E23" w:rsidRDefault="00FA4E23">
      <w:r>
        <w:separator/>
      </w:r>
    </w:p>
  </w:footnote>
  <w:footnote w:type="continuationSeparator" w:id="0">
    <w:p w14:paraId="57EBB4C9" w14:textId="77777777" w:rsidR="00FA4E23" w:rsidRDefault="00FA4E23">
      <w:r>
        <w:continuationSeparator/>
      </w:r>
    </w:p>
  </w:footnote>
  <w:footnote w:id="1">
    <w:p w14:paraId="017F1079" w14:textId="6FF5B102" w:rsidR="006B051B" w:rsidRPr="006B051B" w:rsidRDefault="006B051B">
      <w:pPr>
        <w:pStyle w:val="Fotnotstext"/>
        <w:rPr>
          <w:lang w:val="sv-FI"/>
        </w:rPr>
      </w:pPr>
      <w:r>
        <w:rPr>
          <w:rStyle w:val="Fotnotsreferens"/>
        </w:rPr>
        <w:footnoteRef/>
      </w:r>
      <w:r>
        <w:t xml:space="preserve"> </w:t>
      </w:r>
      <w:r>
        <w:rPr>
          <w:lang w:val="sv-FI"/>
        </w:rPr>
        <w:t xml:space="preserve">Se rapporten ”Utvärdering av systemet för landskapsandelar”, </w:t>
      </w:r>
      <w:r w:rsidR="00AE6A4E">
        <w:rPr>
          <w:lang w:val="sv-FI"/>
        </w:rPr>
        <w:t xml:space="preserve">Henrik Berggren, Niclas Johansson, </w:t>
      </w:r>
      <w:r>
        <w:rPr>
          <w:lang w:val="sv-FI"/>
        </w:rPr>
        <w:t>Dnr 2025/546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9CC"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2F304D53"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3F80"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07642594">
    <w:abstractNumId w:val="6"/>
  </w:num>
  <w:num w:numId="2" w16cid:durableId="760758686">
    <w:abstractNumId w:val="3"/>
  </w:num>
  <w:num w:numId="3" w16cid:durableId="477765259">
    <w:abstractNumId w:val="2"/>
  </w:num>
  <w:num w:numId="4" w16cid:durableId="2132899595">
    <w:abstractNumId w:val="1"/>
  </w:num>
  <w:num w:numId="5" w16cid:durableId="704716885">
    <w:abstractNumId w:val="0"/>
  </w:num>
  <w:num w:numId="6" w16cid:durableId="171721800">
    <w:abstractNumId w:val="7"/>
  </w:num>
  <w:num w:numId="7" w16cid:durableId="937326010">
    <w:abstractNumId w:val="5"/>
  </w:num>
  <w:num w:numId="8" w16cid:durableId="849754008">
    <w:abstractNumId w:val="4"/>
  </w:num>
  <w:num w:numId="9" w16cid:durableId="2093622998">
    <w:abstractNumId w:val="10"/>
  </w:num>
  <w:num w:numId="10" w16cid:durableId="269171037">
    <w:abstractNumId w:val="13"/>
  </w:num>
  <w:num w:numId="11" w16cid:durableId="1479227954">
    <w:abstractNumId w:val="12"/>
  </w:num>
  <w:num w:numId="12" w16cid:durableId="1355614287">
    <w:abstractNumId w:val="16"/>
  </w:num>
  <w:num w:numId="13" w16cid:durableId="1622147199">
    <w:abstractNumId w:val="11"/>
  </w:num>
  <w:num w:numId="14" w16cid:durableId="627469650">
    <w:abstractNumId w:val="15"/>
  </w:num>
  <w:num w:numId="15" w16cid:durableId="517233976">
    <w:abstractNumId w:val="9"/>
  </w:num>
  <w:num w:numId="16" w16cid:durableId="1763912568">
    <w:abstractNumId w:val="21"/>
  </w:num>
  <w:num w:numId="17" w16cid:durableId="1500927733">
    <w:abstractNumId w:val="8"/>
  </w:num>
  <w:num w:numId="18" w16cid:durableId="794175337">
    <w:abstractNumId w:val="17"/>
  </w:num>
  <w:num w:numId="19" w16cid:durableId="662509685">
    <w:abstractNumId w:val="20"/>
  </w:num>
  <w:num w:numId="20" w16cid:durableId="1777940481">
    <w:abstractNumId w:val="23"/>
  </w:num>
  <w:num w:numId="21" w16cid:durableId="948977135">
    <w:abstractNumId w:val="22"/>
  </w:num>
  <w:num w:numId="22" w16cid:durableId="1280725608">
    <w:abstractNumId w:val="14"/>
  </w:num>
  <w:num w:numId="23" w16cid:durableId="898982380">
    <w:abstractNumId w:val="18"/>
  </w:num>
  <w:num w:numId="24" w16cid:durableId="1726222451">
    <w:abstractNumId w:val="18"/>
  </w:num>
  <w:num w:numId="25" w16cid:durableId="1311403659">
    <w:abstractNumId w:val="19"/>
  </w:num>
  <w:num w:numId="26" w16cid:durableId="170721723">
    <w:abstractNumId w:val="14"/>
  </w:num>
  <w:num w:numId="27" w16cid:durableId="478109336">
    <w:abstractNumId w:val="14"/>
  </w:num>
  <w:num w:numId="28" w16cid:durableId="650523118">
    <w:abstractNumId w:val="14"/>
  </w:num>
  <w:num w:numId="29" w16cid:durableId="962423681">
    <w:abstractNumId w:val="14"/>
  </w:num>
  <w:num w:numId="30" w16cid:durableId="237517010">
    <w:abstractNumId w:val="14"/>
  </w:num>
  <w:num w:numId="31" w16cid:durableId="189682149">
    <w:abstractNumId w:val="14"/>
  </w:num>
  <w:num w:numId="32" w16cid:durableId="45028305">
    <w:abstractNumId w:val="14"/>
  </w:num>
  <w:num w:numId="33" w16cid:durableId="1839998227">
    <w:abstractNumId w:val="14"/>
  </w:num>
  <w:num w:numId="34" w16cid:durableId="1897400276">
    <w:abstractNumId w:val="14"/>
  </w:num>
  <w:num w:numId="35" w16cid:durableId="306712953">
    <w:abstractNumId w:val="18"/>
  </w:num>
  <w:num w:numId="36" w16cid:durableId="1974216420">
    <w:abstractNumId w:val="19"/>
  </w:num>
  <w:num w:numId="37" w16cid:durableId="954824153">
    <w:abstractNumId w:val="14"/>
  </w:num>
  <w:num w:numId="38" w16cid:durableId="1253473723">
    <w:abstractNumId w:val="14"/>
  </w:num>
  <w:num w:numId="39" w16cid:durableId="1306886026">
    <w:abstractNumId w:val="14"/>
  </w:num>
  <w:num w:numId="40" w16cid:durableId="874852321">
    <w:abstractNumId w:val="14"/>
  </w:num>
  <w:num w:numId="41" w16cid:durableId="377971752">
    <w:abstractNumId w:val="14"/>
  </w:num>
  <w:num w:numId="42" w16cid:durableId="831062910">
    <w:abstractNumId w:val="14"/>
  </w:num>
  <w:num w:numId="43" w16cid:durableId="453721380">
    <w:abstractNumId w:val="14"/>
  </w:num>
  <w:num w:numId="44" w16cid:durableId="1056592133">
    <w:abstractNumId w:val="14"/>
  </w:num>
  <w:num w:numId="45" w16cid:durableId="18008765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23"/>
    <w:rsid w:val="00021093"/>
    <w:rsid w:val="00035BF3"/>
    <w:rsid w:val="0003763E"/>
    <w:rsid w:val="0006243C"/>
    <w:rsid w:val="00094D31"/>
    <w:rsid w:val="000C5B1F"/>
    <w:rsid w:val="000D0D07"/>
    <w:rsid w:val="000F1EF9"/>
    <w:rsid w:val="0010335B"/>
    <w:rsid w:val="0018590F"/>
    <w:rsid w:val="001A1D2A"/>
    <w:rsid w:val="001C70BE"/>
    <w:rsid w:val="00202894"/>
    <w:rsid w:val="00224C54"/>
    <w:rsid w:val="00252DE1"/>
    <w:rsid w:val="002930DA"/>
    <w:rsid w:val="00293C30"/>
    <w:rsid w:val="00294B12"/>
    <w:rsid w:val="00342FC4"/>
    <w:rsid w:val="00371485"/>
    <w:rsid w:val="0037319D"/>
    <w:rsid w:val="003A38F2"/>
    <w:rsid w:val="003F6502"/>
    <w:rsid w:val="0041382E"/>
    <w:rsid w:val="00413F8D"/>
    <w:rsid w:val="0043531B"/>
    <w:rsid w:val="00464E03"/>
    <w:rsid w:val="004A4EEE"/>
    <w:rsid w:val="004A6BA1"/>
    <w:rsid w:val="00552970"/>
    <w:rsid w:val="005A18FB"/>
    <w:rsid w:val="005C571F"/>
    <w:rsid w:val="005F1C3D"/>
    <w:rsid w:val="005F1DF9"/>
    <w:rsid w:val="00622D7C"/>
    <w:rsid w:val="00647DCF"/>
    <w:rsid w:val="00697781"/>
    <w:rsid w:val="006B051B"/>
    <w:rsid w:val="006B633C"/>
    <w:rsid w:val="007046EE"/>
    <w:rsid w:val="0072132F"/>
    <w:rsid w:val="00722128"/>
    <w:rsid w:val="007251A5"/>
    <w:rsid w:val="00726007"/>
    <w:rsid w:val="00732B93"/>
    <w:rsid w:val="00742978"/>
    <w:rsid w:val="00756031"/>
    <w:rsid w:val="00773C7A"/>
    <w:rsid w:val="007A2D8E"/>
    <w:rsid w:val="007D0F0F"/>
    <w:rsid w:val="00803060"/>
    <w:rsid w:val="00805725"/>
    <w:rsid w:val="008450DA"/>
    <w:rsid w:val="00853B5B"/>
    <w:rsid w:val="0087324A"/>
    <w:rsid w:val="00884FD7"/>
    <w:rsid w:val="008B0AE6"/>
    <w:rsid w:val="009B6FC4"/>
    <w:rsid w:val="009D66F8"/>
    <w:rsid w:val="00A32351"/>
    <w:rsid w:val="00A37498"/>
    <w:rsid w:val="00A73EA6"/>
    <w:rsid w:val="00A77C0E"/>
    <w:rsid w:val="00AA0DF0"/>
    <w:rsid w:val="00AA3AD6"/>
    <w:rsid w:val="00AC6803"/>
    <w:rsid w:val="00AD6632"/>
    <w:rsid w:val="00AE3218"/>
    <w:rsid w:val="00AE6A4E"/>
    <w:rsid w:val="00AF3004"/>
    <w:rsid w:val="00B2357C"/>
    <w:rsid w:val="00B5508A"/>
    <w:rsid w:val="00B71539"/>
    <w:rsid w:val="00B93562"/>
    <w:rsid w:val="00BA3DAE"/>
    <w:rsid w:val="00BE5599"/>
    <w:rsid w:val="00BF7DEF"/>
    <w:rsid w:val="00C209A8"/>
    <w:rsid w:val="00C80098"/>
    <w:rsid w:val="00C87F8F"/>
    <w:rsid w:val="00CC4F99"/>
    <w:rsid w:val="00CC58EA"/>
    <w:rsid w:val="00CC75D3"/>
    <w:rsid w:val="00CD40AA"/>
    <w:rsid w:val="00CD4F75"/>
    <w:rsid w:val="00CE5D0D"/>
    <w:rsid w:val="00D25CB7"/>
    <w:rsid w:val="00D35E01"/>
    <w:rsid w:val="00D4653D"/>
    <w:rsid w:val="00DA1393"/>
    <w:rsid w:val="00DD5E39"/>
    <w:rsid w:val="00DE48D3"/>
    <w:rsid w:val="00DF568E"/>
    <w:rsid w:val="00F03EAB"/>
    <w:rsid w:val="00F1498C"/>
    <w:rsid w:val="00F50566"/>
    <w:rsid w:val="00F644C1"/>
    <w:rsid w:val="00F8151D"/>
    <w:rsid w:val="00F9421F"/>
    <w:rsid w:val="00FA4E23"/>
    <w:rsid w:val="00FC30BC"/>
    <w:rsid w:val="00FC4E29"/>
    <w:rsid w:val="00FD6449"/>
    <w:rsid w:val="00FE2D41"/>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A641D"/>
  <w15:chartTrackingRefBased/>
  <w15:docId w15:val="{36469DB4-B2D1-4937-A7CF-278A5412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semiHidden/>
    <w:unhideWhenUsed/>
    <w:rsid w:val="00C80098"/>
    <w:rPr>
      <w:sz w:val="20"/>
      <w:szCs w:val="20"/>
    </w:rPr>
  </w:style>
  <w:style w:type="character" w:customStyle="1" w:styleId="FotnotstextChar">
    <w:name w:val="Fotnotstext Char"/>
    <w:basedOn w:val="Standardstycketeckensnitt"/>
    <w:link w:val="Fotnotstext"/>
    <w:uiPriority w:val="99"/>
    <w:semiHidden/>
    <w:rsid w:val="00C80098"/>
    <w:rPr>
      <w:lang w:val="sv-SE" w:eastAsia="sv-SE"/>
    </w:rPr>
  </w:style>
  <w:style w:type="character" w:styleId="Fotnotsreferens">
    <w:name w:val="footnote reference"/>
    <w:basedOn w:val="Standardstycketeckensnitt"/>
    <w:uiPriority w:val="99"/>
    <w:semiHidden/>
    <w:unhideWhenUsed/>
    <w:rsid w:val="00C80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E248F-7DA8-4C7B-AE12-7AD6549E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LS-Framställning.dot</Template>
  <TotalTime>1</TotalTime>
  <Pages>7</Pages>
  <Words>1748</Words>
  <Characters>10710</Characters>
  <Application>Microsoft Office Word</Application>
  <DocSecurity>0</DocSecurity>
  <Lines>89</Lines>
  <Paragraphs>24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12434</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Diana Lönngren</dc:creator>
  <cp:keywords/>
  <dc:description/>
  <cp:lastModifiedBy>Jessica Laaksonen</cp:lastModifiedBy>
  <cp:revision>3</cp:revision>
  <cp:lastPrinted>2025-11-05T14:08:00Z</cp:lastPrinted>
  <dcterms:created xsi:type="dcterms:W3CDTF">2025-11-17T13:12:00Z</dcterms:created>
  <dcterms:modified xsi:type="dcterms:W3CDTF">2025-11-17T13:15:00Z</dcterms:modified>
</cp:coreProperties>
</file>