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60847D7B" w14:textId="77777777" w:rsidTr="07E61331">
        <w:trPr>
          <w:cantSplit/>
          <w:trHeight w:val="20"/>
        </w:trPr>
        <w:tc>
          <w:tcPr>
            <w:tcW w:w="851" w:type="dxa"/>
            <w:vMerge w:val="restart"/>
          </w:tcPr>
          <w:p w14:paraId="5DA6F314" w14:textId="77777777" w:rsidR="000B3F00" w:rsidRDefault="00CB3110">
            <w:pPr>
              <w:pStyle w:val="xLedtext"/>
              <w:rPr>
                <w:noProof/>
              </w:rPr>
            </w:pPr>
            <w:bookmarkStart w:id="0" w:name="_top"/>
            <w:bookmarkEnd w:id="0"/>
            <w:r>
              <w:rPr>
                <w:noProof/>
                <w:lang w:val="sv-FI" w:eastAsia="sv-FI"/>
              </w:rPr>
              <w:drawing>
                <wp:inline distT="0" distB="0" distL="0" distR="0" wp14:anchorId="36808BA8" wp14:editId="7C7A6F3D">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68C8201A" w14:textId="77777777" w:rsidR="000B3F00" w:rsidRDefault="00CB3110">
            <w:pPr>
              <w:pStyle w:val="xMellanrum"/>
            </w:pPr>
            <w:r>
              <w:rPr>
                <w:noProof/>
                <w:lang w:val="sv-FI" w:eastAsia="sv-FI"/>
              </w:rPr>
              <w:drawing>
                <wp:inline distT="0" distB="0" distL="0" distR="0" wp14:anchorId="000A74BF" wp14:editId="2C2D60FC">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038F8214" w14:textId="77777777" w:rsidTr="07E61331">
        <w:trPr>
          <w:cantSplit/>
          <w:trHeight w:val="299"/>
        </w:trPr>
        <w:tc>
          <w:tcPr>
            <w:tcW w:w="851" w:type="dxa"/>
            <w:vMerge/>
          </w:tcPr>
          <w:p w14:paraId="55CEB112" w14:textId="77777777" w:rsidR="000B3F00" w:rsidRDefault="000B3F00">
            <w:pPr>
              <w:pStyle w:val="xLedtext"/>
            </w:pPr>
          </w:p>
        </w:tc>
        <w:tc>
          <w:tcPr>
            <w:tcW w:w="2850" w:type="dxa"/>
            <w:vAlign w:val="bottom"/>
          </w:tcPr>
          <w:p w14:paraId="756BF420" w14:textId="77777777" w:rsidR="000B3F00" w:rsidRDefault="000B3F00">
            <w:pPr>
              <w:pStyle w:val="xAvsandare1"/>
            </w:pPr>
            <w:r>
              <w:t>Ålands lagting</w:t>
            </w:r>
          </w:p>
        </w:tc>
        <w:tc>
          <w:tcPr>
            <w:tcW w:w="3530" w:type="dxa"/>
            <w:gridSpan w:val="2"/>
            <w:vAlign w:val="bottom"/>
          </w:tcPr>
          <w:p w14:paraId="498161BE" w14:textId="364989D6" w:rsidR="000B3F00" w:rsidRDefault="00CB3110" w:rsidP="00552E06">
            <w:pPr>
              <w:pStyle w:val="xDokTypNr"/>
            </w:pPr>
            <w:r>
              <w:t xml:space="preserve">BUDGETMOTION nr  </w:t>
            </w:r>
            <w:r w:rsidR="0020377F">
              <w:t>53</w:t>
            </w:r>
            <w:r>
              <w:t>/20</w:t>
            </w:r>
            <w:r w:rsidR="00313559">
              <w:t>2</w:t>
            </w:r>
            <w:r w:rsidR="008A74CB">
              <w:t>5</w:t>
            </w:r>
            <w:r w:rsidR="47312E3B">
              <w:t>-20</w:t>
            </w:r>
            <w:r>
              <w:t>2</w:t>
            </w:r>
            <w:r w:rsidR="008A74CB">
              <w:t>6</w:t>
            </w:r>
          </w:p>
        </w:tc>
      </w:tr>
      <w:tr w:rsidR="000B3F00" w14:paraId="72A070D1" w14:textId="77777777" w:rsidTr="07E61331">
        <w:trPr>
          <w:cantSplit/>
          <w:trHeight w:val="238"/>
        </w:trPr>
        <w:tc>
          <w:tcPr>
            <w:tcW w:w="851" w:type="dxa"/>
            <w:vMerge/>
          </w:tcPr>
          <w:p w14:paraId="337DFAC1" w14:textId="77777777" w:rsidR="000B3F00" w:rsidRDefault="000B3F00">
            <w:pPr>
              <w:pStyle w:val="xLedtext"/>
            </w:pPr>
          </w:p>
        </w:tc>
        <w:tc>
          <w:tcPr>
            <w:tcW w:w="2850" w:type="dxa"/>
            <w:vAlign w:val="bottom"/>
          </w:tcPr>
          <w:p w14:paraId="03098E84" w14:textId="77777777" w:rsidR="000B3F00" w:rsidRDefault="000B3F00">
            <w:pPr>
              <w:pStyle w:val="xLedtext"/>
            </w:pPr>
            <w:r>
              <w:t xml:space="preserve">Lagtingsledamot </w:t>
            </w:r>
          </w:p>
        </w:tc>
        <w:tc>
          <w:tcPr>
            <w:tcW w:w="1204" w:type="dxa"/>
            <w:vAlign w:val="bottom"/>
          </w:tcPr>
          <w:p w14:paraId="20AD0D9C" w14:textId="77777777" w:rsidR="000B3F00" w:rsidRDefault="000B3F00">
            <w:pPr>
              <w:pStyle w:val="xLedtext"/>
            </w:pPr>
            <w:r>
              <w:t>Datum</w:t>
            </w:r>
          </w:p>
        </w:tc>
        <w:tc>
          <w:tcPr>
            <w:tcW w:w="2326" w:type="dxa"/>
            <w:vAlign w:val="bottom"/>
          </w:tcPr>
          <w:p w14:paraId="29EFE13B" w14:textId="77777777" w:rsidR="000B3F00" w:rsidRDefault="000B3F00">
            <w:pPr>
              <w:pStyle w:val="xLedtext"/>
            </w:pPr>
          </w:p>
        </w:tc>
      </w:tr>
      <w:tr w:rsidR="000B3F00" w14:paraId="240656A1" w14:textId="77777777" w:rsidTr="07E61331">
        <w:trPr>
          <w:cantSplit/>
          <w:trHeight w:val="238"/>
        </w:trPr>
        <w:tc>
          <w:tcPr>
            <w:tcW w:w="851" w:type="dxa"/>
            <w:vMerge/>
          </w:tcPr>
          <w:p w14:paraId="101500B5" w14:textId="77777777" w:rsidR="000B3F00" w:rsidRDefault="000B3F00">
            <w:pPr>
              <w:pStyle w:val="xAvsandare2"/>
            </w:pPr>
          </w:p>
        </w:tc>
        <w:tc>
          <w:tcPr>
            <w:tcW w:w="2850" w:type="dxa"/>
            <w:vAlign w:val="center"/>
          </w:tcPr>
          <w:p w14:paraId="10C8E01F" w14:textId="51C91D11" w:rsidR="000B3F00" w:rsidRDefault="001F13E2">
            <w:pPr>
              <w:pStyle w:val="xAvsandare2"/>
            </w:pPr>
            <w:r>
              <w:t>Mika Nordberg</w:t>
            </w:r>
            <w:r w:rsidR="38F3BDD1">
              <w:t xml:space="preserve"> </w:t>
            </w:r>
            <w:proofErr w:type="gramStart"/>
            <w:r w:rsidR="38F3BDD1">
              <w:t>m.fl.</w:t>
            </w:r>
            <w:proofErr w:type="gramEnd"/>
          </w:p>
        </w:tc>
        <w:tc>
          <w:tcPr>
            <w:tcW w:w="1204" w:type="dxa"/>
            <w:vAlign w:val="center"/>
          </w:tcPr>
          <w:p w14:paraId="054AB9DE" w14:textId="77777777" w:rsidR="000B3F00" w:rsidRDefault="00962677" w:rsidP="0012085E">
            <w:pPr>
              <w:pStyle w:val="xDatum1"/>
            </w:pPr>
            <w:r w:rsidRPr="00962677">
              <w:t>2025-11-07</w:t>
            </w:r>
          </w:p>
        </w:tc>
        <w:tc>
          <w:tcPr>
            <w:tcW w:w="2326" w:type="dxa"/>
            <w:vAlign w:val="center"/>
          </w:tcPr>
          <w:p w14:paraId="1EC91A65" w14:textId="77777777" w:rsidR="000B3F00" w:rsidRDefault="000B3F00">
            <w:pPr>
              <w:pStyle w:val="xBeteckning1"/>
            </w:pPr>
          </w:p>
        </w:tc>
      </w:tr>
      <w:tr w:rsidR="000B3F00" w14:paraId="617EC9C1" w14:textId="77777777" w:rsidTr="07E61331">
        <w:trPr>
          <w:cantSplit/>
          <w:trHeight w:val="238"/>
        </w:trPr>
        <w:tc>
          <w:tcPr>
            <w:tcW w:w="851" w:type="dxa"/>
            <w:vMerge/>
          </w:tcPr>
          <w:p w14:paraId="22363256" w14:textId="77777777" w:rsidR="000B3F00" w:rsidRDefault="000B3F00">
            <w:pPr>
              <w:pStyle w:val="xLedtext"/>
            </w:pPr>
          </w:p>
        </w:tc>
        <w:tc>
          <w:tcPr>
            <w:tcW w:w="2850" w:type="dxa"/>
            <w:vAlign w:val="bottom"/>
          </w:tcPr>
          <w:p w14:paraId="1435CA89" w14:textId="77777777" w:rsidR="000B3F00" w:rsidRDefault="000B3F00">
            <w:pPr>
              <w:pStyle w:val="xLedtext"/>
            </w:pPr>
          </w:p>
        </w:tc>
        <w:tc>
          <w:tcPr>
            <w:tcW w:w="1204" w:type="dxa"/>
            <w:vAlign w:val="bottom"/>
          </w:tcPr>
          <w:p w14:paraId="6EA7B392" w14:textId="77777777" w:rsidR="000B3F00" w:rsidRDefault="000B3F00">
            <w:pPr>
              <w:pStyle w:val="xLedtext"/>
            </w:pPr>
          </w:p>
        </w:tc>
        <w:tc>
          <w:tcPr>
            <w:tcW w:w="2326" w:type="dxa"/>
            <w:vAlign w:val="bottom"/>
          </w:tcPr>
          <w:p w14:paraId="32A0E505" w14:textId="77777777" w:rsidR="000B3F00" w:rsidRDefault="000B3F00">
            <w:pPr>
              <w:pStyle w:val="xLedtext"/>
            </w:pPr>
          </w:p>
        </w:tc>
      </w:tr>
      <w:tr w:rsidR="000B3F00" w14:paraId="3DF5CFA9" w14:textId="77777777" w:rsidTr="07E61331">
        <w:trPr>
          <w:cantSplit/>
          <w:trHeight w:val="238"/>
        </w:trPr>
        <w:tc>
          <w:tcPr>
            <w:tcW w:w="851" w:type="dxa"/>
            <w:vMerge/>
          </w:tcPr>
          <w:p w14:paraId="580EE241" w14:textId="77777777" w:rsidR="000B3F00" w:rsidRDefault="000B3F00">
            <w:pPr>
              <w:pStyle w:val="xAvsandare3"/>
            </w:pPr>
          </w:p>
        </w:tc>
        <w:tc>
          <w:tcPr>
            <w:tcW w:w="2850" w:type="dxa"/>
            <w:tcBorders>
              <w:bottom w:val="single" w:sz="4" w:space="0" w:color="auto"/>
            </w:tcBorders>
            <w:vAlign w:val="center"/>
          </w:tcPr>
          <w:p w14:paraId="4E0ABC17" w14:textId="77777777" w:rsidR="000B3F00" w:rsidRDefault="000B3F00">
            <w:pPr>
              <w:pStyle w:val="xAvsandare3"/>
            </w:pPr>
          </w:p>
        </w:tc>
        <w:tc>
          <w:tcPr>
            <w:tcW w:w="1204" w:type="dxa"/>
            <w:tcBorders>
              <w:bottom w:val="single" w:sz="4" w:space="0" w:color="auto"/>
            </w:tcBorders>
            <w:vAlign w:val="center"/>
          </w:tcPr>
          <w:p w14:paraId="0CDEAE74" w14:textId="77777777" w:rsidR="000B3F00" w:rsidRDefault="000B3F00">
            <w:pPr>
              <w:pStyle w:val="xDatum2"/>
            </w:pPr>
          </w:p>
        </w:tc>
        <w:tc>
          <w:tcPr>
            <w:tcW w:w="2326" w:type="dxa"/>
            <w:tcBorders>
              <w:bottom w:val="single" w:sz="4" w:space="0" w:color="auto"/>
            </w:tcBorders>
            <w:vAlign w:val="center"/>
          </w:tcPr>
          <w:p w14:paraId="55D7416D" w14:textId="77777777" w:rsidR="000B3F00" w:rsidRDefault="000B3F00">
            <w:pPr>
              <w:pStyle w:val="xBeteckning2"/>
            </w:pPr>
          </w:p>
        </w:tc>
      </w:tr>
      <w:tr w:rsidR="000B3F00" w14:paraId="7E457300" w14:textId="77777777" w:rsidTr="07E61331">
        <w:trPr>
          <w:cantSplit/>
          <w:trHeight w:val="238"/>
        </w:trPr>
        <w:tc>
          <w:tcPr>
            <w:tcW w:w="851" w:type="dxa"/>
            <w:tcBorders>
              <w:top w:val="single" w:sz="4" w:space="0" w:color="auto"/>
            </w:tcBorders>
            <w:vAlign w:val="bottom"/>
          </w:tcPr>
          <w:p w14:paraId="1A2C50CD" w14:textId="77777777" w:rsidR="000B3F00" w:rsidRDefault="000B3F00">
            <w:pPr>
              <w:pStyle w:val="xLedtext"/>
            </w:pPr>
          </w:p>
        </w:tc>
        <w:tc>
          <w:tcPr>
            <w:tcW w:w="2850" w:type="dxa"/>
            <w:tcBorders>
              <w:top w:val="single" w:sz="4" w:space="0" w:color="auto"/>
            </w:tcBorders>
            <w:vAlign w:val="bottom"/>
          </w:tcPr>
          <w:p w14:paraId="31248A1C" w14:textId="77777777" w:rsidR="000B3F00" w:rsidRDefault="000B3F00">
            <w:pPr>
              <w:pStyle w:val="xLedtext"/>
            </w:pPr>
          </w:p>
        </w:tc>
        <w:tc>
          <w:tcPr>
            <w:tcW w:w="3530" w:type="dxa"/>
            <w:gridSpan w:val="2"/>
            <w:tcBorders>
              <w:top w:val="single" w:sz="4" w:space="0" w:color="auto"/>
            </w:tcBorders>
            <w:vAlign w:val="bottom"/>
          </w:tcPr>
          <w:p w14:paraId="61D33281" w14:textId="77777777" w:rsidR="000B3F00" w:rsidRDefault="000B3F00">
            <w:pPr>
              <w:pStyle w:val="xLedtext"/>
            </w:pPr>
          </w:p>
        </w:tc>
      </w:tr>
      <w:tr w:rsidR="000B3F00" w14:paraId="72EFDA0E" w14:textId="77777777" w:rsidTr="07E61331">
        <w:trPr>
          <w:cantSplit/>
          <w:trHeight w:val="238"/>
        </w:trPr>
        <w:tc>
          <w:tcPr>
            <w:tcW w:w="851" w:type="dxa"/>
          </w:tcPr>
          <w:p w14:paraId="4959B5AB" w14:textId="77777777" w:rsidR="000B3F00" w:rsidRDefault="000B3F00">
            <w:pPr>
              <w:pStyle w:val="xCelltext"/>
            </w:pPr>
          </w:p>
        </w:tc>
        <w:tc>
          <w:tcPr>
            <w:tcW w:w="2850" w:type="dxa"/>
            <w:vMerge w:val="restart"/>
          </w:tcPr>
          <w:p w14:paraId="119B45E7" w14:textId="77777777" w:rsidR="000B3F00" w:rsidRDefault="000B3F00">
            <w:pPr>
              <w:pStyle w:val="xMottagare1"/>
            </w:pPr>
            <w:r>
              <w:t>Till Ålands lagting</w:t>
            </w:r>
          </w:p>
        </w:tc>
        <w:tc>
          <w:tcPr>
            <w:tcW w:w="3530" w:type="dxa"/>
            <w:gridSpan w:val="2"/>
            <w:vMerge w:val="restart"/>
          </w:tcPr>
          <w:p w14:paraId="0CD56E29" w14:textId="77777777" w:rsidR="000B3F00" w:rsidRDefault="000B3F00">
            <w:pPr>
              <w:pStyle w:val="xMottagare1"/>
              <w:tabs>
                <w:tab w:val="left" w:pos="2349"/>
              </w:tabs>
            </w:pPr>
          </w:p>
        </w:tc>
      </w:tr>
      <w:tr w:rsidR="000B3F00" w14:paraId="3C16F479" w14:textId="77777777" w:rsidTr="07E61331">
        <w:trPr>
          <w:cantSplit/>
          <w:trHeight w:val="238"/>
        </w:trPr>
        <w:tc>
          <w:tcPr>
            <w:tcW w:w="851" w:type="dxa"/>
          </w:tcPr>
          <w:p w14:paraId="768D5001" w14:textId="77777777" w:rsidR="000B3F00" w:rsidRDefault="000B3F00">
            <w:pPr>
              <w:pStyle w:val="xCelltext"/>
            </w:pPr>
          </w:p>
        </w:tc>
        <w:tc>
          <w:tcPr>
            <w:tcW w:w="2850" w:type="dxa"/>
            <w:vMerge/>
            <w:vAlign w:val="center"/>
          </w:tcPr>
          <w:p w14:paraId="26433F8F" w14:textId="77777777" w:rsidR="000B3F00" w:rsidRDefault="000B3F00">
            <w:pPr>
              <w:pStyle w:val="xCelltext"/>
            </w:pPr>
          </w:p>
        </w:tc>
        <w:tc>
          <w:tcPr>
            <w:tcW w:w="3530" w:type="dxa"/>
            <w:gridSpan w:val="2"/>
            <w:vMerge/>
            <w:vAlign w:val="center"/>
          </w:tcPr>
          <w:p w14:paraId="7CEA1AE6" w14:textId="77777777" w:rsidR="000B3F00" w:rsidRDefault="000B3F00">
            <w:pPr>
              <w:pStyle w:val="xCelltext"/>
            </w:pPr>
          </w:p>
        </w:tc>
      </w:tr>
      <w:tr w:rsidR="000B3F00" w14:paraId="6AC72240" w14:textId="77777777" w:rsidTr="07E61331">
        <w:trPr>
          <w:cantSplit/>
          <w:trHeight w:val="238"/>
        </w:trPr>
        <w:tc>
          <w:tcPr>
            <w:tcW w:w="851" w:type="dxa"/>
          </w:tcPr>
          <w:p w14:paraId="57AD96CE" w14:textId="77777777" w:rsidR="000B3F00" w:rsidRDefault="000B3F00">
            <w:pPr>
              <w:pStyle w:val="xCelltext"/>
            </w:pPr>
          </w:p>
        </w:tc>
        <w:tc>
          <w:tcPr>
            <w:tcW w:w="2850" w:type="dxa"/>
            <w:vMerge/>
            <w:vAlign w:val="center"/>
          </w:tcPr>
          <w:p w14:paraId="397F364D" w14:textId="77777777" w:rsidR="000B3F00" w:rsidRDefault="000B3F00">
            <w:pPr>
              <w:pStyle w:val="xCelltext"/>
            </w:pPr>
          </w:p>
        </w:tc>
        <w:tc>
          <w:tcPr>
            <w:tcW w:w="3530" w:type="dxa"/>
            <w:gridSpan w:val="2"/>
            <w:vMerge/>
            <w:vAlign w:val="center"/>
          </w:tcPr>
          <w:p w14:paraId="6052FD2A" w14:textId="77777777" w:rsidR="000B3F00" w:rsidRDefault="000B3F00">
            <w:pPr>
              <w:pStyle w:val="xCelltext"/>
            </w:pPr>
          </w:p>
        </w:tc>
      </w:tr>
      <w:tr w:rsidR="000B3F00" w14:paraId="706E7821" w14:textId="77777777" w:rsidTr="07E61331">
        <w:trPr>
          <w:cantSplit/>
          <w:trHeight w:val="238"/>
        </w:trPr>
        <w:tc>
          <w:tcPr>
            <w:tcW w:w="851" w:type="dxa"/>
          </w:tcPr>
          <w:p w14:paraId="7479E3F6" w14:textId="77777777" w:rsidR="000B3F00" w:rsidRDefault="000B3F00">
            <w:pPr>
              <w:pStyle w:val="xCelltext"/>
            </w:pPr>
          </w:p>
        </w:tc>
        <w:tc>
          <w:tcPr>
            <w:tcW w:w="2850" w:type="dxa"/>
            <w:vMerge/>
            <w:vAlign w:val="center"/>
          </w:tcPr>
          <w:p w14:paraId="032B582C" w14:textId="77777777" w:rsidR="000B3F00" w:rsidRDefault="000B3F00">
            <w:pPr>
              <w:pStyle w:val="xCelltext"/>
            </w:pPr>
          </w:p>
        </w:tc>
        <w:tc>
          <w:tcPr>
            <w:tcW w:w="3530" w:type="dxa"/>
            <w:gridSpan w:val="2"/>
            <w:vMerge/>
            <w:vAlign w:val="center"/>
          </w:tcPr>
          <w:p w14:paraId="30E23094" w14:textId="77777777" w:rsidR="000B3F00" w:rsidRDefault="000B3F00">
            <w:pPr>
              <w:pStyle w:val="xCelltext"/>
            </w:pPr>
          </w:p>
        </w:tc>
      </w:tr>
      <w:tr w:rsidR="000B3F00" w14:paraId="486D6339" w14:textId="77777777" w:rsidTr="07E61331">
        <w:trPr>
          <w:cantSplit/>
          <w:trHeight w:val="238"/>
        </w:trPr>
        <w:tc>
          <w:tcPr>
            <w:tcW w:w="851" w:type="dxa"/>
          </w:tcPr>
          <w:p w14:paraId="59037D14" w14:textId="77777777" w:rsidR="000B3F00" w:rsidRDefault="000B3F00">
            <w:pPr>
              <w:pStyle w:val="xCelltext"/>
            </w:pPr>
          </w:p>
        </w:tc>
        <w:tc>
          <w:tcPr>
            <w:tcW w:w="2850" w:type="dxa"/>
            <w:vMerge/>
            <w:vAlign w:val="center"/>
          </w:tcPr>
          <w:p w14:paraId="75E2421A" w14:textId="77777777" w:rsidR="000B3F00" w:rsidRDefault="000B3F00">
            <w:pPr>
              <w:pStyle w:val="xCelltext"/>
            </w:pPr>
          </w:p>
        </w:tc>
        <w:tc>
          <w:tcPr>
            <w:tcW w:w="3530" w:type="dxa"/>
            <w:gridSpan w:val="2"/>
            <w:vMerge/>
            <w:vAlign w:val="center"/>
          </w:tcPr>
          <w:p w14:paraId="040ED77C" w14:textId="77777777" w:rsidR="000B3F00" w:rsidRDefault="000B3F00">
            <w:pPr>
              <w:pStyle w:val="xCelltext"/>
            </w:pPr>
          </w:p>
        </w:tc>
      </w:tr>
    </w:tbl>
    <w:p w14:paraId="27845DDF" w14:textId="77777777" w:rsidR="000B3F00" w:rsidRDefault="00B13082">
      <w:pPr>
        <w:pStyle w:val="ANormal"/>
      </w:pPr>
      <w:r>
        <w:rPr>
          <w:rFonts w:ascii="Arial" w:hAnsi="Arial" w:cs="Arial"/>
          <w:b/>
          <w:bCs/>
          <w:sz w:val="26"/>
        </w:rPr>
        <w:t>Fullmakt Skärgårdstrafik 2028</w:t>
      </w:r>
    </w:p>
    <w:p w14:paraId="1C11F786" w14:textId="77777777" w:rsidR="000B3F00" w:rsidRDefault="000B3F00">
      <w:pPr>
        <w:pStyle w:val="ANormal"/>
      </w:pPr>
    </w:p>
    <w:p w14:paraId="78519C67" w14:textId="77777777" w:rsidR="006627DE" w:rsidRDefault="00B13082">
      <w:pPr>
        <w:pStyle w:val="ANormal"/>
      </w:pPr>
      <w:r>
        <w:t>Ändrad fullmakt med anledning av motionen Skärgårdstrafik 2028,</w:t>
      </w:r>
    </w:p>
    <w:p w14:paraId="6DEA1B9E" w14:textId="77777777" w:rsidR="00514927" w:rsidRDefault="00514927">
      <w:pPr>
        <w:pStyle w:val="ANormal"/>
        <w:rPr>
          <w:b/>
        </w:rPr>
      </w:pPr>
    </w:p>
    <w:p w14:paraId="49327482" w14:textId="77777777" w:rsidR="00514927" w:rsidRDefault="00514927">
      <w:pPr>
        <w:pStyle w:val="ANormal"/>
        <w:rPr>
          <w:b/>
        </w:rPr>
      </w:pPr>
    </w:p>
    <w:p w14:paraId="3A5F72C7" w14:textId="30F68C44" w:rsidR="00962677" w:rsidRPr="0098744D" w:rsidRDefault="009D5985" w:rsidP="0098744D">
      <w:pPr>
        <w:pStyle w:val="ANormal"/>
        <w:rPr>
          <w:b/>
        </w:rPr>
      </w:pPr>
      <w:r w:rsidRPr="009D5985">
        <w:rPr>
          <w:b/>
        </w:rPr>
        <w:t>FÖRSLAG</w:t>
      </w:r>
    </w:p>
    <w:p w14:paraId="7AC3050C" w14:textId="77777777" w:rsidR="00962677" w:rsidRDefault="00962677" w:rsidP="00962677">
      <w:pPr>
        <w:pStyle w:val="Klam"/>
        <w:rPr>
          <w:bCs/>
        </w:rPr>
      </w:pPr>
    </w:p>
    <w:p w14:paraId="26A58583" w14:textId="77777777" w:rsidR="00962677" w:rsidRPr="0098744D" w:rsidRDefault="00962677" w:rsidP="00962677">
      <w:pPr>
        <w:pStyle w:val="Klam"/>
        <w:rPr>
          <w:lang w:val="sv-FI"/>
        </w:rPr>
      </w:pPr>
      <w:r w:rsidRPr="0098744D">
        <w:rPr>
          <w:b/>
          <w:lang w:val="sv-FI"/>
        </w:rPr>
        <w:t xml:space="preserve">Moment: </w:t>
      </w:r>
      <w:proofErr w:type="gramStart"/>
      <w:r w:rsidRPr="0098744D">
        <w:rPr>
          <w:lang w:val="sv-FI"/>
        </w:rPr>
        <w:t>75010</w:t>
      </w:r>
      <w:proofErr w:type="gramEnd"/>
      <w:r w:rsidRPr="0098744D">
        <w:rPr>
          <w:lang w:val="sv-FI"/>
        </w:rPr>
        <w:t xml:space="preserve"> Upphandling av sjötrafik (RA), s. 166</w:t>
      </w:r>
    </w:p>
    <w:p w14:paraId="36FFB8A6" w14:textId="563ED4A7" w:rsidR="00962677" w:rsidRDefault="00962677" w:rsidP="00962677">
      <w:pPr>
        <w:pStyle w:val="Klam"/>
        <w:rPr>
          <w:bCs/>
        </w:rPr>
      </w:pPr>
      <w:r w:rsidRPr="00962677">
        <w:rPr>
          <w:b/>
          <w:bCs/>
        </w:rPr>
        <w:t>Ändring av anslag:</w:t>
      </w:r>
      <w:r w:rsidR="0098744D">
        <w:rPr>
          <w:b/>
          <w:bCs/>
        </w:rPr>
        <w:t xml:space="preserve"> </w:t>
      </w:r>
      <w:r w:rsidRPr="00962677">
        <w:rPr>
          <w:bCs/>
        </w:rPr>
        <w:t>0</w:t>
      </w:r>
    </w:p>
    <w:p w14:paraId="0B5B8BC7" w14:textId="77777777" w:rsidR="00962677" w:rsidRPr="0098744D" w:rsidRDefault="00962677" w:rsidP="00962677">
      <w:pPr>
        <w:pStyle w:val="Klam"/>
        <w:rPr>
          <w:bCs/>
          <w:lang w:val="sv-FI"/>
        </w:rPr>
      </w:pPr>
      <w:r w:rsidRPr="0098744D">
        <w:rPr>
          <w:b/>
          <w:bCs/>
          <w:lang w:val="sv-FI"/>
        </w:rPr>
        <w:t xml:space="preserve">Momentmotivering: </w:t>
      </w:r>
      <w:r w:rsidRPr="0098744D">
        <w:rPr>
          <w:bCs/>
          <w:lang w:val="sv-FI"/>
        </w:rPr>
        <w:t>Fullmakt Skärgårdstrafik 2028:</w:t>
      </w:r>
    </w:p>
    <w:p w14:paraId="520E121B" w14:textId="77777777" w:rsidR="00935655" w:rsidRDefault="00935655">
      <w:pPr>
        <w:pStyle w:val="ANormal"/>
      </w:pPr>
    </w:p>
    <w:p w14:paraId="343CFCC4" w14:textId="34DA29B3" w:rsidR="7138C863" w:rsidRDefault="7138C863" w:rsidP="07E61331">
      <w:pPr>
        <w:pStyle w:val="ANormal"/>
      </w:pPr>
      <w:r w:rsidRPr="07E61331">
        <w:rPr>
          <w:i/>
          <w:iCs/>
          <w:color w:val="000000" w:themeColor="text1"/>
          <w:szCs w:val="22"/>
        </w:rPr>
        <w:t xml:space="preserve">Texten under kapitel </w:t>
      </w:r>
      <w:proofErr w:type="gramStart"/>
      <w:r w:rsidRPr="07E61331">
        <w:rPr>
          <w:i/>
          <w:iCs/>
          <w:color w:val="000000" w:themeColor="text1"/>
          <w:szCs w:val="22"/>
        </w:rPr>
        <w:t>75010</w:t>
      </w:r>
      <w:proofErr w:type="gramEnd"/>
      <w:r w:rsidRPr="07E61331">
        <w:rPr>
          <w:i/>
          <w:iCs/>
          <w:color w:val="000000" w:themeColor="text1"/>
          <w:szCs w:val="22"/>
        </w:rPr>
        <w:t xml:space="preserve"> Upphandling av Sjötrafik (RA) med underrubriken Fullmakt, s. 166 föreslås ändras till:</w:t>
      </w:r>
    </w:p>
    <w:p w14:paraId="34F6721C" w14:textId="08119715" w:rsidR="07E61331" w:rsidRDefault="07E61331" w:rsidP="07E61331">
      <w:pPr>
        <w:pStyle w:val="ANormal"/>
        <w:rPr>
          <w:i/>
          <w:iCs/>
          <w:color w:val="000000" w:themeColor="text1"/>
          <w:szCs w:val="22"/>
        </w:rPr>
      </w:pPr>
    </w:p>
    <w:p w14:paraId="52C3E6B9" w14:textId="723AAB7F" w:rsidR="4FF296B4" w:rsidRDefault="4FF296B4" w:rsidP="07E61331">
      <w:pPr>
        <w:pStyle w:val="ANormal"/>
        <w:rPr>
          <w:b/>
          <w:bCs/>
          <w:color w:val="000000" w:themeColor="text1"/>
          <w:szCs w:val="22"/>
        </w:rPr>
      </w:pPr>
      <w:r w:rsidRPr="07E61331">
        <w:rPr>
          <w:b/>
          <w:bCs/>
          <w:color w:val="000000" w:themeColor="text1"/>
          <w:szCs w:val="22"/>
        </w:rPr>
        <w:t>Skärgårdstrafik 2028</w:t>
      </w:r>
    </w:p>
    <w:p w14:paraId="00D97439" w14:textId="77777777" w:rsidR="00935655" w:rsidRDefault="0098744D">
      <w:pPr>
        <w:pStyle w:val="ANormal"/>
      </w:pPr>
      <w:r>
        <w:t>Avtalen för linjerna Åva–</w:t>
      </w:r>
      <w:proofErr w:type="spellStart"/>
      <w:r>
        <w:t>Osnäs</w:t>
      </w:r>
      <w:proofErr w:type="spellEnd"/>
      <w:r>
        <w:t>, Hummelvik–Torsholma, Föglölinjen och Södra linjen löper ut den 31 januari 2027 och har ett års option till 31 januari 2028, vilken föreslås nyttjas. Det föreslås att dessa linjer upphandlas som 2 separata upphandlingar. De norra linjerna Åva–</w:t>
      </w:r>
      <w:proofErr w:type="spellStart"/>
      <w:r>
        <w:t>Osnäs</w:t>
      </w:r>
      <w:proofErr w:type="spellEnd"/>
      <w:r>
        <w:t>, Hummelvik–Torsholma upphandlas från den 1 februari 2028 för en period om 15 år. Syftet är att möjliggöra effektivare och teknikneutrala investeringar i framdriften av fartygen. De södra linjerna Föglölinjen och Södra linjen upphandlas för en period om 5 år.</w:t>
      </w:r>
    </w:p>
    <w:p w14:paraId="314C5D17" w14:textId="77777777" w:rsidR="00935655" w:rsidRDefault="00935655">
      <w:pPr>
        <w:pStyle w:val="ANormal"/>
      </w:pPr>
    </w:p>
    <w:p w14:paraId="50A741B6" w14:textId="44548910" w:rsidR="00935655" w:rsidRDefault="0098744D">
      <w:pPr>
        <w:pStyle w:val="ANormal"/>
      </w:pPr>
      <w:r>
        <w:t>Landskapsregeringen föreslår att lagtinget beviljar en fullmakt om högst 133 miljoner euro för ett femtonårigt totalentreprenadavtal för den norra linjen samt en fullmakt om högst 57 miljoner för ett femårigt totalentreprenadavtal för de södra linjerna. Kostnaden är beräknad med en årlig indexförändring om 2 %. I båda trafikuppläggen ingår samtliga delar i trafiksystemet, förutom matartrafiken Kumlinge-Enklinge samt Jurmo-Åva, vilka upphandlas separat i ett senare skede.</w:t>
      </w:r>
    </w:p>
    <w:p w14:paraId="3B90CCEB" w14:textId="77777777" w:rsidR="00935655" w:rsidRDefault="00935655">
      <w:pPr>
        <w:pStyle w:val="ANormal"/>
      </w:pPr>
    </w:p>
    <w:p w14:paraId="3D121921" w14:textId="77777777" w:rsidR="00962677" w:rsidRPr="0098744D" w:rsidRDefault="00962677" w:rsidP="00962677">
      <w:pPr>
        <w:pStyle w:val="Klam"/>
        <w:rPr>
          <w:b/>
          <w:bCs/>
          <w:lang w:val="sv-FI"/>
        </w:rPr>
      </w:pPr>
    </w:p>
    <w:p w14:paraId="7A5AE4F2" w14:textId="77777777" w:rsidR="000B3F00" w:rsidRPr="0098744D" w:rsidRDefault="000B3F00">
      <w:pPr>
        <w:pStyle w:val="ANormal"/>
        <w:rPr>
          <w:lang w:val="sv-FI"/>
        </w:rPr>
      </w:pPr>
    </w:p>
    <w:p w14:paraId="0C0E0F94" w14:textId="77777777" w:rsidR="00CC2901" w:rsidRPr="0098744D" w:rsidRDefault="00CC2901" w:rsidP="00CC2901">
      <w:pPr>
        <w:pStyle w:val="ANormal"/>
        <w:rPr>
          <w:lang w:val="sv-FI"/>
        </w:rPr>
      </w:pPr>
      <w:r w:rsidRPr="0098744D">
        <w:rPr>
          <w:lang w:val="sv-FI"/>
        </w:rPr>
        <w:t>Mariehamn den 7 november 2025</w:t>
      </w:r>
    </w:p>
    <w:p w14:paraId="12785764" w14:textId="77777777" w:rsidR="000B3F00" w:rsidRPr="0098744D" w:rsidRDefault="000B3F00">
      <w:pPr>
        <w:pStyle w:val="ANormal"/>
        <w:rPr>
          <w:lang w:val="sv-FI"/>
        </w:rPr>
      </w:pPr>
    </w:p>
    <w:p w14:paraId="2DBD5AC4" w14:textId="77777777" w:rsidR="00CC2901" w:rsidRPr="0098744D" w:rsidRDefault="00CC2901">
      <w:pPr>
        <w:pStyle w:val="ANormal"/>
        <w:rPr>
          <w:lang w:val="sv-FI"/>
        </w:rPr>
      </w:pPr>
    </w:p>
    <w:p w14:paraId="544FD6F6" w14:textId="77777777" w:rsidR="000B3F00" w:rsidRPr="0098744D" w:rsidRDefault="000B3F00" w:rsidP="006A6188">
      <w:pPr>
        <w:pStyle w:val="ANormal"/>
        <w:rPr>
          <w:lang w:val="sv-FI"/>
        </w:rPr>
      </w:pPr>
    </w:p>
    <w:p w14:paraId="358A7479" w14:textId="3C182069" w:rsidR="00935655" w:rsidRDefault="00CC2901">
      <w:pPr>
        <w:pStyle w:val="ANormal"/>
      </w:pPr>
      <w:r>
        <w:t>Mika Nordberg</w:t>
      </w:r>
      <w:r w:rsidR="0097651D">
        <w:tab/>
      </w:r>
      <w:r w:rsidR="0097651D">
        <w:tab/>
      </w:r>
      <w:r w:rsidR="0097651D">
        <w:tab/>
      </w:r>
      <w:r w:rsidR="0098744D">
        <w:t xml:space="preserve">Marcus </w:t>
      </w:r>
      <w:proofErr w:type="spellStart"/>
      <w:r w:rsidR="0098744D">
        <w:t>Måtar</w:t>
      </w:r>
      <w:proofErr w:type="spellEnd"/>
    </w:p>
    <w:p w14:paraId="419486AA" w14:textId="45EB0108" w:rsidR="07E61331" w:rsidRDefault="07E61331" w:rsidP="07E61331">
      <w:pPr>
        <w:pStyle w:val="ANormal"/>
      </w:pPr>
    </w:p>
    <w:p w14:paraId="1188D31E" w14:textId="77777777" w:rsidR="0097651D" w:rsidRDefault="0097651D">
      <w:pPr>
        <w:pStyle w:val="ANormal"/>
      </w:pPr>
    </w:p>
    <w:p w14:paraId="5D609743" w14:textId="4A1FA9BA" w:rsidR="00935655" w:rsidRDefault="0098744D">
      <w:pPr>
        <w:pStyle w:val="ANormal"/>
      </w:pPr>
      <w:r>
        <w:t xml:space="preserve">Stellan </w:t>
      </w:r>
      <w:proofErr w:type="spellStart"/>
      <w:r>
        <w:t>Egeland</w:t>
      </w:r>
      <w:proofErr w:type="spellEnd"/>
      <w:r w:rsidR="0097651D">
        <w:tab/>
      </w:r>
      <w:r w:rsidR="0097651D">
        <w:tab/>
        <w:t xml:space="preserve">                     </w:t>
      </w:r>
      <w:r>
        <w:t>Anders Holmberg</w:t>
      </w:r>
    </w:p>
    <w:p w14:paraId="0094BFE3" w14:textId="2EDB54A9" w:rsidR="07E61331" w:rsidRDefault="07E61331" w:rsidP="07E61331">
      <w:pPr>
        <w:pStyle w:val="ANormal"/>
      </w:pPr>
    </w:p>
    <w:p w14:paraId="6601161D" w14:textId="25580B98" w:rsidR="07E61331" w:rsidRDefault="07E61331" w:rsidP="07E61331">
      <w:pPr>
        <w:pStyle w:val="ANormal"/>
      </w:pPr>
    </w:p>
    <w:p w14:paraId="221DD2EB" w14:textId="31866D2E" w:rsidR="00935655" w:rsidRDefault="0098744D">
      <w:pPr>
        <w:pStyle w:val="ANormal"/>
      </w:pPr>
      <w:r>
        <w:t>Annette Holmberg-Jansson</w:t>
      </w:r>
      <w:r w:rsidR="0097651D">
        <w:tab/>
      </w:r>
      <w:r w:rsidR="0097651D">
        <w:tab/>
        <w:t xml:space="preserve">                      </w:t>
      </w:r>
      <w:r>
        <w:t xml:space="preserve">Andreas </w:t>
      </w:r>
      <w:proofErr w:type="spellStart"/>
      <w:r>
        <w:t>Kanborg</w:t>
      </w:r>
      <w:proofErr w:type="spellEnd"/>
    </w:p>
    <w:p w14:paraId="2D198E65" w14:textId="35AB983D" w:rsidR="07E61331" w:rsidRDefault="07E61331" w:rsidP="07E61331">
      <w:pPr>
        <w:pStyle w:val="ANormal"/>
      </w:pPr>
    </w:p>
    <w:p w14:paraId="7021316E" w14:textId="58352881" w:rsidR="07E61331" w:rsidRDefault="07E61331" w:rsidP="07E61331">
      <w:pPr>
        <w:pStyle w:val="ANormal"/>
      </w:pPr>
    </w:p>
    <w:p w14:paraId="175191A4" w14:textId="2DAC8441" w:rsidR="00935655" w:rsidRDefault="0098744D">
      <w:pPr>
        <w:pStyle w:val="ANormal"/>
      </w:pPr>
      <w:r>
        <w:t>Johan Lindström</w:t>
      </w:r>
      <w:r w:rsidR="0097651D">
        <w:tab/>
      </w:r>
      <w:r w:rsidR="0097651D">
        <w:tab/>
      </w:r>
      <w:r>
        <w:t xml:space="preserve">Wille </w:t>
      </w:r>
      <w:proofErr w:type="spellStart"/>
      <w:r>
        <w:t>Valve</w:t>
      </w:r>
      <w:proofErr w:type="spellEnd"/>
    </w:p>
    <w:p w14:paraId="329C1BCC" w14:textId="68941970" w:rsidR="07E61331" w:rsidRDefault="07E61331" w:rsidP="07E61331">
      <w:pPr>
        <w:pStyle w:val="ANormal"/>
      </w:pPr>
    </w:p>
    <w:p w14:paraId="4D2B685D" w14:textId="2D3B82EC" w:rsidR="07E61331" w:rsidRDefault="07E61331" w:rsidP="07E61331">
      <w:pPr>
        <w:pStyle w:val="ANormal"/>
      </w:pPr>
    </w:p>
    <w:p w14:paraId="44FB35EF" w14:textId="3A805558" w:rsidR="139434A7" w:rsidRPr="0097651D" w:rsidRDefault="0098744D" w:rsidP="07E61331">
      <w:pPr>
        <w:pStyle w:val="ANormal"/>
        <w:rPr>
          <w:lang w:val="en-US"/>
        </w:rPr>
      </w:pPr>
      <w:r w:rsidRPr="0097651D">
        <w:rPr>
          <w:lang w:val="en-US"/>
        </w:rPr>
        <w:t>Christian Wikström</w:t>
      </w:r>
      <w:r w:rsidR="0097651D">
        <w:rPr>
          <w:lang w:val="en-US"/>
        </w:rPr>
        <w:tab/>
      </w:r>
      <w:r w:rsidR="0097651D">
        <w:rPr>
          <w:lang w:val="en-US"/>
        </w:rPr>
        <w:tab/>
      </w:r>
      <w:r w:rsidR="139434A7" w:rsidRPr="0097651D">
        <w:rPr>
          <w:color w:val="000000" w:themeColor="text1"/>
          <w:szCs w:val="22"/>
          <w:lang w:val="en-US"/>
        </w:rPr>
        <w:t xml:space="preserve">Veronica </w:t>
      </w:r>
      <w:proofErr w:type="spellStart"/>
      <w:r w:rsidR="139434A7" w:rsidRPr="0097651D">
        <w:rPr>
          <w:color w:val="000000" w:themeColor="text1"/>
          <w:szCs w:val="22"/>
          <w:lang w:val="en-US"/>
        </w:rPr>
        <w:t>Thörnroos</w:t>
      </w:r>
      <w:proofErr w:type="spellEnd"/>
    </w:p>
    <w:p w14:paraId="5E6E6A35" w14:textId="5E6D1896" w:rsidR="07E61331" w:rsidRPr="0097651D" w:rsidRDefault="07E61331" w:rsidP="07E61331">
      <w:pPr>
        <w:tabs>
          <w:tab w:val="left" w:pos="283"/>
        </w:tabs>
        <w:jc w:val="both"/>
        <w:rPr>
          <w:color w:val="000000" w:themeColor="text1"/>
          <w:sz w:val="22"/>
          <w:szCs w:val="22"/>
          <w:lang w:val="en-US"/>
        </w:rPr>
      </w:pPr>
    </w:p>
    <w:p w14:paraId="22E9857F" w14:textId="2CEA0103" w:rsidR="07E61331" w:rsidRPr="0097651D" w:rsidRDefault="07E61331" w:rsidP="07E61331">
      <w:pPr>
        <w:tabs>
          <w:tab w:val="left" w:pos="283"/>
        </w:tabs>
        <w:jc w:val="both"/>
        <w:rPr>
          <w:color w:val="000000" w:themeColor="text1"/>
          <w:sz w:val="22"/>
          <w:szCs w:val="22"/>
          <w:lang w:val="en-US"/>
        </w:rPr>
      </w:pPr>
    </w:p>
    <w:p w14:paraId="59F44FB8" w14:textId="35E6ABE1" w:rsidR="139434A7" w:rsidRPr="0097651D" w:rsidRDefault="139434A7" w:rsidP="07E61331">
      <w:pPr>
        <w:pStyle w:val="ANormal"/>
        <w:rPr>
          <w:color w:val="000000" w:themeColor="text1"/>
          <w:szCs w:val="22"/>
          <w:lang w:val="en-US"/>
        </w:rPr>
      </w:pPr>
      <w:r w:rsidRPr="0097651D">
        <w:rPr>
          <w:color w:val="000000" w:themeColor="text1"/>
          <w:szCs w:val="22"/>
          <w:lang w:val="en-US"/>
        </w:rPr>
        <w:t>Jörgen Gustafsson</w:t>
      </w:r>
    </w:p>
    <w:p w14:paraId="1BFB6F2D" w14:textId="1FD4B1BE" w:rsidR="07E61331" w:rsidRPr="0097651D" w:rsidRDefault="07E61331" w:rsidP="07E61331">
      <w:pPr>
        <w:pStyle w:val="ANormal"/>
        <w:rPr>
          <w:lang w:val="en-US"/>
        </w:rPr>
      </w:pPr>
    </w:p>
    <w:sectPr w:rsidR="07E61331" w:rsidRPr="0097651D">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23E3" w14:textId="77777777" w:rsidR="008C07FA" w:rsidRDefault="008C07FA">
      <w:r>
        <w:separator/>
      </w:r>
    </w:p>
  </w:endnote>
  <w:endnote w:type="continuationSeparator" w:id="0">
    <w:p w14:paraId="5F8C7C8E"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067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4EF5" w14:textId="77777777" w:rsidR="008C07FA" w:rsidRDefault="008C07FA">
      <w:r>
        <w:separator/>
      </w:r>
    </w:p>
  </w:footnote>
  <w:footnote w:type="continuationSeparator" w:id="0">
    <w:p w14:paraId="54FEE47A"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BE4"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2FA5362D"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822"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3B5A"/>
    <w:rsid w:val="001E5E06"/>
    <w:rsid w:val="001F13E2"/>
    <w:rsid w:val="0020377F"/>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7966EF"/>
    <w:rsid w:val="007A3954"/>
    <w:rsid w:val="00854DB2"/>
    <w:rsid w:val="008A74CB"/>
    <w:rsid w:val="008C07FA"/>
    <w:rsid w:val="008D37F7"/>
    <w:rsid w:val="00935655"/>
    <w:rsid w:val="00935A18"/>
    <w:rsid w:val="00962677"/>
    <w:rsid w:val="0097651D"/>
    <w:rsid w:val="0098744D"/>
    <w:rsid w:val="0098790F"/>
    <w:rsid w:val="009D5985"/>
    <w:rsid w:val="00A06E21"/>
    <w:rsid w:val="00A16986"/>
    <w:rsid w:val="00A54988"/>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F3483"/>
    <w:rsid w:val="00DF7016"/>
    <w:rsid w:val="00E100E9"/>
    <w:rsid w:val="00E131E0"/>
    <w:rsid w:val="00E25A9F"/>
    <w:rsid w:val="00E428A5"/>
    <w:rsid w:val="00E94DFE"/>
    <w:rsid w:val="00F027D7"/>
    <w:rsid w:val="00F26A3A"/>
    <w:rsid w:val="07E61331"/>
    <w:rsid w:val="084FCC69"/>
    <w:rsid w:val="139434A7"/>
    <w:rsid w:val="27AB4093"/>
    <w:rsid w:val="38F3BDD1"/>
    <w:rsid w:val="3AEA5213"/>
    <w:rsid w:val="3C621B01"/>
    <w:rsid w:val="47312E3B"/>
    <w:rsid w:val="4FF296B4"/>
    <w:rsid w:val="64474FEF"/>
    <w:rsid w:val="7138C863"/>
    <w:rsid w:val="728183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133308"/>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E3242-18BD-4BFB-8FBF-5D0FBE4DB4D4}">
  <ds:schemaRefs>
    <ds:schemaRef ds:uri="http://schemas.microsoft.com/sharepoint/v3/contenttype/forms"/>
  </ds:schemaRefs>
</ds:datastoreItem>
</file>

<file path=customXml/itemProps2.xml><?xml version="1.0" encoding="utf-8"?>
<ds:datastoreItem xmlns:ds="http://schemas.openxmlformats.org/officeDocument/2006/customXml" ds:itemID="{AC3BCC3E-2710-4905-AA03-C6959793ABB5}">
  <ds:schemaRefs>
    <ds:schemaRef ds:uri="4db1def1-0fbb-4664-ad4a-17afb0f5776e"/>
    <ds:schemaRef ds:uri="http://schemas.microsoft.com/office/2006/documentManagement/types"/>
    <ds:schemaRef ds:uri="6a584103-5137-4f1d-bd45-879219e1848c"/>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B22C80D-8CA0-4A68-8EE6-D1B2F72E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1590</Characters>
  <Application>Microsoft Office Word</Application>
  <DocSecurity>0</DocSecurity>
  <Lines>13</Lines>
  <Paragraphs>3</Paragraphs>
  <ScaleCrop>false</ScaleCrop>
  <Company>LR</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53/2025-2026</dc:title>
  <dc:creator>Lagtinget</dc:creator>
  <cp:lastModifiedBy>Jessica Laaksonen</cp:lastModifiedBy>
  <cp:revision>2</cp:revision>
  <cp:lastPrinted>2016-09-02T07:38:00Z</cp:lastPrinted>
  <dcterms:created xsi:type="dcterms:W3CDTF">2025-11-11T11:46:00Z</dcterms:created>
  <dcterms:modified xsi:type="dcterms:W3CDTF">2025-11-11T11:46:00Z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