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47E0A94D" w14:textId="77777777" w:rsidTr="47312E3B">
        <w:trPr>
          <w:cantSplit/>
          <w:trHeight w:val="20"/>
        </w:trPr>
        <w:tc>
          <w:tcPr>
            <w:tcW w:w="851" w:type="dxa"/>
            <w:vMerge w:val="restart"/>
          </w:tcPr>
          <w:p w14:paraId="2AF14F06" w14:textId="77777777" w:rsidR="000B3F00" w:rsidRDefault="00CB3110">
            <w:pPr>
              <w:pStyle w:val="xLedtext"/>
              <w:rPr>
                <w:noProof/>
              </w:rPr>
            </w:pPr>
            <w:bookmarkStart w:id="0" w:name="_top"/>
            <w:bookmarkEnd w:id="0"/>
            <w:r>
              <w:rPr>
                <w:noProof/>
                <w:lang w:val="sv-FI" w:eastAsia="sv-FI"/>
              </w:rPr>
              <w:drawing>
                <wp:inline distT="0" distB="0" distL="0" distR="0" wp14:anchorId="41051A71" wp14:editId="7BD42B3A">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06716948" w14:textId="77777777" w:rsidR="000B3F00" w:rsidRDefault="00CB3110">
            <w:pPr>
              <w:pStyle w:val="xMellanrum"/>
            </w:pPr>
            <w:r>
              <w:rPr>
                <w:noProof/>
                <w:lang w:val="sv-FI" w:eastAsia="sv-FI"/>
              </w:rPr>
              <w:drawing>
                <wp:inline distT="0" distB="0" distL="0" distR="0" wp14:anchorId="158B4988" wp14:editId="1B90AAD1">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535322DF" w14:textId="77777777" w:rsidTr="47312E3B">
        <w:trPr>
          <w:cantSplit/>
          <w:trHeight w:val="299"/>
        </w:trPr>
        <w:tc>
          <w:tcPr>
            <w:tcW w:w="851" w:type="dxa"/>
            <w:vMerge/>
          </w:tcPr>
          <w:p w14:paraId="10CBC704" w14:textId="77777777" w:rsidR="000B3F00" w:rsidRDefault="000B3F00">
            <w:pPr>
              <w:pStyle w:val="xLedtext"/>
            </w:pPr>
          </w:p>
        </w:tc>
        <w:tc>
          <w:tcPr>
            <w:tcW w:w="2850" w:type="dxa"/>
            <w:vAlign w:val="bottom"/>
          </w:tcPr>
          <w:p w14:paraId="749EA856" w14:textId="77777777" w:rsidR="000B3F00" w:rsidRDefault="000B3F00">
            <w:pPr>
              <w:pStyle w:val="xAvsandare1"/>
            </w:pPr>
            <w:r>
              <w:t>Ålands lagting</w:t>
            </w:r>
          </w:p>
        </w:tc>
        <w:tc>
          <w:tcPr>
            <w:tcW w:w="3530" w:type="dxa"/>
            <w:gridSpan w:val="2"/>
            <w:vAlign w:val="bottom"/>
          </w:tcPr>
          <w:p w14:paraId="05ACDAD0" w14:textId="597800EE" w:rsidR="000B3F00" w:rsidRDefault="00CB3110" w:rsidP="00552E06">
            <w:pPr>
              <w:pStyle w:val="xDokTypNr"/>
            </w:pPr>
            <w:r>
              <w:t xml:space="preserve">BUDGETMOTION nr </w:t>
            </w:r>
            <w:r w:rsidR="00707B1C">
              <w:t>45</w:t>
            </w:r>
            <w:r>
              <w:t>/20</w:t>
            </w:r>
            <w:r w:rsidR="00313559">
              <w:t>2</w:t>
            </w:r>
            <w:r w:rsidR="008A74CB">
              <w:t>5</w:t>
            </w:r>
            <w:r w:rsidR="47312E3B">
              <w:t>-20</w:t>
            </w:r>
            <w:r>
              <w:t>2</w:t>
            </w:r>
            <w:r w:rsidR="008A74CB">
              <w:t>6</w:t>
            </w:r>
          </w:p>
        </w:tc>
      </w:tr>
      <w:tr w:rsidR="000B3F00" w14:paraId="6FA44711" w14:textId="77777777" w:rsidTr="47312E3B">
        <w:trPr>
          <w:cantSplit/>
          <w:trHeight w:val="238"/>
        </w:trPr>
        <w:tc>
          <w:tcPr>
            <w:tcW w:w="851" w:type="dxa"/>
            <w:vMerge/>
          </w:tcPr>
          <w:p w14:paraId="376D9F87" w14:textId="77777777" w:rsidR="000B3F00" w:rsidRDefault="000B3F00">
            <w:pPr>
              <w:pStyle w:val="xLedtext"/>
            </w:pPr>
          </w:p>
        </w:tc>
        <w:tc>
          <w:tcPr>
            <w:tcW w:w="2850" w:type="dxa"/>
            <w:vAlign w:val="bottom"/>
          </w:tcPr>
          <w:p w14:paraId="038DC1B5" w14:textId="77777777" w:rsidR="000B3F00" w:rsidRDefault="000B3F00">
            <w:pPr>
              <w:pStyle w:val="xLedtext"/>
            </w:pPr>
            <w:r>
              <w:t xml:space="preserve">Lagtingsledamot </w:t>
            </w:r>
          </w:p>
        </w:tc>
        <w:tc>
          <w:tcPr>
            <w:tcW w:w="1204" w:type="dxa"/>
            <w:vAlign w:val="bottom"/>
          </w:tcPr>
          <w:p w14:paraId="704CF10D" w14:textId="77777777" w:rsidR="000B3F00" w:rsidRDefault="000B3F00">
            <w:pPr>
              <w:pStyle w:val="xLedtext"/>
            </w:pPr>
            <w:r>
              <w:t>Datum</w:t>
            </w:r>
          </w:p>
        </w:tc>
        <w:tc>
          <w:tcPr>
            <w:tcW w:w="2326" w:type="dxa"/>
            <w:vAlign w:val="bottom"/>
          </w:tcPr>
          <w:p w14:paraId="52C877AF" w14:textId="77777777" w:rsidR="000B3F00" w:rsidRDefault="000B3F00">
            <w:pPr>
              <w:pStyle w:val="xLedtext"/>
            </w:pPr>
          </w:p>
        </w:tc>
      </w:tr>
      <w:tr w:rsidR="000B3F00" w14:paraId="60F4C84E" w14:textId="77777777" w:rsidTr="47312E3B">
        <w:trPr>
          <w:cantSplit/>
          <w:trHeight w:val="238"/>
        </w:trPr>
        <w:tc>
          <w:tcPr>
            <w:tcW w:w="851" w:type="dxa"/>
            <w:vMerge/>
          </w:tcPr>
          <w:p w14:paraId="0C4756DB" w14:textId="77777777" w:rsidR="000B3F00" w:rsidRDefault="000B3F00">
            <w:pPr>
              <w:pStyle w:val="xAvsandare2"/>
            </w:pPr>
          </w:p>
        </w:tc>
        <w:tc>
          <w:tcPr>
            <w:tcW w:w="2850" w:type="dxa"/>
            <w:vAlign w:val="center"/>
          </w:tcPr>
          <w:p w14:paraId="27DBD6D1" w14:textId="77777777" w:rsidR="000B3F00" w:rsidRDefault="001F13E2">
            <w:pPr>
              <w:pStyle w:val="xAvsandare2"/>
            </w:pPr>
            <w:r w:rsidRPr="001F13E2">
              <w:t>Wille Valve</w:t>
            </w:r>
          </w:p>
        </w:tc>
        <w:tc>
          <w:tcPr>
            <w:tcW w:w="1204" w:type="dxa"/>
            <w:vAlign w:val="center"/>
          </w:tcPr>
          <w:p w14:paraId="37CCDFCD" w14:textId="77777777" w:rsidR="000B3F00" w:rsidRDefault="00962677" w:rsidP="0012085E">
            <w:pPr>
              <w:pStyle w:val="xDatum1"/>
            </w:pPr>
            <w:r w:rsidRPr="00962677">
              <w:t>2025-11-10</w:t>
            </w:r>
          </w:p>
        </w:tc>
        <w:tc>
          <w:tcPr>
            <w:tcW w:w="2326" w:type="dxa"/>
            <w:vAlign w:val="center"/>
          </w:tcPr>
          <w:p w14:paraId="49B28713" w14:textId="77777777" w:rsidR="000B3F00" w:rsidRDefault="000B3F00">
            <w:pPr>
              <w:pStyle w:val="xBeteckning1"/>
            </w:pPr>
          </w:p>
        </w:tc>
      </w:tr>
      <w:tr w:rsidR="000B3F00" w14:paraId="70BDFFB5" w14:textId="77777777" w:rsidTr="47312E3B">
        <w:trPr>
          <w:cantSplit/>
          <w:trHeight w:val="238"/>
        </w:trPr>
        <w:tc>
          <w:tcPr>
            <w:tcW w:w="851" w:type="dxa"/>
            <w:vMerge/>
          </w:tcPr>
          <w:p w14:paraId="29B54176" w14:textId="77777777" w:rsidR="000B3F00" w:rsidRDefault="000B3F00">
            <w:pPr>
              <w:pStyle w:val="xLedtext"/>
            </w:pPr>
          </w:p>
        </w:tc>
        <w:tc>
          <w:tcPr>
            <w:tcW w:w="2850" w:type="dxa"/>
            <w:vAlign w:val="bottom"/>
          </w:tcPr>
          <w:p w14:paraId="299D1FA4" w14:textId="77777777" w:rsidR="000B3F00" w:rsidRDefault="000B3F00">
            <w:pPr>
              <w:pStyle w:val="xLedtext"/>
            </w:pPr>
          </w:p>
        </w:tc>
        <w:tc>
          <w:tcPr>
            <w:tcW w:w="1204" w:type="dxa"/>
            <w:vAlign w:val="bottom"/>
          </w:tcPr>
          <w:p w14:paraId="0BD38CE8" w14:textId="77777777" w:rsidR="000B3F00" w:rsidRDefault="000B3F00">
            <w:pPr>
              <w:pStyle w:val="xLedtext"/>
            </w:pPr>
          </w:p>
        </w:tc>
        <w:tc>
          <w:tcPr>
            <w:tcW w:w="2326" w:type="dxa"/>
            <w:vAlign w:val="bottom"/>
          </w:tcPr>
          <w:p w14:paraId="4DD147D8" w14:textId="77777777" w:rsidR="000B3F00" w:rsidRDefault="000B3F00">
            <w:pPr>
              <w:pStyle w:val="xLedtext"/>
            </w:pPr>
          </w:p>
        </w:tc>
      </w:tr>
      <w:tr w:rsidR="000B3F00" w14:paraId="09D6DDC8" w14:textId="77777777" w:rsidTr="47312E3B">
        <w:trPr>
          <w:cantSplit/>
          <w:trHeight w:val="238"/>
        </w:trPr>
        <w:tc>
          <w:tcPr>
            <w:tcW w:w="851" w:type="dxa"/>
            <w:vMerge/>
            <w:tcBorders>
              <w:bottom w:val="single" w:sz="4" w:space="0" w:color="auto"/>
            </w:tcBorders>
          </w:tcPr>
          <w:p w14:paraId="4407C594" w14:textId="77777777" w:rsidR="000B3F00" w:rsidRDefault="000B3F00">
            <w:pPr>
              <w:pStyle w:val="xAvsandare3"/>
            </w:pPr>
          </w:p>
        </w:tc>
        <w:tc>
          <w:tcPr>
            <w:tcW w:w="2850" w:type="dxa"/>
            <w:tcBorders>
              <w:bottom w:val="single" w:sz="4" w:space="0" w:color="auto"/>
            </w:tcBorders>
            <w:vAlign w:val="center"/>
          </w:tcPr>
          <w:p w14:paraId="79339E4C" w14:textId="77777777" w:rsidR="000B3F00" w:rsidRDefault="000B3F00">
            <w:pPr>
              <w:pStyle w:val="xAvsandare3"/>
            </w:pPr>
          </w:p>
        </w:tc>
        <w:tc>
          <w:tcPr>
            <w:tcW w:w="1204" w:type="dxa"/>
            <w:tcBorders>
              <w:bottom w:val="single" w:sz="4" w:space="0" w:color="auto"/>
            </w:tcBorders>
            <w:vAlign w:val="center"/>
          </w:tcPr>
          <w:p w14:paraId="4C4CBA27" w14:textId="77777777" w:rsidR="000B3F00" w:rsidRDefault="000B3F00">
            <w:pPr>
              <w:pStyle w:val="xDatum2"/>
            </w:pPr>
          </w:p>
        </w:tc>
        <w:tc>
          <w:tcPr>
            <w:tcW w:w="2326" w:type="dxa"/>
            <w:tcBorders>
              <w:bottom w:val="single" w:sz="4" w:space="0" w:color="auto"/>
            </w:tcBorders>
            <w:vAlign w:val="center"/>
          </w:tcPr>
          <w:p w14:paraId="368E3D6A" w14:textId="77777777" w:rsidR="000B3F00" w:rsidRDefault="000B3F00">
            <w:pPr>
              <w:pStyle w:val="xBeteckning2"/>
            </w:pPr>
          </w:p>
        </w:tc>
      </w:tr>
      <w:tr w:rsidR="000B3F00" w14:paraId="31376317" w14:textId="77777777" w:rsidTr="47312E3B">
        <w:trPr>
          <w:cantSplit/>
          <w:trHeight w:val="238"/>
        </w:trPr>
        <w:tc>
          <w:tcPr>
            <w:tcW w:w="851" w:type="dxa"/>
            <w:tcBorders>
              <w:top w:val="single" w:sz="4" w:space="0" w:color="auto"/>
            </w:tcBorders>
            <w:vAlign w:val="bottom"/>
          </w:tcPr>
          <w:p w14:paraId="13070612" w14:textId="77777777" w:rsidR="000B3F00" w:rsidRDefault="000B3F00">
            <w:pPr>
              <w:pStyle w:val="xLedtext"/>
            </w:pPr>
          </w:p>
        </w:tc>
        <w:tc>
          <w:tcPr>
            <w:tcW w:w="2850" w:type="dxa"/>
            <w:tcBorders>
              <w:top w:val="single" w:sz="4" w:space="0" w:color="auto"/>
            </w:tcBorders>
            <w:vAlign w:val="bottom"/>
          </w:tcPr>
          <w:p w14:paraId="0F808DCD" w14:textId="77777777" w:rsidR="000B3F00" w:rsidRDefault="000B3F00">
            <w:pPr>
              <w:pStyle w:val="xLedtext"/>
            </w:pPr>
          </w:p>
        </w:tc>
        <w:tc>
          <w:tcPr>
            <w:tcW w:w="3530" w:type="dxa"/>
            <w:gridSpan w:val="2"/>
            <w:tcBorders>
              <w:top w:val="single" w:sz="4" w:space="0" w:color="auto"/>
            </w:tcBorders>
            <w:vAlign w:val="bottom"/>
          </w:tcPr>
          <w:p w14:paraId="51CC99DC" w14:textId="77777777" w:rsidR="000B3F00" w:rsidRDefault="000B3F00">
            <w:pPr>
              <w:pStyle w:val="xLedtext"/>
            </w:pPr>
          </w:p>
        </w:tc>
      </w:tr>
      <w:tr w:rsidR="000B3F00" w14:paraId="55FE6FD1" w14:textId="77777777" w:rsidTr="47312E3B">
        <w:trPr>
          <w:cantSplit/>
          <w:trHeight w:val="238"/>
        </w:trPr>
        <w:tc>
          <w:tcPr>
            <w:tcW w:w="851" w:type="dxa"/>
          </w:tcPr>
          <w:p w14:paraId="34E13EDA" w14:textId="77777777" w:rsidR="000B3F00" w:rsidRDefault="000B3F00">
            <w:pPr>
              <w:pStyle w:val="xCelltext"/>
            </w:pPr>
          </w:p>
        </w:tc>
        <w:tc>
          <w:tcPr>
            <w:tcW w:w="2850" w:type="dxa"/>
            <w:vMerge w:val="restart"/>
          </w:tcPr>
          <w:p w14:paraId="4034EE56" w14:textId="77777777" w:rsidR="000B3F00" w:rsidRDefault="000B3F00">
            <w:pPr>
              <w:pStyle w:val="xMottagare1"/>
            </w:pPr>
            <w:r>
              <w:t>Till Ålands lagting</w:t>
            </w:r>
          </w:p>
        </w:tc>
        <w:tc>
          <w:tcPr>
            <w:tcW w:w="3530" w:type="dxa"/>
            <w:gridSpan w:val="2"/>
            <w:vMerge w:val="restart"/>
          </w:tcPr>
          <w:p w14:paraId="49A83B79" w14:textId="77777777" w:rsidR="000B3F00" w:rsidRDefault="000B3F00">
            <w:pPr>
              <w:pStyle w:val="xMottagare1"/>
              <w:tabs>
                <w:tab w:val="left" w:pos="2349"/>
              </w:tabs>
            </w:pPr>
          </w:p>
        </w:tc>
      </w:tr>
      <w:tr w:rsidR="000B3F00" w14:paraId="4D99F0F8" w14:textId="77777777" w:rsidTr="47312E3B">
        <w:trPr>
          <w:cantSplit/>
          <w:trHeight w:val="238"/>
        </w:trPr>
        <w:tc>
          <w:tcPr>
            <w:tcW w:w="851" w:type="dxa"/>
          </w:tcPr>
          <w:p w14:paraId="1D147D1E" w14:textId="77777777" w:rsidR="000B3F00" w:rsidRDefault="000B3F00">
            <w:pPr>
              <w:pStyle w:val="xCelltext"/>
            </w:pPr>
          </w:p>
        </w:tc>
        <w:tc>
          <w:tcPr>
            <w:tcW w:w="2850" w:type="dxa"/>
            <w:vMerge/>
            <w:vAlign w:val="center"/>
          </w:tcPr>
          <w:p w14:paraId="3610B9B9" w14:textId="77777777" w:rsidR="000B3F00" w:rsidRDefault="000B3F00">
            <w:pPr>
              <w:pStyle w:val="xCelltext"/>
            </w:pPr>
          </w:p>
        </w:tc>
        <w:tc>
          <w:tcPr>
            <w:tcW w:w="3530" w:type="dxa"/>
            <w:gridSpan w:val="2"/>
            <w:vMerge/>
            <w:vAlign w:val="center"/>
          </w:tcPr>
          <w:p w14:paraId="3AB1AF2C" w14:textId="77777777" w:rsidR="000B3F00" w:rsidRDefault="000B3F00">
            <w:pPr>
              <w:pStyle w:val="xCelltext"/>
            </w:pPr>
          </w:p>
        </w:tc>
      </w:tr>
      <w:tr w:rsidR="000B3F00" w14:paraId="6264332D" w14:textId="77777777" w:rsidTr="47312E3B">
        <w:trPr>
          <w:cantSplit/>
          <w:trHeight w:val="238"/>
        </w:trPr>
        <w:tc>
          <w:tcPr>
            <w:tcW w:w="851" w:type="dxa"/>
          </w:tcPr>
          <w:p w14:paraId="25BE2699" w14:textId="77777777" w:rsidR="000B3F00" w:rsidRDefault="000B3F00">
            <w:pPr>
              <w:pStyle w:val="xCelltext"/>
            </w:pPr>
          </w:p>
        </w:tc>
        <w:tc>
          <w:tcPr>
            <w:tcW w:w="2850" w:type="dxa"/>
            <w:vMerge/>
            <w:vAlign w:val="center"/>
          </w:tcPr>
          <w:p w14:paraId="0ADB8085" w14:textId="77777777" w:rsidR="000B3F00" w:rsidRDefault="000B3F00">
            <w:pPr>
              <w:pStyle w:val="xCelltext"/>
            </w:pPr>
          </w:p>
        </w:tc>
        <w:tc>
          <w:tcPr>
            <w:tcW w:w="3530" w:type="dxa"/>
            <w:gridSpan w:val="2"/>
            <w:vMerge/>
            <w:vAlign w:val="center"/>
          </w:tcPr>
          <w:p w14:paraId="21DE25FE" w14:textId="77777777" w:rsidR="000B3F00" w:rsidRDefault="000B3F00">
            <w:pPr>
              <w:pStyle w:val="xCelltext"/>
            </w:pPr>
          </w:p>
        </w:tc>
      </w:tr>
      <w:tr w:rsidR="000B3F00" w14:paraId="322AF4B3" w14:textId="77777777" w:rsidTr="47312E3B">
        <w:trPr>
          <w:cantSplit/>
          <w:trHeight w:val="238"/>
        </w:trPr>
        <w:tc>
          <w:tcPr>
            <w:tcW w:w="851" w:type="dxa"/>
          </w:tcPr>
          <w:p w14:paraId="390C1E23" w14:textId="77777777" w:rsidR="000B3F00" w:rsidRDefault="000B3F00">
            <w:pPr>
              <w:pStyle w:val="xCelltext"/>
            </w:pPr>
          </w:p>
        </w:tc>
        <w:tc>
          <w:tcPr>
            <w:tcW w:w="2850" w:type="dxa"/>
            <w:vMerge/>
            <w:vAlign w:val="center"/>
          </w:tcPr>
          <w:p w14:paraId="20ED07EC" w14:textId="77777777" w:rsidR="000B3F00" w:rsidRDefault="000B3F00">
            <w:pPr>
              <w:pStyle w:val="xCelltext"/>
            </w:pPr>
          </w:p>
        </w:tc>
        <w:tc>
          <w:tcPr>
            <w:tcW w:w="3530" w:type="dxa"/>
            <w:gridSpan w:val="2"/>
            <w:vMerge/>
            <w:vAlign w:val="center"/>
          </w:tcPr>
          <w:p w14:paraId="4055AF18" w14:textId="77777777" w:rsidR="000B3F00" w:rsidRDefault="000B3F00">
            <w:pPr>
              <w:pStyle w:val="xCelltext"/>
            </w:pPr>
          </w:p>
        </w:tc>
      </w:tr>
      <w:tr w:rsidR="000B3F00" w14:paraId="72B3176B" w14:textId="77777777" w:rsidTr="47312E3B">
        <w:trPr>
          <w:cantSplit/>
          <w:trHeight w:val="238"/>
        </w:trPr>
        <w:tc>
          <w:tcPr>
            <w:tcW w:w="851" w:type="dxa"/>
          </w:tcPr>
          <w:p w14:paraId="34FA4DB8" w14:textId="77777777" w:rsidR="000B3F00" w:rsidRDefault="000B3F00">
            <w:pPr>
              <w:pStyle w:val="xCelltext"/>
            </w:pPr>
          </w:p>
        </w:tc>
        <w:tc>
          <w:tcPr>
            <w:tcW w:w="2850" w:type="dxa"/>
            <w:vMerge/>
            <w:vAlign w:val="center"/>
          </w:tcPr>
          <w:p w14:paraId="01846BC2" w14:textId="77777777" w:rsidR="000B3F00" w:rsidRDefault="000B3F00">
            <w:pPr>
              <w:pStyle w:val="xCelltext"/>
            </w:pPr>
          </w:p>
        </w:tc>
        <w:tc>
          <w:tcPr>
            <w:tcW w:w="3530" w:type="dxa"/>
            <w:gridSpan w:val="2"/>
            <w:vMerge/>
            <w:vAlign w:val="center"/>
          </w:tcPr>
          <w:p w14:paraId="502691C5" w14:textId="77777777" w:rsidR="000B3F00" w:rsidRDefault="000B3F00">
            <w:pPr>
              <w:pStyle w:val="xCelltext"/>
            </w:pPr>
          </w:p>
        </w:tc>
      </w:tr>
    </w:tbl>
    <w:p w14:paraId="5B965BE8" w14:textId="77777777" w:rsidR="000B3F00" w:rsidRDefault="00B13082">
      <w:pPr>
        <w:pStyle w:val="ANormal"/>
      </w:pPr>
      <w:r>
        <w:rPr>
          <w:rFonts w:ascii="Arial" w:hAnsi="Arial" w:cs="Arial"/>
          <w:b/>
          <w:bCs/>
          <w:sz w:val="26"/>
        </w:rPr>
        <w:t>Minska på Datainspektionens köpta tjänster</w:t>
      </w:r>
    </w:p>
    <w:p w14:paraId="3250ACD2" w14:textId="77777777" w:rsidR="000B3F00" w:rsidRDefault="000B3F00">
      <w:pPr>
        <w:pStyle w:val="ANormal"/>
      </w:pPr>
    </w:p>
    <w:p w14:paraId="5C02D073" w14:textId="77777777" w:rsidR="006627DE" w:rsidRDefault="00B13082">
      <w:pPr>
        <w:pStyle w:val="ANormal"/>
      </w:pPr>
      <w:r>
        <w:t xml:space="preserve">I budgetförslaget ökar Datainspektionens anslag för köpta tjänster med 53% (från </w:t>
      </w:r>
      <w:proofErr w:type="gramStart"/>
      <w:r>
        <w:t>65192</w:t>
      </w:r>
      <w:proofErr w:type="gramEnd"/>
      <w:r>
        <w:t xml:space="preserve"> till </w:t>
      </w:r>
      <w:proofErr w:type="gramStart"/>
      <w:r>
        <w:t>99826</w:t>
      </w:r>
      <w:proofErr w:type="gramEnd"/>
      <w:r>
        <w:t xml:space="preserve"> euro) utan motivering för ökningen. I budgetmålen för myndigheten nämns "aktuell webbsida" och fortlöpande hantering av ärenden som motivering för den planerade ökningen av köpta tjänster. Detta är saker bör kunna hanteras inom ramen för ordinarie anslag.</w:t>
      </w:r>
    </w:p>
    <w:p w14:paraId="7303B5A6" w14:textId="77777777" w:rsidR="00054272" w:rsidRDefault="00054272">
      <w:pPr>
        <w:pStyle w:val="ANormal"/>
      </w:pPr>
    </w:p>
    <w:p w14:paraId="705C9464" w14:textId="77777777" w:rsidR="00054272" w:rsidRDefault="000C448F">
      <w:pPr>
        <w:pStyle w:val="ANormal"/>
      </w:pPr>
      <w:r>
        <w:t>Strykningen av köpta tjänster finansierar motionen för slopad avgift för näringsrätt.</w:t>
      </w:r>
    </w:p>
    <w:p w14:paraId="2AB5C088" w14:textId="77777777" w:rsidR="00054272" w:rsidRDefault="00054272">
      <w:pPr>
        <w:pStyle w:val="ANormal"/>
      </w:pPr>
    </w:p>
    <w:p w14:paraId="19A7F328" w14:textId="77777777" w:rsidR="00514927" w:rsidRDefault="00514927">
      <w:pPr>
        <w:pStyle w:val="ANormal"/>
        <w:rPr>
          <w:b/>
        </w:rPr>
      </w:pPr>
    </w:p>
    <w:p w14:paraId="5B27FF86" w14:textId="77777777" w:rsidR="00514927" w:rsidRDefault="00514927">
      <w:pPr>
        <w:pStyle w:val="ANormal"/>
        <w:rPr>
          <w:b/>
        </w:rPr>
      </w:pPr>
    </w:p>
    <w:p w14:paraId="2882A826" w14:textId="77777777" w:rsidR="006627DE" w:rsidRPr="009D5985" w:rsidRDefault="009D5985">
      <w:pPr>
        <w:pStyle w:val="ANormal"/>
        <w:rPr>
          <w:b/>
        </w:rPr>
      </w:pPr>
      <w:r w:rsidRPr="009D5985">
        <w:rPr>
          <w:b/>
        </w:rPr>
        <w:t>FÖRSLAG</w:t>
      </w:r>
    </w:p>
    <w:p w14:paraId="377985EF" w14:textId="77777777" w:rsidR="000B3F00" w:rsidRDefault="00BA6D77">
      <w:pPr>
        <w:pStyle w:val="ANormal"/>
      </w:pPr>
      <w:r>
        <w:tab/>
      </w:r>
    </w:p>
    <w:p w14:paraId="4C13EA48" w14:textId="77777777" w:rsidR="009D5985" w:rsidRDefault="00962677">
      <w:pPr>
        <w:pStyle w:val="Klam"/>
      </w:pPr>
      <w:r>
        <w:rPr>
          <w:b/>
        </w:rPr>
        <w:t xml:space="preserve"> </w:t>
      </w:r>
    </w:p>
    <w:p w14:paraId="330F986F" w14:textId="77777777" w:rsidR="00962677" w:rsidRDefault="00962677" w:rsidP="00962677">
      <w:pPr>
        <w:pStyle w:val="Klam"/>
        <w:rPr>
          <w:bCs/>
        </w:rPr>
      </w:pPr>
      <w:r w:rsidRPr="00962677">
        <w:rPr>
          <w:b/>
          <w:bCs/>
        </w:rPr>
        <w:t xml:space="preserve"> </w:t>
      </w:r>
    </w:p>
    <w:p w14:paraId="7857B0B7" w14:textId="77777777" w:rsidR="00962677" w:rsidRDefault="00962677" w:rsidP="00962677">
      <w:pPr>
        <w:pStyle w:val="Klam"/>
        <w:rPr>
          <w:bCs/>
        </w:rPr>
      </w:pPr>
    </w:p>
    <w:p w14:paraId="572346E1" w14:textId="77777777" w:rsidR="00962677" w:rsidRPr="000C448F" w:rsidRDefault="00962677" w:rsidP="00962677">
      <w:pPr>
        <w:pStyle w:val="Klam"/>
        <w:rPr>
          <w:lang w:val="sv-FI"/>
        </w:rPr>
      </w:pPr>
      <w:r w:rsidRPr="000C448F">
        <w:rPr>
          <w:b/>
          <w:lang w:val="sv-FI"/>
        </w:rPr>
        <w:t xml:space="preserve">Moment: </w:t>
      </w:r>
      <w:proofErr w:type="gramStart"/>
      <w:r w:rsidRPr="000C448F">
        <w:rPr>
          <w:lang w:val="sv-FI"/>
        </w:rPr>
        <w:t>82200</w:t>
      </w:r>
      <w:proofErr w:type="gramEnd"/>
      <w:r w:rsidRPr="000C448F">
        <w:rPr>
          <w:lang w:val="sv-FI"/>
        </w:rPr>
        <w:t xml:space="preserve"> Datainspektionen, verksamhet (RA)</w:t>
      </w:r>
    </w:p>
    <w:p w14:paraId="7F62FCE0" w14:textId="77777777" w:rsidR="00962677" w:rsidRDefault="00962677" w:rsidP="00962677">
      <w:pPr>
        <w:pStyle w:val="Klam"/>
        <w:rPr>
          <w:bCs/>
        </w:rPr>
      </w:pPr>
      <w:r w:rsidRPr="00962677">
        <w:rPr>
          <w:b/>
          <w:bCs/>
        </w:rPr>
        <w:t xml:space="preserve">Ändring av </w:t>
      </w:r>
      <w:proofErr w:type="spellStart"/>
      <w:proofErr w:type="gramStart"/>
      <w:r w:rsidRPr="00962677">
        <w:rPr>
          <w:b/>
          <w:bCs/>
        </w:rPr>
        <w:t>anslag:</w:t>
      </w:r>
      <w:r w:rsidRPr="00962677">
        <w:rPr>
          <w:bCs/>
        </w:rPr>
        <w:t>Sänks</w:t>
      </w:r>
      <w:proofErr w:type="spellEnd"/>
      <w:proofErr w:type="gramEnd"/>
      <w:r w:rsidRPr="00962677">
        <w:rPr>
          <w:bCs/>
        </w:rPr>
        <w:t xml:space="preserve"> med </w:t>
      </w:r>
      <w:proofErr w:type="gramStart"/>
      <w:r w:rsidRPr="00962677">
        <w:rPr>
          <w:bCs/>
        </w:rPr>
        <w:t>30.000</w:t>
      </w:r>
      <w:proofErr w:type="gramEnd"/>
    </w:p>
    <w:p w14:paraId="138C2719" w14:textId="77777777" w:rsidR="00962677" w:rsidRPr="000C448F" w:rsidRDefault="00962677" w:rsidP="00962677">
      <w:pPr>
        <w:pStyle w:val="Klam"/>
        <w:rPr>
          <w:bCs/>
          <w:lang w:val="sv-FI"/>
        </w:rPr>
      </w:pPr>
      <w:r w:rsidRPr="000C448F">
        <w:rPr>
          <w:b/>
          <w:bCs/>
          <w:lang w:val="sv-FI"/>
        </w:rPr>
        <w:t xml:space="preserve">Momentmotivering: </w:t>
      </w:r>
      <w:r w:rsidRPr="000C448F">
        <w:rPr>
          <w:bCs/>
          <w:lang w:val="sv-FI"/>
        </w:rPr>
        <w:t>Ny sista mening under utgifter:</w:t>
      </w:r>
    </w:p>
    <w:p w14:paraId="1D052B67" w14:textId="77777777" w:rsidR="000C448F" w:rsidRDefault="000C448F">
      <w:pPr>
        <w:pStyle w:val="ANormal"/>
      </w:pPr>
      <w:r>
        <w:tab/>
        <w:t xml:space="preserve">          Uppdatering av myndighetens hemsida och fortlöpande </w:t>
      </w:r>
    </w:p>
    <w:p w14:paraId="02C4982B" w14:textId="7BDDE42D" w:rsidR="00054272" w:rsidRDefault="000C448F">
      <w:pPr>
        <w:pStyle w:val="ANormal"/>
      </w:pPr>
      <w:r>
        <w:tab/>
        <w:t xml:space="preserve">          </w:t>
      </w:r>
      <w:proofErr w:type="spellStart"/>
      <w:r>
        <w:t>ärendehatering</w:t>
      </w:r>
      <w:proofErr w:type="spellEnd"/>
      <w:r>
        <w:t xml:space="preserve"> hanteras inom ramen för ordinarie verksamhet.</w:t>
      </w:r>
    </w:p>
    <w:p w14:paraId="4B0E51EF" w14:textId="77777777" w:rsidR="00962677" w:rsidRPr="000C448F" w:rsidRDefault="00962677" w:rsidP="00962677">
      <w:pPr>
        <w:pStyle w:val="Klam"/>
        <w:rPr>
          <w:b/>
          <w:bCs/>
        </w:rPr>
      </w:pPr>
    </w:p>
    <w:p w14:paraId="7F6A0D06" w14:textId="77777777" w:rsidR="000B3F00" w:rsidRPr="000C448F" w:rsidRDefault="000B3F00">
      <w:pPr>
        <w:pStyle w:val="ANormal"/>
        <w:rPr>
          <w:lang w:val="sv-FI"/>
        </w:rPr>
      </w:pPr>
    </w:p>
    <w:p w14:paraId="22828FCD" w14:textId="77777777" w:rsidR="00CC2901" w:rsidRPr="000C448F" w:rsidRDefault="00CC2901" w:rsidP="00CC2901">
      <w:pPr>
        <w:pStyle w:val="ANormal"/>
        <w:rPr>
          <w:lang w:val="sv-FI"/>
        </w:rPr>
      </w:pPr>
      <w:r w:rsidRPr="000C448F">
        <w:rPr>
          <w:lang w:val="sv-FI"/>
        </w:rPr>
        <w:t>Mariehamn den 10 november 2025</w:t>
      </w:r>
    </w:p>
    <w:p w14:paraId="05D35F41" w14:textId="77777777" w:rsidR="000B3F00" w:rsidRPr="000C448F" w:rsidRDefault="000B3F00">
      <w:pPr>
        <w:pStyle w:val="ANormal"/>
        <w:rPr>
          <w:lang w:val="sv-FI"/>
        </w:rPr>
      </w:pPr>
    </w:p>
    <w:p w14:paraId="18F9E16F" w14:textId="77777777" w:rsidR="00CC2901" w:rsidRPr="000C448F" w:rsidRDefault="00CC2901">
      <w:pPr>
        <w:pStyle w:val="ANormal"/>
        <w:rPr>
          <w:lang w:val="sv-FI"/>
        </w:rPr>
      </w:pPr>
    </w:p>
    <w:p w14:paraId="454A283B" w14:textId="77777777" w:rsidR="000B3F00" w:rsidRPr="000C448F" w:rsidRDefault="000B3F00" w:rsidP="006A6188">
      <w:pPr>
        <w:pStyle w:val="ANormal"/>
        <w:rPr>
          <w:lang w:val="sv-FI"/>
        </w:rPr>
      </w:pPr>
    </w:p>
    <w:p w14:paraId="59885B98" w14:textId="0BC4EE4E" w:rsidR="00054272" w:rsidRDefault="00CC2901">
      <w:pPr>
        <w:pStyle w:val="ANormal"/>
      </w:pPr>
      <w:r w:rsidRPr="001F13E2">
        <w:t>Wille Valve</w:t>
      </w:r>
      <w:r w:rsidR="000C448F">
        <w:tab/>
      </w:r>
      <w:r w:rsidR="000C448F">
        <w:tab/>
      </w:r>
      <w:r w:rsidR="000C448F">
        <w:tab/>
        <w:t>Anders Holmberg</w:t>
      </w:r>
    </w:p>
    <w:p w14:paraId="43F23F0A" w14:textId="77777777" w:rsidR="000C448F" w:rsidRDefault="000C448F">
      <w:pPr>
        <w:pStyle w:val="ANormal"/>
      </w:pPr>
    </w:p>
    <w:p w14:paraId="4116F897" w14:textId="77777777" w:rsidR="000C448F" w:rsidRDefault="000C448F">
      <w:pPr>
        <w:pStyle w:val="ANormal"/>
      </w:pPr>
    </w:p>
    <w:p w14:paraId="51AC7AD4" w14:textId="77777777" w:rsidR="000C448F" w:rsidRDefault="000C448F">
      <w:pPr>
        <w:pStyle w:val="ANormal"/>
      </w:pPr>
    </w:p>
    <w:p w14:paraId="18575C15" w14:textId="77777777" w:rsidR="000C448F" w:rsidRDefault="000C448F">
      <w:pPr>
        <w:pStyle w:val="ANormal"/>
      </w:pPr>
    </w:p>
    <w:p w14:paraId="1F52A809" w14:textId="6947A58A" w:rsidR="00054272" w:rsidRDefault="000C448F">
      <w:pPr>
        <w:pStyle w:val="ANormal"/>
      </w:pPr>
      <w:r>
        <w:t>Annette Holmberg-Jansson</w:t>
      </w:r>
      <w:r>
        <w:tab/>
      </w:r>
      <w:r>
        <w:tab/>
        <w:t>Mika Nordberg</w:t>
      </w:r>
    </w:p>
    <w:sectPr w:rsidR="00054272">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523A" w14:textId="77777777" w:rsidR="008C07FA" w:rsidRDefault="008C07FA">
      <w:r>
        <w:separator/>
      </w:r>
    </w:p>
  </w:endnote>
  <w:endnote w:type="continuationSeparator" w:id="0">
    <w:p w14:paraId="2569F9BD"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44AB"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B49C" w14:textId="77777777" w:rsidR="008C07FA" w:rsidRDefault="008C07FA">
      <w:r>
        <w:separator/>
      </w:r>
    </w:p>
  </w:footnote>
  <w:footnote w:type="continuationSeparator" w:id="0">
    <w:p w14:paraId="0689FF9A"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D21F"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3A8DD816"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3E4B"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54272"/>
    <w:rsid w:val="000B3F00"/>
    <w:rsid w:val="000C448F"/>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A6188"/>
    <w:rsid w:val="006C3C1B"/>
    <w:rsid w:val="006E58C9"/>
    <w:rsid w:val="006F4084"/>
    <w:rsid w:val="00707B1C"/>
    <w:rsid w:val="007966EF"/>
    <w:rsid w:val="007A3954"/>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5DE814"/>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Props1.xml><?xml version="1.0" encoding="utf-8"?>
<ds:datastoreItem xmlns:ds="http://schemas.openxmlformats.org/officeDocument/2006/customXml" ds:itemID="{5B80415E-01EA-4C3E-82C7-27403D2C850A}">
  <ds:schemaRefs>
    <ds:schemaRef ds:uri="http://schemas.microsoft.com/sharepoint/v3/contenttype/forms"/>
  </ds:schemaRefs>
</ds:datastoreItem>
</file>

<file path=customXml/itemProps2.xml><?xml version="1.0" encoding="utf-8"?>
<ds:datastoreItem xmlns:ds="http://schemas.openxmlformats.org/officeDocument/2006/customXml" ds:itemID="{0B467509-D5B9-4FA2-ACDB-390A444D6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2BEBE-2DE8-476A-B2C8-E52380B43E34}">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915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45/2025-2026</dc:title>
  <dc:creator>Lagtinget</dc:creator>
  <cp:lastModifiedBy>Jessica Laaksonen</cp:lastModifiedBy>
  <cp:revision>2</cp:revision>
  <cp:lastPrinted>2016-09-02T07:38:00Z</cp:lastPrinted>
  <dcterms:created xsi:type="dcterms:W3CDTF">2025-11-11T11:30:00Z</dcterms:created>
  <dcterms:modified xsi:type="dcterms:W3CDTF">2025-11-11T11:30:00Z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ies>
</file>