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707309E2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014AED9A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284D9A10" wp14:editId="441C2464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3289EDC2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06ACDC3C" wp14:editId="30899D59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13FE444D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084F29B7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5FFFFE10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7AC28892" w14:textId="52E7896A" w:rsidR="000B3F00" w:rsidRDefault="00CB3110" w:rsidP="00552E06">
            <w:pPr>
              <w:pStyle w:val="xDokTypNr"/>
            </w:pPr>
            <w:r>
              <w:t xml:space="preserve">BUDGETMOTION nr   </w:t>
            </w:r>
            <w:r w:rsidR="002C56DE">
              <w:t>36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7FF6E2F2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1C8EE9CF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31AC67A4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3E10D652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26FAD62A" w14:textId="77777777" w:rsidR="000B3F00" w:rsidRDefault="000B3F00">
            <w:pPr>
              <w:pStyle w:val="xLedtext"/>
            </w:pPr>
          </w:p>
        </w:tc>
      </w:tr>
      <w:tr w:rsidR="000B3F00" w14:paraId="46E40956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3D6D4803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24707CB9" w14:textId="77777777" w:rsidR="000B3F00" w:rsidRDefault="001F13E2">
            <w:pPr>
              <w:pStyle w:val="xAvsandare2"/>
            </w:pPr>
            <w:r w:rsidRPr="001F13E2">
              <w:t>Annette Holmberg-Jansson</w:t>
            </w:r>
          </w:p>
        </w:tc>
        <w:tc>
          <w:tcPr>
            <w:tcW w:w="1204" w:type="dxa"/>
            <w:vAlign w:val="center"/>
          </w:tcPr>
          <w:p w14:paraId="0A6D92B0" w14:textId="4C7CB511" w:rsidR="000B3F00" w:rsidRDefault="00962677" w:rsidP="0012085E">
            <w:pPr>
              <w:pStyle w:val="xDatum1"/>
            </w:pPr>
            <w:r w:rsidRPr="00962677">
              <w:t>2025-11-</w:t>
            </w:r>
            <w:r w:rsidR="00840BB5">
              <w:t>10</w:t>
            </w:r>
          </w:p>
        </w:tc>
        <w:tc>
          <w:tcPr>
            <w:tcW w:w="2326" w:type="dxa"/>
            <w:vAlign w:val="center"/>
          </w:tcPr>
          <w:p w14:paraId="28A1165F" w14:textId="77777777" w:rsidR="000B3F00" w:rsidRDefault="000B3F00">
            <w:pPr>
              <w:pStyle w:val="xBeteckning1"/>
            </w:pPr>
          </w:p>
        </w:tc>
      </w:tr>
      <w:tr w:rsidR="000B3F00" w14:paraId="19E88494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35470561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0A62B9D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01E3E38E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1E9D76F0" w14:textId="77777777" w:rsidR="000B3F00" w:rsidRDefault="000B3F00">
            <w:pPr>
              <w:pStyle w:val="xLedtext"/>
            </w:pPr>
          </w:p>
        </w:tc>
      </w:tr>
      <w:tr w:rsidR="000B3F00" w14:paraId="4EE3CDBE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832F37B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25B35904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6C6AA76F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52A63FA0" w14:textId="77777777" w:rsidR="000B3F00" w:rsidRDefault="000B3F00">
            <w:pPr>
              <w:pStyle w:val="xBeteckning2"/>
            </w:pPr>
          </w:p>
        </w:tc>
      </w:tr>
      <w:tr w:rsidR="000B3F00" w14:paraId="0839CF87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1458CC17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2D9A4E92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13C50412" w14:textId="77777777" w:rsidR="000B3F00" w:rsidRDefault="000B3F00">
            <w:pPr>
              <w:pStyle w:val="xLedtext"/>
            </w:pPr>
          </w:p>
        </w:tc>
      </w:tr>
      <w:tr w:rsidR="000B3F00" w14:paraId="20D1204E" w14:textId="77777777" w:rsidTr="47312E3B">
        <w:trPr>
          <w:cantSplit/>
          <w:trHeight w:val="238"/>
        </w:trPr>
        <w:tc>
          <w:tcPr>
            <w:tcW w:w="851" w:type="dxa"/>
          </w:tcPr>
          <w:p w14:paraId="2CDB2F3B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6FAFC552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4531C14A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5EF6953E" w14:textId="77777777" w:rsidTr="47312E3B">
        <w:trPr>
          <w:cantSplit/>
          <w:trHeight w:val="238"/>
        </w:trPr>
        <w:tc>
          <w:tcPr>
            <w:tcW w:w="851" w:type="dxa"/>
          </w:tcPr>
          <w:p w14:paraId="11D123CF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F577D04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A63BA7F" w14:textId="77777777" w:rsidR="000B3F00" w:rsidRDefault="000B3F00">
            <w:pPr>
              <w:pStyle w:val="xCelltext"/>
            </w:pPr>
          </w:p>
        </w:tc>
      </w:tr>
      <w:tr w:rsidR="000B3F00" w14:paraId="3EB46BD6" w14:textId="77777777" w:rsidTr="47312E3B">
        <w:trPr>
          <w:cantSplit/>
          <w:trHeight w:val="238"/>
        </w:trPr>
        <w:tc>
          <w:tcPr>
            <w:tcW w:w="851" w:type="dxa"/>
          </w:tcPr>
          <w:p w14:paraId="34C85626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049DB57E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1485367" w14:textId="77777777" w:rsidR="000B3F00" w:rsidRDefault="000B3F00">
            <w:pPr>
              <w:pStyle w:val="xCelltext"/>
            </w:pPr>
          </w:p>
        </w:tc>
      </w:tr>
      <w:tr w:rsidR="000B3F00" w14:paraId="3CFCDFCF" w14:textId="77777777" w:rsidTr="47312E3B">
        <w:trPr>
          <w:cantSplit/>
          <w:trHeight w:val="238"/>
        </w:trPr>
        <w:tc>
          <w:tcPr>
            <w:tcW w:w="851" w:type="dxa"/>
          </w:tcPr>
          <w:p w14:paraId="2A99CD48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9650325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633680ED" w14:textId="77777777" w:rsidR="000B3F00" w:rsidRDefault="000B3F00">
            <w:pPr>
              <w:pStyle w:val="xCelltext"/>
            </w:pPr>
          </w:p>
        </w:tc>
      </w:tr>
      <w:tr w:rsidR="000B3F00" w14:paraId="03C617F0" w14:textId="77777777" w:rsidTr="47312E3B">
        <w:trPr>
          <w:cantSplit/>
          <w:trHeight w:val="238"/>
        </w:trPr>
        <w:tc>
          <w:tcPr>
            <w:tcW w:w="851" w:type="dxa"/>
          </w:tcPr>
          <w:p w14:paraId="4C22EEA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73295593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13C4E65C" w14:textId="77777777" w:rsidR="000B3F00" w:rsidRDefault="000B3F00">
            <w:pPr>
              <w:pStyle w:val="xCelltext"/>
            </w:pPr>
          </w:p>
        </w:tc>
      </w:tr>
    </w:tbl>
    <w:p w14:paraId="619114B9" w14:textId="22D5222D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 xml:space="preserve">Jobbspår Åland </w:t>
      </w:r>
    </w:p>
    <w:p w14:paraId="15D4E270" w14:textId="77777777" w:rsidR="000B3F00" w:rsidRDefault="000B3F00">
      <w:pPr>
        <w:pStyle w:val="ANormal"/>
      </w:pPr>
    </w:p>
    <w:p w14:paraId="22FFA560" w14:textId="77777777" w:rsidR="006627DE" w:rsidRDefault="00B13082">
      <w:pPr>
        <w:pStyle w:val="ANormal"/>
      </w:pPr>
      <w:r>
        <w:t>Arbetskraftsbristen är numera ett av Ålands växande hinder för tillväxt.</w:t>
      </w:r>
    </w:p>
    <w:p w14:paraId="447820AD" w14:textId="1A9F5345" w:rsidR="00D70D13" w:rsidRDefault="002C56DE">
      <w:pPr>
        <w:pStyle w:val="ANormal"/>
      </w:pPr>
      <w:r>
        <w:t>Företag inom bygg, teknik, vård, energi och turism söker personal, samtidigt som många unga står utan jobb eller vet inte vilken väg de ska välja.</w:t>
      </w:r>
    </w:p>
    <w:p w14:paraId="4F8A6DA8" w14:textId="77777777" w:rsidR="00D70D13" w:rsidRDefault="002C56DE">
      <w:pPr>
        <w:pStyle w:val="ANormal"/>
      </w:pPr>
      <w:r>
        <w:t>Vi har kunskapen, engagemanget och företagen, nu behöver vi bara knyta ihop dem bättre.</w:t>
      </w:r>
    </w:p>
    <w:p w14:paraId="0C9D9396" w14:textId="77777777" w:rsidR="00D70D13" w:rsidRDefault="002C56DE">
      <w:pPr>
        <w:pStyle w:val="ANormal"/>
      </w:pPr>
      <w:r>
        <w:t>För att korta vägen från utbildning till arbete föreslås att landskapsregeringen startar Jobbspår Åland, ett gemensamt initiativ mellan AMS, Ålands gymnasium, Högskolan på Åland och det åländska näringslivet.</w:t>
      </w:r>
    </w:p>
    <w:p w14:paraId="143394E5" w14:textId="77777777" w:rsidR="00D70D13" w:rsidRDefault="00D70D13">
      <w:pPr>
        <w:pStyle w:val="ANormal"/>
      </w:pPr>
    </w:p>
    <w:p w14:paraId="19E3DFE6" w14:textId="14D1485B" w:rsidR="00D70D13" w:rsidRDefault="002C56DE">
      <w:pPr>
        <w:pStyle w:val="ANormal"/>
      </w:pPr>
      <w:r>
        <w:t>Syftet är att se om det går att göra snabbspår till arbete inom bristyrken, genom korta utbildnings</w:t>
      </w:r>
      <w:r w:rsidR="00F5209B">
        <w:t>spår</w:t>
      </w:r>
      <w:r>
        <w:t xml:space="preserve"> och lärlingsp</w:t>
      </w:r>
      <w:r w:rsidR="00F5209B">
        <w:t xml:space="preserve">raktikplatser </w:t>
      </w:r>
      <w:r>
        <w:t>som kombinerar teori och praktik.</w:t>
      </w:r>
      <w:r w:rsidR="00F5209B">
        <w:t xml:space="preserve"> </w:t>
      </w:r>
    </w:p>
    <w:p w14:paraId="4080EC1E" w14:textId="77777777" w:rsidR="00F5209B" w:rsidRDefault="00F5209B">
      <w:pPr>
        <w:pStyle w:val="ANormal"/>
      </w:pPr>
    </w:p>
    <w:p w14:paraId="561131B3" w14:textId="72570F57" w:rsidR="00D70D13" w:rsidRDefault="002C56DE">
      <w:pPr>
        <w:pStyle w:val="ANormal"/>
      </w:pPr>
      <w:r>
        <w:t xml:space="preserve">För vuxna kan det handla om möjligheten att byta yrkesbana utan att behöva börja om från början, och för unga </w:t>
      </w:r>
      <w:r w:rsidR="00F5209B">
        <w:t>en möjlighet till jobb</w:t>
      </w:r>
      <w:r>
        <w:t>.</w:t>
      </w:r>
    </w:p>
    <w:p w14:paraId="6CAC943D" w14:textId="7BEFB373" w:rsidR="00D70D13" w:rsidRDefault="002C56DE">
      <w:pPr>
        <w:pStyle w:val="ANormal"/>
      </w:pPr>
      <w:r>
        <w:t xml:space="preserve">Jobbspår Åland kan utgå från de branscher där arbetskraftsbehovet är störst och byggas upp stegvis i nära samarbete med </w:t>
      </w:r>
      <w:r w:rsidR="00F5209B">
        <w:t xml:space="preserve">det åländska näringslivet och </w:t>
      </w:r>
      <w:r>
        <w:t>arbetsgivarna.</w:t>
      </w:r>
    </w:p>
    <w:p w14:paraId="2A1A6DEE" w14:textId="77777777" w:rsidR="00522A7B" w:rsidRDefault="00522A7B">
      <w:pPr>
        <w:pStyle w:val="ANormal"/>
      </w:pPr>
    </w:p>
    <w:p w14:paraId="62ACBBD7" w14:textId="77777777" w:rsidR="00514927" w:rsidRDefault="00514927">
      <w:pPr>
        <w:pStyle w:val="ANormal"/>
        <w:rPr>
          <w:b/>
        </w:rPr>
      </w:pPr>
    </w:p>
    <w:p w14:paraId="17AF140E" w14:textId="77777777" w:rsidR="00514927" w:rsidRDefault="00514927">
      <w:pPr>
        <w:pStyle w:val="ANormal"/>
        <w:rPr>
          <w:b/>
        </w:rPr>
      </w:pPr>
    </w:p>
    <w:p w14:paraId="32A1149C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68A06F00" w14:textId="77777777" w:rsidR="000B3F00" w:rsidRDefault="00BA6D77">
      <w:pPr>
        <w:pStyle w:val="ANormal"/>
      </w:pPr>
      <w:r>
        <w:tab/>
      </w:r>
    </w:p>
    <w:p w14:paraId="6DCF3408" w14:textId="77777777" w:rsidR="009D5985" w:rsidRDefault="00962677">
      <w:pPr>
        <w:pStyle w:val="Klam"/>
      </w:pPr>
      <w:r>
        <w:rPr>
          <w:b/>
        </w:rPr>
        <w:t xml:space="preserve"> </w:t>
      </w:r>
    </w:p>
    <w:p w14:paraId="410BF95D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 xml:space="preserve"> </w:t>
      </w:r>
    </w:p>
    <w:p w14:paraId="036A3257" w14:textId="77777777" w:rsidR="00962677" w:rsidRDefault="00962677" w:rsidP="00962677">
      <w:pPr>
        <w:pStyle w:val="Klam"/>
        <w:rPr>
          <w:bCs/>
        </w:rPr>
      </w:pPr>
    </w:p>
    <w:p w14:paraId="1C19E702" w14:textId="77777777" w:rsidR="00962677" w:rsidRPr="008A57D3" w:rsidRDefault="00962677" w:rsidP="00962677">
      <w:pPr>
        <w:pStyle w:val="Klam"/>
        <w:rPr>
          <w:lang w:val="sv-FI"/>
        </w:rPr>
      </w:pPr>
      <w:r w:rsidRPr="008A57D3">
        <w:rPr>
          <w:b/>
          <w:lang w:val="sv-FI"/>
        </w:rPr>
        <w:t xml:space="preserve">Moment: </w:t>
      </w:r>
      <w:proofErr w:type="gramStart"/>
      <w:r w:rsidRPr="008A57D3">
        <w:rPr>
          <w:lang w:val="sv-FI"/>
        </w:rPr>
        <w:t>86000</w:t>
      </w:r>
      <w:proofErr w:type="gramEnd"/>
    </w:p>
    <w:p w14:paraId="28C0026F" w14:textId="67D6A600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>Ändring av anslag:</w:t>
      </w:r>
      <w:r w:rsidR="00F5209B">
        <w:rPr>
          <w:b/>
          <w:bCs/>
        </w:rPr>
        <w:t xml:space="preserve"> </w:t>
      </w:r>
      <w:r w:rsidRPr="00962677">
        <w:rPr>
          <w:bCs/>
        </w:rPr>
        <w:t>+</w:t>
      </w:r>
      <w:proofErr w:type="gramStart"/>
      <w:r w:rsidRPr="00962677">
        <w:rPr>
          <w:bCs/>
        </w:rPr>
        <w:t>45.000</w:t>
      </w:r>
      <w:proofErr w:type="gramEnd"/>
    </w:p>
    <w:p w14:paraId="616E8ABF" w14:textId="368418FE" w:rsidR="00522A7B" w:rsidRPr="00522A7B" w:rsidRDefault="00522A7B" w:rsidP="00522A7B">
      <w:pPr>
        <w:pStyle w:val="ANormal"/>
      </w:pPr>
      <w:r>
        <w:rPr>
          <w:b/>
          <w:bCs/>
        </w:rPr>
        <w:tab/>
        <w:t xml:space="preserve">           Finansiering</w:t>
      </w:r>
      <w:r w:rsidR="00B40AD4">
        <w:rPr>
          <w:b/>
          <w:bCs/>
        </w:rPr>
        <w:t>:</w:t>
      </w:r>
      <w:r>
        <w:rPr>
          <w:b/>
          <w:bCs/>
        </w:rPr>
        <w:t xml:space="preserve"> </w:t>
      </w:r>
      <w:r w:rsidRPr="00B40AD4">
        <w:t xml:space="preserve">från moment </w:t>
      </w:r>
      <w:proofErr w:type="gramStart"/>
      <w:r w:rsidR="00B40AD4" w:rsidRPr="00B40AD4">
        <w:t>87200</w:t>
      </w:r>
      <w:proofErr w:type="gramEnd"/>
      <w:r w:rsidR="00B40AD4">
        <w:t>, vägunderhåll</w:t>
      </w:r>
    </w:p>
    <w:p w14:paraId="3E6737A7" w14:textId="77777777" w:rsidR="008A57D3" w:rsidRPr="008A57D3" w:rsidRDefault="008A57D3" w:rsidP="008A57D3">
      <w:pPr>
        <w:pStyle w:val="ANormal"/>
      </w:pPr>
    </w:p>
    <w:p w14:paraId="692A1378" w14:textId="77777777" w:rsidR="00962677" w:rsidRPr="008A57D3" w:rsidRDefault="00962677" w:rsidP="00962677">
      <w:pPr>
        <w:pStyle w:val="Klam"/>
        <w:rPr>
          <w:bCs/>
          <w:lang w:val="sv-FI"/>
        </w:rPr>
      </w:pPr>
      <w:r w:rsidRPr="008A57D3">
        <w:rPr>
          <w:b/>
          <w:bCs/>
          <w:lang w:val="sv-FI"/>
        </w:rPr>
        <w:t xml:space="preserve">Momentmotivering: </w:t>
      </w:r>
      <w:r w:rsidRPr="008A57D3">
        <w:rPr>
          <w:bCs/>
          <w:lang w:val="sv-FI"/>
        </w:rPr>
        <w:t>Lagtinget uppmanar landskapsregeringen att använda medlen till att utveckla korta, arbetsnära utbildningsspår inom bristyrken, i nära samverkan med åländska näringslivet.</w:t>
      </w:r>
    </w:p>
    <w:p w14:paraId="0E39D6D0" w14:textId="77777777" w:rsidR="00D70D13" w:rsidRDefault="002C56DE">
      <w:pPr>
        <w:pStyle w:val="ANormal"/>
      </w:pPr>
      <w:r>
        <w:t>Syftet är att skapa snabbare vägar till arbete för unga och vuxna, och samtidigt stärka företagens möjligheter att hitta kompetent personal.</w:t>
      </w:r>
    </w:p>
    <w:p w14:paraId="03EA0C8B" w14:textId="77777777" w:rsidR="00D70D13" w:rsidRDefault="00D70D13">
      <w:pPr>
        <w:pStyle w:val="ANormal"/>
      </w:pPr>
    </w:p>
    <w:p w14:paraId="44EFE924" w14:textId="77777777" w:rsidR="00D70D13" w:rsidRDefault="00D70D13">
      <w:pPr>
        <w:pStyle w:val="ANormal"/>
      </w:pPr>
    </w:p>
    <w:p w14:paraId="42CFF035" w14:textId="77777777" w:rsidR="00962677" w:rsidRPr="008A57D3" w:rsidRDefault="00962677" w:rsidP="00962677">
      <w:pPr>
        <w:pStyle w:val="Klam"/>
        <w:rPr>
          <w:b/>
          <w:bCs/>
          <w:lang w:val="sv-FI"/>
        </w:rPr>
      </w:pPr>
    </w:p>
    <w:p w14:paraId="3E3EEAD5" w14:textId="77777777" w:rsidR="000B3F00" w:rsidRPr="008A57D3" w:rsidRDefault="000B3F00">
      <w:pPr>
        <w:pStyle w:val="ANormal"/>
        <w:rPr>
          <w:lang w:val="sv-FI"/>
        </w:rPr>
      </w:pPr>
    </w:p>
    <w:p w14:paraId="0EC3D575" w14:textId="64C878A5" w:rsidR="00CC2901" w:rsidRPr="002C56DE" w:rsidRDefault="00CC2901" w:rsidP="00CC2901">
      <w:pPr>
        <w:pStyle w:val="ANormal"/>
        <w:rPr>
          <w:lang w:val="sv-FI"/>
        </w:rPr>
      </w:pPr>
      <w:r w:rsidRPr="002C56DE">
        <w:rPr>
          <w:lang w:val="sv-FI"/>
        </w:rPr>
        <w:t xml:space="preserve">Mariehamn den </w:t>
      </w:r>
      <w:r w:rsidR="00840BB5" w:rsidRPr="002C56DE">
        <w:rPr>
          <w:lang w:val="sv-FI"/>
        </w:rPr>
        <w:t>10</w:t>
      </w:r>
      <w:r w:rsidRPr="002C56DE">
        <w:rPr>
          <w:lang w:val="sv-FI"/>
        </w:rPr>
        <w:t xml:space="preserve"> november 2025</w:t>
      </w:r>
    </w:p>
    <w:p w14:paraId="09E0A873" w14:textId="77777777" w:rsidR="000B3F00" w:rsidRPr="002C56DE" w:rsidRDefault="000B3F00">
      <w:pPr>
        <w:pStyle w:val="ANormal"/>
        <w:rPr>
          <w:lang w:val="sv-FI"/>
        </w:rPr>
      </w:pPr>
    </w:p>
    <w:p w14:paraId="0AAAE712" w14:textId="77777777" w:rsidR="00CC2901" w:rsidRPr="002C56DE" w:rsidRDefault="00CC2901">
      <w:pPr>
        <w:pStyle w:val="ANormal"/>
        <w:rPr>
          <w:lang w:val="sv-FI"/>
        </w:rPr>
      </w:pPr>
    </w:p>
    <w:p w14:paraId="596F6638" w14:textId="77777777" w:rsidR="000B3F00" w:rsidRPr="002C56DE" w:rsidRDefault="000B3F00" w:rsidP="006A6188">
      <w:pPr>
        <w:pStyle w:val="ANormal"/>
        <w:rPr>
          <w:lang w:val="sv-FI"/>
        </w:rPr>
      </w:pPr>
    </w:p>
    <w:p w14:paraId="2ADE2C13" w14:textId="02EEB4EB" w:rsidR="00CC2901" w:rsidRDefault="00CC2901" w:rsidP="006A6188">
      <w:pPr>
        <w:pStyle w:val="ANormal"/>
      </w:pPr>
      <w:r w:rsidRPr="001F13E2">
        <w:t>Annette Holmberg-Jansson</w:t>
      </w: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6115" w14:textId="77777777" w:rsidR="003A579E" w:rsidRDefault="003A579E">
      <w:r>
        <w:separator/>
      </w:r>
    </w:p>
  </w:endnote>
  <w:endnote w:type="continuationSeparator" w:id="0">
    <w:p w14:paraId="035FA17D" w14:textId="77777777" w:rsidR="003A579E" w:rsidRDefault="003A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2FB8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2B5C7" w14:textId="77777777" w:rsidR="003A579E" w:rsidRDefault="003A579E">
      <w:r>
        <w:separator/>
      </w:r>
    </w:p>
  </w:footnote>
  <w:footnote w:type="continuationSeparator" w:id="0">
    <w:p w14:paraId="3E7BF500" w14:textId="77777777" w:rsidR="003A579E" w:rsidRDefault="003A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6672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20271322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09DA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E5E06"/>
    <w:rsid w:val="001F13E2"/>
    <w:rsid w:val="002B6A69"/>
    <w:rsid w:val="002C4A5F"/>
    <w:rsid w:val="002C56DE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A579E"/>
    <w:rsid w:val="003B56F7"/>
    <w:rsid w:val="00417578"/>
    <w:rsid w:val="004A1B4C"/>
    <w:rsid w:val="00514927"/>
    <w:rsid w:val="00522A7B"/>
    <w:rsid w:val="00552E06"/>
    <w:rsid w:val="005D40EA"/>
    <w:rsid w:val="00631AE8"/>
    <w:rsid w:val="00633910"/>
    <w:rsid w:val="00656215"/>
    <w:rsid w:val="006627DE"/>
    <w:rsid w:val="006A6188"/>
    <w:rsid w:val="006C3C1B"/>
    <w:rsid w:val="006E35EB"/>
    <w:rsid w:val="006E58C9"/>
    <w:rsid w:val="007966EF"/>
    <w:rsid w:val="007A3954"/>
    <w:rsid w:val="00840BB5"/>
    <w:rsid w:val="00854DB2"/>
    <w:rsid w:val="008A57D3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0AD4"/>
    <w:rsid w:val="00B44ADC"/>
    <w:rsid w:val="00BA6D77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0D13"/>
    <w:rsid w:val="00D761AC"/>
    <w:rsid w:val="00DF3483"/>
    <w:rsid w:val="00DF7016"/>
    <w:rsid w:val="00E100E9"/>
    <w:rsid w:val="00E131E0"/>
    <w:rsid w:val="00E25A9F"/>
    <w:rsid w:val="00E428A5"/>
    <w:rsid w:val="00E94DFE"/>
    <w:rsid w:val="00F027D7"/>
    <w:rsid w:val="00F26A3A"/>
    <w:rsid w:val="00F5209B"/>
    <w:rsid w:val="4731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DDC330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XX/2015-2016</vt:lpstr>
    </vt:vector>
  </TitlesOfParts>
  <Company>LR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36/2025-2026</dc:title>
  <dc:creator>Lagtinget</dc:creator>
  <cp:lastModifiedBy>Jessica Laaksonen</cp:lastModifiedBy>
  <cp:revision>2</cp:revision>
  <cp:lastPrinted>2016-09-02T07:38:00Z</cp:lastPrinted>
  <dcterms:created xsi:type="dcterms:W3CDTF">2025-11-11T11:15:00Z</dcterms:created>
  <dcterms:modified xsi:type="dcterms:W3CDTF">2025-11-11T11:15:00Z</dcterms:modified>
</cp:coreProperties>
</file>