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5EC85B24" w14:textId="77777777" w:rsidTr="47312E3B">
        <w:trPr>
          <w:cantSplit/>
          <w:trHeight w:val="20"/>
        </w:trPr>
        <w:tc>
          <w:tcPr>
            <w:tcW w:w="851" w:type="dxa"/>
            <w:vMerge w:val="restart"/>
          </w:tcPr>
          <w:p w14:paraId="1E0323B4" w14:textId="77777777" w:rsidR="000B3F00" w:rsidRDefault="00CB3110">
            <w:pPr>
              <w:pStyle w:val="xLedtext"/>
              <w:rPr>
                <w:noProof/>
              </w:rPr>
            </w:pPr>
            <w:bookmarkStart w:id="0" w:name="_top"/>
            <w:bookmarkEnd w:id="0"/>
            <w:r>
              <w:rPr>
                <w:noProof/>
                <w:lang w:val="sv-FI" w:eastAsia="sv-FI"/>
              </w:rPr>
              <w:drawing>
                <wp:inline distT="0" distB="0" distL="0" distR="0" wp14:anchorId="015AAD5B" wp14:editId="0EB92173">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797D80EF" w14:textId="77777777" w:rsidR="000B3F00" w:rsidRDefault="00CB3110">
            <w:pPr>
              <w:pStyle w:val="xMellanrum"/>
            </w:pPr>
            <w:r>
              <w:rPr>
                <w:noProof/>
                <w:lang w:val="sv-FI" w:eastAsia="sv-FI"/>
              </w:rPr>
              <w:drawing>
                <wp:inline distT="0" distB="0" distL="0" distR="0" wp14:anchorId="6F4504C1" wp14:editId="45D44C7F">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6C4279A1" w14:textId="77777777" w:rsidTr="47312E3B">
        <w:trPr>
          <w:cantSplit/>
          <w:trHeight w:val="299"/>
        </w:trPr>
        <w:tc>
          <w:tcPr>
            <w:tcW w:w="851" w:type="dxa"/>
            <w:vMerge/>
          </w:tcPr>
          <w:p w14:paraId="475D59E8" w14:textId="77777777" w:rsidR="000B3F00" w:rsidRDefault="000B3F00">
            <w:pPr>
              <w:pStyle w:val="xLedtext"/>
            </w:pPr>
          </w:p>
        </w:tc>
        <w:tc>
          <w:tcPr>
            <w:tcW w:w="2850" w:type="dxa"/>
            <w:vAlign w:val="bottom"/>
          </w:tcPr>
          <w:p w14:paraId="634EED59" w14:textId="77777777" w:rsidR="000B3F00" w:rsidRDefault="000B3F00">
            <w:pPr>
              <w:pStyle w:val="xAvsandare1"/>
            </w:pPr>
            <w:r>
              <w:t>Ålands lagting</w:t>
            </w:r>
          </w:p>
        </w:tc>
        <w:tc>
          <w:tcPr>
            <w:tcW w:w="3530" w:type="dxa"/>
            <w:gridSpan w:val="2"/>
            <w:vAlign w:val="bottom"/>
          </w:tcPr>
          <w:p w14:paraId="65F467E4" w14:textId="2423DDEC" w:rsidR="000B3F00" w:rsidRDefault="00CB3110" w:rsidP="00552E06">
            <w:pPr>
              <w:pStyle w:val="xDokTypNr"/>
            </w:pPr>
            <w:r>
              <w:t xml:space="preserve">BUDGETMOTION nr  </w:t>
            </w:r>
            <w:r w:rsidR="009D546F">
              <w:t>14</w:t>
            </w:r>
            <w:r>
              <w:t>/20</w:t>
            </w:r>
            <w:r w:rsidR="00313559">
              <w:t>2</w:t>
            </w:r>
            <w:r w:rsidR="008A74CB">
              <w:t>5</w:t>
            </w:r>
            <w:r w:rsidR="47312E3B">
              <w:t>-20</w:t>
            </w:r>
            <w:r>
              <w:t>2</w:t>
            </w:r>
            <w:r w:rsidR="008A74CB">
              <w:t>6</w:t>
            </w:r>
          </w:p>
        </w:tc>
      </w:tr>
      <w:tr w:rsidR="000B3F00" w14:paraId="5285FD12" w14:textId="77777777" w:rsidTr="47312E3B">
        <w:trPr>
          <w:cantSplit/>
          <w:trHeight w:val="238"/>
        </w:trPr>
        <w:tc>
          <w:tcPr>
            <w:tcW w:w="851" w:type="dxa"/>
            <w:vMerge/>
          </w:tcPr>
          <w:p w14:paraId="4D411398" w14:textId="77777777" w:rsidR="000B3F00" w:rsidRDefault="000B3F00">
            <w:pPr>
              <w:pStyle w:val="xLedtext"/>
            </w:pPr>
          </w:p>
        </w:tc>
        <w:tc>
          <w:tcPr>
            <w:tcW w:w="2850" w:type="dxa"/>
            <w:vAlign w:val="bottom"/>
          </w:tcPr>
          <w:p w14:paraId="54997CAB" w14:textId="77777777" w:rsidR="000B3F00" w:rsidRDefault="000B3F00">
            <w:pPr>
              <w:pStyle w:val="xLedtext"/>
            </w:pPr>
            <w:r>
              <w:t xml:space="preserve">Lagtingsledamot </w:t>
            </w:r>
          </w:p>
        </w:tc>
        <w:tc>
          <w:tcPr>
            <w:tcW w:w="1204" w:type="dxa"/>
            <w:vAlign w:val="bottom"/>
          </w:tcPr>
          <w:p w14:paraId="1F508CC8" w14:textId="77777777" w:rsidR="000B3F00" w:rsidRDefault="000B3F00">
            <w:pPr>
              <w:pStyle w:val="xLedtext"/>
            </w:pPr>
            <w:r>
              <w:t>Datum</w:t>
            </w:r>
          </w:p>
        </w:tc>
        <w:tc>
          <w:tcPr>
            <w:tcW w:w="2326" w:type="dxa"/>
            <w:vAlign w:val="bottom"/>
          </w:tcPr>
          <w:p w14:paraId="70359445" w14:textId="77777777" w:rsidR="000B3F00" w:rsidRDefault="000B3F00">
            <w:pPr>
              <w:pStyle w:val="xLedtext"/>
            </w:pPr>
          </w:p>
        </w:tc>
      </w:tr>
      <w:tr w:rsidR="000B3F00" w14:paraId="3101605F" w14:textId="77777777" w:rsidTr="47312E3B">
        <w:trPr>
          <w:cantSplit/>
          <w:trHeight w:val="238"/>
        </w:trPr>
        <w:tc>
          <w:tcPr>
            <w:tcW w:w="851" w:type="dxa"/>
            <w:vMerge/>
          </w:tcPr>
          <w:p w14:paraId="794A8BDA" w14:textId="77777777" w:rsidR="000B3F00" w:rsidRDefault="000B3F00">
            <w:pPr>
              <w:pStyle w:val="xAvsandare2"/>
            </w:pPr>
          </w:p>
        </w:tc>
        <w:tc>
          <w:tcPr>
            <w:tcW w:w="2850" w:type="dxa"/>
            <w:vAlign w:val="center"/>
          </w:tcPr>
          <w:p w14:paraId="3BE4351D" w14:textId="77777777" w:rsidR="000B3F00" w:rsidRDefault="001F13E2">
            <w:pPr>
              <w:pStyle w:val="xAvsandare2"/>
            </w:pPr>
            <w:r w:rsidRPr="001F13E2">
              <w:t xml:space="preserve">Alfons </w:t>
            </w:r>
            <w:proofErr w:type="spellStart"/>
            <w:r w:rsidRPr="001F13E2">
              <w:t>Röblom</w:t>
            </w:r>
            <w:proofErr w:type="spellEnd"/>
          </w:p>
        </w:tc>
        <w:tc>
          <w:tcPr>
            <w:tcW w:w="1204" w:type="dxa"/>
            <w:vAlign w:val="center"/>
          </w:tcPr>
          <w:p w14:paraId="3CD66A62" w14:textId="68AA13B5" w:rsidR="000B3F00" w:rsidRDefault="00962677" w:rsidP="0012085E">
            <w:pPr>
              <w:pStyle w:val="xDatum1"/>
            </w:pPr>
            <w:r w:rsidRPr="00962677">
              <w:t>2025-11-</w:t>
            </w:r>
            <w:r w:rsidR="00432A5F">
              <w:t>1</w:t>
            </w:r>
            <w:r w:rsidR="00156C1B">
              <w:t>1</w:t>
            </w:r>
          </w:p>
        </w:tc>
        <w:tc>
          <w:tcPr>
            <w:tcW w:w="2326" w:type="dxa"/>
            <w:vAlign w:val="center"/>
          </w:tcPr>
          <w:p w14:paraId="08BC0B12" w14:textId="77777777" w:rsidR="000B3F00" w:rsidRDefault="000B3F00">
            <w:pPr>
              <w:pStyle w:val="xBeteckning1"/>
            </w:pPr>
          </w:p>
        </w:tc>
      </w:tr>
      <w:tr w:rsidR="000B3F00" w14:paraId="65C93582" w14:textId="77777777" w:rsidTr="47312E3B">
        <w:trPr>
          <w:cantSplit/>
          <w:trHeight w:val="238"/>
        </w:trPr>
        <w:tc>
          <w:tcPr>
            <w:tcW w:w="851" w:type="dxa"/>
            <w:vMerge/>
          </w:tcPr>
          <w:p w14:paraId="1CDAE425" w14:textId="77777777" w:rsidR="000B3F00" w:rsidRDefault="000B3F00">
            <w:pPr>
              <w:pStyle w:val="xLedtext"/>
            </w:pPr>
          </w:p>
        </w:tc>
        <w:tc>
          <w:tcPr>
            <w:tcW w:w="2850" w:type="dxa"/>
            <w:vAlign w:val="bottom"/>
          </w:tcPr>
          <w:p w14:paraId="146F2BCC" w14:textId="77777777" w:rsidR="000B3F00" w:rsidRDefault="000B3F00">
            <w:pPr>
              <w:pStyle w:val="xLedtext"/>
            </w:pPr>
          </w:p>
        </w:tc>
        <w:tc>
          <w:tcPr>
            <w:tcW w:w="1204" w:type="dxa"/>
            <w:vAlign w:val="bottom"/>
          </w:tcPr>
          <w:p w14:paraId="07EFE81C" w14:textId="77777777" w:rsidR="000B3F00" w:rsidRDefault="000B3F00">
            <w:pPr>
              <w:pStyle w:val="xLedtext"/>
            </w:pPr>
          </w:p>
        </w:tc>
        <w:tc>
          <w:tcPr>
            <w:tcW w:w="2326" w:type="dxa"/>
            <w:vAlign w:val="bottom"/>
          </w:tcPr>
          <w:p w14:paraId="19A83A17" w14:textId="77777777" w:rsidR="000B3F00" w:rsidRDefault="000B3F00">
            <w:pPr>
              <w:pStyle w:val="xLedtext"/>
            </w:pPr>
          </w:p>
        </w:tc>
      </w:tr>
      <w:tr w:rsidR="000B3F00" w14:paraId="7D95CAE0" w14:textId="77777777" w:rsidTr="47312E3B">
        <w:trPr>
          <w:cantSplit/>
          <w:trHeight w:val="238"/>
        </w:trPr>
        <w:tc>
          <w:tcPr>
            <w:tcW w:w="851" w:type="dxa"/>
            <w:vMerge/>
            <w:tcBorders>
              <w:bottom w:val="single" w:sz="4" w:space="0" w:color="auto"/>
            </w:tcBorders>
          </w:tcPr>
          <w:p w14:paraId="73169C0F" w14:textId="77777777" w:rsidR="000B3F00" w:rsidRDefault="000B3F00">
            <w:pPr>
              <w:pStyle w:val="xAvsandare3"/>
            </w:pPr>
          </w:p>
        </w:tc>
        <w:tc>
          <w:tcPr>
            <w:tcW w:w="2850" w:type="dxa"/>
            <w:tcBorders>
              <w:bottom w:val="single" w:sz="4" w:space="0" w:color="auto"/>
            </w:tcBorders>
            <w:vAlign w:val="center"/>
          </w:tcPr>
          <w:p w14:paraId="456DD180" w14:textId="77777777" w:rsidR="000B3F00" w:rsidRDefault="000B3F00">
            <w:pPr>
              <w:pStyle w:val="xAvsandare3"/>
            </w:pPr>
          </w:p>
        </w:tc>
        <w:tc>
          <w:tcPr>
            <w:tcW w:w="1204" w:type="dxa"/>
            <w:tcBorders>
              <w:bottom w:val="single" w:sz="4" w:space="0" w:color="auto"/>
            </w:tcBorders>
            <w:vAlign w:val="center"/>
          </w:tcPr>
          <w:p w14:paraId="210B04A0" w14:textId="77777777" w:rsidR="000B3F00" w:rsidRDefault="000B3F00">
            <w:pPr>
              <w:pStyle w:val="xDatum2"/>
            </w:pPr>
          </w:p>
        </w:tc>
        <w:tc>
          <w:tcPr>
            <w:tcW w:w="2326" w:type="dxa"/>
            <w:tcBorders>
              <w:bottom w:val="single" w:sz="4" w:space="0" w:color="auto"/>
            </w:tcBorders>
            <w:vAlign w:val="center"/>
          </w:tcPr>
          <w:p w14:paraId="3EBD41E5" w14:textId="77777777" w:rsidR="000B3F00" w:rsidRDefault="000B3F00">
            <w:pPr>
              <w:pStyle w:val="xBeteckning2"/>
            </w:pPr>
          </w:p>
        </w:tc>
      </w:tr>
      <w:tr w:rsidR="000B3F00" w14:paraId="2BFAAD20" w14:textId="77777777" w:rsidTr="47312E3B">
        <w:trPr>
          <w:cantSplit/>
          <w:trHeight w:val="238"/>
        </w:trPr>
        <w:tc>
          <w:tcPr>
            <w:tcW w:w="851" w:type="dxa"/>
            <w:tcBorders>
              <w:top w:val="single" w:sz="4" w:space="0" w:color="auto"/>
            </w:tcBorders>
            <w:vAlign w:val="bottom"/>
          </w:tcPr>
          <w:p w14:paraId="7694E7A9" w14:textId="77777777" w:rsidR="000B3F00" w:rsidRDefault="000B3F00">
            <w:pPr>
              <w:pStyle w:val="xLedtext"/>
            </w:pPr>
          </w:p>
        </w:tc>
        <w:tc>
          <w:tcPr>
            <w:tcW w:w="2850" w:type="dxa"/>
            <w:tcBorders>
              <w:top w:val="single" w:sz="4" w:space="0" w:color="auto"/>
            </w:tcBorders>
            <w:vAlign w:val="bottom"/>
          </w:tcPr>
          <w:p w14:paraId="49883B00" w14:textId="77777777" w:rsidR="000B3F00" w:rsidRDefault="000B3F00">
            <w:pPr>
              <w:pStyle w:val="xLedtext"/>
            </w:pPr>
          </w:p>
        </w:tc>
        <w:tc>
          <w:tcPr>
            <w:tcW w:w="3530" w:type="dxa"/>
            <w:gridSpan w:val="2"/>
            <w:tcBorders>
              <w:top w:val="single" w:sz="4" w:space="0" w:color="auto"/>
            </w:tcBorders>
            <w:vAlign w:val="bottom"/>
          </w:tcPr>
          <w:p w14:paraId="0A4C4B8A" w14:textId="77777777" w:rsidR="000B3F00" w:rsidRDefault="000B3F00">
            <w:pPr>
              <w:pStyle w:val="xLedtext"/>
            </w:pPr>
          </w:p>
        </w:tc>
      </w:tr>
      <w:tr w:rsidR="000B3F00" w14:paraId="32FCB0AE" w14:textId="77777777" w:rsidTr="47312E3B">
        <w:trPr>
          <w:cantSplit/>
          <w:trHeight w:val="238"/>
        </w:trPr>
        <w:tc>
          <w:tcPr>
            <w:tcW w:w="851" w:type="dxa"/>
          </w:tcPr>
          <w:p w14:paraId="4AD05CBF" w14:textId="77777777" w:rsidR="000B3F00" w:rsidRDefault="000B3F00">
            <w:pPr>
              <w:pStyle w:val="xCelltext"/>
            </w:pPr>
          </w:p>
        </w:tc>
        <w:tc>
          <w:tcPr>
            <w:tcW w:w="2850" w:type="dxa"/>
            <w:vMerge w:val="restart"/>
          </w:tcPr>
          <w:p w14:paraId="3682E71A" w14:textId="77777777" w:rsidR="000B3F00" w:rsidRDefault="000B3F00">
            <w:pPr>
              <w:pStyle w:val="xMottagare1"/>
            </w:pPr>
            <w:r>
              <w:t>Till Ålands lagting</w:t>
            </w:r>
          </w:p>
        </w:tc>
        <w:tc>
          <w:tcPr>
            <w:tcW w:w="3530" w:type="dxa"/>
            <w:gridSpan w:val="2"/>
            <w:vMerge w:val="restart"/>
          </w:tcPr>
          <w:p w14:paraId="56E89082" w14:textId="77777777" w:rsidR="000B3F00" w:rsidRDefault="000B3F00">
            <w:pPr>
              <w:pStyle w:val="xMottagare1"/>
              <w:tabs>
                <w:tab w:val="left" w:pos="2349"/>
              </w:tabs>
            </w:pPr>
          </w:p>
        </w:tc>
      </w:tr>
      <w:tr w:rsidR="000B3F00" w14:paraId="2D034EC6" w14:textId="77777777" w:rsidTr="47312E3B">
        <w:trPr>
          <w:cantSplit/>
          <w:trHeight w:val="238"/>
        </w:trPr>
        <w:tc>
          <w:tcPr>
            <w:tcW w:w="851" w:type="dxa"/>
          </w:tcPr>
          <w:p w14:paraId="2312DACE" w14:textId="77777777" w:rsidR="000B3F00" w:rsidRDefault="000B3F00">
            <w:pPr>
              <w:pStyle w:val="xCelltext"/>
            </w:pPr>
          </w:p>
        </w:tc>
        <w:tc>
          <w:tcPr>
            <w:tcW w:w="2850" w:type="dxa"/>
            <w:vMerge/>
            <w:vAlign w:val="center"/>
          </w:tcPr>
          <w:p w14:paraId="2560D147" w14:textId="77777777" w:rsidR="000B3F00" w:rsidRDefault="000B3F00">
            <w:pPr>
              <w:pStyle w:val="xCelltext"/>
            </w:pPr>
          </w:p>
        </w:tc>
        <w:tc>
          <w:tcPr>
            <w:tcW w:w="3530" w:type="dxa"/>
            <w:gridSpan w:val="2"/>
            <w:vMerge/>
            <w:vAlign w:val="center"/>
          </w:tcPr>
          <w:p w14:paraId="0E494C5D" w14:textId="77777777" w:rsidR="000B3F00" w:rsidRDefault="000B3F00">
            <w:pPr>
              <w:pStyle w:val="xCelltext"/>
            </w:pPr>
          </w:p>
        </w:tc>
      </w:tr>
      <w:tr w:rsidR="000B3F00" w14:paraId="5C5D0EC7" w14:textId="77777777" w:rsidTr="47312E3B">
        <w:trPr>
          <w:cantSplit/>
          <w:trHeight w:val="238"/>
        </w:trPr>
        <w:tc>
          <w:tcPr>
            <w:tcW w:w="851" w:type="dxa"/>
          </w:tcPr>
          <w:p w14:paraId="72F1C43D" w14:textId="77777777" w:rsidR="000B3F00" w:rsidRDefault="000B3F00">
            <w:pPr>
              <w:pStyle w:val="xCelltext"/>
            </w:pPr>
          </w:p>
        </w:tc>
        <w:tc>
          <w:tcPr>
            <w:tcW w:w="2850" w:type="dxa"/>
            <w:vMerge/>
            <w:vAlign w:val="center"/>
          </w:tcPr>
          <w:p w14:paraId="40024ED9" w14:textId="77777777" w:rsidR="000B3F00" w:rsidRDefault="000B3F00">
            <w:pPr>
              <w:pStyle w:val="xCelltext"/>
            </w:pPr>
          </w:p>
        </w:tc>
        <w:tc>
          <w:tcPr>
            <w:tcW w:w="3530" w:type="dxa"/>
            <w:gridSpan w:val="2"/>
            <w:vMerge/>
            <w:vAlign w:val="center"/>
          </w:tcPr>
          <w:p w14:paraId="3397A9E2" w14:textId="77777777" w:rsidR="000B3F00" w:rsidRDefault="000B3F00">
            <w:pPr>
              <w:pStyle w:val="xCelltext"/>
            </w:pPr>
          </w:p>
        </w:tc>
      </w:tr>
      <w:tr w:rsidR="000B3F00" w14:paraId="48DEE5C9" w14:textId="77777777" w:rsidTr="47312E3B">
        <w:trPr>
          <w:cantSplit/>
          <w:trHeight w:val="238"/>
        </w:trPr>
        <w:tc>
          <w:tcPr>
            <w:tcW w:w="851" w:type="dxa"/>
          </w:tcPr>
          <w:p w14:paraId="790CD3A9" w14:textId="77777777" w:rsidR="000B3F00" w:rsidRDefault="000B3F00">
            <w:pPr>
              <w:pStyle w:val="xCelltext"/>
            </w:pPr>
          </w:p>
        </w:tc>
        <w:tc>
          <w:tcPr>
            <w:tcW w:w="2850" w:type="dxa"/>
            <w:vMerge/>
            <w:vAlign w:val="center"/>
          </w:tcPr>
          <w:p w14:paraId="7C2105C2" w14:textId="77777777" w:rsidR="000B3F00" w:rsidRDefault="000B3F00">
            <w:pPr>
              <w:pStyle w:val="xCelltext"/>
            </w:pPr>
          </w:p>
        </w:tc>
        <w:tc>
          <w:tcPr>
            <w:tcW w:w="3530" w:type="dxa"/>
            <w:gridSpan w:val="2"/>
            <w:vMerge/>
            <w:vAlign w:val="center"/>
          </w:tcPr>
          <w:p w14:paraId="19E6DDFD" w14:textId="77777777" w:rsidR="000B3F00" w:rsidRDefault="000B3F00">
            <w:pPr>
              <w:pStyle w:val="xCelltext"/>
            </w:pPr>
          </w:p>
        </w:tc>
      </w:tr>
      <w:tr w:rsidR="000B3F00" w14:paraId="5DD97F92" w14:textId="77777777" w:rsidTr="47312E3B">
        <w:trPr>
          <w:cantSplit/>
          <w:trHeight w:val="238"/>
        </w:trPr>
        <w:tc>
          <w:tcPr>
            <w:tcW w:w="851" w:type="dxa"/>
          </w:tcPr>
          <w:p w14:paraId="2A2236AC" w14:textId="77777777" w:rsidR="000B3F00" w:rsidRDefault="000B3F00">
            <w:pPr>
              <w:pStyle w:val="xCelltext"/>
            </w:pPr>
          </w:p>
        </w:tc>
        <w:tc>
          <w:tcPr>
            <w:tcW w:w="2850" w:type="dxa"/>
            <w:vMerge/>
            <w:vAlign w:val="center"/>
          </w:tcPr>
          <w:p w14:paraId="7D98387A" w14:textId="77777777" w:rsidR="000B3F00" w:rsidRDefault="000B3F00">
            <w:pPr>
              <w:pStyle w:val="xCelltext"/>
            </w:pPr>
          </w:p>
        </w:tc>
        <w:tc>
          <w:tcPr>
            <w:tcW w:w="3530" w:type="dxa"/>
            <w:gridSpan w:val="2"/>
            <w:vMerge/>
            <w:vAlign w:val="center"/>
          </w:tcPr>
          <w:p w14:paraId="53BB91E9" w14:textId="77777777" w:rsidR="000B3F00" w:rsidRDefault="000B3F00">
            <w:pPr>
              <w:pStyle w:val="xCelltext"/>
            </w:pPr>
          </w:p>
        </w:tc>
      </w:tr>
    </w:tbl>
    <w:p w14:paraId="7BFFDB67" w14:textId="77777777" w:rsidR="000B3F00" w:rsidRDefault="00B13082">
      <w:pPr>
        <w:pStyle w:val="ANormal"/>
      </w:pPr>
      <w:r>
        <w:rPr>
          <w:rFonts w:ascii="Arial" w:hAnsi="Arial" w:cs="Arial"/>
          <w:b/>
          <w:bCs/>
          <w:sz w:val="26"/>
        </w:rPr>
        <w:t>Hållbar upphandling</w:t>
      </w:r>
    </w:p>
    <w:p w14:paraId="5D200E7B" w14:textId="77777777" w:rsidR="00E734E3" w:rsidRDefault="00E734E3">
      <w:pPr>
        <w:pStyle w:val="ANormal"/>
      </w:pPr>
    </w:p>
    <w:p w14:paraId="49452381" w14:textId="5F31891B" w:rsidR="00432A5F" w:rsidRDefault="00B13082">
      <w:pPr>
        <w:pStyle w:val="ANormal"/>
      </w:pPr>
      <w:r>
        <w:t xml:space="preserve">Det offentliga Åland är en stor kund. Landskapsregeringen och underlydande myndigheter har därför ett ansvar att se till att upphandlingarna inte bara handlar om att få lägsta pris. Det handlar också om att använda gemensamma resurser på ett sätt som främjar miljö, socialt ansvar och lokal utveckling. </w:t>
      </w:r>
    </w:p>
    <w:p w14:paraId="6DD5B4A0" w14:textId="77777777" w:rsidR="00432A5F" w:rsidRDefault="00432A5F">
      <w:pPr>
        <w:pStyle w:val="ANormal"/>
      </w:pPr>
    </w:p>
    <w:p w14:paraId="51543937" w14:textId="7C6FF34C" w:rsidR="006627DE" w:rsidRDefault="00B13082">
      <w:pPr>
        <w:pStyle w:val="ANormal"/>
      </w:pPr>
      <w:r>
        <w:t>Därför måste upphandlingarna användas för att styra i rätt riktning.</w:t>
      </w:r>
    </w:p>
    <w:p w14:paraId="40F129AE" w14:textId="77777777" w:rsidR="00432A5F" w:rsidRDefault="00432A5F">
      <w:pPr>
        <w:pStyle w:val="ANormal"/>
      </w:pPr>
    </w:p>
    <w:p w14:paraId="2723E22D" w14:textId="11BB0566" w:rsidR="00C344E0" w:rsidRDefault="007C6C8C">
      <w:pPr>
        <w:pStyle w:val="ANormal"/>
      </w:pPr>
      <w:r>
        <w:t>I praktiken kan det handla om att byggprojekt ska uppfylla krav på energieffektivitet, trä som byggmaterial</w:t>
      </w:r>
      <w:r w:rsidR="00432A5F">
        <w:t>, återbruk av material</w:t>
      </w:r>
      <w:r>
        <w:t xml:space="preserve"> eller klimatberäkningar redan i planeringsskedet. Det kan handla om att produkter som köps in ska ha lång livslängd, vara reparabla, enkla att återbruka och återvinna. Att maten i skolor och vårdinrättningar ska vara lokalt producerad och ekologisk.</w:t>
      </w:r>
    </w:p>
    <w:p w14:paraId="4A1D41B4" w14:textId="77777777" w:rsidR="00432A5F" w:rsidRDefault="00432A5F">
      <w:pPr>
        <w:pStyle w:val="ANormal"/>
      </w:pPr>
    </w:p>
    <w:p w14:paraId="218A5FDF" w14:textId="1E572C88" w:rsidR="00E734E3" w:rsidRDefault="007C6C8C" w:rsidP="00E734E3">
      <w:pPr>
        <w:pStyle w:val="ANormal"/>
      </w:pPr>
      <w:r>
        <w:t>Eftersom landskapsregeringen nu samlar upphandlingskompetensen i en ny serviceenhet vore det samtidigt viktigt att se över hur upphandlingsarbetet kan användas mer strategiskt för att främja hållbar utveckling, samtidigt som man stärker det lokala näringslivet.</w:t>
      </w:r>
      <w:r w:rsidR="00E734E3">
        <w:t xml:space="preserve"> H</w:t>
      </w:r>
      <w:r w:rsidR="00E734E3" w:rsidRPr="00E734E3">
        <w:t xml:space="preserve">ållbar upphandling är </w:t>
      </w:r>
      <w:r w:rsidR="00E734E3">
        <w:t>också ett verktyg för</w:t>
      </w:r>
      <w:r w:rsidR="00E734E3" w:rsidRPr="00E734E3">
        <w:t xml:space="preserve"> att </w:t>
      </w:r>
      <w:r w:rsidR="00E734E3">
        <w:t xml:space="preserve">öka </w:t>
      </w:r>
      <w:r w:rsidR="00E734E3" w:rsidRPr="00E734E3">
        <w:t>Ålands självförsörjning</w:t>
      </w:r>
      <w:r w:rsidR="00E734E3">
        <w:t>sgrad och</w:t>
      </w:r>
      <w:r w:rsidR="00E734E3" w:rsidRPr="00E734E3">
        <w:t xml:space="preserve"> beredskap.</w:t>
      </w:r>
    </w:p>
    <w:p w14:paraId="067F47C2" w14:textId="77777777" w:rsidR="00514927" w:rsidRDefault="00514927">
      <w:pPr>
        <w:pStyle w:val="ANormal"/>
        <w:rPr>
          <w:b/>
        </w:rPr>
      </w:pPr>
    </w:p>
    <w:p w14:paraId="246EAAB5" w14:textId="12FA4187" w:rsidR="00962677" w:rsidRPr="007C6C8C" w:rsidRDefault="009D5985" w:rsidP="007C6C8C">
      <w:pPr>
        <w:pStyle w:val="ANormal"/>
        <w:rPr>
          <w:b/>
        </w:rPr>
      </w:pPr>
      <w:r w:rsidRPr="009D5985">
        <w:rPr>
          <w:b/>
        </w:rPr>
        <w:t>FÖRSLAG</w:t>
      </w:r>
    </w:p>
    <w:p w14:paraId="4497B9B9" w14:textId="77777777" w:rsidR="00962677" w:rsidRDefault="00962677" w:rsidP="00962677">
      <w:pPr>
        <w:pStyle w:val="Klam"/>
        <w:rPr>
          <w:bCs/>
        </w:rPr>
      </w:pPr>
    </w:p>
    <w:p w14:paraId="0BBCC221" w14:textId="77777777" w:rsidR="00962677" w:rsidRPr="007C6C8C" w:rsidRDefault="00962677" w:rsidP="00962677">
      <w:pPr>
        <w:pStyle w:val="Klam"/>
        <w:rPr>
          <w:lang w:val="sv-FI"/>
        </w:rPr>
      </w:pPr>
      <w:r w:rsidRPr="007C6C8C">
        <w:rPr>
          <w:b/>
          <w:lang w:val="sv-FI"/>
        </w:rPr>
        <w:t xml:space="preserve">Moment: </w:t>
      </w:r>
      <w:r w:rsidRPr="007C6C8C">
        <w:rPr>
          <w:lang w:val="sv-FI"/>
        </w:rPr>
        <w:t>300 Finansavdelningens förvaltningsområde (s. 68)</w:t>
      </w:r>
    </w:p>
    <w:p w14:paraId="6370303F" w14:textId="77777777" w:rsidR="00962677" w:rsidRDefault="00962677" w:rsidP="00962677">
      <w:pPr>
        <w:pStyle w:val="Klam"/>
        <w:rPr>
          <w:bCs/>
        </w:rPr>
      </w:pPr>
      <w:r w:rsidRPr="00962677">
        <w:rPr>
          <w:b/>
          <w:bCs/>
        </w:rPr>
        <w:t>Ändring av anslag:</w:t>
      </w:r>
    </w:p>
    <w:p w14:paraId="06DF412D" w14:textId="77777777" w:rsidR="007C6C8C" w:rsidRDefault="00962677" w:rsidP="00962677">
      <w:pPr>
        <w:pStyle w:val="Klam"/>
        <w:rPr>
          <w:b/>
          <w:bCs/>
          <w:lang w:val="sv-FI"/>
        </w:rPr>
      </w:pPr>
      <w:r w:rsidRPr="007C6C8C">
        <w:rPr>
          <w:b/>
          <w:bCs/>
          <w:lang w:val="sv-FI"/>
        </w:rPr>
        <w:t xml:space="preserve">Momentmotivering: </w:t>
      </w:r>
    </w:p>
    <w:p w14:paraId="0C1B5CE3" w14:textId="77777777" w:rsidR="007C6C8C" w:rsidRDefault="007C6C8C" w:rsidP="00962677">
      <w:pPr>
        <w:pStyle w:val="Klam"/>
        <w:rPr>
          <w:b/>
          <w:bCs/>
          <w:lang w:val="sv-FI"/>
        </w:rPr>
      </w:pPr>
    </w:p>
    <w:p w14:paraId="5C28B7E5" w14:textId="77777777" w:rsidR="007C6C8C" w:rsidRDefault="00962677" w:rsidP="007C6C8C">
      <w:pPr>
        <w:pStyle w:val="Klam"/>
        <w:rPr>
          <w:bCs/>
          <w:lang w:val="sv-FI"/>
        </w:rPr>
      </w:pPr>
      <w:r w:rsidRPr="007C6C8C">
        <w:rPr>
          <w:bCs/>
          <w:lang w:val="sv-FI"/>
        </w:rPr>
        <w:t>Texten:</w:t>
      </w:r>
    </w:p>
    <w:p w14:paraId="78E0D119" w14:textId="77777777" w:rsidR="007C6C8C" w:rsidRDefault="007C6C8C" w:rsidP="007C6C8C">
      <w:pPr>
        <w:pStyle w:val="Klam"/>
      </w:pPr>
      <w:r>
        <w:t>Ett servicecenter för att samordna landskapsförvaltningens ekonomiadministration, lönehantering och upphandling under finansavdelningen bildas.</w:t>
      </w:r>
    </w:p>
    <w:p w14:paraId="3D78085B" w14:textId="77777777" w:rsidR="007C6C8C" w:rsidRPr="007C6C8C" w:rsidRDefault="007C6C8C" w:rsidP="007C6C8C">
      <w:pPr>
        <w:pStyle w:val="ANormal"/>
      </w:pPr>
    </w:p>
    <w:p w14:paraId="697F06B7" w14:textId="77777777" w:rsidR="007C6C8C" w:rsidRDefault="007C6C8C" w:rsidP="007C6C8C">
      <w:pPr>
        <w:pStyle w:val="Klam"/>
      </w:pPr>
      <w:r>
        <w:t>Får tillägget:</w:t>
      </w:r>
    </w:p>
    <w:p w14:paraId="5A51ED77" w14:textId="38C49B1A" w:rsidR="00C344E0" w:rsidRPr="007C6C8C" w:rsidRDefault="007C6C8C" w:rsidP="007C6C8C">
      <w:pPr>
        <w:pStyle w:val="Klam"/>
        <w:rPr>
          <w:bCs/>
          <w:lang w:val="sv-FI"/>
        </w:rPr>
      </w:pPr>
      <w:r>
        <w:t>Servicecentret ges i uppdrag att säkerställa att den offentliga upphandlingen aktivt styr mot hållbarhetsmålen, bland annat genom tydligare miljökrav, livscykelperspektiv och kriterier som stärker åländska företags möjligheter att delta.</w:t>
      </w:r>
    </w:p>
    <w:p w14:paraId="3CC308FA" w14:textId="77777777" w:rsidR="00962677" w:rsidRPr="007C6C8C" w:rsidRDefault="00962677" w:rsidP="00E734E3">
      <w:pPr>
        <w:pStyle w:val="Klam"/>
        <w:ind w:left="0"/>
        <w:rPr>
          <w:b/>
          <w:bCs/>
          <w:lang w:val="sv-FI"/>
        </w:rPr>
      </w:pPr>
    </w:p>
    <w:p w14:paraId="213C4447" w14:textId="77777777" w:rsidR="000B3F00" w:rsidRPr="007C6C8C" w:rsidRDefault="000B3F00">
      <w:pPr>
        <w:pStyle w:val="ANormal"/>
        <w:rPr>
          <w:lang w:val="sv-FI"/>
        </w:rPr>
      </w:pPr>
    </w:p>
    <w:p w14:paraId="20140906" w14:textId="534E6BF5" w:rsidR="00CC2901" w:rsidRPr="00432A5F" w:rsidRDefault="00CC2901" w:rsidP="00CC2901">
      <w:pPr>
        <w:pStyle w:val="ANormal"/>
        <w:rPr>
          <w:lang w:val="sv-FI"/>
        </w:rPr>
      </w:pPr>
      <w:r w:rsidRPr="00432A5F">
        <w:rPr>
          <w:lang w:val="sv-FI"/>
        </w:rPr>
        <w:t xml:space="preserve">Mariehamn den </w:t>
      </w:r>
      <w:r w:rsidR="00432A5F" w:rsidRPr="00432A5F">
        <w:rPr>
          <w:lang w:val="sv-FI"/>
        </w:rPr>
        <w:t>1</w:t>
      </w:r>
      <w:r w:rsidR="00156C1B">
        <w:rPr>
          <w:lang w:val="sv-FI"/>
        </w:rPr>
        <w:t>1</w:t>
      </w:r>
      <w:r w:rsidRPr="00432A5F">
        <w:rPr>
          <w:lang w:val="sv-FI"/>
        </w:rPr>
        <w:t xml:space="preserve"> november 2025</w:t>
      </w:r>
    </w:p>
    <w:p w14:paraId="3BAAEB9E" w14:textId="77777777" w:rsidR="000B3F00" w:rsidRPr="00432A5F" w:rsidRDefault="000B3F00">
      <w:pPr>
        <w:pStyle w:val="ANormal"/>
        <w:rPr>
          <w:lang w:val="sv-FI"/>
        </w:rPr>
      </w:pPr>
    </w:p>
    <w:p w14:paraId="271DEE55" w14:textId="77777777" w:rsidR="00CC2901" w:rsidRPr="00432A5F" w:rsidRDefault="00CC2901">
      <w:pPr>
        <w:pStyle w:val="ANormal"/>
        <w:rPr>
          <w:lang w:val="sv-FI"/>
        </w:rPr>
      </w:pPr>
    </w:p>
    <w:p w14:paraId="424CF5DD" w14:textId="77777777" w:rsidR="000B3F00" w:rsidRPr="00432A5F" w:rsidRDefault="000B3F00" w:rsidP="006A6188">
      <w:pPr>
        <w:pStyle w:val="ANormal"/>
        <w:rPr>
          <w:lang w:val="sv-FI"/>
        </w:rPr>
      </w:pPr>
    </w:p>
    <w:p w14:paraId="7A1B38B0" w14:textId="664EF15F" w:rsidR="00CC2901" w:rsidRDefault="00CC2901" w:rsidP="006A6188">
      <w:pPr>
        <w:pStyle w:val="ANormal"/>
      </w:pPr>
      <w:r w:rsidRPr="001F13E2">
        <w:t xml:space="preserve">Alfons </w:t>
      </w:r>
      <w:proofErr w:type="spellStart"/>
      <w:r w:rsidRPr="001F13E2">
        <w:t>Röblom</w:t>
      </w:r>
      <w:proofErr w:type="spellEnd"/>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858D" w14:textId="77777777" w:rsidR="008C07FA" w:rsidRDefault="008C07FA">
      <w:r>
        <w:separator/>
      </w:r>
    </w:p>
  </w:endnote>
  <w:endnote w:type="continuationSeparator" w:id="0">
    <w:p w14:paraId="60459C98"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FCB5"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E132" w14:textId="77777777" w:rsidR="008C07FA" w:rsidRDefault="008C07FA">
      <w:r>
        <w:separator/>
      </w:r>
    </w:p>
  </w:footnote>
  <w:footnote w:type="continuationSeparator" w:id="0">
    <w:p w14:paraId="4BDB7B1B"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ABCE"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258FC013"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5126"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56C1B"/>
    <w:rsid w:val="00185D8B"/>
    <w:rsid w:val="001E5E06"/>
    <w:rsid w:val="001F13E2"/>
    <w:rsid w:val="002925CD"/>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32A5F"/>
    <w:rsid w:val="004A1B4C"/>
    <w:rsid w:val="00514927"/>
    <w:rsid w:val="00552E06"/>
    <w:rsid w:val="005D40EA"/>
    <w:rsid w:val="00631AE8"/>
    <w:rsid w:val="00633910"/>
    <w:rsid w:val="00656215"/>
    <w:rsid w:val="006627DE"/>
    <w:rsid w:val="006A6188"/>
    <w:rsid w:val="006C3C1B"/>
    <w:rsid w:val="006E58C9"/>
    <w:rsid w:val="007966EF"/>
    <w:rsid w:val="007A4D7F"/>
    <w:rsid w:val="007C6C8C"/>
    <w:rsid w:val="00854DB2"/>
    <w:rsid w:val="008A74CB"/>
    <w:rsid w:val="008C07FA"/>
    <w:rsid w:val="008D37F7"/>
    <w:rsid w:val="00935A18"/>
    <w:rsid w:val="00962677"/>
    <w:rsid w:val="0098790F"/>
    <w:rsid w:val="009D546F"/>
    <w:rsid w:val="009D5985"/>
    <w:rsid w:val="00A06E21"/>
    <w:rsid w:val="00A16986"/>
    <w:rsid w:val="00A716AD"/>
    <w:rsid w:val="00AB02B5"/>
    <w:rsid w:val="00AB47CC"/>
    <w:rsid w:val="00AF1DF4"/>
    <w:rsid w:val="00AF314A"/>
    <w:rsid w:val="00B13082"/>
    <w:rsid w:val="00B44ADC"/>
    <w:rsid w:val="00BA6D77"/>
    <w:rsid w:val="00C249B5"/>
    <w:rsid w:val="00C344E0"/>
    <w:rsid w:val="00C6238D"/>
    <w:rsid w:val="00CB3110"/>
    <w:rsid w:val="00CC2901"/>
    <w:rsid w:val="00CC5D15"/>
    <w:rsid w:val="00D10E5F"/>
    <w:rsid w:val="00D3286C"/>
    <w:rsid w:val="00D62A15"/>
    <w:rsid w:val="00D632FD"/>
    <w:rsid w:val="00D761AC"/>
    <w:rsid w:val="00DE119E"/>
    <w:rsid w:val="00DF3483"/>
    <w:rsid w:val="00DF7016"/>
    <w:rsid w:val="00E100E9"/>
    <w:rsid w:val="00E131E0"/>
    <w:rsid w:val="00E25A9F"/>
    <w:rsid w:val="00E428A5"/>
    <w:rsid w:val="00E734E3"/>
    <w:rsid w:val="00E94DFE"/>
    <w:rsid w:val="00F027D7"/>
    <w:rsid w:val="00F26A3A"/>
    <w:rsid w:val="00FA03D9"/>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19DE8"/>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1620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14/2025-2026</dc:title>
  <dc:creator>Lagtinget</dc:creator>
  <cp:lastModifiedBy>Jessica Laaksonen</cp:lastModifiedBy>
  <cp:revision>2</cp:revision>
  <cp:lastPrinted>2016-09-02T07:38:00Z</cp:lastPrinted>
  <dcterms:created xsi:type="dcterms:W3CDTF">2025-11-11T08:33:00Z</dcterms:created>
  <dcterms:modified xsi:type="dcterms:W3CDTF">2025-11-11T08:33:00Z</dcterms:modified>
</cp:coreProperties>
</file>