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481EF248" w14:textId="77777777" w:rsidTr="47312E3B">
        <w:trPr>
          <w:cantSplit/>
          <w:trHeight w:val="20"/>
        </w:trPr>
        <w:tc>
          <w:tcPr>
            <w:tcW w:w="851" w:type="dxa"/>
            <w:vMerge w:val="restart"/>
          </w:tcPr>
          <w:p w14:paraId="7228047B" w14:textId="77777777" w:rsidR="000B3F00" w:rsidRDefault="00CB3110">
            <w:pPr>
              <w:pStyle w:val="xLedtext"/>
              <w:rPr>
                <w:noProof/>
              </w:rPr>
            </w:pPr>
            <w:bookmarkStart w:id="0" w:name="_top"/>
            <w:bookmarkEnd w:id="0"/>
            <w:r>
              <w:rPr>
                <w:noProof/>
                <w:lang w:val="sv-FI" w:eastAsia="sv-FI"/>
              </w:rPr>
              <w:drawing>
                <wp:inline distT="0" distB="0" distL="0" distR="0" wp14:anchorId="5C1934A8" wp14:editId="4E05E5ED">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0440E1B1" w14:textId="77777777" w:rsidR="000B3F00" w:rsidRDefault="00CB3110">
            <w:pPr>
              <w:pStyle w:val="xMellanrum"/>
            </w:pPr>
            <w:r>
              <w:rPr>
                <w:noProof/>
                <w:lang w:val="sv-FI" w:eastAsia="sv-FI"/>
              </w:rPr>
              <w:drawing>
                <wp:inline distT="0" distB="0" distL="0" distR="0" wp14:anchorId="53528738" wp14:editId="201A4C2F">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4D935E06" w14:textId="77777777" w:rsidTr="47312E3B">
        <w:trPr>
          <w:cantSplit/>
          <w:trHeight w:val="299"/>
        </w:trPr>
        <w:tc>
          <w:tcPr>
            <w:tcW w:w="851" w:type="dxa"/>
            <w:vMerge/>
          </w:tcPr>
          <w:p w14:paraId="664189B9" w14:textId="77777777" w:rsidR="000B3F00" w:rsidRDefault="000B3F00">
            <w:pPr>
              <w:pStyle w:val="xLedtext"/>
            </w:pPr>
          </w:p>
        </w:tc>
        <w:tc>
          <w:tcPr>
            <w:tcW w:w="2850" w:type="dxa"/>
            <w:vAlign w:val="bottom"/>
          </w:tcPr>
          <w:p w14:paraId="7B4D68AD" w14:textId="77777777" w:rsidR="000B3F00" w:rsidRDefault="000B3F00">
            <w:pPr>
              <w:pStyle w:val="xAvsandare1"/>
            </w:pPr>
            <w:r>
              <w:t>Ålands lagting</w:t>
            </w:r>
          </w:p>
        </w:tc>
        <w:tc>
          <w:tcPr>
            <w:tcW w:w="3530" w:type="dxa"/>
            <w:gridSpan w:val="2"/>
            <w:vAlign w:val="bottom"/>
          </w:tcPr>
          <w:p w14:paraId="63B5B952" w14:textId="6A39155D" w:rsidR="000B3F00" w:rsidRDefault="00CB3110" w:rsidP="00552E06">
            <w:pPr>
              <w:pStyle w:val="xDokTypNr"/>
            </w:pPr>
            <w:r>
              <w:t xml:space="preserve">BUDGETMOTION nr   </w:t>
            </w:r>
            <w:r w:rsidR="00467E00">
              <w:t>8</w:t>
            </w:r>
            <w:r>
              <w:t>/20</w:t>
            </w:r>
            <w:r w:rsidR="00313559">
              <w:t>2</w:t>
            </w:r>
            <w:r w:rsidR="008A74CB">
              <w:t>5</w:t>
            </w:r>
            <w:r w:rsidR="47312E3B">
              <w:t>-20</w:t>
            </w:r>
            <w:r>
              <w:t>2</w:t>
            </w:r>
            <w:r w:rsidR="008A74CB">
              <w:t>6</w:t>
            </w:r>
          </w:p>
        </w:tc>
      </w:tr>
      <w:tr w:rsidR="000B3F00" w14:paraId="5F0C0F64" w14:textId="77777777" w:rsidTr="47312E3B">
        <w:trPr>
          <w:cantSplit/>
          <w:trHeight w:val="238"/>
        </w:trPr>
        <w:tc>
          <w:tcPr>
            <w:tcW w:w="851" w:type="dxa"/>
            <w:vMerge/>
          </w:tcPr>
          <w:p w14:paraId="298AE0DA" w14:textId="77777777" w:rsidR="000B3F00" w:rsidRDefault="000B3F00">
            <w:pPr>
              <w:pStyle w:val="xLedtext"/>
            </w:pPr>
          </w:p>
        </w:tc>
        <w:tc>
          <w:tcPr>
            <w:tcW w:w="2850" w:type="dxa"/>
            <w:vAlign w:val="bottom"/>
          </w:tcPr>
          <w:p w14:paraId="4FE0C869" w14:textId="77777777" w:rsidR="000B3F00" w:rsidRDefault="000B3F00">
            <w:pPr>
              <w:pStyle w:val="xLedtext"/>
            </w:pPr>
            <w:r>
              <w:t xml:space="preserve">Lagtingsledamot </w:t>
            </w:r>
          </w:p>
        </w:tc>
        <w:tc>
          <w:tcPr>
            <w:tcW w:w="1204" w:type="dxa"/>
            <w:vAlign w:val="bottom"/>
          </w:tcPr>
          <w:p w14:paraId="7D754D57" w14:textId="77777777" w:rsidR="000B3F00" w:rsidRDefault="000B3F00">
            <w:pPr>
              <w:pStyle w:val="xLedtext"/>
            </w:pPr>
            <w:r>
              <w:t>Datum</w:t>
            </w:r>
          </w:p>
        </w:tc>
        <w:tc>
          <w:tcPr>
            <w:tcW w:w="2326" w:type="dxa"/>
            <w:vAlign w:val="bottom"/>
          </w:tcPr>
          <w:p w14:paraId="182503B6" w14:textId="77777777" w:rsidR="000B3F00" w:rsidRDefault="000B3F00">
            <w:pPr>
              <w:pStyle w:val="xLedtext"/>
            </w:pPr>
          </w:p>
        </w:tc>
      </w:tr>
      <w:tr w:rsidR="000B3F00" w14:paraId="7EE92D1C" w14:textId="77777777" w:rsidTr="47312E3B">
        <w:trPr>
          <w:cantSplit/>
          <w:trHeight w:val="238"/>
        </w:trPr>
        <w:tc>
          <w:tcPr>
            <w:tcW w:w="851" w:type="dxa"/>
            <w:vMerge/>
          </w:tcPr>
          <w:p w14:paraId="6CB76AF5" w14:textId="77777777" w:rsidR="000B3F00" w:rsidRDefault="000B3F00">
            <w:pPr>
              <w:pStyle w:val="xAvsandare2"/>
            </w:pPr>
          </w:p>
        </w:tc>
        <w:tc>
          <w:tcPr>
            <w:tcW w:w="2850" w:type="dxa"/>
            <w:vAlign w:val="center"/>
          </w:tcPr>
          <w:p w14:paraId="538F2DF7" w14:textId="77777777" w:rsidR="000B3F00" w:rsidRDefault="001F13E2">
            <w:pPr>
              <w:pStyle w:val="xAvsandare2"/>
            </w:pPr>
            <w:r w:rsidRPr="001F13E2">
              <w:t>Veronica Thörnroos</w:t>
            </w:r>
          </w:p>
        </w:tc>
        <w:tc>
          <w:tcPr>
            <w:tcW w:w="1204" w:type="dxa"/>
            <w:vAlign w:val="center"/>
          </w:tcPr>
          <w:p w14:paraId="36E34B67" w14:textId="77777777" w:rsidR="000B3F00" w:rsidRDefault="00962677" w:rsidP="0012085E">
            <w:pPr>
              <w:pStyle w:val="xDatum1"/>
            </w:pPr>
            <w:r w:rsidRPr="00962677">
              <w:t>2025-11-05</w:t>
            </w:r>
          </w:p>
        </w:tc>
        <w:tc>
          <w:tcPr>
            <w:tcW w:w="2326" w:type="dxa"/>
            <w:vAlign w:val="center"/>
          </w:tcPr>
          <w:p w14:paraId="48D06CC2" w14:textId="77777777" w:rsidR="000B3F00" w:rsidRDefault="000B3F00">
            <w:pPr>
              <w:pStyle w:val="xBeteckning1"/>
            </w:pPr>
          </w:p>
        </w:tc>
      </w:tr>
      <w:tr w:rsidR="000B3F00" w14:paraId="2D091E6A" w14:textId="77777777" w:rsidTr="47312E3B">
        <w:trPr>
          <w:cantSplit/>
          <w:trHeight w:val="238"/>
        </w:trPr>
        <w:tc>
          <w:tcPr>
            <w:tcW w:w="851" w:type="dxa"/>
            <w:vMerge/>
          </w:tcPr>
          <w:p w14:paraId="527474D2" w14:textId="77777777" w:rsidR="000B3F00" w:rsidRDefault="000B3F00">
            <w:pPr>
              <w:pStyle w:val="xLedtext"/>
            </w:pPr>
          </w:p>
        </w:tc>
        <w:tc>
          <w:tcPr>
            <w:tcW w:w="2850" w:type="dxa"/>
            <w:vAlign w:val="bottom"/>
          </w:tcPr>
          <w:p w14:paraId="58B27A9F" w14:textId="77777777" w:rsidR="000B3F00" w:rsidRDefault="000B3F00">
            <w:pPr>
              <w:pStyle w:val="xLedtext"/>
            </w:pPr>
          </w:p>
        </w:tc>
        <w:tc>
          <w:tcPr>
            <w:tcW w:w="1204" w:type="dxa"/>
            <w:vAlign w:val="bottom"/>
          </w:tcPr>
          <w:p w14:paraId="521719E6" w14:textId="77777777" w:rsidR="000B3F00" w:rsidRDefault="000B3F00">
            <w:pPr>
              <w:pStyle w:val="xLedtext"/>
            </w:pPr>
          </w:p>
        </w:tc>
        <w:tc>
          <w:tcPr>
            <w:tcW w:w="2326" w:type="dxa"/>
            <w:vAlign w:val="bottom"/>
          </w:tcPr>
          <w:p w14:paraId="5B497B39" w14:textId="77777777" w:rsidR="000B3F00" w:rsidRDefault="000B3F00">
            <w:pPr>
              <w:pStyle w:val="xLedtext"/>
            </w:pPr>
          </w:p>
        </w:tc>
      </w:tr>
      <w:tr w:rsidR="000B3F00" w14:paraId="1031C30D" w14:textId="77777777" w:rsidTr="47312E3B">
        <w:trPr>
          <w:cantSplit/>
          <w:trHeight w:val="238"/>
        </w:trPr>
        <w:tc>
          <w:tcPr>
            <w:tcW w:w="851" w:type="dxa"/>
            <w:vMerge/>
            <w:tcBorders>
              <w:bottom w:val="single" w:sz="4" w:space="0" w:color="auto"/>
            </w:tcBorders>
          </w:tcPr>
          <w:p w14:paraId="51E080C7" w14:textId="77777777" w:rsidR="000B3F00" w:rsidRDefault="000B3F00">
            <w:pPr>
              <w:pStyle w:val="xAvsandare3"/>
            </w:pPr>
          </w:p>
        </w:tc>
        <w:tc>
          <w:tcPr>
            <w:tcW w:w="2850" w:type="dxa"/>
            <w:tcBorders>
              <w:bottom w:val="single" w:sz="4" w:space="0" w:color="auto"/>
            </w:tcBorders>
            <w:vAlign w:val="center"/>
          </w:tcPr>
          <w:p w14:paraId="2CB93BF2" w14:textId="77777777" w:rsidR="000B3F00" w:rsidRDefault="000B3F00">
            <w:pPr>
              <w:pStyle w:val="xAvsandare3"/>
            </w:pPr>
          </w:p>
        </w:tc>
        <w:tc>
          <w:tcPr>
            <w:tcW w:w="1204" w:type="dxa"/>
            <w:tcBorders>
              <w:bottom w:val="single" w:sz="4" w:space="0" w:color="auto"/>
            </w:tcBorders>
            <w:vAlign w:val="center"/>
          </w:tcPr>
          <w:p w14:paraId="593D6ABC" w14:textId="77777777" w:rsidR="000B3F00" w:rsidRDefault="000B3F00">
            <w:pPr>
              <w:pStyle w:val="xDatum2"/>
            </w:pPr>
          </w:p>
        </w:tc>
        <w:tc>
          <w:tcPr>
            <w:tcW w:w="2326" w:type="dxa"/>
            <w:tcBorders>
              <w:bottom w:val="single" w:sz="4" w:space="0" w:color="auto"/>
            </w:tcBorders>
            <w:vAlign w:val="center"/>
          </w:tcPr>
          <w:p w14:paraId="24349480" w14:textId="77777777" w:rsidR="000B3F00" w:rsidRDefault="000B3F00">
            <w:pPr>
              <w:pStyle w:val="xBeteckning2"/>
            </w:pPr>
          </w:p>
        </w:tc>
      </w:tr>
      <w:tr w:rsidR="000B3F00" w14:paraId="0AAAD0F9" w14:textId="77777777" w:rsidTr="47312E3B">
        <w:trPr>
          <w:cantSplit/>
          <w:trHeight w:val="238"/>
        </w:trPr>
        <w:tc>
          <w:tcPr>
            <w:tcW w:w="851" w:type="dxa"/>
            <w:tcBorders>
              <w:top w:val="single" w:sz="4" w:space="0" w:color="auto"/>
            </w:tcBorders>
            <w:vAlign w:val="bottom"/>
          </w:tcPr>
          <w:p w14:paraId="60148750" w14:textId="77777777" w:rsidR="000B3F00" w:rsidRDefault="000B3F00">
            <w:pPr>
              <w:pStyle w:val="xLedtext"/>
            </w:pPr>
          </w:p>
        </w:tc>
        <w:tc>
          <w:tcPr>
            <w:tcW w:w="2850" w:type="dxa"/>
            <w:tcBorders>
              <w:top w:val="single" w:sz="4" w:space="0" w:color="auto"/>
            </w:tcBorders>
            <w:vAlign w:val="bottom"/>
          </w:tcPr>
          <w:p w14:paraId="0E97EDBE" w14:textId="77777777" w:rsidR="000B3F00" w:rsidRDefault="000B3F00">
            <w:pPr>
              <w:pStyle w:val="xLedtext"/>
            </w:pPr>
          </w:p>
        </w:tc>
        <w:tc>
          <w:tcPr>
            <w:tcW w:w="3530" w:type="dxa"/>
            <w:gridSpan w:val="2"/>
            <w:tcBorders>
              <w:top w:val="single" w:sz="4" w:space="0" w:color="auto"/>
            </w:tcBorders>
            <w:vAlign w:val="bottom"/>
          </w:tcPr>
          <w:p w14:paraId="75885827" w14:textId="77777777" w:rsidR="000B3F00" w:rsidRDefault="000B3F00">
            <w:pPr>
              <w:pStyle w:val="xLedtext"/>
            </w:pPr>
          </w:p>
        </w:tc>
      </w:tr>
      <w:tr w:rsidR="000B3F00" w14:paraId="6B51B069" w14:textId="77777777" w:rsidTr="47312E3B">
        <w:trPr>
          <w:cantSplit/>
          <w:trHeight w:val="238"/>
        </w:trPr>
        <w:tc>
          <w:tcPr>
            <w:tcW w:w="851" w:type="dxa"/>
          </w:tcPr>
          <w:p w14:paraId="561F9D39" w14:textId="77777777" w:rsidR="000B3F00" w:rsidRDefault="000B3F00">
            <w:pPr>
              <w:pStyle w:val="xCelltext"/>
            </w:pPr>
          </w:p>
        </w:tc>
        <w:tc>
          <w:tcPr>
            <w:tcW w:w="2850" w:type="dxa"/>
            <w:vMerge w:val="restart"/>
          </w:tcPr>
          <w:p w14:paraId="15DF7976" w14:textId="77777777" w:rsidR="000B3F00" w:rsidRDefault="000B3F00">
            <w:pPr>
              <w:pStyle w:val="xMottagare1"/>
            </w:pPr>
            <w:r>
              <w:t>Till Ålands lagting</w:t>
            </w:r>
          </w:p>
        </w:tc>
        <w:tc>
          <w:tcPr>
            <w:tcW w:w="3530" w:type="dxa"/>
            <w:gridSpan w:val="2"/>
            <w:vMerge w:val="restart"/>
          </w:tcPr>
          <w:p w14:paraId="394370F8" w14:textId="77777777" w:rsidR="000B3F00" w:rsidRDefault="000B3F00">
            <w:pPr>
              <w:pStyle w:val="xMottagare1"/>
              <w:tabs>
                <w:tab w:val="left" w:pos="2349"/>
              </w:tabs>
            </w:pPr>
          </w:p>
        </w:tc>
      </w:tr>
      <w:tr w:rsidR="000B3F00" w14:paraId="318C3D5E" w14:textId="77777777" w:rsidTr="47312E3B">
        <w:trPr>
          <w:cantSplit/>
          <w:trHeight w:val="238"/>
        </w:trPr>
        <w:tc>
          <w:tcPr>
            <w:tcW w:w="851" w:type="dxa"/>
          </w:tcPr>
          <w:p w14:paraId="37E98F93" w14:textId="77777777" w:rsidR="000B3F00" w:rsidRDefault="000B3F00">
            <w:pPr>
              <w:pStyle w:val="xCelltext"/>
            </w:pPr>
          </w:p>
        </w:tc>
        <w:tc>
          <w:tcPr>
            <w:tcW w:w="2850" w:type="dxa"/>
            <w:vMerge/>
            <w:vAlign w:val="center"/>
          </w:tcPr>
          <w:p w14:paraId="1635D5BE" w14:textId="77777777" w:rsidR="000B3F00" w:rsidRDefault="000B3F00">
            <w:pPr>
              <w:pStyle w:val="xCelltext"/>
            </w:pPr>
          </w:p>
        </w:tc>
        <w:tc>
          <w:tcPr>
            <w:tcW w:w="3530" w:type="dxa"/>
            <w:gridSpan w:val="2"/>
            <w:vMerge/>
            <w:vAlign w:val="center"/>
          </w:tcPr>
          <w:p w14:paraId="2A559D9C" w14:textId="77777777" w:rsidR="000B3F00" w:rsidRDefault="000B3F00">
            <w:pPr>
              <w:pStyle w:val="xCelltext"/>
            </w:pPr>
          </w:p>
        </w:tc>
      </w:tr>
      <w:tr w:rsidR="000B3F00" w14:paraId="5D5F0542" w14:textId="77777777" w:rsidTr="47312E3B">
        <w:trPr>
          <w:cantSplit/>
          <w:trHeight w:val="238"/>
        </w:trPr>
        <w:tc>
          <w:tcPr>
            <w:tcW w:w="851" w:type="dxa"/>
          </w:tcPr>
          <w:p w14:paraId="6C1B14DD" w14:textId="77777777" w:rsidR="000B3F00" w:rsidRDefault="000B3F00">
            <w:pPr>
              <w:pStyle w:val="xCelltext"/>
            </w:pPr>
          </w:p>
        </w:tc>
        <w:tc>
          <w:tcPr>
            <w:tcW w:w="2850" w:type="dxa"/>
            <w:vMerge/>
            <w:vAlign w:val="center"/>
          </w:tcPr>
          <w:p w14:paraId="65FC5AB1" w14:textId="77777777" w:rsidR="000B3F00" w:rsidRDefault="000B3F00">
            <w:pPr>
              <w:pStyle w:val="xCelltext"/>
            </w:pPr>
          </w:p>
        </w:tc>
        <w:tc>
          <w:tcPr>
            <w:tcW w:w="3530" w:type="dxa"/>
            <w:gridSpan w:val="2"/>
            <w:vMerge/>
            <w:vAlign w:val="center"/>
          </w:tcPr>
          <w:p w14:paraId="1D30349C" w14:textId="77777777" w:rsidR="000B3F00" w:rsidRDefault="000B3F00">
            <w:pPr>
              <w:pStyle w:val="xCelltext"/>
            </w:pPr>
          </w:p>
        </w:tc>
      </w:tr>
      <w:tr w:rsidR="000B3F00" w14:paraId="4067694C" w14:textId="77777777" w:rsidTr="47312E3B">
        <w:trPr>
          <w:cantSplit/>
          <w:trHeight w:val="238"/>
        </w:trPr>
        <w:tc>
          <w:tcPr>
            <w:tcW w:w="851" w:type="dxa"/>
          </w:tcPr>
          <w:p w14:paraId="2159A4D9" w14:textId="77777777" w:rsidR="000B3F00" w:rsidRDefault="000B3F00">
            <w:pPr>
              <w:pStyle w:val="xCelltext"/>
            </w:pPr>
          </w:p>
        </w:tc>
        <w:tc>
          <w:tcPr>
            <w:tcW w:w="2850" w:type="dxa"/>
            <w:vMerge/>
            <w:vAlign w:val="center"/>
          </w:tcPr>
          <w:p w14:paraId="0715D394" w14:textId="77777777" w:rsidR="000B3F00" w:rsidRDefault="000B3F00">
            <w:pPr>
              <w:pStyle w:val="xCelltext"/>
            </w:pPr>
          </w:p>
        </w:tc>
        <w:tc>
          <w:tcPr>
            <w:tcW w:w="3530" w:type="dxa"/>
            <w:gridSpan w:val="2"/>
            <w:vMerge/>
            <w:vAlign w:val="center"/>
          </w:tcPr>
          <w:p w14:paraId="6B6297D3" w14:textId="77777777" w:rsidR="000B3F00" w:rsidRDefault="000B3F00">
            <w:pPr>
              <w:pStyle w:val="xCelltext"/>
            </w:pPr>
          </w:p>
        </w:tc>
      </w:tr>
      <w:tr w:rsidR="000B3F00" w14:paraId="55749B59" w14:textId="77777777" w:rsidTr="47312E3B">
        <w:trPr>
          <w:cantSplit/>
          <w:trHeight w:val="238"/>
        </w:trPr>
        <w:tc>
          <w:tcPr>
            <w:tcW w:w="851" w:type="dxa"/>
          </w:tcPr>
          <w:p w14:paraId="5A3F54F6" w14:textId="77777777" w:rsidR="000B3F00" w:rsidRDefault="000B3F00">
            <w:pPr>
              <w:pStyle w:val="xCelltext"/>
            </w:pPr>
          </w:p>
        </w:tc>
        <w:tc>
          <w:tcPr>
            <w:tcW w:w="2850" w:type="dxa"/>
            <w:vMerge/>
            <w:vAlign w:val="center"/>
          </w:tcPr>
          <w:p w14:paraId="4AAB3EBA" w14:textId="77777777" w:rsidR="000B3F00" w:rsidRDefault="000B3F00">
            <w:pPr>
              <w:pStyle w:val="xCelltext"/>
            </w:pPr>
          </w:p>
        </w:tc>
        <w:tc>
          <w:tcPr>
            <w:tcW w:w="3530" w:type="dxa"/>
            <w:gridSpan w:val="2"/>
            <w:vMerge/>
            <w:vAlign w:val="center"/>
          </w:tcPr>
          <w:p w14:paraId="26924BD9" w14:textId="77777777" w:rsidR="000B3F00" w:rsidRDefault="000B3F00">
            <w:pPr>
              <w:pStyle w:val="xCelltext"/>
            </w:pPr>
          </w:p>
        </w:tc>
      </w:tr>
    </w:tbl>
    <w:p w14:paraId="7578852A" w14:textId="77777777" w:rsidR="000B3F00" w:rsidRDefault="00B13082">
      <w:pPr>
        <w:pStyle w:val="ANormal"/>
      </w:pPr>
      <w:r>
        <w:rPr>
          <w:rFonts w:ascii="Arial" w:hAnsi="Arial" w:cs="Arial"/>
          <w:b/>
          <w:bCs/>
          <w:sz w:val="26"/>
        </w:rPr>
        <w:t>Privatisering av drift och underhåll av det allmänna vägnätet</w:t>
      </w:r>
    </w:p>
    <w:p w14:paraId="2B998250" w14:textId="77777777" w:rsidR="000B3F00" w:rsidRDefault="000B3F00">
      <w:pPr>
        <w:pStyle w:val="ANormal"/>
      </w:pPr>
    </w:p>
    <w:p w14:paraId="3B28F9D3" w14:textId="77777777" w:rsidR="006627DE" w:rsidRDefault="00B13082">
      <w:pPr>
        <w:pStyle w:val="ANormal"/>
      </w:pPr>
      <w:r>
        <w:t>Landskapets kärva ekonomiska läge är en utmaning för hela det offentliga Åland. För att möjliggöra en fortsatt god servicenivå inom infrastruktursektorn måste driftskostnaderna minska. Genom att privatisera drift och underhåll av det allmänna vägnätet kan sannolikt kostnaderna sänkas.</w:t>
      </w:r>
    </w:p>
    <w:p w14:paraId="2E04E76C" w14:textId="77777777" w:rsidR="00E657B4" w:rsidRDefault="002E06E8">
      <w:pPr>
        <w:pStyle w:val="ANormal"/>
      </w:pPr>
      <w:r>
        <w:t>Landskapsregeringen inleder omgående arbetet med att privatisera drift och underhåll av det allmänna vägnätet under förutsättningen att beredningen visar att det blir ekonomiskt fördelaktigt.</w:t>
      </w:r>
    </w:p>
    <w:p w14:paraId="0D2EF6ED" w14:textId="77777777" w:rsidR="00E657B4" w:rsidRDefault="00E657B4">
      <w:pPr>
        <w:pStyle w:val="ANormal"/>
      </w:pPr>
    </w:p>
    <w:p w14:paraId="5DC389A9" w14:textId="77777777" w:rsidR="00E657B4" w:rsidRDefault="00E657B4">
      <w:pPr>
        <w:pStyle w:val="ANormal"/>
      </w:pPr>
    </w:p>
    <w:p w14:paraId="3184EEA3" w14:textId="77777777" w:rsidR="00E657B4" w:rsidRDefault="00E657B4">
      <w:pPr>
        <w:pStyle w:val="ANormal"/>
      </w:pPr>
    </w:p>
    <w:p w14:paraId="53C3BFAD" w14:textId="77777777" w:rsidR="00E657B4" w:rsidRDefault="00E657B4">
      <w:pPr>
        <w:pStyle w:val="ANormal"/>
      </w:pPr>
    </w:p>
    <w:p w14:paraId="179D2F3C" w14:textId="77777777" w:rsidR="00E657B4" w:rsidRDefault="00E657B4">
      <w:pPr>
        <w:pStyle w:val="ANormal"/>
      </w:pPr>
    </w:p>
    <w:p w14:paraId="0429CD0B" w14:textId="77777777" w:rsidR="00514927" w:rsidRDefault="00514927">
      <w:pPr>
        <w:pStyle w:val="ANormal"/>
        <w:rPr>
          <w:b/>
        </w:rPr>
      </w:pPr>
    </w:p>
    <w:p w14:paraId="52ABD3F8" w14:textId="77777777" w:rsidR="00514927" w:rsidRDefault="00514927">
      <w:pPr>
        <w:pStyle w:val="ANormal"/>
        <w:rPr>
          <w:b/>
        </w:rPr>
      </w:pPr>
    </w:p>
    <w:p w14:paraId="24EFBB0B" w14:textId="77777777" w:rsidR="006627DE" w:rsidRPr="009D5985" w:rsidRDefault="009D5985">
      <w:pPr>
        <w:pStyle w:val="ANormal"/>
        <w:rPr>
          <w:b/>
        </w:rPr>
      </w:pPr>
      <w:r w:rsidRPr="009D5985">
        <w:rPr>
          <w:b/>
        </w:rPr>
        <w:t>FÖRSLAG</w:t>
      </w:r>
    </w:p>
    <w:p w14:paraId="1BE768B2" w14:textId="77777777" w:rsidR="000B3F00" w:rsidRDefault="00BA6D77">
      <w:pPr>
        <w:pStyle w:val="ANormal"/>
      </w:pPr>
      <w:r>
        <w:tab/>
      </w:r>
    </w:p>
    <w:p w14:paraId="17A82406" w14:textId="77777777" w:rsidR="009D5985" w:rsidRDefault="00B13082">
      <w:pPr>
        <w:pStyle w:val="Klam"/>
      </w:pPr>
      <w:r>
        <w:rPr>
          <w:b/>
        </w:rPr>
        <w:t>Rubrik i den allmänna motiveringen:</w:t>
      </w:r>
      <w:r w:rsidR="00962677">
        <w:rPr>
          <w:b/>
        </w:rPr>
        <w:t xml:space="preserve"> </w:t>
      </w:r>
      <w:r w:rsidR="00962677" w:rsidRPr="00962677">
        <w:t>Politikområde 7-detaljmotivering verksamhet och överföringar</w:t>
      </w:r>
    </w:p>
    <w:p w14:paraId="287AA5DD" w14:textId="77777777" w:rsidR="00962677" w:rsidRDefault="00962677" w:rsidP="00962677">
      <w:pPr>
        <w:pStyle w:val="Klam"/>
        <w:rPr>
          <w:bCs/>
        </w:rPr>
      </w:pPr>
      <w:r w:rsidRPr="00962677">
        <w:rPr>
          <w:b/>
          <w:bCs/>
        </w:rPr>
        <w:t xml:space="preserve">Sida: </w:t>
      </w:r>
      <w:r w:rsidRPr="00962677">
        <w:rPr>
          <w:bCs/>
        </w:rPr>
        <w:t>151</w:t>
      </w:r>
    </w:p>
    <w:p w14:paraId="0439E528" w14:textId="2E2193AC" w:rsidR="00962677" w:rsidRDefault="00962677" w:rsidP="00962677">
      <w:pPr>
        <w:pStyle w:val="Klam"/>
        <w:rPr>
          <w:bCs/>
        </w:rPr>
      </w:pPr>
      <w:r>
        <w:rPr>
          <w:b/>
          <w:bCs/>
        </w:rPr>
        <w:t>Följande text läggs till:</w:t>
      </w:r>
      <w:r w:rsidR="002E06E8">
        <w:rPr>
          <w:b/>
          <w:bCs/>
        </w:rPr>
        <w:t xml:space="preserve"> </w:t>
      </w:r>
      <w:r w:rsidRPr="00962677">
        <w:rPr>
          <w:bCs/>
        </w:rPr>
        <w:t>En utfasning av offentlig verksamhet till det privata näringslivet, i det här fallet drift och underhåll av det offentliga vägnätet, skapar även nya möjligheter för både nya och etablerade företagare verksamma inom branschen.</w:t>
      </w:r>
    </w:p>
    <w:p w14:paraId="3C18E927" w14:textId="77777777" w:rsidR="00962677" w:rsidRPr="002E06E8" w:rsidRDefault="00962677" w:rsidP="00962677">
      <w:pPr>
        <w:pStyle w:val="Klam"/>
        <w:rPr>
          <w:lang w:val="sv-FI"/>
        </w:rPr>
      </w:pPr>
      <w:r w:rsidRPr="002E06E8">
        <w:rPr>
          <w:b/>
          <w:lang w:val="sv-FI"/>
        </w:rPr>
        <w:t xml:space="preserve"> </w:t>
      </w:r>
    </w:p>
    <w:p w14:paraId="22B54ACC" w14:textId="77777777" w:rsidR="00962677" w:rsidRDefault="00962677" w:rsidP="00962677">
      <w:pPr>
        <w:pStyle w:val="Klam"/>
        <w:rPr>
          <w:bCs/>
        </w:rPr>
      </w:pPr>
    </w:p>
    <w:p w14:paraId="20032E7B" w14:textId="77777777" w:rsidR="00962677" w:rsidRPr="002E06E8" w:rsidRDefault="00962677" w:rsidP="00962677">
      <w:pPr>
        <w:pStyle w:val="Klam"/>
        <w:rPr>
          <w:bCs/>
          <w:lang w:val="sv-FI"/>
        </w:rPr>
      </w:pPr>
      <w:r w:rsidRPr="002E06E8">
        <w:rPr>
          <w:b/>
          <w:bCs/>
          <w:lang w:val="sv-FI"/>
        </w:rPr>
        <w:t xml:space="preserve"> </w:t>
      </w:r>
    </w:p>
    <w:p w14:paraId="351AEB44" w14:textId="77777777" w:rsidR="00962677" w:rsidRPr="002E06E8" w:rsidRDefault="00962677" w:rsidP="00962677">
      <w:pPr>
        <w:pStyle w:val="Klam"/>
        <w:rPr>
          <w:b/>
          <w:bCs/>
          <w:lang w:val="sv-FI"/>
        </w:rPr>
      </w:pPr>
    </w:p>
    <w:p w14:paraId="64C06D96" w14:textId="77777777" w:rsidR="000B3F00" w:rsidRPr="002E06E8" w:rsidRDefault="000B3F00">
      <w:pPr>
        <w:pStyle w:val="ANormal"/>
        <w:rPr>
          <w:lang w:val="sv-FI"/>
        </w:rPr>
      </w:pPr>
    </w:p>
    <w:p w14:paraId="4539042F" w14:textId="77777777" w:rsidR="00CC2901" w:rsidRPr="008A74CB" w:rsidRDefault="00CC2901" w:rsidP="00CC2901">
      <w:pPr>
        <w:pStyle w:val="ANormal"/>
        <w:rPr>
          <w:lang w:val="en-US"/>
        </w:rPr>
      </w:pPr>
      <w:r w:rsidRPr="008A74CB">
        <w:rPr>
          <w:lang w:val="en-US"/>
        </w:rPr>
        <w:t xml:space="preserve">Mariehamn den 5 </w:t>
      </w:r>
      <w:proofErr w:type="spellStart"/>
      <w:r w:rsidRPr="008A74CB">
        <w:rPr>
          <w:lang w:val="en-US"/>
        </w:rPr>
        <w:t>november</w:t>
      </w:r>
      <w:proofErr w:type="spellEnd"/>
      <w:r w:rsidRPr="008A74CB">
        <w:rPr>
          <w:lang w:val="en-US"/>
        </w:rPr>
        <w:t xml:space="preserve"> 2025</w:t>
      </w:r>
    </w:p>
    <w:p w14:paraId="3762601B" w14:textId="77777777" w:rsidR="000B3F00" w:rsidRPr="008A74CB" w:rsidRDefault="000B3F00">
      <w:pPr>
        <w:pStyle w:val="ANormal"/>
        <w:rPr>
          <w:lang w:val="en-US"/>
        </w:rPr>
      </w:pPr>
    </w:p>
    <w:p w14:paraId="540DCE43" w14:textId="77777777" w:rsidR="00CC2901" w:rsidRPr="008A74CB" w:rsidRDefault="00CC2901">
      <w:pPr>
        <w:pStyle w:val="ANormal"/>
        <w:rPr>
          <w:lang w:val="en-US"/>
        </w:rPr>
      </w:pPr>
    </w:p>
    <w:p w14:paraId="30AED41B" w14:textId="77777777" w:rsidR="000B3F00" w:rsidRPr="008A74CB" w:rsidRDefault="000B3F00" w:rsidP="006A6188">
      <w:pPr>
        <w:pStyle w:val="ANormal"/>
        <w:rPr>
          <w:lang w:val="en-US"/>
        </w:rPr>
      </w:pPr>
    </w:p>
    <w:p w14:paraId="3E0BDBA3" w14:textId="77777777" w:rsidR="00CC2901" w:rsidRDefault="00CC2901" w:rsidP="006A6188">
      <w:pPr>
        <w:pStyle w:val="ANormal"/>
      </w:pPr>
      <w:r w:rsidRPr="001F13E2">
        <w:t>Veronica Thörnroos</w:t>
      </w:r>
    </w:p>
    <w:p w14:paraId="67F5CF29"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36403" w14:textId="77777777" w:rsidR="008C07FA" w:rsidRDefault="008C07FA">
      <w:r>
        <w:separator/>
      </w:r>
    </w:p>
  </w:endnote>
  <w:endnote w:type="continuationSeparator" w:id="0">
    <w:p w14:paraId="3D2D5AE6" w14:textId="77777777" w:rsidR="008C07FA" w:rsidRDefault="008C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3C4D"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14167" w14:textId="77777777" w:rsidR="008C07FA" w:rsidRDefault="008C07FA">
      <w:r>
        <w:separator/>
      </w:r>
    </w:p>
  </w:footnote>
  <w:footnote w:type="continuationSeparator" w:id="0">
    <w:p w14:paraId="17BD9DD5" w14:textId="77777777" w:rsidR="008C07FA" w:rsidRDefault="008C0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3B43B"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7FB612B9"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DE8E"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459F9"/>
    <w:rsid w:val="000B3F00"/>
    <w:rsid w:val="001120C3"/>
    <w:rsid w:val="001172B6"/>
    <w:rsid w:val="0012085E"/>
    <w:rsid w:val="001E5E06"/>
    <w:rsid w:val="001F13E2"/>
    <w:rsid w:val="002B6A69"/>
    <w:rsid w:val="002C4A5F"/>
    <w:rsid w:val="002E06E8"/>
    <w:rsid w:val="002E4A7E"/>
    <w:rsid w:val="002E756C"/>
    <w:rsid w:val="002F028C"/>
    <w:rsid w:val="002F50E4"/>
    <w:rsid w:val="003011C1"/>
    <w:rsid w:val="00305447"/>
    <w:rsid w:val="00313559"/>
    <w:rsid w:val="003415D3"/>
    <w:rsid w:val="0037475F"/>
    <w:rsid w:val="0038300C"/>
    <w:rsid w:val="003A13FF"/>
    <w:rsid w:val="003B56F7"/>
    <w:rsid w:val="00417578"/>
    <w:rsid w:val="00467E00"/>
    <w:rsid w:val="004A1B4C"/>
    <w:rsid w:val="00514927"/>
    <w:rsid w:val="00552E06"/>
    <w:rsid w:val="005D40EA"/>
    <w:rsid w:val="00631AB9"/>
    <w:rsid w:val="00631AE8"/>
    <w:rsid w:val="00633910"/>
    <w:rsid w:val="00656215"/>
    <w:rsid w:val="006627DE"/>
    <w:rsid w:val="006A6188"/>
    <w:rsid w:val="006C3C1B"/>
    <w:rsid w:val="006E58C9"/>
    <w:rsid w:val="00794C9C"/>
    <w:rsid w:val="007966EF"/>
    <w:rsid w:val="00854DB2"/>
    <w:rsid w:val="008A74CB"/>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C249B5"/>
    <w:rsid w:val="00C6238D"/>
    <w:rsid w:val="00CB3110"/>
    <w:rsid w:val="00CC2901"/>
    <w:rsid w:val="00CC5D15"/>
    <w:rsid w:val="00D10E5F"/>
    <w:rsid w:val="00D3286C"/>
    <w:rsid w:val="00D62A15"/>
    <w:rsid w:val="00D632FD"/>
    <w:rsid w:val="00D761AC"/>
    <w:rsid w:val="00DA6FB9"/>
    <w:rsid w:val="00DF3483"/>
    <w:rsid w:val="00DF7016"/>
    <w:rsid w:val="00E100E9"/>
    <w:rsid w:val="00E131E0"/>
    <w:rsid w:val="00E25A9F"/>
    <w:rsid w:val="00E428A5"/>
    <w:rsid w:val="00E657B4"/>
    <w:rsid w:val="00E94DFE"/>
    <w:rsid w:val="00F027D7"/>
    <w:rsid w:val="00F26A3A"/>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CD0087"/>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1000</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8/2025-2026</dc:title>
  <dc:creator>Lagtinget</dc:creator>
  <cp:lastModifiedBy>Jessica Laaksonen</cp:lastModifiedBy>
  <cp:revision>2</cp:revision>
  <cp:lastPrinted>2016-09-02T07:38:00Z</cp:lastPrinted>
  <dcterms:created xsi:type="dcterms:W3CDTF">2025-11-10T08:49:00Z</dcterms:created>
  <dcterms:modified xsi:type="dcterms:W3CDTF">2025-11-10T08:49:00Z</dcterms:modified>
</cp:coreProperties>
</file>