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68D23DD8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A7633D">
              <w:t>13</w:t>
            </w:r>
            <w:r>
              <w:t>/</w:t>
            </w:r>
            <w:proofErr w:type="gramStart"/>
            <w:r>
              <w:t>20</w:t>
            </w:r>
            <w:r w:rsidR="00383075">
              <w:t>2</w:t>
            </w:r>
            <w:r w:rsidR="00A7633D">
              <w:t>4</w:t>
            </w:r>
            <w:r w:rsidR="311E49B8">
              <w:t>-20</w:t>
            </w:r>
            <w:r>
              <w:t>2</w:t>
            </w:r>
            <w:r w:rsidR="00A7633D">
              <w:t>5</w:t>
            </w:r>
            <w:proofErr w:type="gramEnd"/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</w:tc>
        <w:tc>
          <w:tcPr>
            <w:tcW w:w="1725" w:type="dxa"/>
            <w:vAlign w:val="center"/>
          </w:tcPr>
          <w:p w14:paraId="5818D14B" w14:textId="0383188B" w:rsidR="000B3F00" w:rsidRDefault="00CC6DDF" w:rsidP="0012085E">
            <w:pPr>
              <w:pStyle w:val="xDatum1"/>
            </w:pPr>
            <w:r>
              <w:t>2025-08-</w:t>
            </w:r>
            <w:r w:rsidR="00A7633D">
              <w:t>27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Kommer jaktlagen att träda i kraft mitt i säsongen?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11339D87" w14:textId="7C314C36" w:rsidR="0068365B" w:rsidRDefault="00CC6DDF" w:rsidP="0068365B">
      <w:pPr>
        <w:pStyle w:val="ANormal"/>
        <w:outlineLvl w:val="0"/>
      </w:pPr>
      <w:r>
        <w:t xml:space="preserve">Jaktlagen var planerad att träda i kraft den </w:t>
      </w:r>
      <w:r w:rsidR="00AA6BFD">
        <w:t>1</w:t>
      </w:r>
      <w:r>
        <w:t xml:space="preserve"> augusti</w:t>
      </w:r>
      <w:r w:rsidR="004A7D41">
        <w:t xml:space="preserve"> detta år</w:t>
      </w:r>
      <w:r>
        <w:t>, i god tid före jaktsäsongen</w:t>
      </w:r>
      <w:r w:rsidR="004A7D41">
        <w:t xml:space="preserve">s </w:t>
      </w:r>
      <w:r>
        <w:t>inled</w:t>
      </w:r>
      <w:r w:rsidR="004A7D41">
        <w:t>ning</w:t>
      </w:r>
      <w:r>
        <w:t>.</w:t>
      </w:r>
      <w:r w:rsidR="00F63F00">
        <w:t xml:space="preserve"> Nu har lagen ytterligare försenats på grund av lagstiftningskontrollen i Helsingfors</w:t>
      </w:r>
    </w:p>
    <w:p w14:paraId="0D849612" w14:textId="44EB47F0" w:rsidR="0068365B" w:rsidRDefault="0068365B" w:rsidP="0068365B">
      <w:pPr>
        <w:pStyle w:val="ANormal"/>
        <w:outlineLvl w:val="0"/>
      </w:pPr>
      <w:r w:rsidRPr="0068365B">
        <w:t xml:space="preserve"> </w:t>
      </w:r>
      <w:r>
        <w:t xml:space="preserve">Det är knappast helt oproblematiskt för utövare av jakt att under samma </w:t>
      </w:r>
      <w:proofErr w:type="gramStart"/>
      <w:r>
        <w:t>säsong vara</w:t>
      </w:r>
      <w:proofErr w:type="gramEnd"/>
      <w:r>
        <w:t xml:space="preserve"> tvungna att tillämpa och förhålla sig till två olika lagar. </w:t>
      </w:r>
    </w:p>
    <w:p w14:paraId="6F892D30" w14:textId="327DDB8D" w:rsidR="00CC6DDF" w:rsidRDefault="00CC6DDF" w:rsidP="00CC6DDF">
      <w:pPr>
        <w:pStyle w:val="ANormal"/>
        <w:outlineLvl w:val="0"/>
      </w:pP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1E1EA141" w:rsidR="00CC6DDF" w:rsidRDefault="00BA15A5" w:rsidP="00CC6DDF">
      <w:pPr>
        <w:pStyle w:val="Klam"/>
      </w:pPr>
      <w:r>
        <w:rPr>
          <w:rFonts w:eastAsia="Arial Unicode MS" w:cs="Arial Unicode MS"/>
        </w:rPr>
        <w:t>A</w:t>
      </w:r>
      <w:r w:rsidR="00CC6DDF">
        <w:rPr>
          <w:rFonts w:eastAsia="Arial Unicode MS" w:cs="Arial Unicode MS"/>
        </w:rPr>
        <w:t>vser landskapsregeringen sätta den nya jaktlagen i kraft</w:t>
      </w:r>
      <w:r>
        <w:rPr>
          <w:rFonts w:eastAsia="Arial Unicode MS" w:cs="Arial Unicode MS"/>
        </w:rPr>
        <w:t xml:space="preserve"> </w:t>
      </w:r>
      <w:r w:rsidR="00E434FA">
        <w:rPr>
          <w:rFonts w:eastAsia="Arial Unicode MS" w:cs="Arial Unicode MS"/>
        </w:rPr>
        <w:t xml:space="preserve">under </w:t>
      </w:r>
      <w:r>
        <w:rPr>
          <w:rFonts w:eastAsia="Arial Unicode MS" w:cs="Arial Unicode MS"/>
        </w:rPr>
        <w:t>pågående jaktsäsong</w:t>
      </w:r>
      <w:r w:rsidR="00E434FA">
        <w:rPr>
          <w:rFonts w:eastAsia="Arial Unicode MS" w:cs="Arial Unicode MS"/>
        </w:rPr>
        <w:t xml:space="preserve">? 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63B99D7F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2</w:t>
            </w:r>
            <w:r w:rsidR="00A7633D">
              <w:t>7</w:t>
            </w:r>
            <w:r w:rsidR="00CC6DDF">
              <w:t xml:space="preserve"> augusti 2025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FC19" w14:textId="77777777" w:rsidR="00AC3FC0" w:rsidRDefault="00AC3FC0">
      <w:r>
        <w:separator/>
      </w:r>
    </w:p>
  </w:endnote>
  <w:endnote w:type="continuationSeparator" w:id="0">
    <w:p w14:paraId="0C14FF12" w14:textId="77777777" w:rsidR="00AC3FC0" w:rsidRDefault="00AC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8998D" w14:textId="77777777" w:rsidR="00AC3FC0" w:rsidRDefault="00AC3FC0">
      <w:r>
        <w:separator/>
      </w:r>
    </w:p>
  </w:footnote>
  <w:footnote w:type="continuationSeparator" w:id="0">
    <w:p w14:paraId="20F40B50" w14:textId="77777777" w:rsidR="00AC3FC0" w:rsidRDefault="00AC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14CE7"/>
    <w:rsid w:val="00425395"/>
    <w:rsid w:val="00432DE9"/>
    <w:rsid w:val="004A7D41"/>
    <w:rsid w:val="005C4F66"/>
    <w:rsid w:val="006269FE"/>
    <w:rsid w:val="00636BF4"/>
    <w:rsid w:val="00657480"/>
    <w:rsid w:val="00663FC5"/>
    <w:rsid w:val="0068365B"/>
    <w:rsid w:val="0078402A"/>
    <w:rsid w:val="0084359B"/>
    <w:rsid w:val="00935A18"/>
    <w:rsid w:val="009D01AC"/>
    <w:rsid w:val="00A16986"/>
    <w:rsid w:val="00A42055"/>
    <w:rsid w:val="00A47C76"/>
    <w:rsid w:val="00A716AD"/>
    <w:rsid w:val="00A7633D"/>
    <w:rsid w:val="00AA6BFD"/>
    <w:rsid w:val="00AB47CC"/>
    <w:rsid w:val="00AC3FC0"/>
    <w:rsid w:val="00AF314A"/>
    <w:rsid w:val="00B46974"/>
    <w:rsid w:val="00BA15A5"/>
    <w:rsid w:val="00C12917"/>
    <w:rsid w:val="00C74FBD"/>
    <w:rsid w:val="00C83EBB"/>
    <w:rsid w:val="00CC6DDF"/>
    <w:rsid w:val="00CE4DA3"/>
    <w:rsid w:val="00D10E5F"/>
    <w:rsid w:val="00D3286C"/>
    <w:rsid w:val="00D51099"/>
    <w:rsid w:val="00D54F41"/>
    <w:rsid w:val="00D87C22"/>
    <w:rsid w:val="00E100E9"/>
    <w:rsid w:val="00E131E0"/>
    <w:rsid w:val="00E4145F"/>
    <w:rsid w:val="00E4331F"/>
    <w:rsid w:val="00E434FA"/>
    <w:rsid w:val="00E75797"/>
    <w:rsid w:val="00EB5F02"/>
    <w:rsid w:val="00ED7D95"/>
    <w:rsid w:val="00F06093"/>
    <w:rsid w:val="00F2783C"/>
    <w:rsid w:val="00F53CC8"/>
    <w:rsid w:val="00F63F00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2025-08-27T06:44:00Z</dcterms:created>
  <dcterms:modified xsi:type="dcterms:W3CDTF">2025-08-27T06:44:00Z</dcterms:modified>
</cp:coreProperties>
</file>