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2401D0" w:rsidRPr="00172D44" w14:paraId="057A4BE7" w14:textId="77777777">
        <w:trPr>
          <w:cantSplit/>
          <w:trHeight w:val="20"/>
        </w:trPr>
        <w:tc>
          <w:tcPr>
            <w:tcW w:w="861" w:type="dxa"/>
            <w:vMerge w:val="restart"/>
          </w:tcPr>
          <w:p w14:paraId="25D3A854" w14:textId="77777777" w:rsidR="002401D0" w:rsidRPr="00E93715" w:rsidRDefault="00577410">
            <w:pPr>
              <w:pStyle w:val="xLedtext"/>
              <w:rPr>
                <w:noProof/>
              </w:rPr>
            </w:pPr>
            <w:bookmarkStart w:id="0" w:name="_top"/>
            <w:bookmarkEnd w:id="0"/>
            <w:r w:rsidRPr="00E93715">
              <w:rPr>
                <w:noProof/>
                <w:lang w:val="sv-FI" w:eastAsia="sv-FI"/>
              </w:rPr>
              <w:drawing>
                <wp:inline distT="0" distB="0" distL="0" distR="0" wp14:anchorId="66E54DFF" wp14:editId="05EE27FA">
                  <wp:extent cx="482600" cy="683895"/>
                  <wp:effectExtent l="0" t="0" r="0" b="1905"/>
                  <wp:docPr id="1" name="Bild 1" descr="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vap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2600" cy="683895"/>
                          </a:xfrm>
                          <a:prstGeom prst="rect">
                            <a:avLst/>
                          </a:prstGeom>
                          <a:noFill/>
                          <a:ln>
                            <a:noFill/>
                          </a:ln>
                        </pic:spPr>
                      </pic:pic>
                    </a:graphicData>
                  </a:graphic>
                </wp:inline>
              </w:drawing>
            </w:r>
          </w:p>
        </w:tc>
        <w:tc>
          <w:tcPr>
            <w:tcW w:w="8736" w:type="dxa"/>
            <w:gridSpan w:val="3"/>
            <w:vAlign w:val="bottom"/>
          </w:tcPr>
          <w:p w14:paraId="43ED664C" w14:textId="77777777" w:rsidR="002401D0" w:rsidRPr="00E93715" w:rsidRDefault="00577410">
            <w:pPr>
              <w:pStyle w:val="xMellanrum"/>
            </w:pPr>
            <w:r w:rsidRPr="00E93715">
              <w:rPr>
                <w:noProof/>
                <w:lang w:val="sv-FI" w:eastAsia="sv-FI"/>
              </w:rPr>
              <w:drawing>
                <wp:inline distT="0" distB="0" distL="0" distR="0" wp14:anchorId="1C804A5C" wp14:editId="00B1692B">
                  <wp:extent cx="47625" cy="47625"/>
                  <wp:effectExtent l="0" t="0" r="0" b="0"/>
                  <wp:docPr id="2" name="Bild 2" descr="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2401D0" w:rsidRPr="00172D44" w14:paraId="652C38CC" w14:textId="77777777">
        <w:trPr>
          <w:cantSplit/>
          <w:trHeight w:val="299"/>
        </w:trPr>
        <w:tc>
          <w:tcPr>
            <w:tcW w:w="861" w:type="dxa"/>
            <w:vMerge/>
          </w:tcPr>
          <w:p w14:paraId="3FBE8BAC" w14:textId="77777777" w:rsidR="002401D0" w:rsidRPr="00E93715" w:rsidRDefault="002401D0">
            <w:pPr>
              <w:pStyle w:val="xLedtext"/>
            </w:pPr>
          </w:p>
        </w:tc>
        <w:tc>
          <w:tcPr>
            <w:tcW w:w="4448" w:type="dxa"/>
            <w:vAlign w:val="bottom"/>
          </w:tcPr>
          <w:p w14:paraId="0C012C84" w14:textId="77777777" w:rsidR="002401D0" w:rsidRPr="00E93715" w:rsidRDefault="002401D0">
            <w:pPr>
              <w:pStyle w:val="xAvsandare1"/>
            </w:pPr>
            <w:r w:rsidRPr="00E93715">
              <w:t>Ålands lagting</w:t>
            </w:r>
          </w:p>
        </w:tc>
        <w:tc>
          <w:tcPr>
            <w:tcW w:w="4288" w:type="dxa"/>
            <w:gridSpan w:val="2"/>
            <w:vAlign w:val="bottom"/>
          </w:tcPr>
          <w:p w14:paraId="24156E11" w14:textId="7B8C1929" w:rsidR="002401D0" w:rsidRPr="00172D44" w:rsidRDefault="002401D0" w:rsidP="00837646">
            <w:pPr>
              <w:pStyle w:val="xDokTypNr"/>
              <w:rPr>
                <w:highlight w:val="yellow"/>
              </w:rPr>
            </w:pPr>
            <w:r w:rsidRPr="00172D44">
              <w:t xml:space="preserve">BETÄNKANDE nr </w:t>
            </w:r>
            <w:r w:rsidR="00C45B90">
              <w:t>1</w:t>
            </w:r>
            <w:r w:rsidR="00322FF8">
              <w:t>9</w:t>
            </w:r>
            <w:r w:rsidRPr="00172D44">
              <w:t>/</w:t>
            </w:r>
            <w:proofErr w:type="gramStart"/>
            <w:r w:rsidRPr="00172D44">
              <w:t>20</w:t>
            </w:r>
            <w:r w:rsidR="000B1DB9" w:rsidRPr="00172D44">
              <w:t>2</w:t>
            </w:r>
            <w:r w:rsidR="00172D44" w:rsidRPr="00172D44">
              <w:t>4</w:t>
            </w:r>
            <w:r w:rsidR="0015337C" w:rsidRPr="00172D44">
              <w:t>-20</w:t>
            </w:r>
            <w:r w:rsidR="004D3D04" w:rsidRPr="00172D44">
              <w:t>2</w:t>
            </w:r>
            <w:r w:rsidR="00172D44" w:rsidRPr="00172D44">
              <w:t>5</w:t>
            </w:r>
            <w:proofErr w:type="gramEnd"/>
          </w:p>
        </w:tc>
      </w:tr>
      <w:tr w:rsidR="002401D0" w:rsidRPr="00172D44" w14:paraId="2C3FA8B9" w14:textId="77777777">
        <w:trPr>
          <w:cantSplit/>
          <w:trHeight w:val="238"/>
        </w:trPr>
        <w:tc>
          <w:tcPr>
            <w:tcW w:w="861" w:type="dxa"/>
            <w:vMerge/>
          </w:tcPr>
          <w:p w14:paraId="6C8BD3E8" w14:textId="77777777" w:rsidR="002401D0" w:rsidRPr="00172D44" w:rsidRDefault="002401D0">
            <w:pPr>
              <w:pStyle w:val="xLedtext"/>
              <w:rPr>
                <w:highlight w:val="yellow"/>
              </w:rPr>
            </w:pPr>
          </w:p>
        </w:tc>
        <w:tc>
          <w:tcPr>
            <w:tcW w:w="4448" w:type="dxa"/>
            <w:vAlign w:val="bottom"/>
          </w:tcPr>
          <w:p w14:paraId="4B4D5767" w14:textId="77777777" w:rsidR="002401D0" w:rsidRPr="0074736B" w:rsidRDefault="002401D0">
            <w:pPr>
              <w:pStyle w:val="xLedtext"/>
            </w:pPr>
          </w:p>
        </w:tc>
        <w:tc>
          <w:tcPr>
            <w:tcW w:w="1725" w:type="dxa"/>
            <w:vAlign w:val="bottom"/>
          </w:tcPr>
          <w:p w14:paraId="711EE873" w14:textId="77777777" w:rsidR="002401D0" w:rsidRPr="0074736B" w:rsidRDefault="002401D0">
            <w:pPr>
              <w:pStyle w:val="xLedtext"/>
            </w:pPr>
            <w:r w:rsidRPr="0074736B">
              <w:t>Datum</w:t>
            </w:r>
          </w:p>
        </w:tc>
        <w:tc>
          <w:tcPr>
            <w:tcW w:w="2563" w:type="dxa"/>
            <w:vAlign w:val="bottom"/>
          </w:tcPr>
          <w:p w14:paraId="49C88268" w14:textId="77777777" w:rsidR="002401D0" w:rsidRPr="00172D44" w:rsidRDefault="002401D0">
            <w:pPr>
              <w:pStyle w:val="xLedtext"/>
              <w:rPr>
                <w:highlight w:val="yellow"/>
              </w:rPr>
            </w:pPr>
          </w:p>
        </w:tc>
      </w:tr>
      <w:tr w:rsidR="002401D0" w:rsidRPr="00172D44" w14:paraId="59239E53" w14:textId="77777777">
        <w:trPr>
          <w:cantSplit/>
          <w:trHeight w:val="238"/>
        </w:trPr>
        <w:tc>
          <w:tcPr>
            <w:tcW w:w="861" w:type="dxa"/>
            <w:vMerge/>
          </w:tcPr>
          <w:p w14:paraId="21388BFD" w14:textId="77777777" w:rsidR="002401D0" w:rsidRPr="00172D44" w:rsidRDefault="002401D0">
            <w:pPr>
              <w:pStyle w:val="xAvsandare2"/>
              <w:rPr>
                <w:highlight w:val="yellow"/>
              </w:rPr>
            </w:pPr>
          </w:p>
        </w:tc>
        <w:tc>
          <w:tcPr>
            <w:tcW w:w="4448" w:type="dxa"/>
            <w:vAlign w:val="center"/>
          </w:tcPr>
          <w:p w14:paraId="115F2707" w14:textId="77777777" w:rsidR="002401D0" w:rsidRPr="0074736B" w:rsidRDefault="0028660F">
            <w:pPr>
              <w:pStyle w:val="xAvsandare2"/>
            </w:pPr>
            <w:r w:rsidRPr="0074736B">
              <w:t>Finans- och närings</w:t>
            </w:r>
            <w:r w:rsidR="002401D0" w:rsidRPr="0074736B">
              <w:t>utskottet</w:t>
            </w:r>
          </w:p>
        </w:tc>
        <w:tc>
          <w:tcPr>
            <w:tcW w:w="1725" w:type="dxa"/>
            <w:vAlign w:val="center"/>
          </w:tcPr>
          <w:p w14:paraId="0A690147" w14:textId="03D98A4E" w:rsidR="002401D0" w:rsidRPr="0074736B" w:rsidRDefault="002401D0" w:rsidP="00FD3F3C">
            <w:pPr>
              <w:pStyle w:val="xDatum1"/>
            </w:pPr>
            <w:r w:rsidRPr="0074736B">
              <w:t>20</w:t>
            </w:r>
            <w:r w:rsidR="004D3D04" w:rsidRPr="0074736B">
              <w:t>2</w:t>
            </w:r>
            <w:r w:rsidR="0074736B" w:rsidRPr="0074736B">
              <w:t>5</w:t>
            </w:r>
            <w:r w:rsidR="0028660F" w:rsidRPr="0074736B">
              <w:t>-0</w:t>
            </w:r>
            <w:r w:rsidR="00CA1E7C" w:rsidRPr="0074736B">
              <w:t>9</w:t>
            </w:r>
            <w:r w:rsidR="0028660F" w:rsidRPr="0074736B">
              <w:t>-</w:t>
            </w:r>
            <w:r w:rsidR="0074736B" w:rsidRPr="0074736B">
              <w:t>11</w:t>
            </w:r>
          </w:p>
        </w:tc>
        <w:tc>
          <w:tcPr>
            <w:tcW w:w="2563" w:type="dxa"/>
            <w:vAlign w:val="center"/>
          </w:tcPr>
          <w:p w14:paraId="7962AA13" w14:textId="77777777" w:rsidR="002401D0" w:rsidRPr="00172D44" w:rsidRDefault="002401D0">
            <w:pPr>
              <w:pStyle w:val="xBeteckning1"/>
              <w:rPr>
                <w:highlight w:val="yellow"/>
              </w:rPr>
            </w:pPr>
          </w:p>
        </w:tc>
      </w:tr>
      <w:tr w:rsidR="002401D0" w:rsidRPr="00172D44" w14:paraId="07034CB8" w14:textId="77777777">
        <w:trPr>
          <w:cantSplit/>
          <w:trHeight w:val="238"/>
        </w:trPr>
        <w:tc>
          <w:tcPr>
            <w:tcW w:w="861" w:type="dxa"/>
            <w:vMerge/>
          </w:tcPr>
          <w:p w14:paraId="467DC712" w14:textId="77777777" w:rsidR="002401D0" w:rsidRPr="00172D44" w:rsidRDefault="002401D0">
            <w:pPr>
              <w:pStyle w:val="xLedtext"/>
              <w:rPr>
                <w:highlight w:val="yellow"/>
              </w:rPr>
            </w:pPr>
          </w:p>
        </w:tc>
        <w:tc>
          <w:tcPr>
            <w:tcW w:w="4448" w:type="dxa"/>
            <w:vAlign w:val="bottom"/>
          </w:tcPr>
          <w:p w14:paraId="624ACD1C" w14:textId="77777777" w:rsidR="002401D0" w:rsidRPr="0074736B" w:rsidRDefault="002401D0">
            <w:pPr>
              <w:pStyle w:val="xLedtext"/>
            </w:pPr>
          </w:p>
        </w:tc>
        <w:tc>
          <w:tcPr>
            <w:tcW w:w="1725" w:type="dxa"/>
            <w:vAlign w:val="bottom"/>
          </w:tcPr>
          <w:p w14:paraId="6AABA7A0" w14:textId="77777777" w:rsidR="002401D0" w:rsidRPr="00172D44" w:rsidRDefault="002401D0">
            <w:pPr>
              <w:pStyle w:val="xLedtext"/>
              <w:rPr>
                <w:highlight w:val="yellow"/>
              </w:rPr>
            </w:pPr>
          </w:p>
        </w:tc>
        <w:tc>
          <w:tcPr>
            <w:tcW w:w="2563" w:type="dxa"/>
            <w:vAlign w:val="bottom"/>
          </w:tcPr>
          <w:p w14:paraId="564A9A03" w14:textId="77777777" w:rsidR="002401D0" w:rsidRPr="00172D44" w:rsidRDefault="002401D0">
            <w:pPr>
              <w:pStyle w:val="xLedtext"/>
              <w:rPr>
                <w:highlight w:val="yellow"/>
              </w:rPr>
            </w:pPr>
          </w:p>
        </w:tc>
      </w:tr>
      <w:tr w:rsidR="002401D0" w:rsidRPr="00172D44" w14:paraId="7AD8161F" w14:textId="77777777">
        <w:trPr>
          <w:cantSplit/>
          <w:trHeight w:val="238"/>
        </w:trPr>
        <w:tc>
          <w:tcPr>
            <w:tcW w:w="861" w:type="dxa"/>
            <w:vMerge/>
            <w:tcBorders>
              <w:bottom w:val="single" w:sz="4" w:space="0" w:color="auto"/>
            </w:tcBorders>
          </w:tcPr>
          <w:p w14:paraId="24A2EA57" w14:textId="77777777" w:rsidR="002401D0" w:rsidRPr="00172D44" w:rsidRDefault="002401D0">
            <w:pPr>
              <w:pStyle w:val="xAvsandare3"/>
              <w:rPr>
                <w:highlight w:val="yellow"/>
              </w:rPr>
            </w:pPr>
          </w:p>
        </w:tc>
        <w:tc>
          <w:tcPr>
            <w:tcW w:w="4448" w:type="dxa"/>
            <w:tcBorders>
              <w:bottom w:val="single" w:sz="4" w:space="0" w:color="auto"/>
            </w:tcBorders>
            <w:vAlign w:val="center"/>
          </w:tcPr>
          <w:p w14:paraId="1904C7A0" w14:textId="77777777" w:rsidR="002401D0" w:rsidRPr="0074736B" w:rsidRDefault="002401D0">
            <w:pPr>
              <w:pStyle w:val="xAvsandare3"/>
            </w:pPr>
          </w:p>
        </w:tc>
        <w:tc>
          <w:tcPr>
            <w:tcW w:w="1725" w:type="dxa"/>
            <w:tcBorders>
              <w:bottom w:val="single" w:sz="4" w:space="0" w:color="auto"/>
            </w:tcBorders>
            <w:vAlign w:val="center"/>
          </w:tcPr>
          <w:p w14:paraId="676B0B8E" w14:textId="77777777" w:rsidR="002401D0" w:rsidRPr="00172D44" w:rsidRDefault="002401D0">
            <w:pPr>
              <w:pStyle w:val="xDatum2"/>
              <w:rPr>
                <w:highlight w:val="yellow"/>
              </w:rPr>
            </w:pPr>
          </w:p>
        </w:tc>
        <w:tc>
          <w:tcPr>
            <w:tcW w:w="2563" w:type="dxa"/>
            <w:tcBorders>
              <w:bottom w:val="single" w:sz="4" w:space="0" w:color="auto"/>
            </w:tcBorders>
            <w:vAlign w:val="center"/>
          </w:tcPr>
          <w:p w14:paraId="10A73CE7" w14:textId="77777777" w:rsidR="002401D0" w:rsidRPr="00172D44" w:rsidRDefault="002401D0">
            <w:pPr>
              <w:pStyle w:val="xBeteckning2"/>
              <w:rPr>
                <w:highlight w:val="yellow"/>
              </w:rPr>
            </w:pPr>
          </w:p>
        </w:tc>
      </w:tr>
      <w:tr w:rsidR="002401D0" w:rsidRPr="00172D44" w14:paraId="210CC041" w14:textId="77777777">
        <w:trPr>
          <w:cantSplit/>
          <w:trHeight w:val="238"/>
        </w:trPr>
        <w:tc>
          <w:tcPr>
            <w:tcW w:w="861" w:type="dxa"/>
            <w:tcBorders>
              <w:top w:val="single" w:sz="4" w:space="0" w:color="auto"/>
            </w:tcBorders>
            <w:vAlign w:val="bottom"/>
          </w:tcPr>
          <w:p w14:paraId="4ED5A9E8" w14:textId="77777777" w:rsidR="002401D0" w:rsidRPr="00172D44" w:rsidRDefault="002401D0">
            <w:pPr>
              <w:pStyle w:val="xLedtext"/>
              <w:rPr>
                <w:highlight w:val="yellow"/>
              </w:rPr>
            </w:pPr>
          </w:p>
        </w:tc>
        <w:tc>
          <w:tcPr>
            <w:tcW w:w="4448" w:type="dxa"/>
            <w:tcBorders>
              <w:top w:val="single" w:sz="4" w:space="0" w:color="auto"/>
            </w:tcBorders>
            <w:vAlign w:val="bottom"/>
          </w:tcPr>
          <w:p w14:paraId="75E412DA" w14:textId="77777777" w:rsidR="002401D0" w:rsidRPr="0074736B" w:rsidRDefault="002401D0">
            <w:pPr>
              <w:pStyle w:val="xLedtext"/>
            </w:pPr>
          </w:p>
        </w:tc>
        <w:tc>
          <w:tcPr>
            <w:tcW w:w="4288" w:type="dxa"/>
            <w:gridSpan w:val="2"/>
            <w:tcBorders>
              <w:top w:val="single" w:sz="4" w:space="0" w:color="auto"/>
            </w:tcBorders>
            <w:vAlign w:val="bottom"/>
          </w:tcPr>
          <w:p w14:paraId="49B432C6" w14:textId="77777777" w:rsidR="002401D0" w:rsidRPr="00172D44" w:rsidRDefault="002401D0">
            <w:pPr>
              <w:pStyle w:val="xLedtext"/>
              <w:rPr>
                <w:highlight w:val="yellow"/>
              </w:rPr>
            </w:pPr>
          </w:p>
        </w:tc>
      </w:tr>
      <w:tr w:rsidR="002401D0" w:rsidRPr="00172D44" w14:paraId="3BC1322C" w14:textId="77777777">
        <w:trPr>
          <w:cantSplit/>
          <w:trHeight w:val="238"/>
        </w:trPr>
        <w:tc>
          <w:tcPr>
            <w:tcW w:w="861" w:type="dxa"/>
          </w:tcPr>
          <w:p w14:paraId="01384DCA" w14:textId="77777777" w:rsidR="002401D0" w:rsidRPr="0074736B" w:rsidRDefault="002401D0">
            <w:pPr>
              <w:pStyle w:val="xCelltext"/>
            </w:pPr>
          </w:p>
        </w:tc>
        <w:tc>
          <w:tcPr>
            <w:tcW w:w="4448" w:type="dxa"/>
            <w:vMerge w:val="restart"/>
          </w:tcPr>
          <w:p w14:paraId="680CFF7E" w14:textId="77777777" w:rsidR="002401D0" w:rsidRPr="0074736B" w:rsidRDefault="002401D0">
            <w:pPr>
              <w:pStyle w:val="xMottagare1"/>
            </w:pPr>
            <w:r w:rsidRPr="0074736B">
              <w:t>Till Ålands lagting</w:t>
            </w:r>
          </w:p>
        </w:tc>
        <w:tc>
          <w:tcPr>
            <w:tcW w:w="4288" w:type="dxa"/>
            <w:gridSpan w:val="2"/>
            <w:vMerge w:val="restart"/>
          </w:tcPr>
          <w:p w14:paraId="55B27F0E" w14:textId="77777777" w:rsidR="002401D0" w:rsidRPr="00172D44" w:rsidRDefault="002401D0">
            <w:pPr>
              <w:pStyle w:val="xMottagare1"/>
              <w:tabs>
                <w:tab w:val="left" w:pos="2349"/>
              </w:tabs>
              <w:rPr>
                <w:highlight w:val="yellow"/>
              </w:rPr>
            </w:pPr>
          </w:p>
        </w:tc>
      </w:tr>
      <w:tr w:rsidR="002401D0" w:rsidRPr="00172D44" w14:paraId="47CC7A0A" w14:textId="77777777">
        <w:trPr>
          <w:cantSplit/>
          <w:trHeight w:val="238"/>
        </w:trPr>
        <w:tc>
          <w:tcPr>
            <w:tcW w:w="861" w:type="dxa"/>
          </w:tcPr>
          <w:p w14:paraId="7DAEA603" w14:textId="77777777" w:rsidR="002401D0" w:rsidRPr="0074736B" w:rsidRDefault="002401D0">
            <w:pPr>
              <w:pStyle w:val="xCelltext"/>
            </w:pPr>
          </w:p>
        </w:tc>
        <w:tc>
          <w:tcPr>
            <w:tcW w:w="4448" w:type="dxa"/>
            <w:vMerge/>
            <w:vAlign w:val="center"/>
          </w:tcPr>
          <w:p w14:paraId="3023ADBD" w14:textId="77777777" w:rsidR="002401D0" w:rsidRPr="0074736B" w:rsidRDefault="002401D0">
            <w:pPr>
              <w:pStyle w:val="xCelltext"/>
            </w:pPr>
          </w:p>
        </w:tc>
        <w:tc>
          <w:tcPr>
            <w:tcW w:w="4288" w:type="dxa"/>
            <w:gridSpan w:val="2"/>
            <w:vMerge/>
            <w:vAlign w:val="center"/>
          </w:tcPr>
          <w:p w14:paraId="63CCEDD2" w14:textId="77777777" w:rsidR="002401D0" w:rsidRPr="00172D44" w:rsidRDefault="002401D0">
            <w:pPr>
              <w:pStyle w:val="xCelltext"/>
              <w:rPr>
                <w:highlight w:val="yellow"/>
              </w:rPr>
            </w:pPr>
          </w:p>
        </w:tc>
      </w:tr>
      <w:tr w:rsidR="002401D0" w:rsidRPr="00172D44" w14:paraId="30F97625" w14:textId="77777777">
        <w:trPr>
          <w:cantSplit/>
          <w:trHeight w:val="238"/>
        </w:trPr>
        <w:tc>
          <w:tcPr>
            <w:tcW w:w="861" w:type="dxa"/>
          </w:tcPr>
          <w:p w14:paraId="0A72A8EE" w14:textId="77777777" w:rsidR="002401D0" w:rsidRPr="0074736B" w:rsidRDefault="002401D0">
            <w:pPr>
              <w:pStyle w:val="xCelltext"/>
            </w:pPr>
          </w:p>
        </w:tc>
        <w:tc>
          <w:tcPr>
            <w:tcW w:w="4448" w:type="dxa"/>
            <w:vMerge/>
            <w:vAlign w:val="center"/>
          </w:tcPr>
          <w:p w14:paraId="6BC75706" w14:textId="77777777" w:rsidR="002401D0" w:rsidRPr="0074736B" w:rsidRDefault="002401D0">
            <w:pPr>
              <w:pStyle w:val="xCelltext"/>
            </w:pPr>
          </w:p>
        </w:tc>
        <w:tc>
          <w:tcPr>
            <w:tcW w:w="4288" w:type="dxa"/>
            <w:gridSpan w:val="2"/>
            <w:vMerge/>
            <w:vAlign w:val="center"/>
          </w:tcPr>
          <w:p w14:paraId="59627398" w14:textId="77777777" w:rsidR="002401D0" w:rsidRPr="00172D44" w:rsidRDefault="002401D0">
            <w:pPr>
              <w:pStyle w:val="xCelltext"/>
              <w:rPr>
                <w:highlight w:val="yellow"/>
              </w:rPr>
            </w:pPr>
          </w:p>
        </w:tc>
      </w:tr>
      <w:tr w:rsidR="002401D0" w:rsidRPr="00172D44" w14:paraId="44515530" w14:textId="77777777">
        <w:trPr>
          <w:cantSplit/>
          <w:trHeight w:val="238"/>
        </w:trPr>
        <w:tc>
          <w:tcPr>
            <w:tcW w:w="861" w:type="dxa"/>
          </w:tcPr>
          <w:p w14:paraId="6D3640CE" w14:textId="77777777" w:rsidR="002401D0" w:rsidRPr="00172D44" w:rsidRDefault="002401D0">
            <w:pPr>
              <w:pStyle w:val="xCelltext"/>
              <w:rPr>
                <w:highlight w:val="yellow"/>
              </w:rPr>
            </w:pPr>
          </w:p>
        </w:tc>
        <w:tc>
          <w:tcPr>
            <w:tcW w:w="4448" w:type="dxa"/>
            <w:vMerge/>
            <w:vAlign w:val="center"/>
          </w:tcPr>
          <w:p w14:paraId="55611718" w14:textId="77777777" w:rsidR="002401D0" w:rsidRPr="00172D44" w:rsidRDefault="002401D0">
            <w:pPr>
              <w:pStyle w:val="xCelltext"/>
              <w:rPr>
                <w:highlight w:val="yellow"/>
              </w:rPr>
            </w:pPr>
          </w:p>
        </w:tc>
        <w:tc>
          <w:tcPr>
            <w:tcW w:w="4288" w:type="dxa"/>
            <w:gridSpan w:val="2"/>
            <w:vMerge/>
            <w:vAlign w:val="center"/>
          </w:tcPr>
          <w:p w14:paraId="08BFE218" w14:textId="77777777" w:rsidR="002401D0" w:rsidRPr="00172D44" w:rsidRDefault="002401D0">
            <w:pPr>
              <w:pStyle w:val="xCelltext"/>
              <w:rPr>
                <w:highlight w:val="yellow"/>
              </w:rPr>
            </w:pPr>
          </w:p>
        </w:tc>
      </w:tr>
      <w:tr w:rsidR="002401D0" w:rsidRPr="00172D44" w14:paraId="558DA280" w14:textId="77777777">
        <w:trPr>
          <w:cantSplit/>
          <w:trHeight w:val="238"/>
        </w:trPr>
        <w:tc>
          <w:tcPr>
            <w:tcW w:w="861" w:type="dxa"/>
          </w:tcPr>
          <w:p w14:paraId="7F3DDB30" w14:textId="77777777" w:rsidR="002401D0" w:rsidRPr="00172D44" w:rsidRDefault="002401D0">
            <w:pPr>
              <w:pStyle w:val="xCelltext"/>
              <w:rPr>
                <w:highlight w:val="yellow"/>
              </w:rPr>
            </w:pPr>
          </w:p>
        </w:tc>
        <w:tc>
          <w:tcPr>
            <w:tcW w:w="4448" w:type="dxa"/>
            <w:vMerge/>
            <w:vAlign w:val="center"/>
          </w:tcPr>
          <w:p w14:paraId="030ECEF5" w14:textId="77777777" w:rsidR="002401D0" w:rsidRPr="00172D44" w:rsidRDefault="002401D0">
            <w:pPr>
              <w:pStyle w:val="xCelltext"/>
              <w:rPr>
                <w:highlight w:val="yellow"/>
              </w:rPr>
            </w:pPr>
          </w:p>
        </w:tc>
        <w:tc>
          <w:tcPr>
            <w:tcW w:w="4288" w:type="dxa"/>
            <w:gridSpan w:val="2"/>
            <w:vMerge/>
            <w:vAlign w:val="center"/>
          </w:tcPr>
          <w:p w14:paraId="6A262CB2" w14:textId="77777777" w:rsidR="002401D0" w:rsidRPr="00172D44" w:rsidRDefault="002401D0">
            <w:pPr>
              <w:pStyle w:val="xCelltext"/>
              <w:rPr>
                <w:highlight w:val="yellow"/>
              </w:rPr>
            </w:pPr>
          </w:p>
        </w:tc>
      </w:tr>
    </w:tbl>
    <w:p w14:paraId="359FE051" w14:textId="77777777" w:rsidR="002401D0" w:rsidRPr="0074736B" w:rsidRDefault="002401D0">
      <w:pPr>
        <w:rPr>
          <w:b/>
          <w:bCs/>
        </w:rPr>
        <w:sectPr w:rsidR="002401D0" w:rsidRPr="0074736B">
          <w:footerReference w:type="even" r:id="rId9"/>
          <w:footerReference w:type="default" r:id="rId10"/>
          <w:pgSz w:w="11906" w:h="16838" w:code="9"/>
          <w:pgMar w:top="567" w:right="1134" w:bottom="1134" w:left="1191" w:header="624" w:footer="737" w:gutter="0"/>
          <w:cols w:space="708"/>
          <w:docGrid w:linePitch="360"/>
        </w:sectPr>
      </w:pPr>
    </w:p>
    <w:p w14:paraId="516D58C5" w14:textId="77777777" w:rsidR="002401D0" w:rsidRPr="0074736B" w:rsidRDefault="0028660F">
      <w:pPr>
        <w:pStyle w:val="ArendeOverRubrik"/>
      </w:pPr>
      <w:r w:rsidRPr="0074736B">
        <w:t>Finans- och närings</w:t>
      </w:r>
      <w:r w:rsidR="002401D0" w:rsidRPr="0074736B">
        <w:t>utskottets betänkande</w:t>
      </w:r>
    </w:p>
    <w:p w14:paraId="3A581238" w14:textId="66FD0BE5" w:rsidR="0031113B" w:rsidRPr="0074736B" w:rsidRDefault="0028660F" w:rsidP="0028660F">
      <w:pPr>
        <w:pStyle w:val="ArendeRubrik"/>
        <w:ind w:right="-1248"/>
      </w:pPr>
      <w:r w:rsidRPr="0074736B">
        <w:t>R</w:t>
      </w:r>
      <w:r w:rsidR="0031113B" w:rsidRPr="0074736B">
        <w:t>edogörelse över årsredovisning</w:t>
      </w:r>
      <w:r w:rsidR="00FD3F3C" w:rsidRPr="0074736B">
        <w:t>en</w:t>
      </w:r>
      <w:r w:rsidR="0031113B" w:rsidRPr="0074736B">
        <w:t xml:space="preserve"> per 31.12.20</w:t>
      </w:r>
      <w:r w:rsidR="000B1DB9" w:rsidRPr="0074736B">
        <w:t>2</w:t>
      </w:r>
      <w:r w:rsidR="0074736B" w:rsidRPr="0074736B">
        <w:t>4</w:t>
      </w:r>
    </w:p>
    <w:p w14:paraId="13C929D4" w14:textId="55AE96F6" w:rsidR="002401D0" w:rsidRPr="00CB5F24" w:rsidRDefault="0028660F">
      <w:pPr>
        <w:pStyle w:val="ArendeUnderRubrik"/>
        <w:rPr>
          <w:color w:val="000000" w:themeColor="text1"/>
        </w:rPr>
      </w:pPr>
      <w:r w:rsidRPr="00CB5F24">
        <w:rPr>
          <w:color w:val="000000" w:themeColor="text1"/>
        </w:rPr>
        <w:t xml:space="preserve">Landskapsregeringens redogörelse </w:t>
      </w:r>
      <w:r w:rsidR="00AA1C2B" w:rsidRPr="00CB5F24">
        <w:rPr>
          <w:color w:val="000000" w:themeColor="text1"/>
        </w:rPr>
        <w:t xml:space="preserve">nr </w:t>
      </w:r>
      <w:r w:rsidR="0074736B" w:rsidRPr="00CB5F24">
        <w:rPr>
          <w:color w:val="000000" w:themeColor="text1"/>
        </w:rPr>
        <w:t>2</w:t>
      </w:r>
      <w:r w:rsidRPr="00CB5F24">
        <w:rPr>
          <w:color w:val="000000" w:themeColor="text1"/>
        </w:rPr>
        <w:t>/</w:t>
      </w:r>
      <w:proofErr w:type="gramStart"/>
      <w:r w:rsidRPr="00CB5F24">
        <w:rPr>
          <w:color w:val="000000" w:themeColor="text1"/>
        </w:rPr>
        <w:t>20</w:t>
      </w:r>
      <w:r w:rsidR="000B1DB9" w:rsidRPr="00CB5F24">
        <w:rPr>
          <w:color w:val="000000" w:themeColor="text1"/>
        </w:rPr>
        <w:t>2</w:t>
      </w:r>
      <w:r w:rsidR="0074736B" w:rsidRPr="00CB5F24">
        <w:rPr>
          <w:color w:val="000000" w:themeColor="text1"/>
        </w:rPr>
        <w:t>4</w:t>
      </w:r>
      <w:r w:rsidRPr="00CB5F24">
        <w:rPr>
          <w:color w:val="000000" w:themeColor="text1"/>
        </w:rPr>
        <w:t>-20</w:t>
      </w:r>
      <w:r w:rsidR="004D3D04" w:rsidRPr="00CB5F24">
        <w:rPr>
          <w:color w:val="000000" w:themeColor="text1"/>
        </w:rPr>
        <w:t>2</w:t>
      </w:r>
      <w:r w:rsidR="00CB5F24" w:rsidRPr="00CB5F24">
        <w:rPr>
          <w:rStyle w:val="Hyperlnk"/>
          <w:color w:val="000000" w:themeColor="text1"/>
        </w:rPr>
        <w:t>5</w:t>
      </w:r>
      <w:proofErr w:type="gramEnd"/>
    </w:p>
    <w:p w14:paraId="275661D7" w14:textId="77777777" w:rsidR="002401D0" w:rsidRPr="0074736B" w:rsidRDefault="002401D0">
      <w:pPr>
        <w:pStyle w:val="ANormal"/>
      </w:pPr>
    </w:p>
    <w:p w14:paraId="37F434F2" w14:textId="77777777" w:rsidR="002401D0" w:rsidRPr="00CB5F24" w:rsidRDefault="002401D0">
      <w:pPr>
        <w:pStyle w:val="Innehll1"/>
      </w:pPr>
      <w:r w:rsidRPr="00CB5F24">
        <w:t>INNEHÅLL</w:t>
      </w:r>
    </w:p>
    <w:p w14:paraId="351F6D57" w14:textId="0812BF8B" w:rsidR="00322FF8" w:rsidRDefault="002401D0">
      <w:pPr>
        <w:pStyle w:val="Innehll1"/>
        <w:rPr>
          <w:rFonts w:asciiTheme="minorHAnsi" w:eastAsiaTheme="minorEastAsia" w:hAnsiTheme="minorHAnsi" w:cstheme="minorBidi"/>
          <w:kern w:val="2"/>
          <w:sz w:val="24"/>
          <w:szCs w:val="24"/>
          <w:lang w:val="sv-FI" w:eastAsia="sv-FI"/>
          <w14:ligatures w14:val="standardContextual"/>
        </w:rPr>
      </w:pPr>
      <w:r w:rsidRPr="00CB5F24">
        <w:fldChar w:fldCharType="begin"/>
      </w:r>
      <w:r w:rsidRPr="00CB5F24">
        <w:instrText xml:space="preserve"> TOC \o "1-1" \h \z \t "Rubrik 2;2;Rubrik 3;3;RubrikB;2;RubrikC;3" </w:instrText>
      </w:r>
      <w:r w:rsidRPr="00CB5F24">
        <w:fldChar w:fldCharType="separate"/>
      </w:r>
      <w:hyperlink w:anchor="_Toc208482848" w:history="1">
        <w:r w:rsidR="00322FF8" w:rsidRPr="00F41B13">
          <w:rPr>
            <w:rStyle w:val="Hyperlnk"/>
          </w:rPr>
          <w:t>Sammanfattning</w:t>
        </w:r>
        <w:r w:rsidR="00322FF8">
          <w:rPr>
            <w:webHidden/>
          </w:rPr>
          <w:tab/>
        </w:r>
        <w:r w:rsidR="00322FF8">
          <w:rPr>
            <w:webHidden/>
          </w:rPr>
          <w:fldChar w:fldCharType="begin"/>
        </w:r>
        <w:r w:rsidR="00322FF8">
          <w:rPr>
            <w:webHidden/>
          </w:rPr>
          <w:instrText xml:space="preserve"> PAGEREF _Toc208482848 \h </w:instrText>
        </w:r>
        <w:r w:rsidR="00322FF8">
          <w:rPr>
            <w:webHidden/>
          </w:rPr>
        </w:r>
        <w:r w:rsidR="00322FF8">
          <w:rPr>
            <w:webHidden/>
          </w:rPr>
          <w:fldChar w:fldCharType="separate"/>
        </w:r>
        <w:r w:rsidR="00322FF8">
          <w:rPr>
            <w:webHidden/>
          </w:rPr>
          <w:t>1</w:t>
        </w:r>
        <w:r w:rsidR="00322FF8">
          <w:rPr>
            <w:webHidden/>
          </w:rPr>
          <w:fldChar w:fldCharType="end"/>
        </w:r>
      </w:hyperlink>
    </w:p>
    <w:p w14:paraId="11B279AD" w14:textId="1CCC5F29" w:rsidR="00322FF8" w:rsidRDefault="00322FF8">
      <w:pPr>
        <w:pStyle w:val="Innehll2"/>
        <w:rPr>
          <w:rFonts w:asciiTheme="minorHAnsi" w:eastAsiaTheme="minorEastAsia" w:hAnsiTheme="minorHAnsi" w:cstheme="minorBidi"/>
          <w:kern w:val="2"/>
          <w:sz w:val="24"/>
          <w:szCs w:val="24"/>
          <w:lang w:val="sv-FI" w:eastAsia="sv-FI"/>
          <w14:ligatures w14:val="standardContextual"/>
        </w:rPr>
      </w:pPr>
      <w:hyperlink w:anchor="_Toc208482849" w:history="1">
        <w:r w:rsidRPr="00F41B13">
          <w:rPr>
            <w:rStyle w:val="Hyperlnk"/>
          </w:rPr>
          <w:t>Landskapsregeringens förslag</w:t>
        </w:r>
        <w:r>
          <w:rPr>
            <w:webHidden/>
          </w:rPr>
          <w:tab/>
        </w:r>
        <w:r>
          <w:rPr>
            <w:webHidden/>
          </w:rPr>
          <w:fldChar w:fldCharType="begin"/>
        </w:r>
        <w:r>
          <w:rPr>
            <w:webHidden/>
          </w:rPr>
          <w:instrText xml:space="preserve"> PAGEREF _Toc208482849 \h </w:instrText>
        </w:r>
        <w:r>
          <w:rPr>
            <w:webHidden/>
          </w:rPr>
        </w:r>
        <w:r>
          <w:rPr>
            <w:webHidden/>
          </w:rPr>
          <w:fldChar w:fldCharType="separate"/>
        </w:r>
        <w:r>
          <w:rPr>
            <w:webHidden/>
          </w:rPr>
          <w:t>1</w:t>
        </w:r>
        <w:r>
          <w:rPr>
            <w:webHidden/>
          </w:rPr>
          <w:fldChar w:fldCharType="end"/>
        </w:r>
      </w:hyperlink>
    </w:p>
    <w:p w14:paraId="06F297E0" w14:textId="1F23E016" w:rsidR="00322FF8" w:rsidRDefault="00322FF8">
      <w:pPr>
        <w:pStyle w:val="Innehll2"/>
        <w:rPr>
          <w:rFonts w:asciiTheme="minorHAnsi" w:eastAsiaTheme="minorEastAsia" w:hAnsiTheme="minorHAnsi" w:cstheme="minorBidi"/>
          <w:kern w:val="2"/>
          <w:sz w:val="24"/>
          <w:szCs w:val="24"/>
          <w:lang w:val="sv-FI" w:eastAsia="sv-FI"/>
          <w14:ligatures w14:val="standardContextual"/>
        </w:rPr>
      </w:pPr>
      <w:hyperlink w:anchor="_Toc208482850" w:history="1">
        <w:r w:rsidRPr="00F41B13">
          <w:rPr>
            <w:rStyle w:val="Hyperlnk"/>
          </w:rPr>
          <w:t>Utskottets förslag</w:t>
        </w:r>
        <w:r>
          <w:rPr>
            <w:webHidden/>
          </w:rPr>
          <w:tab/>
        </w:r>
        <w:r>
          <w:rPr>
            <w:webHidden/>
          </w:rPr>
          <w:fldChar w:fldCharType="begin"/>
        </w:r>
        <w:r>
          <w:rPr>
            <w:webHidden/>
          </w:rPr>
          <w:instrText xml:space="preserve"> PAGEREF _Toc208482850 \h </w:instrText>
        </w:r>
        <w:r>
          <w:rPr>
            <w:webHidden/>
          </w:rPr>
        </w:r>
        <w:r>
          <w:rPr>
            <w:webHidden/>
          </w:rPr>
          <w:fldChar w:fldCharType="separate"/>
        </w:r>
        <w:r>
          <w:rPr>
            <w:webHidden/>
          </w:rPr>
          <w:t>1</w:t>
        </w:r>
        <w:r>
          <w:rPr>
            <w:webHidden/>
          </w:rPr>
          <w:fldChar w:fldCharType="end"/>
        </w:r>
      </w:hyperlink>
    </w:p>
    <w:p w14:paraId="23B91E6E" w14:textId="6407BA14" w:rsidR="00322FF8" w:rsidRDefault="00322FF8">
      <w:pPr>
        <w:pStyle w:val="Innehll1"/>
        <w:rPr>
          <w:rFonts w:asciiTheme="minorHAnsi" w:eastAsiaTheme="minorEastAsia" w:hAnsiTheme="minorHAnsi" w:cstheme="minorBidi"/>
          <w:kern w:val="2"/>
          <w:sz w:val="24"/>
          <w:szCs w:val="24"/>
          <w:lang w:val="sv-FI" w:eastAsia="sv-FI"/>
          <w14:ligatures w14:val="standardContextual"/>
        </w:rPr>
      </w:pPr>
      <w:hyperlink w:anchor="_Toc208482851" w:history="1">
        <w:r w:rsidRPr="00F41B13">
          <w:rPr>
            <w:rStyle w:val="Hyperlnk"/>
          </w:rPr>
          <w:t>Utskottets synpunkter</w:t>
        </w:r>
        <w:r>
          <w:rPr>
            <w:webHidden/>
          </w:rPr>
          <w:tab/>
        </w:r>
        <w:r>
          <w:rPr>
            <w:webHidden/>
          </w:rPr>
          <w:fldChar w:fldCharType="begin"/>
        </w:r>
        <w:r>
          <w:rPr>
            <w:webHidden/>
          </w:rPr>
          <w:instrText xml:space="preserve"> PAGEREF _Toc208482851 \h </w:instrText>
        </w:r>
        <w:r>
          <w:rPr>
            <w:webHidden/>
          </w:rPr>
        </w:r>
        <w:r>
          <w:rPr>
            <w:webHidden/>
          </w:rPr>
          <w:fldChar w:fldCharType="separate"/>
        </w:r>
        <w:r>
          <w:rPr>
            <w:webHidden/>
          </w:rPr>
          <w:t>1</w:t>
        </w:r>
        <w:r>
          <w:rPr>
            <w:webHidden/>
          </w:rPr>
          <w:fldChar w:fldCharType="end"/>
        </w:r>
      </w:hyperlink>
    </w:p>
    <w:p w14:paraId="0FD12254" w14:textId="4E4C1DE7" w:rsidR="00322FF8" w:rsidRDefault="00322FF8">
      <w:pPr>
        <w:pStyle w:val="Innehll3"/>
        <w:rPr>
          <w:rFonts w:asciiTheme="minorHAnsi" w:eastAsiaTheme="minorEastAsia" w:hAnsiTheme="minorHAnsi" w:cstheme="minorBidi"/>
          <w:kern w:val="2"/>
          <w:sz w:val="24"/>
          <w:szCs w:val="24"/>
          <w:lang w:val="sv-FI" w:eastAsia="sv-FI"/>
          <w14:ligatures w14:val="standardContextual"/>
        </w:rPr>
      </w:pPr>
      <w:hyperlink w:anchor="_Toc208482852" w:history="1">
        <w:r w:rsidRPr="00F41B13">
          <w:rPr>
            <w:rStyle w:val="Hyperlnk"/>
          </w:rPr>
          <w:t>Förvaltningsberättelsen</w:t>
        </w:r>
        <w:r>
          <w:rPr>
            <w:webHidden/>
          </w:rPr>
          <w:tab/>
        </w:r>
        <w:r>
          <w:rPr>
            <w:webHidden/>
          </w:rPr>
          <w:fldChar w:fldCharType="begin"/>
        </w:r>
        <w:r>
          <w:rPr>
            <w:webHidden/>
          </w:rPr>
          <w:instrText xml:space="preserve"> PAGEREF _Toc208482852 \h </w:instrText>
        </w:r>
        <w:r>
          <w:rPr>
            <w:webHidden/>
          </w:rPr>
        </w:r>
        <w:r>
          <w:rPr>
            <w:webHidden/>
          </w:rPr>
          <w:fldChar w:fldCharType="separate"/>
        </w:r>
        <w:r>
          <w:rPr>
            <w:webHidden/>
          </w:rPr>
          <w:t>2</w:t>
        </w:r>
        <w:r>
          <w:rPr>
            <w:webHidden/>
          </w:rPr>
          <w:fldChar w:fldCharType="end"/>
        </w:r>
      </w:hyperlink>
    </w:p>
    <w:p w14:paraId="651EA51D" w14:textId="5637F8E5" w:rsidR="00322FF8" w:rsidRDefault="00322FF8">
      <w:pPr>
        <w:pStyle w:val="Innehll3"/>
        <w:rPr>
          <w:rFonts w:asciiTheme="minorHAnsi" w:eastAsiaTheme="minorEastAsia" w:hAnsiTheme="minorHAnsi" w:cstheme="minorBidi"/>
          <w:kern w:val="2"/>
          <w:sz w:val="24"/>
          <w:szCs w:val="24"/>
          <w:lang w:val="sv-FI" w:eastAsia="sv-FI"/>
          <w14:ligatures w14:val="standardContextual"/>
        </w:rPr>
      </w:pPr>
      <w:hyperlink w:anchor="_Toc208482853" w:history="1">
        <w:r w:rsidRPr="00F41B13">
          <w:rPr>
            <w:rStyle w:val="Hyperlnk"/>
          </w:rPr>
          <w:t>Resultat- och kostnadsutveckling</w:t>
        </w:r>
        <w:r>
          <w:rPr>
            <w:webHidden/>
          </w:rPr>
          <w:tab/>
        </w:r>
        <w:r>
          <w:rPr>
            <w:webHidden/>
          </w:rPr>
          <w:fldChar w:fldCharType="begin"/>
        </w:r>
        <w:r>
          <w:rPr>
            <w:webHidden/>
          </w:rPr>
          <w:instrText xml:space="preserve"> PAGEREF _Toc208482853 \h </w:instrText>
        </w:r>
        <w:r>
          <w:rPr>
            <w:webHidden/>
          </w:rPr>
        </w:r>
        <w:r>
          <w:rPr>
            <w:webHidden/>
          </w:rPr>
          <w:fldChar w:fldCharType="separate"/>
        </w:r>
        <w:r>
          <w:rPr>
            <w:webHidden/>
          </w:rPr>
          <w:t>2</w:t>
        </w:r>
        <w:r>
          <w:rPr>
            <w:webHidden/>
          </w:rPr>
          <w:fldChar w:fldCharType="end"/>
        </w:r>
      </w:hyperlink>
    </w:p>
    <w:p w14:paraId="63B13701" w14:textId="0B4E1109" w:rsidR="00322FF8" w:rsidRDefault="00322FF8">
      <w:pPr>
        <w:pStyle w:val="Innehll3"/>
        <w:rPr>
          <w:rFonts w:asciiTheme="minorHAnsi" w:eastAsiaTheme="minorEastAsia" w:hAnsiTheme="minorHAnsi" w:cstheme="minorBidi"/>
          <w:kern w:val="2"/>
          <w:sz w:val="24"/>
          <w:szCs w:val="24"/>
          <w:lang w:val="sv-FI" w:eastAsia="sv-FI"/>
          <w14:ligatures w14:val="standardContextual"/>
        </w:rPr>
      </w:pPr>
      <w:hyperlink w:anchor="_Toc208482854" w:history="1">
        <w:r w:rsidRPr="00F41B13">
          <w:rPr>
            <w:rStyle w:val="Hyperlnk"/>
          </w:rPr>
          <w:t>Skatteintäkter och likviditet</w:t>
        </w:r>
        <w:r>
          <w:rPr>
            <w:webHidden/>
          </w:rPr>
          <w:tab/>
        </w:r>
        <w:r>
          <w:rPr>
            <w:webHidden/>
          </w:rPr>
          <w:fldChar w:fldCharType="begin"/>
        </w:r>
        <w:r>
          <w:rPr>
            <w:webHidden/>
          </w:rPr>
          <w:instrText xml:space="preserve"> PAGEREF _Toc208482854 \h </w:instrText>
        </w:r>
        <w:r>
          <w:rPr>
            <w:webHidden/>
          </w:rPr>
        </w:r>
        <w:r>
          <w:rPr>
            <w:webHidden/>
          </w:rPr>
          <w:fldChar w:fldCharType="separate"/>
        </w:r>
        <w:r>
          <w:rPr>
            <w:webHidden/>
          </w:rPr>
          <w:t>3</w:t>
        </w:r>
        <w:r>
          <w:rPr>
            <w:webHidden/>
          </w:rPr>
          <w:fldChar w:fldCharType="end"/>
        </w:r>
      </w:hyperlink>
    </w:p>
    <w:p w14:paraId="209809AA" w14:textId="34DBDD78" w:rsidR="00322FF8" w:rsidRDefault="00322FF8">
      <w:pPr>
        <w:pStyle w:val="Innehll3"/>
        <w:rPr>
          <w:rFonts w:asciiTheme="minorHAnsi" w:eastAsiaTheme="minorEastAsia" w:hAnsiTheme="minorHAnsi" w:cstheme="minorBidi"/>
          <w:kern w:val="2"/>
          <w:sz w:val="24"/>
          <w:szCs w:val="24"/>
          <w:lang w:val="sv-FI" w:eastAsia="sv-FI"/>
          <w14:ligatures w14:val="standardContextual"/>
        </w:rPr>
      </w:pPr>
      <w:hyperlink w:anchor="_Toc208482855" w:history="1">
        <w:r w:rsidRPr="00F41B13">
          <w:rPr>
            <w:rStyle w:val="Hyperlnk"/>
          </w:rPr>
          <w:t>Pensionskostnaderna</w:t>
        </w:r>
        <w:r>
          <w:rPr>
            <w:webHidden/>
          </w:rPr>
          <w:tab/>
        </w:r>
        <w:r>
          <w:rPr>
            <w:webHidden/>
          </w:rPr>
          <w:fldChar w:fldCharType="begin"/>
        </w:r>
        <w:r>
          <w:rPr>
            <w:webHidden/>
          </w:rPr>
          <w:instrText xml:space="preserve"> PAGEREF _Toc208482855 \h </w:instrText>
        </w:r>
        <w:r>
          <w:rPr>
            <w:webHidden/>
          </w:rPr>
        </w:r>
        <w:r>
          <w:rPr>
            <w:webHidden/>
          </w:rPr>
          <w:fldChar w:fldCharType="separate"/>
        </w:r>
        <w:r>
          <w:rPr>
            <w:webHidden/>
          </w:rPr>
          <w:t>3</w:t>
        </w:r>
        <w:r>
          <w:rPr>
            <w:webHidden/>
          </w:rPr>
          <w:fldChar w:fldCharType="end"/>
        </w:r>
      </w:hyperlink>
    </w:p>
    <w:p w14:paraId="03B7929B" w14:textId="3B73DFA1" w:rsidR="00322FF8" w:rsidRDefault="00322FF8">
      <w:pPr>
        <w:pStyle w:val="Innehll3"/>
        <w:rPr>
          <w:rFonts w:asciiTheme="minorHAnsi" w:eastAsiaTheme="minorEastAsia" w:hAnsiTheme="minorHAnsi" w:cstheme="minorBidi"/>
          <w:kern w:val="2"/>
          <w:sz w:val="24"/>
          <w:szCs w:val="24"/>
          <w:lang w:val="sv-FI" w:eastAsia="sv-FI"/>
          <w14:ligatures w14:val="standardContextual"/>
        </w:rPr>
      </w:pPr>
      <w:hyperlink w:anchor="_Toc208482856" w:history="1">
        <w:r w:rsidRPr="00F41B13">
          <w:rPr>
            <w:rStyle w:val="Hyperlnk"/>
          </w:rPr>
          <w:t>Personal</w:t>
        </w:r>
        <w:r>
          <w:rPr>
            <w:webHidden/>
          </w:rPr>
          <w:tab/>
        </w:r>
        <w:r>
          <w:rPr>
            <w:webHidden/>
          </w:rPr>
          <w:fldChar w:fldCharType="begin"/>
        </w:r>
        <w:r>
          <w:rPr>
            <w:webHidden/>
          </w:rPr>
          <w:instrText xml:space="preserve"> PAGEREF _Toc208482856 \h </w:instrText>
        </w:r>
        <w:r>
          <w:rPr>
            <w:webHidden/>
          </w:rPr>
        </w:r>
        <w:r>
          <w:rPr>
            <w:webHidden/>
          </w:rPr>
          <w:fldChar w:fldCharType="separate"/>
        </w:r>
        <w:r>
          <w:rPr>
            <w:webHidden/>
          </w:rPr>
          <w:t>4</w:t>
        </w:r>
        <w:r>
          <w:rPr>
            <w:webHidden/>
          </w:rPr>
          <w:fldChar w:fldCharType="end"/>
        </w:r>
      </w:hyperlink>
    </w:p>
    <w:p w14:paraId="3480019A" w14:textId="10B140A3" w:rsidR="00322FF8" w:rsidRDefault="00322FF8">
      <w:pPr>
        <w:pStyle w:val="Innehll3"/>
        <w:rPr>
          <w:rFonts w:asciiTheme="minorHAnsi" w:eastAsiaTheme="minorEastAsia" w:hAnsiTheme="minorHAnsi" w:cstheme="minorBidi"/>
          <w:kern w:val="2"/>
          <w:sz w:val="24"/>
          <w:szCs w:val="24"/>
          <w:lang w:val="sv-FI" w:eastAsia="sv-FI"/>
          <w14:ligatures w14:val="standardContextual"/>
        </w:rPr>
      </w:pPr>
      <w:hyperlink w:anchor="_Toc208482857" w:history="1">
        <w:r w:rsidRPr="00F41B13">
          <w:rPr>
            <w:rStyle w:val="Hyperlnk"/>
          </w:rPr>
          <w:t>Landskapets tillgångar och PAF-reserveringar</w:t>
        </w:r>
        <w:r>
          <w:rPr>
            <w:webHidden/>
          </w:rPr>
          <w:tab/>
        </w:r>
        <w:r>
          <w:rPr>
            <w:webHidden/>
          </w:rPr>
          <w:fldChar w:fldCharType="begin"/>
        </w:r>
        <w:r>
          <w:rPr>
            <w:webHidden/>
          </w:rPr>
          <w:instrText xml:space="preserve"> PAGEREF _Toc208482857 \h </w:instrText>
        </w:r>
        <w:r>
          <w:rPr>
            <w:webHidden/>
          </w:rPr>
        </w:r>
        <w:r>
          <w:rPr>
            <w:webHidden/>
          </w:rPr>
          <w:fldChar w:fldCharType="separate"/>
        </w:r>
        <w:r>
          <w:rPr>
            <w:webHidden/>
          </w:rPr>
          <w:t>5</w:t>
        </w:r>
        <w:r>
          <w:rPr>
            <w:webHidden/>
          </w:rPr>
          <w:fldChar w:fldCharType="end"/>
        </w:r>
      </w:hyperlink>
    </w:p>
    <w:p w14:paraId="2DCA3AC0" w14:textId="332DE832" w:rsidR="00322FF8" w:rsidRDefault="00322FF8">
      <w:pPr>
        <w:pStyle w:val="Innehll3"/>
        <w:rPr>
          <w:rFonts w:asciiTheme="minorHAnsi" w:eastAsiaTheme="minorEastAsia" w:hAnsiTheme="minorHAnsi" w:cstheme="minorBidi"/>
          <w:kern w:val="2"/>
          <w:sz w:val="24"/>
          <w:szCs w:val="24"/>
          <w:lang w:val="sv-FI" w:eastAsia="sv-FI"/>
          <w14:ligatures w14:val="standardContextual"/>
        </w:rPr>
      </w:pPr>
      <w:hyperlink w:anchor="_Toc208482858" w:history="1">
        <w:r w:rsidRPr="00F41B13">
          <w:rPr>
            <w:rStyle w:val="Hyperlnk"/>
          </w:rPr>
          <w:t>Verksamhetskostnader</w:t>
        </w:r>
        <w:r>
          <w:rPr>
            <w:webHidden/>
          </w:rPr>
          <w:tab/>
        </w:r>
        <w:r>
          <w:rPr>
            <w:webHidden/>
          </w:rPr>
          <w:fldChar w:fldCharType="begin"/>
        </w:r>
        <w:r>
          <w:rPr>
            <w:webHidden/>
          </w:rPr>
          <w:instrText xml:space="preserve"> PAGEREF _Toc208482858 \h </w:instrText>
        </w:r>
        <w:r>
          <w:rPr>
            <w:webHidden/>
          </w:rPr>
        </w:r>
        <w:r>
          <w:rPr>
            <w:webHidden/>
          </w:rPr>
          <w:fldChar w:fldCharType="separate"/>
        </w:r>
        <w:r>
          <w:rPr>
            <w:webHidden/>
          </w:rPr>
          <w:t>6</w:t>
        </w:r>
        <w:r>
          <w:rPr>
            <w:webHidden/>
          </w:rPr>
          <w:fldChar w:fldCharType="end"/>
        </w:r>
      </w:hyperlink>
    </w:p>
    <w:p w14:paraId="423CAE5E" w14:textId="21279FCC" w:rsidR="00322FF8" w:rsidRDefault="00322FF8">
      <w:pPr>
        <w:pStyle w:val="Innehll3"/>
        <w:rPr>
          <w:rFonts w:asciiTheme="minorHAnsi" w:eastAsiaTheme="minorEastAsia" w:hAnsiTheme="minorHAnsi" w:cstheme="minorBidi"/>
          <w:kern w:val="2"/>
          <w:sz w:val="24"/>
          <w:szCs w:val="24"/>
          <w:lang w:val="sv-FI" w:eastAsia="sv-FI"/>
          <w14:ligatures w14:val="standardContextual"/>
        </w:rPr>
      </w:pPr>
      <w:hyperlink w:anchor="_Toc208482859" w:history="1">
        <w:r w:rsidRPr="00F41B13">
          <w:rPr>
            <w:rStyle w:val="Hyperlnk"/>
          </w:rPr>
          <w:t>Landskapets pensionssystem och dess pensionsfond</w:t>
        </w:r>
        <w:r>
          <w:rPr>
            <w:webHidden/>
          </w:rPr>
          <w:tab/>
        </w:r>
        <w:r>
          <w:rPr>
            <w:webHidden/>
          </w:rPr>
          <w:fldChar w:fldCharType="begin"/>
        </w:r>
        <w:r>
          <w:rPr>
            <w:webHidden/>
          </w:rPr>
          <w:instrText xml:space="preserve"> PAGEREF _Toc208482859 \h </w:instrText>
        </w:r>
        <w:r>
          <w:rPr>
            <w:webHidden/>
          </w:rPr>
        </w:r>
        <w:r>
          <w:rPr>
            <w:webHidden/>
          </w:rPr>
          <w:fldChar w:fldCharType="separate"/>
        </w:r>
        <w:r>
          <w:rPr>
            <w:webHidden/>
          </w:rPr>
          <w:t>6</w:t>
        </w:r>
        <w:r>
          <w:rPr>
            <w:webHidden/>
          </w:rPr>
          <w:fldChar w:fldCharType="end"/>
        </w:r>
      </w:hyperlink>
    </w:p>
    <w:p w14:paraId="2CFA2517" w14:textId="52166E75" w:rsidR="00322FF8" w:rsidRDefault="00322FF8">
      <w:pPr>
        <w:pStyle w:val="Innehll3"/>
        <w:rPr>
          <w:rFonts w:asciiTheme="minorHAnsi" w:eastAsiaTheme="minorEastAsia" w:hAnsiTheme="minorHAnsi" w:cstheme="minorBidi"/>
          <w:kern w:val="2"/>
          <w:sz w:val="24"/>
          <w:szCs w:val="24"/>
          <w:lang w:val="sv-FI" w:eastAsia="sv-FI"/>
          <w14:ligatures w14:val="standardContextual"/>
        </w:rPr>
      </w:pPr>
      <w:hyperlink w:anchor="_Toc208482860" w:history="1">
        <w:r w:rsidRPr="00F41B13">
          <w:rPr>
            <w:rStyle w:val="Hyperlnk"/>
          </w:rPr>
          <w:t>Pågående rättegångar</w:t>
        </w:r>
        <w:r>
          <w:rPr>
            <w:webHidden/>
          </w:rPr>
          <w:tab/>
        </w:r>
        <w:r>
          <w:rPr>
            <w:webHidden/>
          </w:rPr>
          <w:fldChar w:fldCharType="begin"/>
        </w:r>
        <w:r>
          <w:rPr>
            <w:webHidden/>
          </w:rPr>
          <w:instrText xml:space="preserve"> PAGEREF _Toc208482860 \h </w:instrText>
        </w:r>
        <w:r>
          <w:rPr>
            <w:webHidden/>
          </w:rPr>
        </w:r>
        <w:r>
          <w:rPr>
            <w:webHidden/>
          </w:rPr>
          <w:fldChar w:fldCharType="separate"/>
        </w:r>
        <w:r>
          <w:rPr>
            <w:webHidden/>
          </w:rPr>
          <w:t>7</w:t>
        </w:r>
        <w:r>
          <w:rPr>
            <w:webHidden/>
          </w:rPr>
          <w:fldChar w:fldCharType="end"/>
        </w:r>
      </w:hyperlink>
    </w:p>
    <w:p w14:paraId="136DAE23" w14:textId="0BF51FFB" w:rsidR="00322FF8" w:rsidRDefault="00322FF8">
      <w:pPr>
        <w:pStyle w:val="Innehll1"/>
        <w:rPr>
          <w:rFonts w:asciiTheme="minorHAnsi" w:eastAsiaTheme="minorEastAsia" w:hAnsiTheme="minorHAnsi" w:cstheme="minorBidi"/>
          <w:kern w:val="2"/>
          <w:sz w:val="24"/>
          <w:szCs w:val="24"/>
          <w:lang w:val="sv-FI" w:eastAsia="sv-FI"/>
          <w14:ligatures w14:val="standardContextual"/>
        </w:rPr>
      </w:pPr>
      <w:hyperlink w:anchor="_Toc208482861" w:history="1">
        <w:r w:rsidRPr="00F41B13">
          <w:rPr>
            <w:rStyle w:val="Hyperlnk"/>
          </w:rPr>
          <w:t>Ärendets behandling</w:t>
        </w:r>
        <w:r>
          <w:rPr>
            <w:webHidden/>
          </w:rPr>
          <w:tab/>
        </w:r>
        <w:r>
          <w:rPr>
            <w:webHidden/>
          </w:rPr>
          <w:fldChar w:fldCharType="begin"/>
        </w:r>
        <w:r>
          <w:rPr>
            <w:webHidden/>
          </w:rPr>
          <w:instrText xml:space="preserve"> PAGEREF _Toc208482861 \h </w:instrText>
        </w:r>
        <w:r>
          <w:rPr>
            <w:webHidden/>
          </w:rPr>
        </w:r>
        <w:r>
          <w:rPr>
            <w:webHidden/>
          </w:rPr>
          <w:fldChar w:fldCharType="separate"/>
        </w:r>
        <w:r>
          <w:rPr>
            <w:webHidden/>
          </w:rPr>
          <w:t>7</w:t>
        </w:r>
        <w:r>
          <w:rPr>
            <w:webHidden/>
          </w:rPr>
          <w:fldChar w:fldCharType="end"/>
        </w:r>
      </w:hyperlink>
    </w:p>
    <w:p w14:paraId="71BE32D4" w14:textId="72185B61" w:rsidR="00322FF8" w:rsidRDefault="00322FF8">
      <w:pPr>
        <w:pStyle w:val="Innehll1"/>
        <w:rPr>
          <w:rFonts w:asciiTheme="minorHAnsi" w:eastAsiaTheme="minorEastAsia" w:hAnsiTheme="minorHAnsi" w:cstheme="minorBidi"/>
          <w:kern w:val="2"/>
          <w:sz w:val="24"/>
          <w:szCs w:val="24"/>
          <w:lang w:val="sv-FI" w:eastAsia="sv-FI"/>
          <w14:ligatures w14:val="standardContextual"/>
        </w:rPr>
      </w:pPr>
      <w:hyperlink w:anchor="_Toc208482862" w:history="1">
        <w:r w:rsidRPr="00F41B13">
          <w:rPr>
            <w:rStyle w:val="Hyperlnk"/>
          </w:rPr>
          <w:t>Utskottets förslag</w:t>
        </w:r>
        <w:r>
          <w:rPr>
            <w:webHidden/>
          </w:rPr>
          <w:tab/>
        </w:r>
        <w:r>
          <w:rPr>
            <w:webHidden/>
          </w:rPr>
          <w:fldChar w:fldCharType="begin"/>
        </w:r>
        <w:r>
          <w:rPr>
            <w:webHidden/>
          </w:rPr>
          <w:instrText xml:space="preserve"> PAGEREF _Toc208482862 \h </w:instrText>
        </w:r>
        <w:r>
          <w:rPr>
            <w:webHidden/>
          </w:rPr>
        </w:r>
        <w:r>
          <w:rPr>
            <w:webHidden/>
          </w:rPr>
          <w:fldChar w:fldCharType="separate"/>
        </w:r>
        <w:r>
          <w:rPr>
            <w:webHidden/>
          </w:rPr>
          <w:t>8</w:t>
        </w:r>
        <w:r>
          <w:rPr>
            <w:webHidden/>
          </w:rPr>
          <w:fldChar w:fldCharType="end"/>
        </w:r>
      </w:hyperlink>
    </w:p>
    <w:p w14:paraId="4FA5C5D1" w14:textId="28B0DF1C" w:rsidR="002401D0" w:rsidRPr="00172D44" w:rsidRDefault="002401D0">
      <w:pPr>
        <w:pStyle w:val="ANormal"/>
        <w:rPr>
          <w:noProof/>
          <w:highlight w:val="yellow"/>
        </w:rPr>
      </w:pPr>
      <w:r w:rsidRPr="00CB5F24">
        <w:rPr>
          <w:rFonts w:ascii="Verdana" w:hAnsi="Verdana"/>
          <w:noProof/>
          <w:sz w:val="16"/>
          <w:szCs w:val="36"/>
        </w:rPr>
        <w:fldChar w:fldCharType="end"/>
      </w:r>
    </w:p>
    <w:p w14:paraId="6C7E7A3F" w14:textId="33DA92FF" w:rsidR="002A2CF6" w:rsidRPr="00172D44" w:rsidRDefault="002A2CF6">
      <w:pPr>
        <w:pStyle w:val="ANormal"/>
        <w:rPr>
          <w:highlight w:val="yellow"/>
        </w:rPr>
      </w:pPr>
    </w:p>
    <w:p w14:paraId="4B8D5272" w14:textId="77777777" w:rsidR="002A2CF6" w:rsidRPr="0074736B" w:rsidRDefault="002A2CF6">
      <w:pPr>
        <w:pStyle w:val="ANormal"/>
      </w:pPr>
    </w:p>
    <w:p w14:paraId="6E338841" w14:textId="77777777" w:rsidR="002401D0" w:rsidRPr="0074736B" w:rsidRDefault="002401D0">
      <w:pPr>
        <w:pStyle w:val="RubrikA"/>
      </w:pPr>
      <w:bookmarkStart w:id="1" w:name="_Toc529800932"/>
      <w:bookmarkStart w:id="2" w:name="_Toc208482848"/>
      <w:r w:rsidRPr="0074736B">
        <w:t>Sammanfattning</w:t>
      </w:r>
      <w:bookmarkEnd w:id="1"/>
      <w:bookmarkEnd w:id="2"/>
    </w:p>
    <w:p w14:paraId="49FF1063" w14:textId="77777777" w:rsidR="002401D0" w:rsidRPr="0074736B" w:rsidRDefault="002401D0">
      <w:pPr>
        <w:pStyle w:val="Rubrikmellanrum"/>
      </w:pPr>
    </w:p>
    <w:p w14:paraId="592479A9" w14:textId="77777777" w:rsidR="002401D0" w:rsidRPr="0074736B" w:rsidRDefault="0028660F">
      <w:pPr>
        <w:pStyle w:val="RubrikB"/>
      </w:pPr>
      <w:bookmarkStart w:id="3" w:name="_Toc529800933"/>
      <w:bookmarkStart w:id="4" w:name="_Toc208482849"/>
      <w:r w:rsidRPr="0074736B">
        <w:t>Landskapsregeringens</w:t>
      </w:r>
      <w:r w:rsidR="002401D0" w:rsidRPr="0074736B">
        <w:t xml:space="preserve"> förslag</w:t>
      </w:r>
      <w:bookmarkEnd w:id="3"/>
      <w:bookmarkEnd w:id="4"/>
    </w:p>
    <w:p w14:paraId="675C1E1C" w14:textId="77777777" w:rsidR="002401D0" w:rsidRPr="0074736B" w:rsidRDefault="002401D0">
      <w:pPr>
        <w:pStyle w:val="Rubrikmellanrum"/>
      </w:pPr>
    </w:p>
    <w:p w14:paraId="53FC1095" w14:textId="67BC3FD2" w:rsidR="0028660F" w:rsidRPr="0074736B" w:rsidRDefault="0028660F" w:rsidP="0028660F">
      <w:pPr>
        <w:pStyle w:val="ANormal"/>
      </w:pPr>
      <w:r w:rsidRPr="0074736B">
        <w:t xml:space="preserve">Landskapsregeringen </w:t>
      </w:r>
      <w:r w:rsidR="00C772BB" w:rsidRPr="0074736B">
        <w:t xml:space="preserve">har </w:t>
      </w:r>
      <w:r w:rsidR="009C0360" w:rsidRPr="0074736B">
        <w:t>i enlighet med 25</w:t>
      </w:r>
      <w:r w:rsidR="004F1700" w:rsidRPr="0074736B">
        <w:t xml:space="preserve"> §</w:t>
      </w:r>
      <w:r w:rsidR="009C0360" w:rsidRPr="0074736B">
        <w:t xml:space="preserve"> landskapslagen (1971:42) om Ålands landskapsregering </w:t>
      </w:r>
      <w:r w:rsidRPr="0074736B">
        <w:t>överlämna</w:t>
      </w:r>
      <w:r w:rsidR="00C772BB" w:rsidRPr="0074736B">
        <w:t>t</w:t>
      </w:r>
      <w:r w:rsidRPr="0074736B">
        <w:t xml:space="preserve"> årsredovisning</w:t>
      </w:r>
      <w:r w:rsidR="00C772BB" w:rsidRPr="0074736B">
        <w:t>en</w:t>
      </w:r>
      <w:r w:rsidRPr="0074736B">
        <w:t xml:space="preserve"> för landskapet Åland </w:t>
      </w:r>
      <w:r w:rsidR="008B267F" w:rsidRPr="0074736B">
        <w:t>2</w:t>
      </w:r>
      <w:r w:rsidR="009C0360" w:rsidRPr="0074736B">
        <w:t>0</w:t>
      </w:r>
      <w:r w:rsidR="000B1DB9" w:rsidRPr="0074736B">
        <w:t>2</w:t>
      </w:r>
      <w:r w:rsidR="0074736B" w:rsidRPr="0074736B">
        <w:t>4</w:t>
      </w:r>
      <w:r w:rsidR="008B267F" w:rsidRPr="0074736B">
        <w:t xml:space="preserve"> t</w:t>
      </w:r>
      <w:r w:rsidRPr="0074736B">
        <w:t xml:space="preserve">ill lagtinget såsom redogörelse nr </w:t>
      </w:r>
      <w:r w:rsidR="00274393" w:rsidRPr="0074736B">
        <w:t>2</w:t>
      </w:r>
      <w:r w:rsidRPr="0074736B">
        <w:t>/</w:t>
      </w:r>
      <w:proofErr w:type="gramStart"/>
      <w:r w:rsidRPr="0074736B">
        <w:t>20</w:t>
      </w:r>
      <w:r w:rsidR="000B1DB9" w:rsidRPr="0074736B">
        <w:t>2</w:t>
      </w:r>
      <w:r w:rsidR="0074736B" w:rsidRPr="0074736B">
        <w:t>4</w:t>
      </w:r>
      <w:r w:rsidRPr="0074736B">
        <w:t>-20</w:t>
      </w:r>
      <w:r w:rsidR="00AA1C2B" w:rsidRPr="0074736B">
        <w:t>2</w:t>
      </w:r>
      <w:r w:rsidR="0074736B" w:rsidRPr="0074736B">
        <w:t>5</w:t>
      </w:r>
      <w:proofErr w:type="gramEnd"/>
      <w:r w:rsidR="0000155F" w:rsidRPr="0074736B">
        <w:t>.</w:t>
      </w:r>
      <w:r w:rsidR="009C0360" w:rsidRPr="0074736B">
        <w:t xml:space="preserve"> </w:t>
      </w:r>
      <w:r w:rsidR="00C772BB" w:rsidRPr="0074736B">
        <w:t xml:space="preserve">Årsredovisningen inkluderar </w:t>
      </w:r>
      <w:r w:rsidR="009C0360" w:rsidRPr="0074736B">
        <w:t xml:space="preserve">i enlighet med 19 § LL (2012:69) om landskapets finansförvaltning landskapsbokslutet och en förvaltningsberättelse. I </w:t>
      </w:r>
      <w:r w:rsidR="00AA579A" w:rsidRPr="0074736B">
        <w:t>årsredovisningen ingår också</w:t>
      </w:r>
      <w:r w:rsidR="00C772BB" w:rsidRPr="0074736B">
        <w:t xml:space="preserve"> </w:t>
      </w:r>
      <w:r w:rsidR="00D11A6D" w:rsidRPr="0074736B">
        <w:t>l</w:t>
      </w:r>
      <w:r w:rsidR="00C772BB" w:rsidRPr="0074736B">
        <w:t>andskapsrevisionens revisionsberättelse för finansåret 20</w:t>
      </w:r>
      <w:r w:rsidR="000B1DB9" w:rsidRPr="0074736B">
        <w:t>2</w:t>
      </w:r>
      <w:r w:rsidR="0074736B" w:rsidRPr="0074736B">
        <w:t>4</w:t>
      </w:r>
      <w:r w:rsidR="00C772BB" w:rsidRPr="0074736B">
        <w:t>.</w:t>
      </w:r>
    </w:p>
    <w:p w14:paraId="0814FA00" w14:textId="77777777" w:rsidR="002401D0" w:rsidRPr="00172D44" w:rsidRDefault="002401D0">
      <w:pPr>
        <w:pStyle w:val="ANormal"/>
        <w:rPr>
          <w:color w:val="FF0000"/>
          <w:highlight w:val="yellow"/>
        </w:rPr>
      </w:pPr>
    </w:p>
    <w:p w14:paraId="27C78B9F" w14:textId="77777777" w:rsidR="002401D0" w:rsidRPr="0074736B" w:rsidRDefault="002401D0">
      <w:pPr>
        <w:pStyle w:val="RubrikB"/>
      </w:pPr>
      <w:bookmarkStart w:id="5" w:name="_Toc529800934"/>
      <w:bookmarkStart w:id="6" w:name="_Toc208482850"/>
      <w:r w:rsidRPr="0074736B">
        <w:t>Utskottets förslag</w:t>
      </w:r>
      <w:bookmarkEnd w:id="5"/>
      <w:bookmarkEnd w:id="6"/>
    </w:p>
    <w:p w14:paraId="2D442064" w14:textId="77777777" w:rsidR="002401D0" w:rsidRPr="0074736B" w:rsidRDefault="002401D0">
      <w:pPr>
        <w:pStyle w:val="Rubrikmellanrum"/>
      </w:pPr>
    </w:p>
    <w:p w14:paraId="299B56B3" w14:textId="00F7D301" w:rsidR="002401D0" w:rsidRPr="0074736B" w:rsidRDefault="00023409">
      <w:pPr>
        <w:pStyle w:val="ANormal"/>
      </w:pPr>
      <w:r w:rsidRPr="0074736B">
        <w:t>Utskottet föreslår att årsredovisningen för 20</w:t>
      </w:r>
      <w:r w:rsidR="000B1DB9" w:rsidRPr="0074736B">
        <w:t>2</w:t>
      </w:r>
      <w:r w:rsidR="0074736B" w:rsidRPr="0074736B">
        <w:t>4</w:t>
      </w:r>
      <w:r w:rsidRPr="0074736B">
        <w:t xml:space="preserve"> antecknas för kännedom och att utskottets synpunkter bringas landskapsregeringen till kännedom.</w:t>
      </w:r>
    </w:p>
    <w:p w14:paraId="4759D79C" w14:textId="77777777" w:rsidR="002401D0" w:rsidRPr="00172D44" w:rsidRDefault="002401D0">
      <w:pPr>
        <w:pStyle w:val="ANormal"/>
        <w:rPr>
          <w:highlight w:val="yellow"/>
        </w:rPr>
      </w:pPr>
    </w:p>
    <w:p w14:paraId="5CB1598E" w14:textId="7018BE84" w:rsidR="002401D0" w:rsidRPr="0074736B" w:rsidRDefault="002401D0">
      <w:pPr>
        <w:pStyle w:val="RubrikA"/>
        <w:rPr>
          <w:color w:val="000000" w:themeColor="text1"/>
        </w:rPr>
      </w:pPr>
      <w:bookmarkStart w:id="7" w:name="_Toc529800935"/>
      <w:bookmarkStart w:id="8" w:name="_Toc208482851"/>
      <w:r w:rsidRPr="0074736B">
        <w:rPr>
          <w:color w:val="000000" w:themeColor="text1"/>
        </w:rPr>
        <w:t>Utskottets synpunkter</w:t>
      </w:r>
      <w:bookmarkEnd w:id="7"/>
      <w:bookmarkEnd w:id="8"/>
    </w:p>
    <w:p w14:paraId="0051D13B" w14:textId="5DD480E6" w:rsidR="0053660C" w:rsidRPr="00172D44" w:rsidRDefault="0053660C" w:rsidP="0053660C">
      <w:pPr>
        <w:pStyle w:val="Rubrikmellanrum"/>
        <w:rPr>
          <w:highlight w:val="yellow"/>
        </w:rPr>
      </w:pPr>
    </w:p>
    <w:p w14:paraId="3C61E7CD" w14:textId="052E001B" w:rsidR="0053660C" w:rsidRPr="0074736B" w:rsidRDefault="0053660C" w:rsidP="0053660C">
      <w:pPr>
        <w:pStyle w:val="ANormal"/>
        <w:rPr>
          <w:b/>
          <w:bCs/>
        </w:rPr>
      </w:pPr>
      <w:r w:rsidRPr="0074736B">
        <w:rPr>
          <w:b/>
          <w:bCs/>
        </w:rPr>
        <w:t>Årsredovisningen i allmänhet</w:t>
      </w:r>
    </w:p>
    <w:p w14:paraId="4544064D" w14:textId="5DB29E49" w:rsidR="0053660C" w:rsidRPr="00172D44" w:rsidRDefault="0053660C" w:rsidP="0053660C">
      <w:pPr>
        <w:pStyle w:val="Rubrikmellanrum"/>
        <w:rPr>
          <w:highlight w:val="yellow"/>
        </w:rPr>
      </w:pPr>
    </w:p>
    <w:p w14:paraId="4F0A0046" w14:textId="3B3515DC" w:rsidR="001C5EC3" w:rsidRPr="0074736B" w:rsidRDefault="0053660C" w:rsidP="0053660C">
      <w:pPr>
        <w:pStyle w:val="ANormal"/>
      </w:pPr>
      <w:r w:rsidRPr="0074736B">
        <w:t>Utskottet konstaterar att utöver årsredovisningen för landskapet Ålands förvaltning och ekonomi har separata verksamhetsberättelser jämte bokslut upprättats för</w:t>
      </w:r>
      <w:r w:rsidR="00AA579A" w:rsidRPr="0074736B">
        <w:t xml:space="preserve"> Landskapets fastighetsverk</w:t>
      </w:r>
      <w:r w:rsidRPr="0074736B">
        <w:t xml:space="preserve">, Landskapets pensionsfond och </w:t>
      </w:r>
      <w:r w:rsidR="00AA579A" w:rsidRPr="0074736B">
        <w:t>Ålands hälso- och sjukvård (ÅHS)</w:t>
      </w:r>
      <w:r w:rsidRPr="0074736B">
        <w:t xml:space="preserve">. Av dessa </w:t>
      </w:r>
      <w:r w:rsidR="002C63D7">
        <w:t>ingår</w:t>
      </w:r>
      <w:r w:rsidRPr="0074736B">
        <w:t xml:space="preserve"> ÅH</w:t>
      </w:r>
      <w:r w:rsidR="002C63D7">
        <w:t>S</w:t>
      </w:r>
      <w:r w:rsidRPr="0074736B">
        <w:t xml:space="preserve"> i huvudbokslutet. </w:t>
      </w:r>
      <w:r w:rsidR="001C5EC3" w:rsidRPr="0074736B">
        <w:t>ÅHS upprättar också en egen utförlig verksamhetsberättelse som innehåller separata bilagor för bokslut, verksamhetsstatistik och personalberättelse.</w:t>
      </w:r>
      <w:r w:rsidR="0074736B" w:rsidRPr="0074736B">
        <w:t xml:space="preserve"> </w:t>
      </w:r>
      <w:r w:rsidR="00AA579A" w:rsidRPr="0074736B">
        <w:t xml:space="preserve">Fastighetsverkets sifferbokslut ingår som en bilaga i bokslutet. </w:t>
      </w:r>
    </w:p>
    <w:p w14:paraId="670D1E32" w14:textId="43EBE40F" w:rsidR="00576A16" w:rsidRPr="00172D44" w:rsidRDefault="00B11C58" w:rsidP="0053660C">
      <w:pPr>
        <w:pStyle w:val="ANormal"/>
        <w:rPr>
          <w:highlight w:val="yellow"/>
        </w:rPr>
      </w:pPr>
      <w:r w:rsidRPr="001D7CF2">
        <w:lastRenderedPageBreak/>
        <w:tab/>
        <w:t>Landskapsförvaltningen utgör i dagsläget en relativt stor helhet omfattande den allmänna förvaltningen, fristående myndigheter, affärsverk och olika bo</w:t>
      </w:r>
      <w:r w:rsidRPr="00520B3B">
        <w:t>lag</w:t>
      </w:r>
      <w:r w:rsidR="00520B3B" w:rsidRPr="00520B3B">
        <w:t>.</w:t>
      </w:r>
    </w:p>
    <w:p w14:paraId="23908A29" w14:textId="58DF8430" w:rsidR="00167CB6" w:rsidRPr="00172D44" w:rsidRDefault="00167CB6" w:rsidP="0053660C">
      <w:pPr>
        <w:pStyle w:val="ANormal"/>
        <w:rPr>
          <w:color w:val="FF0000"/>
          <w:highlight w:val="yellow"/>
        </w:rPr>
      </w:pPr>
    </w:p>
    <w:p w14:paraId="560B788D" w14:textId="7A83656A" w:rsidR="00167CB6" w:rsidRPr="001D7CF2" w:rsidRDefault="00167CB6" w:rsidP="00167CB6">
      <w:pPr>
        <w:pStyle w:val="RubrikC"/>
      </w:pPr>
      <w:bookmarkStart w:id="9" w:name="_Toc208482852"/>
      <w:r w:rsidRPr="001D7CF2">
        <w:t>Förvaltningsberättelsen</w:t>
      </w:r>
      <w:bookmarkEnd w:id="9"/>
    </w:p>
    <w:p w14:paraId="1DD6804E" w14:textId="49050049" w:rsidR="00167CB6" w:rsidRPr="001D7CF2" w:rsidRDefault="00167CB6" w:rsidP="00167CB6">
      <w:pPr>
        <w:pStyle w:val="Rubrikmellanrum"/>
      </w:pPr>
    </w:p>
    <w:p w14:paraId="5FE8C317" w14:textId="7E9479BA" w:rsidR="00167CB6" w:rsidRPr="00172D44" w:rsidRDefault="00167CB6" w:rsidP="00167CB6">
      <w:pPr>
        <w:pStyle w:val="ANormal"/>
        <w:rPr>
          <w:highlight w:val="yellow"/>
        </w:rPr>
      </w:pPr>
      <w:r w:rsidRPr="001D7CF2">
        <w:t>Förvaltning</w:t>
      </w:r>
      <w:r w:rsidR="00380074" w:rsidRPr="001D7CF2">
        <w:t>s</w:t>
      </w:r>
      <w:r w:rsidRPr="001D7CF2">
        <w:t xml:space="preserve">berättelsen </w:t>
      </w:r>
      <w:r w:rsidR="008660B8" w:rsidRPr="001D7CF2">
        <w:t>omfattar</w:t>
      </w:r>
      <w:r w:rsidRPr="001D7CF2">
        <w:t xml:space="preserve"> c</w:t>
      </w:r>
      <w:r w:rsidR="008660B8" w:rsidRPr="001D7CF2">
        <w:t>irk</w:t>
      </w:r>
      <w:r w:rsidRPr="001D7CF2">
        <w:t>a 1</w:t>
      </w:r>
      <w:r w:rsidR="001C5EC3" w:rsidRPr="001D7CF2">
        <w:t>9</w:t>
      </w:r>
      <w:r w:rsidRPr="001D7CF2">
        <w:t xml:space="preserve">0 sidor och utgör således </w:t>
      </w:r>
      <w:r w:rsidR="001C5EC3" w:rsidRPr="001D7CF2">
        <w:t>större delen</w:t>
      </w:r>
      <w:r w:rsidRPr="001D7CF2">
        <w:t xml:space="preserve"> av hela årsredovisningen. Förvaltningsberättelsen utgör </w:t>
      </w:r>
      <w:r w:rsidR="00A7667D" w:rsidRPr="001D7CF2">
        <w:t xml:space="preserve">en stramt hållen och systematisk redogörelse över verksamheten. </w:t>
      </w:r>
      <w:r w:rsidR="004942D5" w:rsidRPr="001D7CF2">
        <w:t>Varje avdelning redovisar en årsöversikt, budget- och måluppfyllnad samt väsentliga förändringar. De fristående myndigheterna redovisar därtill för risker och osäkerhetsfaktorer samt för den interna kontrollen.</w:t>
      </w:r>
    </w:p>
    <w:p w14:paraId="52F15281" w14:textId="77777777" w:rsidR="00F06C86" w:rsidRPr="00172D44" w:rsidRDefault="00F06C86" w:rsidP="00167CB6">
      <w:pPr>
        <w:pStyle w:val="ANormal"/>
        <w:rPr>
          <w:highlight w:val="yellow"/>
        </w:rPr>
      </w:pPr>
    </w:p>
    <w:p w14:paraId="69B923FB" w14:textId="77777777" w:rsidR="00167CB6" w:rsidRPr="00172D44" w:rsidRDefault="00167CB6" w:rsidP="0053660C">
      <w:pPr>
        <w:pStyle w:val="ANormal"/>
        <w:rPr>
          <w:color w:val="FF0000"/>
          <w:highlight w:val="yellow"/>
        </w:rPr>
      </w:pPr>
    </w:p>
    <w:p w14:paraId="4165E436" w14:textId="3260D48E" w:rsidR="000F32A0" w:rsidRPr="008E2D60" w:rsidRDefault="000F32A0" w:rsidP="000F32A0">
      <w:pPr>
        <w:pStyle w:val="RubrikC"/>
      </w:pPr>
      <w:bookmarkStart w:id="10" w:name="_Toc208482853"/>
      <w:r w:rsidRPr="008E2D60">
        <w:t>Resultat</w:t>
      </w:r>
      <w:r w:rsidR="000001AB" w:rsidRPr="008E2D60">
        <w:t xml:space="preserve">- och </w:t>
      </w:r>
      <w:r w:rsidR="00926D1C" w:rsidRPr="008E2D60">
        <w:t>kostnadsutveckling</w:t>
      </w:r>
      <w:bookmarkEnd w:id="10"/>
    </w:p>
    <w:p w14:paraId="7CF0D629" w14:textId="77777777" w:rsidR="000F32A0" w:rsidRPr="008E2D60" w:rsidRDefault="000F32A0" w:rsidP="000F32A0">
      <w:pPr>
        <w:pStyle w:val="Rubrikmellanrum"/>
      </w:pPr>
    </w:p>
    <w:p w14:paraId="4C20556A" w14:textId="386D0C81" w:rsidR="00A77B74" w:rsidRDefault="00D93512" w:rsidP="00074652">
      <w:pPr>
        <w:pStyle w:val="ANormal"/>
      </w:pPr>
      <w:r w:rsidRPr="008E2D60">
        <w:t xml:space="preserve">Då </w:t>
      </w:r>
      <w:r w:rsidR="00E934A2">
        <w:t>r</w:t>
      </w:r>
      <w:r w:rsidRPr="008E2D60">
        <w:t>esultatet</w:t>
      </w:r>
      <w:r w:rsidR="00E934A2">
        <w:t xml:space="preserve"> jämförs</w:t>
      </w:r>
      <w:r w:rsidRPr="008E2D60">
        <w:t xml:space="preserve"> för</w:t>
      </w:r>
      <w:r w:rsidR="00D41D6E" w:rsidRPr="008E2D60">
        <w:t xml:space="preserve"> hela landskapets verksamhet </w:t>
      </w:r>
      <w:r w:rsidRPr="008E2D60">
        <w:t>mellan olika verksamhetsår är</w:t>
      </w:r>
      <w:r w:rsidR="00D41D6E" w:rsidRPr="008E2D60">
        <w:t xml:space="preserve"> årsbidraget</w:t>
      </w:r>
      <w:r w:rsidRPr="008E2D60">
        <w:t xml:space="preserve"> den mest relevanta posten</w:t>
      </w:r>
      <w:r w:rsidR="00D41D6E" w:rsidRPr="008E2D60">
        <w:t xml:space="preserve">. </w:t>
      </w:r>
      <w:r w:rsidR="00074652" w:rsidRPr="008E2D60">
        <w:t>Årsbidraget utgörs av verksamhet</w:t>
      </w:r>
      <w:r w:rsidRPr="008E2D60">
        <w:t>ens intäkter och kostnader</w:t>
      </w:r>
      <w:r w:rsidR="00074652" w:rsidRPr="008E2D60">
        <w:t xml:space="preserve">, skatteinkomster </w:t>
      </w:r>
      <w:r w:rsidRPr="008E2D60">
        <w:t>samt</w:t>
      </w:r>
      <w:r w:rsidR="00074652" w:rsidRPr="008E2D60">
        <w:t xml:space="preserve"> finansiella poster </w:t>
      </w:r>
      <w:r w:rsidRPr="008E2D60">
        <w:t xml:space="preserve">och </w:t>
      </w:r>
      <w:r w:rsidR="00074652" w:rsidRPr="008E2D60">
        <w:t>uppgick till</w:t>
      </w:r>
      <w:r w:rsidR="002F654E" w:rsidRPr="008E2D60">
        <w:t xml:space="preserve"> </w:t>
      </w:r>
      <w:r w:rsidR="008E2D60" w:rsidRPr="008E2D60">
        <w:t>43</w:t>
      </w:r>
      <w:r w:rsidR="005B6F65" w:rsidRPr="008E2D60">
        <w:t>,</w:t>
      </w:r>
      <w:r w:rsidR="008E2D60" w:rsidRPr="008E2D60">
        <w:t>8</w:t>
      </w:r>
      <w:r w:rsidR="00074652" w:rsidRPr="008E2D60">
        <w:t xml:space="preserve"> miljoner euro</w:t>
      </w:r>
      <w:r w:rsidRPr="008E2D60">
        <w:t>, vilket</w:t>
      </w:r>
      <w:r w:rsidR="00FD5AB8">
        <w:t xml:space="preserve"> påverkas väsentligt av en extraordinär intäkt om </w:t>
      </w:r>
      <w:r w:rsidR="00FD5AB8" w:rsidRPr="00183054">
        <w:t>4</w:t>
      </w:r>
      <w:r w:rsidR="00183054" w:rsidRPr="00183054">
        <w:t>7</w:t>
      </w:r>
      <w:r w:rsidR="00FD5AB8" w:rsidRPr="00183054">
        <w:t xml:space="preserve"> miljoner</w:t>
      </w:r>
      <w:r w:rsidR="00FD5AB8">
        <w:t xml:space="preserve"> euro som härrörde från finska statens återförande av elmarknadsstödet. </w:t>
      </w:r>
    </w:p>
    <w:p w14:paraId="60B433CC" w14:textId="4A858A07" w:rsidR="00D41D6E" w:rsidRPr="008E2D60" w:rsidRDefault="00A77B74" w:rsidP="00074652">
      <w:pPr>
        <w:pStyle w:val="ANormal"/>
      </w:pPr>
      <w:r>
        <w:tab/>
        <w:t xml:space="preserve">Landskapet beslutade i och med detta att </w:t>
      </w:r>
      <w:r w:rsidRPr="00A77B74">
        <w:t xml:space="preserve">bokföra en extraordinär kostnad om 40 miljoner euro som en överföring till Landskapet Ålands pensionsfond. Syftet var att trygga framtida pensionsutbetalningar. </w:t>
      </w:r>
    </w:p>
    <w:p w14:paraId="0CCF31FD" w14:textId="77777777" w:rsidR="005B6F65" w:rsidRPr="00172D44" w:rsidRDefault="005B6F65" w:rsidP="00074652">
      <w:pPr>
        <w:pStyle w:val="ANormal"/>
        <w:rPr>
          <w:color w:val="FF0000"/>
          <w:highlight w:val="yellow"/>
        </w:rPr>
      </w:pPr>
    </w:p>
    <w:tbl>
      <w:tblPr>
        <w:tblStyle w:val="Tabellrutnt"/>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98"/>
        <w:gridCol w:w="992"/>
        <w:gridCol w:w="992"/>
        <w:gridCol w:w="992"/>
        <w:gridCol w:w="993"/>
        <w:gridCol w:w="993"/>
      </w:tblGrid>
      <w:tr w:rsidR="001D7CF2" w:rsidRPr="00172D44" w14:paraId="1DAE9FB2" w14:textId="0805567D" w:rsidTr="00E9645C">
        <w:tc>
          <w:tcPr>
            <w:tcW w:w="1098" w:type="dxa"/>
            <w:vAlign w:val="center"/>
          </w:tcPr>
          <w:p w14:paraId="2C96D8BB" w14:textId="77777777" w:rsidR="001D7CF2" w:rsidRPr="00E9645C" w:rsidRDefault="001D7CF2" w:rsidP="00E9645C">
            <w:pPr>
              <w:pStyle w:val="ANormal"/>
              <w:rPr>
                <w:sz w:val="20"/>
                <w:szCs w:val="18"/>
              </w:rPr>
            </w:pPr>
          </w:p>
        </w:tc>
        <w:tc>
          <w:tcPr>
            <w:tcW w:w="992" w:type="dxa"/>
            <w:vAlign w:val="center"/>
          </w:tcPr>
          <w:p w14:paraId="320536BB" w14:textId="0214EF4D" w:rsidR="001D7CF2" w:rsidRPr="00E9645C" w:rsidRDefault="001D7CF2" w:rsidP="00E9645C">
            <w:pPr>
              <w:pStyle w:val="ANormal"/>
              <w:rPr>
                <w:sz w:val="20"/>
                <w:szCs w:val="18"/>
              </w:rPr>
            </w:pPr>
            <w:r w:rsidRPr="00E9645C">
              <w:rPr>
                <w:sz w:val="20"/>
                <w:szCs w:val="18"/>
              </w:rPr>
              <w:t>2020</w:t>
            </w:r>
          </w:p>
        </w:tc>
        <w:tc>
          <w:tcPr>
            <w:tcW w:w="992" w:type="dxa"/>
            <w:vAlign w:val="center"/>
          </w:tcPr>
          <w:p w14:paraId="0D1171A3" w14:textId="77777777" w:rsidR="001D7CF2" w:rsidRPr="00E9645C" w:rsidRDefault="001D7CF2" w:rsidP="00E9645C">
            <w:pPr>
              <w:pStyle w:val="ANormal"/>
              <w:rPr>
                <w:sz w:val="20"/>
                <w:szCs w:val="18"/>
              </w:rPr>
            </w:pPr>
            <w:r w:rsidRPr="00E9645C">
              <w:rPr>
                <w:sz w:val="20"/>
                <w:szCs w:val="18"/>
              </w:rPr>
              <w:t>2021</w:t>
            </w:r>
          </w:p>
        </w:tc>
        <w:tc>
          <w:tcPr>
            <w:tcW w:w="992" w:type="dxa"/>
            <w:vAlign w:val="center"/>
          </w:tcPr>
          <w:p w14:paraId="71413B8D" w14:textId="77777777" w:rsidR="001D7CF2" w:rsidRPr="00E9645C" w:rsidRDefault="001D7CF2" w:rsidP="00E9645C">
            <w:pPr>
              <w:pStyle w:val="ANormal"/>
              <w:rPr>
                <w:sz w:val="20"/>
                <w:szCs w:val="18"/>
              </w:rPr>
            </w:pPr>
            <w:r w:rsidRPr="00E9645C">
              <w:rPr>
                <w:sz w:val="20"/>
                <w:szCs w:val="18"/>
              </w:rPr>
              <w:t>2022</w:t>
            </w:r>
          </w:p>
        </w:tc>
        <w:tc>
          <w:tcPr>
            <w:tcW w:w="993" w:type="dxa"/>
            <w:vAlign w:val="center"/>
          </w:tcPr>
          <w:p w14:paraId="6E96790B" w14:textId="77777777" w:rsidR="001D7CF2" w:rsidRPr="00E9645C" w:rsidRDefault="001D7CF2" w:rsidP="00E9645C">
            <w:pPr>
              <w:pStyle w:val="ANormal"/>
              <w:rPr>
                <w:sz w:val="20"/>
                <w:szCs w:val="18"/>
              </w:rPr>
            </w:pPr>
            <w:r w:rsidRPr="00E9645C">
              <w:rPr>
                <w:sz w:val="20"/>
                <w:szCs w:val="18"/>
              </w:rPr>
              <w:t>2023</w:t>
            </w:r>
          </w:p>
        </w:tc>
        <w:tc>
          <w:tcPr>
            <w:tcW w:w="993" w:type="dxa"/>
            <w:vAlign w:val="center"/>
          </w:tcPr>
          <w:p w14:paraId="4FD3ADEF" w14:textId="5DE8A769" w:rsidR="001D7CF2" w:rsidRPr="00E9645C" w:rsidRDefault="001D7CF2" w:rsidP="00E9645C">
            <w:pPr>
              <w:pStyle w:val="ANormal"/>
              <w:rPr>
                <w:sz w:val="20"/>
                <w:szCs w:val="18"/>
              </w:rPr>
            </w:pPr>
            <w:r w:rsidRPr="00E9645C">
              <w:rPr>
                <w:sz w:val="20"/>
                <w:szCs w:val="18"/>
              </w:rPr>
              <w:t>2024</w:t>
            </w:r>
          </w:p>
        </w:tc>
      </w:tr>
      <w:tr w:rsidR="001D7CF2" w:rsidRPr="00172D44" w14:paraId="56BBEC79" w14:textId="06C49054" w:rsidTr="00E9645C">
        <w:tc>
          <w:tcPr>
            <w:tcW w:w="1098" w:type="dxa"/>
            <w:vAlign w:val="center"/>
          </w:tcPr>
          <w:p w14:paraId="4F313D84" w14:textId="28249DB3" w:rsidR="001D7CF2" w:rsidRPr="008E2D60" w:rsidRDefault="001D7CF2" w:rsidP="00E9645C">
            <w:pPr>
              <w:pStyle w:val="ANormal"/>
              <w:jc w:val="left"/>
              <w:rPr>
                <w:sz w:val="18"/>
                <w:szCs w:val="16"/>
              </w:rPr>
            </w:pPr>
            <w:r w:rsidRPr="008E2D60">
              <w:rPr>
                <w:sz w:val="18"/>
                <w:szCs w:val="16"/>
              </w:rPr>
              <w:t xml:space="preserve">Årsbidrag, </w:t>
            </w:r>
            <w:proofErr w:type="spellStart"/>
            <w:proofErr w:type="gramStart"/>
            <w:r w:rsidRPr="008E2D60">
              <w:rPr>
                <w:sz w:val="18"/>
                <w:szCs w:val="16"/>
              </w:rPr>
              <w:t>milj.euro</w:t>
            </w:r>
            <w:proofErr w:type="spellEnd"/>
            <w:proofErr w:type="gramEnd"/>
          </w:p>
        </w:tc>
        <w:tc>
          <w:tcPr>
            <w:tcW w:w="992" w:type="dxa"/>
            <w:vAlign w:val="center"/>
          </w:tcPr>
          <w:p w14:paraId="2F11C03B" w14:textId="04E923C8" w:rsidR="001D7CF2" w:rsidRPr="003A26B9" w:rsidRDefault="001D7CF2" w:rsidP="00E9645C">
            <w:pPr>
              <w:pStyle w:val="ANormal"/>
              <w:jc w:val="left"/>
              <w:rPr>
                <w:sz w:val="20"/>
                <w:szCs w:val="18"/>
              </w:rPr>
            </w:pPr>
            <w:r w:rsidRPr="003A26B9">
              <w:rPr>
                <w:sz w:val="20"/>
                <w:szCs w:val="18"/>
              </w:rPr>
              <w:t>-15,3</w:t>
            </w:r>
          </w:p>
        </w:tc>
        <w:tc>
          <w:tcPr>
            <w:tcW w:w="992" w:type="dxa"/>
            <w:vAlign w:val="center"/>
          </w:tcPr>
          <w:p w14:paraId="570851A7" w14:textId="232174D5" w:rsidR="001D7CF2" w:rsidRPr="003A26B9" w:rsidRDefault="001D7CF2" w:rsidP="00E9645C">
            <w:pPr>
              <w:pStyle w:val="ANormal"/>
              <w:jc w:val="left"/>
              <w:rPr>
                <w:sz w:val="20"/>
                <w:szCs w:val="18"/>
              </w:rPr>
            </w:pPr>
            <w:r w:rsidRPr="003A26B9">
              <w:rPr>
                <w:sz w:val="20"/>
                <w:szCs w:val="18"/>
              </w:rPr>
              <w:t>23,7</w:t>
            </w:r>
          </w:p>
        </w:tc>
        <w:tc>
          <w:tcPr>
            <w:tcW w:w="992" w:type="dxa"/>
            <w:vAlign w:val="center"/>
          </w:tcPr>
          <w:p w14:paraId="753152AD" w14:textId="67A4B70A" w:rsidR="001D7CF2" w:rsidRPr="003A26B9" w:rsidRDefault="001D7CF2" w:rsidP="00E9645C">
            <w:pPr>
              <w:pStyle w:val="ANormal"/>
              <w:jc w:val="left"/>
              <w:rPr>
                <w:sz w:val="20"/>
                <w:szCs w:val="18"/>
              </w:rPr>
            </w:pPr>
            <w:r w:rsidRPr="003A26B9">
              <w:rPr>
                <w:sz w:val="20"/>
                <w:szCs w:val="18"/>
              </w:rPr>
              <w:t>15,8</w:t>
            </w:r>
          </w:p>
        </w:tc>
        <w:tc>
          <w:tcPr>
            <w:tcW w:w="993" w:type="dxa"/>
            <w:vAlign w:val="center"/>
          </w:tcPr>
          <w:p w14:paraId="003D9CFB" w14:textId="0507D5BF" w:rsidR="001D7CF2" w:rsidRPr="003A26B9" w:rsidRDefault="001D7CF2" w:rsidP="00E9645C">
            <w:pPr>
              <w:pStyle w:val="ANormal"/>
              <w:jc w:val="left"/>
              <w:rPr>
                <w:sz w:val="20"/>
                <w:szCs w:val="18"/>
              </w:rPr>
            </w:pPr>
            <w:r w:rsidRPr="003A26B9">
              <w:rPr>
                <w:sz w:val="20"/>
                <w:szCs w:val="18"/>
              </w:rPr>
              <w:t>37,7</w:t>
            </w:r>
          </w:p>
        </w:tc>
        <w:tc>
          <w:tcPr>
            <w:tcW w:w="993" w:type="dxa"/>
            <w:vAlign w:val="center"/>
          </w:tcPr>
          <w:p w14:paraId="3DE1AC93" w14:textId="32E77A54" w:rsidR="001D7CF2" w:rsidRPr="003A26B9" w:rsidRDefault="001D7CF2" w:rsidP="00E9645C">
            <w:pPr>
              <w:pStyle w:val="ANormal"/>
              <w:jc w:val="left"/>
              <w:rPr>
                <w:sz w:val="20"/>
                <w:szCs w:val="18"/>
              </w:rPr>
            </w:pPr>
            <w:r w:rsidRPr="003A26B9">
              <w:rPr>
                <w:sz w:val="20"/>
                <w:szCs w:val="18"/>
              </w:rPr>
              <w:t>43,8</w:t>
            </w:r>
          </w:p>
        </w:tc>
      </w:tr>
      <w:tr w:rsidR="001D7CF2" w:rsidRPr="00172D44" w14:paraId="1D1BD0B6" w14:textId="15A656E0" w:rsidTr="00E9645C">
        <w:tc>
          <w:tcPr>
            <w:tcW w:w="1098" w:type="dxa"/>
            <w:vAlign w:val="center"/>
          </w:tcPr>
          <w:p w14:paraId="026BCD02" w14:textId="18C6A469" w:rsidR="001D7CF2" w:rsidRPr="008E2D60" w:rsidRDefault="001D7CF2" w:rsidP="00E9645C">
            <w:pPr>
              <w:pStyle w:val="ANormal"/>
              <w:jc w:val="left"/>
              <w:rPr>
                <w:sz w:val="18"/>
                <w:szCs w:val="16"/>
              </w:rPr>
            </w:pPr>
            <w:r w:rsidRPr="008E2D60">
              <w:rPr>
                <w:sz w:val="18"/>
                <w:szCs w:val="16"/>
              </w:rPr>
              <w:t>Avskrivningar</w:t>
            </w:r>
          </w:p>
        </w:tc>
        <w:tc>
          <w:tcPr>
            <w:tcW w:w="992" w:type="dxa"/>
            <w:vAlign w:val="center"/>
          </w:tcPr>
          <w:p w14:paraId="7CA46891" w14:textId="22629D49" w:rsidR="001D7CF2" w:rsidRPr="003A26B9" w:rsidRDefault="001D7CF2" w:rsidP="00E9645C">
            <w:pPr>
              <w:pStyle w:val="ANormal"/>
              <w:jc w:val="left"/>
              <w:rPr>
                <w:sz w:val="20"/>
                <w:szCs w:val="18"/>
              </w:rPr>
            </w:pPr>
            <w:r w:rsidRPr="003A26B9">
              <w:rPr>
                <w:sz w:val="20"/>
                <w:szCs w:val="18"/>
              </w:rPr>
              <w:t>-10,6</w:t>
            </w:r>
          </w:p>
        </w:tc>
        <w:tc>
          <w:tcPr>
            <w:tcW w:w="992" w:type="dxa"/>
            <w:vAlign w:val="center"/>
          </w:tcPr>
          <w:p w14:paraId="4A4C6E46" w14:textId="2DE4E462" w:rsidR="001D7CF2" w:rsidRPr="003A26B9" w:rsidRDefault="001D7CF2" w:rsidP="00E9645C">
            <w:pPr>
              <w:pStyle w:val="ANormal"/>
              <w:jc w:val="left"/>
              <w:rPr>
                <w:sz w:val="20"/>
                <w:szCs w:val="18"/>
              </w:rPr>
            </w:pPr>
            <w:r w:rsidRPr="003A26B9">
              <w:rPr>
                <w:sz w:val="20"/>
                <w:szCs w:val="18"/>
              </w:rPr>
              <w:t>-19,1</w:t>
            </w:r>
          </w:p>
        </w:tc>
        <w:tc>
          <w:tcPr>
            <w:tcW w:w="992" w:type="dxa"/>
            <w:vAlign w:val="center"/>
          </w:tcPr>
          <w:p w14:paraId="712F5E0D" w14:textId="3A8BDEA0" w:rsidR="001D7CF2" w:rsidRPr="003A26B9" w:rsidRDefault="001D7CF2" w:rsidP="00E9645C">
            <w:pPr>
              <w:pStyle w:val="ANormal"/>
              <w:jc w:val="left"/>
              <w:rPr>
                <w:sz w:val="20"/>
                <w:szCs w:val="18"/>
              </w:rPr>
            </w:pPr>
            <w:r w:rsidRPr="003A26B9">
              <w:rPr>
                <w:sz w:val="20"/>
                <w:szCs w:val="18"/>
              </w:rPr>
              <w:t>-11,5</w:t>
            </w:r>
          </w:p>
        </w:tc>
        <w:tc>
          <w:tcPr>
            <w:tcW w:w="993" w:type="dxa"/>
            <w:vAlign w:val="center"/>
          </w:tcPr>
          <w:p w14:paraId="413804C5" w14:textId="60C1CAD6" w:rsidR="001D7CF2" w:rsidRPr="003A26B9" w:rsidRDefault="001D7CF2" w:rsidP="00E9645C">
            <w:pPr>
              <w:pStyle w:val="ANormal"/>
              <w:jc w:val="left"/>
              <w:rPr>
                <w:sz w:val="20"/>
                <w:szCs w:val="18"/>
              </w:rPr>
            </w:pPr>
            <w:r w:rsidRPr="003A26B9">
              <w:rPr>
                <w:sz w:val="20"/>
                <w:szCs w:val="18"/>
              </w:rPr>
              <w:t>-12,1</w:t>
            </w:r>
          </w:p>
        </w:tc>
        <w:tc>
          <w:tcPr>
            <w:tcW w:w="993" w:type="dxa"/>
            <w:vAlign w:val="center"/>
          </w:tcPr>
          <w:p w14:paraId="295F9031" w14:textId="59DFBBF4" w:rsidR="001D7CF2" w:rsidRPr="003A26B9" w:rsidRDefault="001D7CF2" w:rsidP="00E9645C">
            <w:pPr>
              <w:pStyle w:val="ANormal"/>
              <w:jc w:val="left"/>
              <w:rPr>
                <w:sz w:val="20"/>
                <w:szCs w:val="18"/>
              </w:rPr>
            </w:pPr>
            <w:r w:rsidRPr="003A26B9">
              <w:rPr>
                <w:sz w:val="20"/>
                <w:szCs w:val="18"/>
              </w:rPr>
              <w:t>-12</w:t>
            </w:r>
          </w:p>
        </w:tc>
      </w:tr>
      <w:tr w:rsidR="001D7CF2" w:rsidRPr="00172D44" w14:paraId="056C27D8" w14:textId="522B5FD9" w:rsidTr="00E9645C">
        <w:trPr>
          <w:trHeight w:val="304"/>
        </w:trPr>
        <w:tc>
          <w:tcPr>
            <w:tcW w:w="1098" w:type="dxa"/>
            <w:vAlign w:val="center"/>
          </w:tcPr>
          <w:p w14:paraId="4F22931C" w14:textId="191C79B6" w:rsidR="001D7CF2" w:rsidRPr="008E2D60" w:rsidRDefault="001D7CF2" w:rsidP="00E9645C">
            <w:pPr>
              <w:pStyle w:val="ANormal"/>
              <w:jc w:val="left"/>
              <w:rPr>
                <w:sz w:val="18"/>
                <w:szCs w:val="16"/>
              </w:rPr>
            </w:pPr>
            <w:r w:rsidRPr="008E2D60">
              <w:rPr>
                <w:sz w:val="18"/>
                <w:szCs w:val="16"/>
              </w:rPr>
              <w:t>Resultat före extra poster</w:t>
            </w:r>
          </w:p>
        </w:tc>
        <w:tc>
          <w:tcPr>
            <w:tcW w:w="992" w:type="dxa"/>
            <w:vAlign w:val="center"/>
          </w:tcPr>
          <w:p w14:paraId="7C726D76" w14:textId="52DD8D48" w:rsidR="001D7CF2" w:rsidRPr="003A26B9" w:rsidRDefault="001D7CF2" w:rsidP="00E9645C">
            <w:pPr>
              <w:pStyle w:val="ANormal"/>
              <w:jc w:val="left"/>
              <w:rPr>
                <w:sz w:val="20"/>
                <w:szCs w:val="18"/>
              </w:rPr>
            </w:pPr>
            <w:r w:rsidRPr="003A26B9">
              <w:rPr>
                <w:sz w:val="20"/>
                <w:szCs w:val="18"/>
              </w:rPr>
              <w:t>-25,9</w:t>
            </w:r>
          </w:p>
        </w:tc>
        <w:tc>
          <w:tcPr>
            <w:tcW w:w="992" w:type="dxa"/>
            <w:vAlign w:val="center"/>
          </w:tcPr>
          <w:p w14:paraId="4CDE5555" w14:textId="2E834260" w:rsidR="001D7CF2" w:rsidRPr="003A26B9" w:rsidRDefault="001D7CF2" w:rsidP="00E9645C">
            <w:pPr>
              <w:pStyle w:val="ANormal"/>
              <w:jc w:val="left"/>
              <w:rPr>
                <w:sz w:val="20"/>
                <w:szCs w:val="18"/>
              </w:rPr>
            </w:pPr>
            <w:r w:rsidRPr="003A26B9">
              <w:rPr>
                <w:sz w:val="20"/>
                <w:szCs w:val="18"/>
              </w:rPr>
              <w:t>4,7</w:t>
            </w:r>
          </w:p>
        </w:tc>
        <w:tc>
          <w:tcPr>
            <w:tcW w:w="992" w:type="dxa"/>
            <w:vAlign w:val="center"/>
          </w:tcPr>
          <w:p w14:paraId="087C7553" w14:textId="77AC2250" w:rsidR="001D7CF2" w:rsidRPr="003A26B9" w:rsidRDefault="001D7CF2" w:rsidP="00E9645C">
            <w:pPr>
              <w:pStyle w:val="ANormal"/>
              <w:jc w:val="left"/>
              <w:rPr>
                <w:sz w:val="20"/>
                <w:szCs w:val="18"/>
              </w:rPr>
            </w:pPr>
            <w:r w:rsidRPr="003A26B9">
              <w:rPr>
                <w:sz w:val="20"/>
                <w:szCs w:val="18"/>
              </w:rPr>
              <w:t>21,8</w:t>
            </w:r>
          </w:p>
        </w:tc>
        <w:tc>
          <w:tcPr>
            <w:tcW w:w="993" w:type="dxa"/>
            <w:vAlign w:val="center"/>
          </w:tcPr>
          <w:p w14:paraId="29ADA3A8" w14:textId="5A97C10B" w:rsidR="001D7CF2" w:rsidRPr="003A26B9" w:rsidRDefault="001D7CF2" w:rsidP="00E9645C">
            <w:pPr>
              <w:pStyle w:val="ANormal"/>
              <w:jc w:val="left"/>
              <w:rPr>
                <w:sz w:val="20"/>
                <w:szCs w:val="18"/>
              </w:rPr>
            </w:pPr>
            <w:r w:rsidRPr="003A26B9">
              <w:rPr>
                <w:sz w:val="20"/>
                <w:szCs w:val="18"/>
              </w:rPr>
              <w:t>12,5</w:t>
            </w:r>
          </w:p>
        </w:tc>
        <w:tc>
          <w:tcPr>
            <w:tcW w:w="993" w:type="dxa"/>
            <w:vAlign w:val="center"/>
          </w:tcPr>
          <w:p w14:paraId="6508DC93" w14:textId="3CBD9E0F" w:rsidR="001D7CF2" w:rsidRPr="003A26B9" w:rsidRDefault="001D7CF2" w:rsidP="00E9645C">
            <w:pPr>
              <w:pStyle w:val="ANormal"/>
              <w:jc w:val="left"/>
              <w:rPr>
                <w:sz w:val="20"/>
                <w:szCs w:val="18"/>
              </w:rPr>
            </w:pPr>
            <w:r w:rsidRPr="003A26B9">
              <w:rPr>
                <w:sz w:val="20"/>
                <w:szCs w:val="18"/>
              </w:rPr>
              <w:t>-</w:t>
            </w:r>
            <w:r w:rsidR="008E2D60" w:rsidRPr="003A26B9">
              <w:rPr>
                <w:sz w:val="20"/>
                <w:szCs w:val="18"/>
              </w:rPr>
              <w:t>6,9</w:t>
            </w:r>
          </w:p>
        </w:tc>
      </w:tr>
      <w:tr w:rsidR="001D7CF2" w:rsidRPr="00172D44" w14:paraId="24B0959D" w14:textId="2002DDF4" w:rsidTr="00E9645C">
        <w:trPr>
          <w:trHeight w:val="304"/>
        </w:trPr>
        <w:tc>
          <w:tcPr>
            <w:tcW w:w="1098" w:type="dxa"/>
            <w:vAlign w:val="center"/>
          </w:tcPr>
          <w:p w14:paraId="21414BB5" w14:textId="1B78CAFF" w:rsidR="001D7CF2" w:rsidRPr="008E2D60" w:rsidRDefault="001D7CF2" w:rsidP="00E9645C">
            <w:pPr>
              <w:pStyle w:val="ANormal"/>
              <w:jc w:val="left"/>
              <w:rPr>
                <w:sz w:val="18"/>
                <w:szCs w:val="16"/>
              </w:rPr>
            </w:pPr>
            <w:proofErr w:type="gramStart"/>
            <w:r w:rsidRPr="008E2D60">
              <w:rPr>
                <w:sz w:val="18"/>
                <w:szCs w:val="16"/>
              </w:rPr>
              <w:t>Periodens  under</w:t>
            </w:r>
            <w:proofErr w:type="gramEnd"/>
            <w:r w:rsidRPr="008E2D60">
              <w:rPr>
                <w:sz w:val="18"/>
                <w:szCs w:val="16"/>
              </w:rPr>
              <w:t>- eller överskott</w:t>
            </w:r>
          </w:p>
        </w:tc>
        <w:tc>
          <w:tcPr>
            <w:tcW w:w="992" w:type="dxa"/>
            <w:vAlign w:val="center"/>
          </w:tcPr>
          <w:p w14:paraId="6102281B" w14:textId="095BE302" w:rsidR="001D7CF2" w:rsidRPr="003A26B9" w:rsidRDefault="001D7CF2" w:rsidP="00E9645C">
            <w:pPr>
              <w:pStyle w:val="ANormal"/>
              <w:jc w:val="left"/>
              <w:rPr>
                <w:sz w:val="20"/>
                <w:szCs w:val="18"/>
              </w:rPr>
            </w:pPr>
            <w:r w:rsidRPr="003A26B9">
              <w:rPr>
                <w:sz w:val="20"/>
                <w:szCs w:val="18"/>
              </w:rPr>
              <w:t>-50,0</w:t>
            </w:r>
          </w:p>
        </w:tc>
        <w:tc>
          <w:tcPr>
            <w:tcW w:w="992" w:type="dxa"/>
            <w:vAlign w:val="center"/>
          </w:tcPr>
          <w:p w14:paraId="2AC98D58" w14:textId="7E5710BF" w:rsidR="001D7CF2" w:rsidRPr="003A26B9" w:rsidRDefault="001D7CF2" w:rsidP="00E9645C">
            <w:pPr>
              <w:pStyle w:val="ANormal"/>
              <w:jc w:val="left"/>
              <w:rPr>
                <w:sz w:val="20"/>
                <w:szCs w:val="18"/>
              </w:rPr>
            </w:pPr>
            <w:r w:rsidRPr="003A26B9">
              <w:rPr>
                <w:sz w:val="20"/>
                <w:szCs w:val="18"/>
              </w:rPr>
              <w:t>-0,2</w:t>
            </w:r>
          </w:p>
        </w:tc>
        <w:tc>
          <w:tcPr>
            <w:tcW w:w="992" w:type="dxa"/>
            <w:vAlign w:val="center"/>
          </w:tcPr>
          <w:p w14:paraId="11403446" w14:textId="56EE61AD" w:rsidR="001D7CF2" w:rsidRPr="003A26B9" w:rsidRDefault="001D7CF2" w:rsidP="00E9645C">
            <w:pPr>
              <w:pStyle w:val="ANormal"/>
              <w:jc w:val="left"/>
              <w:rPr>
                <w:sz w:val="20"/>
                <w:szCs w:val="18"/>
              </w:rPr>
            </w:pPr>
            <w:r w:rsidRPr="003A26B9">
              <w:rPr>
                <w:sz w:val="20"/>
                <w:szCs w:val="18"/>
              </w:rPr>
              <w:t>15,3</w:t>
            </w:r>
          </w:p>
        </w:tc>
        <w:tc>
          <w:tcPr>
            <w:tcW w:w="993" w:type="dxa"/>
            <w:vAlign w:val="center"/>
          </w:tcPr>
          <w:p w14:paraId="672229F5" w14:textId="0305EFAC" w:rsidR="001D7CF2" w:rsidRPr="003A26B9" w:rsidRDefault="001D7CF2" w:rsidP="00E9645C">
            <w:pPr>
              <w:pStyle w:val="ANormal"/>
              <w:jc w:val="left"/>
              <w:rPr>
                <w:sz w:val="20"/>
                <w:szCs w:val="18"/>
              </w:rPr>
            </w:pPr>
            <w:r w:rsidRPr="003A26B9">
              <w:rPr>
                <w:sz w:val="20"/>
                <w:szCs w:val="18"/>
              </w:rPr>
              <w:t>-3,9</w:t>
            </w:r>
          </w:p>
        </w:tc>
        <w:tc>
          <w:tcPr>
            <w:tcW w:w="993" w:type="dxa"/>
            <w:vAlign w:val="center"/>
          </w:tcPr>
          <w:p w14:paraId="2909985B" w14:textId="0742746A" w:rsidR="001D7CF2" w:rsidRPr="003A26B9" w:rsidRDefault="001D7CF2" w:rsidP="00E9645C">
            <w:pPr>
              <w:pStyle w:val="ANormal"/>
              <w:jc w:val="left"/>
              <w:rPr>
                <w:sz w:val="20"/>
                <w:szCs w:val="18"/>
              </w:rPr>
            </w:pPr>
            <w:r w:rsidRPr="003A26B9">
              <w:rPr>
                <w:sz w:val="20"/>
                <w:szCs w:val="18"/>
              </w:rPr>
              <w:t>- 17,2</w:t>
            </w:r>
          </w:p>
        </w:tc>
      </w:tr>
    </w:tbl>
    <w:p w14:paraId="421B4E47" w14:textId="77777777" w:rsidR="005B6F65" w:rsidRPr="00172D44" w:rsidRDefault="005B6F65" w:rsidP="00074652">
      <w:pPr>
        <w:pStyle w:val="ANormal"/>
        <w:rPr>
          <w:color w:val="FF0000"/>
          <w:highlight w:val="yellow"/>
        </w:rPr>
      </w:pPr>
    </w:p>
    <w:p w14:paraId="24B74354" w14:textId="2CE059B4" w:rsidR="002542D0" w:rsidRPr="00172D44" w:rsidRDefault="00D41D6E" w:rsidP="00074652">
      <w:pPr>
        <w:pStyle w:val="ANormal"/>
        <w:rPr>
          <w:highlight w:val="yellow"/>
        </w:rPr>
      </w:pPr>
      <w:r w:rsidRPr="008E2D60">
        <w:tab/>
      </w:r>
      <w:r w:rsidR="00110090" w:rsidRPr="008E2D60">
        <w:t>Räkenskapsperiodens resultat år 20</w:t>
      </w:r>
      <w:r w:rsidR="00157C9A" w:rsidRPr="008E2D60">
        <w:t>2</w:t>
      </w:r>
      <w:r w:rsidR="008E2D60" w:rsidRPr="008E2D60">
        <w:t>4</w:t>
      </w:r>
      <w:r w:rsidR="00110090" w:rsidRPr="008E2D60">
        <w:t xml:space="preserve"> uppgår till </w:t>
      </w:r>
      <w:r w:rsidR="008E2D60" w:rsidRPr="008E2D60">
        <w:t>-6,9</w:t>
      </w:r>
      <w:r w:rsidR="00093C35" w:rsidRPr="008E2D60">
        <w:t xml:space="preserve"> (</w:t>
      </w:r>
      <w:r w:rsidR="008E2D60" w:rsidRPr="008E2D60">
        <w:t>12</w:t>
      </w:r>
      <w:r w:rsidR="002542D0" w:rsidRPr="008E2D60">
        <w:t>,</w:t>
      </w:r>
      <w:r w:rsidR="008E2D60" w:rsidRPr="008E2D60">
        <w:t>5</w:t>
      </w:r>
      <w:r w:rsidR="00157C9A" w:rsidRPr="008E2D60">
        <w:t>)</w:t>
      </w:r>
      <w:r w:rsidR="00110090" w:rsidRPr="008E2D60">
        <w:t xml:space="preserve"> miljoner euro</w:t>
      </w:r>
      <w:r w:rsidR="003B7559" w:rsidRPr="008E2D60">
        <w:t xml:space="preserve">. </w:t>
      </w:r>
    </w:p>
    <w:p w14:paraId="05172C09" w14:textId="6BFF204C" w:rsidR="0072567D" w:rsidRDefault="000545CE" w:rsidP="00074652">
      <w:pPr>
        <w:pStyle w:val="ANormal"/>
      </w:pPr>
      <w:r w:rsidRPr="0072567D">
        <w:tab/>
      </w:r>
      <w:r w:rsidR="00C57B50" w:rsidRPr="0072567D">
        <w:t>Det slutliga resultatet, som i årsredovisningen kallas ”Räkenskapsperiodens under</w:t>
      </w:r>
      <w:r w:rsidR="00183054">
        <w:t>-</w:t>
      </w:r>
      <w:r w:rsidR="00C57B50" w:rsidRPr="0072567D">
        <w:t xml:space="preserve"> eller överskott”, uppvisar ett minus om </w:t>
      </w:r>
      <w:r w:rsidR="0072567D" w:rsidRPr="0072567D">
        <w:t>17,2</w:t>
      </w:r>
      <w:r w:rsidR="00C57B50" w:rsidRPr="0072567D">
        <w:t xml:space="preserve"> miljoner euro</w:t>
      </w:r>
      <w:r w:rsidR="003B70BD">
        <w:t>, vilket är ett försämrat resultat. Resultatet kan förklaras med att verksamhetskostnaderna ökat med cirka 15,1 miljoner euro</w:t>
      </w:r>
      <w:r w:rsidR="00183054">
        <w:t xml:space="preserve"> och</w:t>
      </w:r>
      <w:r w:rsidR="00A77B74">
        <w:t xml:space="preserve"> att de ordinarie skatteintäkterna minskat, samt</w:t>
      </w:r>
      <w:r w:rsidR="003B70BD">
        <w:t xml:space="preserve"> att </w:t>
      </w:r>
      <w:r w:rsidR="00183054">
        <w:t>den</w:t>
      </w:r>
      <w:r w:rsidR="003B70BD">
        <w:t xml:space="preserve"> extraordinär kostnad</w:t>
      </w:r>
      <w:r w:rsidR="00183054">
        <w:t>en</w:t>
      </w:r>
      <w:r w:rsidR="003B70BD">
        <w:t xml:space="preserve"> om 40 miljoner</w:t>
      </w:r>
      <w:r w:rsidR="00183054">
        <w:t xml:space="preserve"> euro</w:t>
      </w:r>
      <w:r w:rsidR="003B70BD">
        <w:t xml:space="preserve">. Den extraordinära kostnaden består av en överföring till Landskapets Ålands pensionsfond i syfte att trygga framtida pensionsutbetalningar. </w:t>
      </w:r>
      <w:r w:rsidR="00C57B50" w:rsidRPr="00172D44">
        <w:rPr>
          <w:highlight w:val="yellow"/>
        </w:rPr>
        <w:t xml:space="preserve"> </w:t>
      </w:r>
    </w:p>
    <w:p w14:paraId="45FE76D4" w14:textId="07C0D763" w:rsidR="00AE1714" w:rsidRPr="00172D44" w:rsidRDefault="00110090" w:rsidP="00110090">
      <w:pPr>
        <w:pStyle w:val="ANormal"/>
        <w:rPr>
          <w:highlight w:val="yellow"/>
        </w:rPr>
      </w:pPr>
      <w:r w:rsidRPr="004A3BA0">
        <w:tab/>
        <w:t>Verksamhetens kostnader uppgick år 20</w:t>
      </w:r>
      <w:r w:rsidR="00AE1714" w:rsidRPr="004A3BA0">
        <w:t>2</w:t>
      </w:r>
      <w:r w:rsidR="004A3BA0" w:rsidRPr="004A3BA0">
        <w:t>4</w:t>
      </w:r>
      <w:r w:rsidRPr="004A3BA0">
        <w:t xml:space="preserve"> till </w:t>
      </w:r>
      <w:r w:rsidR="000545CE" w:rsidRPr="004A3BA0">
        <w:t>2</w:t>
      </w:r>
      <w:r w:rsidR="004A3BA0" w:rsidRPr="004A3BA0">
        <w:t>43</w:t>
      </w:r>
      <w:r w:rsidR="000545CE" w:rsidRPr="004A3BA0">
        <w:t>,</w:t>
      </w:r>
      <w:r w:rsidR="004A3BA0" w:rsidRPr="004A3BA0">
        <w:t>8</w:t>
      </w:r>
      <w:r w:rsidR="000545CE" w:rsidRPr="004A3BA0">
        <w:t xml:space="preserve"> (</w:t>
      </w:r>
      <w:r w:rsidR="00A906FF" w:rsidRPr="004A3BA0">
        <w:t>22</w:t>
      </w:r>
      <w:r w:rsidR="004A3BA0" w:rsidRPr="004A3BA0">
        <w:t>8</w:t>
      </w:r>
      <w:r w:rsidR="00A906FF" w:rsidRPr="004A3BA0">
        <w:t>,</w:t>
      </w:r>
      <w:r w:rsidR="004A3BA0" w:rsidRPr="004A3BA0">
        <w:t>7</w:t>
      </w:r>
      <w:r w:rsidR="00A906FF" w:rsidRPr="004A3BA0">
        <w:t>)</w:t>
      </w:r>
      <w:r w:rsidRPr="004A3BA0">
        <w:t xml:space="preserve"> miljoner euro, vilket är</w:t>
      </w:r>
      <w:r w:rsidR="00AE1714" w:rsidRPr="004A3BA0">
        <w:t xml:space="preserve"> en ökning </w:t>
      </w:r>
      <w:r w:rsidR="00195FF1" w:rsidRPr="004A3BA0">
        <w:t>med</w:t>
      </w:r>
      <w:r w:rsidR="00AE1714" w:rsidRPr="004A3BA0">
        <w:t xml:space="preserve"> </w:t>
      </w:r>
      <w:r w:rsidR="004A3BA0" w:rsidRPr="004A3BA0">
        <w:t>15</w:t>
      </w:r>
      <w:r w:rsidR="000545CE" w:rsidRPr="004A3BA0">
        <w:t>,</w:t>
      </w:r>
      <w:r w:rsidR="004A3BA0" w:rsidRPr="004A3BA0">
        <w:t xml:space="preserve">1 </w:t>
      </w:r>
      <w:r w:rsidR="000545CE" w:rsidRPr="004A3BA0">
        <w:t>(</w:t>
      </w:r>
      <w:r w:rsidR="004A3BA0" w:rsidRPr="004A3BA0">
        <w:t>6</w:t>
      </w:r>
      <w:r w:rsidR="00A906FF" w:rsidRPr="004A3BA0">
        <w:t>,</w:t>
      </w:r>
      <w:r w:rsidR="004A3BA0" w:rsidRPr="004A3BA0">
        <w:t>1</w:t>
      </w:r>
      <w:r w:rsidR="00A906FF" w:rsidRPr="004A3BA0">
        <w:t>)</w:t>
      </w:r>
      <w:r w:rsidRPr="004A3BA0">
        <w:t xml:space="preserve"> miljoner eller </w:t>
      </w:r>
      <w:r w:rsidR="004A3BA0" w:rsidRPr="004A3BA0">
        <w:t>6</w:t>
      </w:r>
      <w:r w:rsidR="000545CE" w:rsidRPr="004A3BA0">
        <w:t>,</w:t>
      </w:r>
      <w:r w:rsidR="00E97F83">
        <w:t>6</w:t>
      </w:r>
      <w:r w:rsidR="000545CE" w:rsidRPr="004A3BA0">
        <w:t xml:space="preserve"> (</w:t>
      </w:r>
      <w:r w:rsidR="004A3BA0" w:rsidRPr="004A3BA0">
        <w:t>3</w:t>
      </w:r>
      <w:r w:rsidR="00A906FF" w:rsidRPr="004A3BA0">
        <w:t>,</w:t>
      </w:r>
      <w:r w:rsidR="004A3BA0" w:rsidRPr="004A3BA0">
        <w:t>0</w:t>
      </w:r>
      <w:r w:rsidR="00AE1714" w:rsidRPr="004A3BA0">
        <w:t xml:space="preserve">) </w:t>
      </w:r>
      <w:r w:rsidRPr="004A3BA0">
        <w:t xml:space="preserve">procent </w:t>
      </w:r>
      <w:r w:rsidR="00AE1714" w:rsidRPr="004A3BA0">
        <w:t xml:space="preserve">jämfört med </w:t>
      </w:r>
      <w:r w:rsidRPr="004A3BA0">
        <w:t>år 20</w:t>
      </w:r>
      <w:r w:rsidR="00586D81" w:rsidRPr="004A3BA0">
        <w:t>2</w:t>
      </w:r>
      <w:r w:rsidR="004A3BA0">
        <w:t>3</w:t>
      </w:r>
      <w:r w:rsidR="00586D81" w:rsidRPr="004A3BA0">
        <w:t>.</w:t>
      </w:r>
      <w:r w:rsidR="00E97F83">
        <w:t xml:space="preserve"> Orsaken till att verksamhetskostnaderna ökar resoneras det om separat i detta betänkande. </w:t>
      </w:r>
    </w:p>
    <w:p w14:paraId="249CE2DC" w14:textId="13A5029C" w:rsidR="00926D1C" w:rsidRDefault="00AE1714" w:rsidP="00110090">
      <w:pPr>
        <w:pStyle w:val="ANormal"/>
      </w:pPr>
      <w:r w:rsidRPr="001D399F">
        <w:tab/>
        <w:t xml:space="preserve">Kostnaderna för inkomst- och kapitalöverföringar </w:t>
      </w:r>
      <w:r w:rsidR="000545CE" w:rsidRPr="001D399F">
        <w:t xml:space="preserve">ökade </w:t>
      </w:r>
      <w:r w:rsidRPr="001D399F">
        <w:t xml:space="preserve">med </w:t>
      </w:r>
      <w:r w:rsidR="001D399F" w:rsidRPr="001D399F">
        <w:t>5</w:t>
      </w:r>
      <w:r w:rsidR="00183054">
        <w:t>,0</w:t>
      </w:r>
      <w:r w:rsidR="000545CE" w:rsidRPr="001D399F">
        <w:t xml:space="preserve"> (</w:t>
      </w:r>
      <w:r w:rsidR="001D399F" w:rsidRPr="001D399F">
        <w:t>8</w:t>
      </w:r>
      <w:r w:rsidR="00A906FF" w:rsidRPr="001D399F">
        <w:t>,</w:t>
      </w:r>
      <w:r w:rsidR="001D399F" w:rsidRPr="001D399F">
        <w:t>3</w:t>
      </w:r>
      <w:r w:rsidR="00A906FF" w:rsidRPr="001D399F">
        <w:t>)</w:t>
      </w:r>
      <w:r w:rsidR="00586D81" w:rsidRPr="001D399F">
        <w:t xml:space="preserve"> </w:t>
      </w:r>
      <w:r w:rsidRPr="001D399F">
        <w:t xml:space="preserve">miljoner euro till </w:t>
      </w:r>
      <w:r w:rsidR="000545CE" w:rsidRPr="001D399F">
        <w:t>1</w:t>
      </w:r>
      <w:r w:rsidR="001D399F" w:rsidRPr="001D399F">
        <w:t>14</w:t>
      </w:r>
      <w:r w:rsidR="000545CE" w:rsidRPr="001D399F">
        <w:t>,2 (</w:t>
      </w:r>
      <w:r w:rsidR="00A906FF" w:rsidRPr="001D399F">
        <w:t>10</w:t>
      </w:r>
      <w:r w:rsidR="001D399F" w:rsidRPr="001D399F">
        <w:t>9</w:t>
      </w:r>
      <w:r w:rsidR="00A906FF" w:rsidRPr="001D399F">
        <w:t>,</w:t>
      </w:r>
      <w:r w:rsidR="001D399F" w:rsidRPr="001D399F">
        <w:t>2</w:t>
      </w:r>
      <w:r w:rsidR="00A906FF" w:rsidRPr="001D399F">
        <w:t>)</w:t>
      </w:r>
      <w:r w:rsidRPr="001D399F">
        <w:t xml:space="preserve"> miljoner euro. </w:t>
      </w:r>
    </w:p>
    <w:p w14:paraId="10D287B9" w14:textId="77777777" w:rsidR="00A77B74" w:rsidRPr="001D399F" w:rsidRDefault="00A77B74" w:rsidP="00110090">
      <w:pPr>
        <w:pStyle w:val="ANormal"/>
        <w:rPr>
          <w:color w:val="FF0000"/>
        </w:rPr>
      </w:pPr>
    </w:p>
    <w:p w14:paraId="3EA37A85" w14:textId="20A011FE" w:rsidR="009F715D" w:rsidRPr="00172D44" w:rsidRDefault="009F715D" w:rsidP="00110090">
      <w:pPr>
        <w:pStyle w:val="ANormal"/>
        <w:rPr>
          <w:color w:val="FF0000"/>
          <w:highlight w:val="yellow"/>
        </w:rPr>
      </w:pPr>
    </w:p>
    <w:p w14:paraId="37DEF04D" w14:textId="4CA66F33" w:rsidR="009F715D" w:rsidRPr="00231791" w:rsidRDefault="009F715D" w:rsidP="00110090">
      <w:pPr>
        <w:pStyle w:val="ANormal"/>
        <w:rPr>
          <w:b/>
          <w:bCs/>
          <w:color w:val="FF0000"/>
        </w:rPr>
      </w:pPr>
      <w:r w:rsidRPr="00231791">
        <w:rPr>
          <w:b/>
          <w:bCs/>
        </w:rPr>
        <w:t>Budgetuppföljningen</w:t>
      </w:r>
    </w:p>
    <w:p w14:paraId="2A1099C9" w14:textId="60EB16B1" w:rsidR="009F715D" w:rsidRPr="00172D44" w:rsidRDefault="009F715D" w:rsidP="00110090">
      <w:pPr>
        <w:pStyle w:val="ANormal"/>
        <w:rPr>
          <w:color w:val="FF0000"/>
          <w:sz w:val="10"/>
          <w:szCs w:val="8"/>
          <w:highlight w:val="yellow"/>
        </w:rPr>
      </w:pPr>
    </w:p>
    <w:p w14:paraId="1C7B9147" w14:textId="12C90FF7" w:rsidR="00C23DD0" w:rsidRPr="00172D44" w:rsidRDefault="009F715D" w:rsidP="00215926">
      <w:pPr>
        <w:pStyle w:val="ANormal"/>
        <w:rPr>
          <w:highlight w:val="yellow"/>
        </w:rPr>
      </w:pPr>
      <w:r w:rsidRPr="00231791">
        <w:t>Budgete</w:t>
      </w:r>
      <w:r w:rsidR="00231791">
        <w:t>ns förverkligandegrad</w:t>
      </w:r>
      <w:r w:rsidRPr="00231791">
        <w:t xml:space="preserve"> </w:t>
      </w:r>
      <w:r w:rsidR="00552063" w:rsidRPr="00231791">
        <w:t>visar att</w:t>
      </w:r>
      <w:r w:rsidRPr="00231791">
        <w:t xml:space="preserve"> </w:t>
      </w:r>
      <w:r w:rsidR="00231791" w:rsidRPr="00231791">
        <w:t>90</w:t>
      </w:r>
      <w:r w:rsidR="0007018A" w:rsidRPr="00231791">
        <w:t xml:space="preserve"> (</w:t>
      </w:r>
      <w:r w:rsidRPr="00231791">
        <w:t>8</w:t>
      </w:r>
      <w:r w:rsidR="00231791" w:rsidRPr="00231791">
        <w:t>8</w:t>
      </w:r>
      <w:r w:rsidR="0007018A" w:rsidRPr="00231791">
        <w:t>)</w:t>
      </w:r>
      <w:r w:rsidRPr="00231791">
        <w:t xml:space="preserve"> % av budgetanslagen för verksamhet och överföringar har nyttjats, vilket lämnade ett </w:t>
      </w:r>
      <w:r w:rsidR="0007018A" w:rsidRPr="00231791">
        <w:t xml:space="preserve">budgettekniskt </w:t>
      </w:r>
      <w:r w:rsidRPr="00231791">
        <w:lastRenderedPageBreak/>
        <w:t xml:space="preserve">överskott om </w:t>
      </w:r>
      <w:r w:rsidR="000F49F6" w:rsidRPr="000F49F6">
        <w:t>39</w:t>
      </w:r>
      <w:r w:rsidR="002302B2" w:rsidRPr="000F49F6">
        <w:t>,</w:t>
      </w:r>
      <w:r w:rsidR="000F49F6" w:rsidRPr="000F49F6">
        <w:t>4</w:t>
      </w:r>
      <w:r w:rsidR="002302B2" w:rsidRPr="000F49F6">
        <w:t xml:space="preserve"> (</w:t>
      </w:r>
      <w:r w:rsidR="000F49F6" w:rsidRPr="000F49F6">
        <w:t>43</w:t>
      </w:r>
      <w:r w:rsidR="00B244AF" w:rsidRPr="000F49F6">
        <w:t>,</w:t>
      </w:r>
      <w:r w:rsidR="000F49F6" w:rsidRPr="000F49F6">
        <w:t>0</w:t>
      </w:r>
      <w:r w:rsidR="0007018A" w:rsidRPr="000F49F6">
        <w:t>)</w:t>
      </w:r>
      <w:r w:rsidRPr="000F49F6">
        <w:t xml:space="preserve"> m</w:t>
      </w:r>
      <w:r w:rsidR="00552063" w:rsidRPr="000F49F6">
        <w:t>iljoner euro</w:t>
      </w:r>
      <w:r w:rsidRPr="000F49F6">
        <w:t>.</w:t>
      </w:r>
      <w:r w:rsidRPr="00CD11FA">
        <w:t xml:space="preserve"> Av detta belopp överförs </w:t>
      </w:r>
      <w:r w:rsidR="00CD11FA" w:rsidRPr="00CD11FA">
        <w:t>30,1</w:t>
      </w:r>
      <w:r w:rsidR="00D17DFB" w:rsidRPr="00CD11FA">
        <w:t xml:space="preserve"> (</w:t>
      </w:r>
      <w:r w:rsidR="00CD11FA" w:rsidRPr="00CD11FA">
        <w:t>27</w:t>
      </w:r>
      <w:r w:rsidR="00B244AF" w:rsidRPr="00CD11FA">
        <w:t>,</w:t>
      </w:r>
      <w:r w:rsidR="00CD11FA" w:rsidRPr="00CD11FA">
        <w:t>5</w:t>
      </w:r>
      <w:r w:rsidR="0007018A" w:rsidRPr="00CD11FA">
        <w:t>)</w:t>
      </w:r>
      <w:r w:rsidRPr="00CD11FA">
        <w:t xml:space="preserve"> m</w:t>
      </w:r>
      <w:r w:rsidR="00552063" w:rsidRPr="00CD11FA">
        <w:t>iljoner euro</w:t>
      </w:r>
      <w:r w:rsidRPr="00CD11FA">
        <w:t xml:space="preserve"> till budgetåret 202</w:t>
      </w:r>
      <w:r w:rsidR="00CD11FA">
        <w:t>5</w:t>
      </w:r>
      <w:r w:rsidRPr="00CD11FA">
        <w:t xml:space="preserve">. </w:t>
      </w:r>
      <w:r w:rsidR="00B244AF" w:rsidRPr="00172D44">
        <w:rPr>
          <w:highlight w:val="yellow"/>
        </w:rPr>
        <w:t xml:space="preserve"> </w:t>
      </w:r>
    </w:p>
    <w:p w14:paraId="33003694" w14:textId="7DBBCB0B" w:rsidR="007D7E4E" w:rsidRPr="00524E6A" w:rsidRDefault="00C23DD0" w:rsidP="00340547">
      <w:pPr>
        <w:pStyle w:val="ANormal"/>
        <w:rPr>
          <w:highlight w:val="yellow"/>
        </w:rPr>
      </w:pPr>
      <w:r w:rsidRPr="00575298">
        <w:tab/>
      </w:r>
      <w:r w:rsidR="00B244AF" w:rsidRPr="00575298">
        <w:t xml:space="preserve">Utskottet konstaterar att </w:t>
      </w:r>
      <w:r w:rsidR="002C63D7">
        <w:t xml:space="preserve">olika </w:t>
      </w:r>
      <w:r w:rsidR="00B244AF" w:rsidRPr="00575298">
        <w:t>typ</w:t>
      </w:r>
      <w:r w:rsidR="002C63D7">
        <w:t>er</w:t>
      </w:r>
      <w:r w:rsidR="00B244AF" w:rsidRPr="00575298">
        <w:t xml:space="preserve"> av projektorienterade anslag alltid kommer att uppvisa stora fluktuationer i utfallet</w:t>
      </w:r>
      <w:r w:rsidR="00DD2319" w:rsidRPr="00DD2319">
        <w:t>.</w:t>
      </w:r>
    </w:p>
    <w:p w14:paraId="6A17DF9E" w14:textId="77777777" w:rsidR="004F3023" w:rsidRDefault="009F715D" w:rsidP="00215926">
      <w:pPr>
        <w:pStyle w:val="ANormal"/>
      </w:pPr>
      <w:r w:rsidRPr="004A74CA">
        <w:tab/>
        <w:t xml:space="preserve">Investeringsanslagen (utan finansiella investeringar) uppgick till </w:t>
      </w:r>
      <w:r w:rsidR="009E7149" w:rsidRPr="004A74CA">
        <w:t>46,</w:t>
      </w:r>
      <w:r w:rsidR="004A74CA" w:rsidRPr="004A74CA">
        <w:t>8</w:t>
      </w:r>
      <w:r w:rsidR="00CB6092" w:rsidRPr="004A74CA">
        <w:t xml:space="preserve"> (</w:t>
      </w:r>
      <w:r w:rsidR="00B244AF" w:rsidRPr="004A74CA">
        <w:t>4</w:t>
      </w:r>
      <w:r w:rsidR="004A74CA" w:rsidRPr="004A74CA">
        <w:t>6</w:t>
      </w:r>
      <w:r w:rsidR="0007018A" w:rsidRPr="004A74CA">
        <w:t>)</w:t>
      </w:r>
      <w:r w:rsidRPr="004A74CA">
        <w:t xml:space="preserve"> m</w:t>
      </w:r>
      <w:r w:rsidR="00552063" w:rsidRPr="004A74CA">
        <w:t>iljoner euro</w:t>
      </w:r>
      <w:r w:rsidRPr="004A74CA">
        <w:t xml:space="preserve">, av vilket </w:t>
      </w:r>
      <w:r w:rsidR="00CB6092" w:rsidRPr="004A74CA">
        <w:t>2</w:t>
      </w:r>
      <w:r w:rsidR="004A74CA" w:rsidRPr="004A74CA">
        <w:t>8</w:t>
      </w:r>
      <w:r w:rsidR="004A74CA">
        <w:t>,0</w:t>
      </w:r>
      <w:r w:rsidR="00CB6092" w:rsidRPr="004A74CA">
        <w:t xml:space="preserve"> (</w:t>
      </w:r>
      <w:r w:rsidR="004A74CA" w:rsidRPr="004A74CA">
        <w:t>23</w:t>
      </w:r>
      <w:r w:rsidR="00B244AF" w:rsidRPr="004A74CA">
        <w:t>,</w:t>
      </w:r>
      <w:r w:rsidR="004A74CA" w:rsidRPr="004A74CA">
        <w:t>4</w:t>
      </w:r>
      <w:r w:rsidR="00B244AF" w:rsidRPr="004A74CA">
        <w:t xml:space="preserve">) miljoner euro </w:t>
      </w:r>
      <w:r w:rsidRPr="004A74CA">
        <w:t>nyttja</w:t>
      </w:r>
      <w:r w:rsidR="00B244AF" w:rsidRPr="004A74CA">
        <w:t>des</w:t>
      </w:r>
      <w:r w:rsidRPr="004A74CA">
        <w:t xml:space="preserve">. </w:t>
      </w:r>
      <w:r w:rsidR="0007018A" w:rsidRPr="004A74CA">
        <w:t>Till budgeten 202</w:t>
      </w:r>
      <w:r w:rsidR="004A74CA">
        <w:t>5</w:t>
      </w:r>
      <w:r w:rsidR="0007018A" w:rsidRPr="004A74CA">
        <w:t xml:space="preserve"> har </w:t>
      </w:r>
      <w:r w:rsidR="009E7149" w:rsidRPr="004A74CA">
        <w:t>18,</w:t>
      </w:r>
      <w:r w:rsidR="004A74CA">
        <w:t>8</w:t>
      </w:r>
      <w:r w:rsidR="00CB6092" w:rsidRPr="004A74CA">
        <w:t xml:space="preserve"> (</w:t>
      </w:r>
      <w:r w:rsidR="004A74CA" w:rsidRPr="004A74CA">
        <w:t>18</w:t>
      </w:r>
      <w:r w:rsidR="00543AFA" w:rsidRPr="004A74CA">
        <w:t>,</w:t>
      </w:r>
      <w:r w:rsidR="004A74CA" w:rsidRPr="004A74CA">
        <w:t>0</w:t>
      </w:r>
      <w:r w:rsidR="00B244AF" w:rsidRPr="004A74CA">
        <w:t>)</w:t>
      </w:r>
      <w:r w:rsidR="0007018A" w:rsidRPr="004A74CA">
        <w:t xml:space="preserve"> miljoner euro </w:t>
      </w:r>
      <w:r w:rsidR="007D7E4E" w:rsidRPr="004A74CA">
        <w:t xml:space="preserve">av investeringsanslagen </w:t>
      </w:r>
      <w:r w:rsidR="0007018A" w:rsidRPr="004A74CA">
        <w:t>överförts.</w:t>
      </w:r>
      <w:r w:rsidR="004F3023" w:rsidRPr="004F3023">
        <w:t xml:space="preserve"> </w:t>
      </w:r>
    </w:p>
    <w:p w14:paraId="646BEE14" w14:textId="0D71FA5F" w:rsidR="009F715D" w:rsidRDefault="004F3023" w:rsidP="00215926">
      <w:pPr>
        <w:pStyle w:val="ANormal"/>
      </w:pPr>
      <w:r>
        <w:tab/>
      </w:r>
      <w:r w:rsidRPr="004F3023">
        <w:t xml:space="preserve">Utskottet erfar att </w:t>
      </w:r>
      <w:r>
        <w:t>Landskapsregeringen</w:t>
      </w:r>
      <w:r w:rsidRPr="004F3023">
        <w:t xml:space="preserve"> överväger att övergå till årlig budgetering av investeringskostnader. Även om nya rutiner initialt kan innebära ett merarbete för förvaltningen välkomnar utskottet ökad transparens samt att budget och bokslut närmar sig varandra</w:t>
      </w:r>
      <w:r>
        <w:t>.</w:t>
      </w:r>
    </w:p>
    <w:p w14:paraId="5F9A451C" w14:textId="37A7E8AB" w:rsidR="00340547" w:rsidRPr="00172D44" w:rsidRDefault="00340547" w:rsidP="00215926">
      <w:pPr>
        <w:pStyle w:val="ANormal"/>
        <w:rPr>
          <w:highlight w:val="yellow"/>
        </w:rPr>
      </w:pPr>
      <w:r>
        <w:tab/>
      </w:r>
      <w:r w:rsidR="00A44B01">
        <w:t xml:space="preserve"> </w:t>
      </w:r>
    </w:p>
    <w:p w14:paraId="65FC6957" w14:textId="71045F97" w:rsidR="00EF3F86" w:rsidRPr="00172D44" w:rsidRDefault="00EF3F86" w:rsidP="00215926">
      <w:pPr>
        <w:pStyle w:val="ANormal"/>
        <w:rPr>
          <w:i/>
          <w:iCs/>
          <w:highlight w:val="yellow"/>
        </w:rPr>
      </w:pPr>
    </w:p>
    <w:p w14:paraId="0F457A5C" w14:textId="0AF30F37" w:rsidR="008522F4" w:rsidRPr="00AA64C1" w:rsidRDefault="008522F4" w:rsidP="008522F4">
      <w:pPr>
        <w:pStyle w:val="RubrikC"/>
      </w:pPr>
      <w:bookmarkStart w:id="11" w:name="_Toc208482854"/>
      <w:r w:rsidRPr="00AA64C1">
        <w:t>Skatteintäkter</w:t>
      </w:r>
      <w:r w:rsidR="00397857" w:rsidRPr="00AA64C1">
        <w:t xml:space="preserve"> och likviditet</w:t>
      </w:r>
      <w:bookmarkEnd w:id="11"/>
    </w:p>
    <w:p w14:paraId="7773C9A6" w14:textId="77777777" w:rsidR="008522F4" w:rsidRPr="00AA64C1" w:rsidRDefault="008522F4" w:rsidP="008522F4">
      <w:pPr>
        <w:pStyle w:val="Rubrikmellanrum"/>
      </w:pPr>
    </w:p>
    <w:p w14:paraId="48FDA692" w14:textId="72496666" w:rsidR="004F5A98" w:rsidRPr="00AA64C1" w:rsidRDefault="008522F4" w:rsidP="00224726">
      <w:pPr>
        <w:pStyle w:val="ANormal"/>
        <w:rPr>
          <w:color w:val="FF0000"/>
        </w:rPr>
      </w:pPr>
      <w:r w:rsidRPr="00AA64C1">
        <w:t xml:space="preserve">De totala intäkterna av skattekaraktär </w:t>
      </w:r>
      <w:r w:rsidR="00085531" w:rsidRPr="00AA64C1">
        <w:t xml:space="preserve">ökade med </w:t>
      </w:r>
      <w:r w:rsidR="00AA64C1" w:rsidRPr="00AA64C1">
        <w:t>29,2</w:t>
      </w:r>
      <w:r w:rsidR="00085531" w:rsidRPr="00AA64C1">
        <w:t xml:space="preserve"> (</w:t>
      </w:r>
      <w:r w:rsidR="00AA64C1" w:rsidRPr="00AA64C1">
        <w:t>26</w:t>
      </w:r>
      <w:r w:rsidR="004F5A98" w:rsidRPr="00AA64C1">
        <w:t>,</w:t>
      </w:r>
      <w:r w:rsidR="00AA64C1" w:rsidRPr="00AA64C1">
        <w:t>1</w:t>
      </w:r>
      <w:r w:rsidR="00085531" w:rsidRPr="00AA64C1">
        <w:t>)</w:t>
      </w:r>
      <w:r w:rsidR="00E56129" w:rsidRPr="00AA64C1">
        <w:t xml:space="preserve"> miljoner</w:t>
      </w:r>
      <w:r w:rsidR="00224726" w:rsidRPr="00AA64C1">
        <w:t xml:space="preserve"> euro</w:t>
      </w:r>
      <w:r w:rsidR="003B7559" w:rsidRPr="00AA64C1">
        <w:t xml:space="preserve">, </w:t>
      </w:r>
      <w:r w:rsidR="00085531" w:rsidRPr="00AA64C1">
        <w:t xml:space="preserve">eller </w:t>
      </w:r>
      <w:r w:rsidR="00AA64C1" w:rsidRPr="00AA64C1">
        <w:t>9</w:t>
      </w:r>
      <w:r w:rsidR="00085531" w:rsidRPr="00AA64C1">
        <w:t xml:space="preserve"> procent, </w:t>
      </w:r>
      <w:r w:rsidR="003B7559" w:rsidRPr="00AA64C1">
        <w:t xml:space="preserve">till </w:t>
      </w:r>
      <w:r w:rsidR="00085531" w:rsidRPr="00AA64C1">
        <w:t>3</w:t>
      </w:r>
      <w:r w:rsidR="00AA64C1" w:rsidRPr="00AA64C1">
        <w:t>53,5</w:t>
      </w:r>
      <w:r w:rsidR="00085531" w:rsidRPr="00AA64C1">
        <w:t xml:space="preserve"> (</w:t>
      </w:r>
      <w:r w:rsidR="00AA64C1" w:rsidRPr="00AA64C1">
        <w:t>324</w:t>
      </w:r>
      <w:r w:rsidR="004F5A98" w:rsidRPr="00AA64C1">
        <w:t>,</w:t>
      </w:r>
      <w:r w:rsidR="00AA64C1" w:rsidRPr="00AA64C1">
        <w:t>3</w:t>
      </w:r>
      <w:r w:rsidR="004F5A98" w:rsidRPr="00AA64C1">
        <w:t>)</w:t>
      </w:r>
      <w:r w:rsidR="00084AE1" w:rsidRPr="00AA64C1">
        <w:t xml:space="preserve"> miljoner</w:t>
      </w:r>
      <w:r w:rsidR="003B7559" w:rsidRPr="00AA64C1">
        <w:t xml:space="preserve"> euro</w:t>
      </w:r>
      <w:r w:rsidR="00250D54" w:rsidRPr="00AA64C1">
        <w:t xml:space="preserve"> </w:t>
      </w:r>
      <w:r w:rsidR="00D10359" w:rsidRPr="00AA64C1">
        <w:t xml:space="preserve">jämfört med år </w:t>
      </w:r>
      <w:r w:rsidR="002151FD" w:rsidRPr="00AA64C1">
        <w:t>20</w:t>
      </w:r>
      <w:r w:rsidR="00D10359" w:rsidRPr="00AA64C1">
        <w:t>2</w:t>
      </w:r>
      <w:r w:rsidR="00AA64C1" w:rsidRPr="00AA64C1">
        <w:t>3</w:t>
      </w:r>
      <w:r w:rsidR="00E56129" w:rsidRPr="00A97A41">
        <w:t xml:space="preserve">. </w:t>
      </w:r>
      <w:r w:rsidR="00A77B74" w:rsidRPr="00A97A41">
        <w:t>Det bör noteras att intäkterna påverkas väsentligt av den extraordinära intäkten om 4</w:t>
      </w:r>
      <w:r w:rsidR="00DD2319">
        <w:t>7</w:t>
      </w:r>
      <w:r w:rsidR="00A77B74" w:rsidRPr="00A97A41">
        <w:t xml:space="preserve"> miljoner euro. De löpande skatteintäkterna har således minskat med 1</w:t>
      </w:r>
      <w:r w:rsidR="00DD2319">
        <w:t>7</w:t>
      </w:r>
      <w:r w:rsidR="00A77B74" w:rsidRPr="00A97A41">
        <w:t>,</w:t>
      </w:r>
      <w:r w:rsidR="00DD2319">
        <w:t>8</w:t>
      </w:r>
      <w:r w:rsidR="00A77B74" w:rsidRPr="00A97A41">
        <w:t xml:space="preserve"> miljoner euro jämfört med år 2023.</w:t>
      </w:r>
      <w:r w:rsidR="00A77B74" w:rsidRPr="00A77B74">
        <w:t xml:space="preserve"> </w:t>
      </w:r>
    </w:p>
    <w:p w14:paraId="3A62AB9B" w14:textId="037F1072" w:rsidR="00224726" w:rsidRPr="00172D44" w:rsidRDefault="002151FD" w:rsidP="00224726">
      <w:pPr>
        <w:pStyle w:val="ANormal"/>
        <w:rPr>
          <w:highlight w:val="yellow"/>
        </w:rPr>
      </w:pPr>
      <w:r w:rsidRPr="00AA64C1">
        <w:tab/>
        <w:t>Övriga finansiella intäkter och kostnader uppgick till netto</w:t>
      </w:r>
      <w:r w:rsidR="00DE5A9B" w:rsidRPr="00AA64C1">
        <w:t xml:space="preserve"> </w:t>
      </w:r>
      <w:r w:rsidR="00AA64C1" w:rsidRPr="00AA64C1">
        <w:t>39</w:t>
      </w:r>
      <w:r w:rsidR="00085531" w:rsidRPr="00AA64C1">
        <w:t>,</w:t>
      </w:r>
      <w:r w:rsidR="00AA64C1" w:rsidRPr="00AA64C1">
        <w:t>1</w:t>
      </w:r>
      <w:r w:rsidR="00085531" w:rsidRPr="00AA64C1">
        <w:t xml:space="preserve"> (</w:t>
      </w:r>
      <w:r w:rsidR="00AA64C1" w:rsidRPr="00AA64C1">
        <w:t>40</w:t>
      </w:r>
      <w:r w:rsidR="00DE5A9B" w:rsidRPr="00AA64C1">
        <w:t>,</w:t>
      </w:r>
      <w:r w:rsidR="00AA64C1" w:rsidRPr="00AA64C1">
        <w:t>9</w:t>
      </w:r>
      <w:r w:rsidR="0000076A" w:rsidRPr="00AA64C1">
        <w:t>)</w:t>
      </w:r>
      <w:r w:rsidRPr="00AA64C1">
        <w:t xml:space="preserve"> miljoner euro</w:t>
      </w:r>
      <w:r w:rsidR="0000076A" w:rsidRPr="00AA64C1">
        <w:t xml:space="preserve">. </w:t>
      </w:r>
    </w:p>
    <w:p w14:paraId="670FA3F6" w14:textId="77777777" w:rsidR="0015344E" w:rsidRDefault="00397857" w:rsidP="00224726">
      <w:pPr>
        <w:pStyle w:val="ANormal"/>
      </w:pPr>
      <w:r w:rsidRPr="00E97F83">
        <w:tab/>
        <w:t xml:space="preserve">Likviditeten har </w:t>
      </w:r>
      <w:r w:rsidR="00E97F83" w:rsidRPr="00E97F83">
        <w:t>minskat</w:t>
      </w:r>
      <w:r w:rsidRPr="00E97F83">
        <w:t xml:space="preserve"> med </w:t>
      </w:r>
      <w:r w:rsidR="00E97F83" w:rsidRPr="00E97F83">
        <w:t>- 46</w:t>
      </w:r>
      <w:r w:rsidR="00F17926" w:rsidRPr="00E97F83">
        <w:t>,</w:t>
      </w:r>
      <w:r w:rsidR="00E97F83" w:rsidRPr="00E97F83">
        <w:t>1</w:t>
      </w:r>
      <w:r w:rsidR="00F17926" w:rsidRPr="00E97F83">
        <w:t xml:space="preserve"> (</w:t>
      </w:r>
      <w:r w:rsidR="00E97F83" w:rsidRPr="00E97F83">
        <w:t>14</w:t>
      </w:r>
      <w:r w:rsidR="008E2B9C" w:rsidRPr="00E97F83">
        <w:t>,</w:t>
      </w:r>
      <w:r w:rsidR="00E97F83" w:rsidRPr="00E97F83">
        <w:t>2</w:t>
      </w:r>
      <w:r w:rsidR="008E2B9C" w:rsidRPr="00E97F83">
        <w:t>)</w:t>
      </w:r>
      <w:r w:rsidRPr="00E97F83">
        <w:t xml:space="preserve"> miljoner euro från </w:t>
      </w:r>
      <w:r w:rsidR="00E97F83" w:rsidRPr="00E97F83">
        <w:t>78</w:t>
      </w:r>
      <w:r w:rsidR="008E2B9C" w:rsidRPr="00E97F83">
        <w:t>,</w:t>
      </w:r>
      <w:r w:rsidR="00E97F83" w:rsidRPr="00E97F83">
        <w:t>9</w:t>
      </w:r>
      <w:r w:rsidR="008E2B9C" w:rsidRPr="00E97F83">
        <w:t xml:space="preserve"> </w:t>
      </w:r>
      <w:r w:rsidR="00F17926" w:rsidRPr="00E97F83">
        <w:t xml:space="preserve">till </w:t>
      </w:r>
      <w:r w:rsidR="00E97F83" w:rsidRPr="00E97F83">
        <w:t>32,8</w:t>
      </w:r>
      <w:r w:rsidR="00F17926" w:rsidRPr="00E97F83">
        <w:t xml:space="preserve"> </w:t>
      </w:r>
      <w:r w:rsidRPr="00E97F83">
        <w:t>miljoner euro.</w:t>
      </w:r>
      <w:r w:rsidRPr="00296163">
        <w:t xml:space="preserve"> </w:t>
      </w:r>
      <w:r w:rsidR="006A70A6" w:rsidRPr="00296163">
        <w:t xml:space="preserve">Fastighetsverkets likviditet vid årsskiftet uppgick till </w:t>
      </w:r>
      <w:r w:rsidR="00F17926" w:rsidRPr="00296163">
        <w:t>2</w:t>
      </w:r>
      <w:r w:rsidR="00296163" w:rsidRPr="00296163">
        <w:t>9</w:t>
      </w:r>
      <w:r w:rsidR="00F17926" w:rsidRPr="00296163">
        <w:t>,</w:t>
      </w:r>
      <w:r w:rsidR="00296163" w:rsidRPr="00296163">
        <w:t>4</w:t>
      </w:r>
      <w:r w:rsidR="00F17926" w:rsidRPr="00296163">
        <w:t xml:space="preserve"> (</w:t>
      </w:r>
      <w:r w:rsidR="00296163" w:rsidRPr="00296163">
        <w:t>22</w:t>
      </w:r>
      <w:r w:rsidR="008E2B9C" w:rsidRPr="00296163">
        <w:t>,</w:t>
      </w:r>
      <w:r w:rsidR="00296163" w:rsidRPr="00296163">
        <w:t>8</w:t>
      </w:r>
      <w:r w:rsidR="008E2B9C" w:rsidRPr="00296163">
        <w:t>)</w:t>
      </w:r>
      <w:r w:rsidR="006A70A6" w:rsidRPr="00296163">
        <w:t xml:space="preserve"> miljoner euro</w:t>
      </w:r>
      <w:r w:rsidR="00F17926" w:rsidRPr="00296163">
        <w:t xml:space="preserve">, vilket innebär att landskapets totala likviditet vid årsskiftet uppgick till </w:t>
      </w:r>
      <w:r w:rsidR="00296163" w:rsidRPr="00296163">
        <w:t>62</w:t>
      </w:r>
      <w:r w:rsidR="00296163">
        <w:t>,</w:t>
      </w:r>
      <w:r w:rsidR="00296163" w:rsidRPr="00296163">
        <w:t>2 (</w:t>
      </w:r>
      <w:r w:rsidR="00F17926" w:rsidRPr="00296163">
        <w:t>1</w:t>
      </w:r>
      <w:r w:rsidR="002A1F13" w:rsidRPr="00296163">
        <w:t>01,7</w:t>
      </w:r>
      <w:r w:rsidR="00296163" w:rsidRPr="00296163">
        <w:t>)</w:t>
      </w:r>
      <w:r w:rsidR="001E1B17" w:rsidRPr="00296163">
        <w:t xml:space="preserve"> miljoner euro.</w:t>
      </w:r>
    </w:p>
    <w:p w14:paraId="740C8BB5" w14:textId="66E2AB9F" w:rsidR="0052766B" w:rsidRDefault="0015344E" w:rsidP="00224726">
      <w:pPr>
        <w:pStyle w:val="ANormal"/>
      </w:pPr>
      <w:r>
        <w:tab/>
      </w:r>
      <w:r w:rsidR="004655BD" w:rsidRPr="00DD2319">
        <w:t>Utskottet har begärt en likviditetsöversikt för augusti 2025. Av redovisningen framgår att de likvida medlen, inkluderande ÅHS samt fastighetsverket</w:t>
      </w:r>
      <w:r w:rsidR="002C63D7" w:rsidRPr="00DD2319">
        <w:t xml:space="preserve">, </w:t>
      </w:r>
      <w:r w:rsidR="00524E6A" w:rsidRPr="00DD2319">
        <w:t xml:space="preserve">exkluderande </w:t>
      </w:r>
      <w:r w:rsidR="004655BD" w:rsidRPr="00DD2319">
        <w:t>PAF-reserveringar</w:t>
      </w:r>
      <w:r w:rsidR="00DD2319" w:rsidRPr="00DD2319">
        <w:t xml:space="preserve"> för tredje sektorn</w:t>
      </w:r>
      <w:r w:rsidR="004655BD" w:rsidRPr="00DD2319">
        <w:t xml:space="preserve"> och </w:t>
      </w:r>
      <w:r w:rsidR="002C63D7" w:rsidRPr="00DD2319">
        <w:t xml:space="preserve">internlån mellan landskapsregeringen och </w:t>
      </w:r>
      <w:r w:rsidR="004655BD" w:rsidRPr="00DD2319">
        <w:t xml:space="preserve">fastighetsverket, uppgår till </w:t>
      </w:r>
      <w:r w:rsidR="00524E6A" w:rsidRPr="00DD2319">
        <w:t>15</w:t>
      </w:r>
      <w:r w:rsidR="004655BD" w:rsidRPr="00DD2319">
        <w:t>,</w:t>
      </w:r>
      <w:r w:rsidR="00524E6A" w:rsidRPr="00DD2319">
        <w:t>9</w:t>
      </w:r>
      <w:r w:rsidR="004655BD" w:rsidRPr="00DD2319">
        <w:t xml:space="preserve"> miljoner euro per den 31 augusti 2025. Utskottet noterar att </w:t>
      </w:r>
      <w:r w:rsidR="00DD2319" w:rsidRPr="00DD2319">
        <w:t xml:space="preserve">det kan finnas ett lånebehov </w:t>
      </w:r>
      <w:r w:rsidR="004655BD" w:rsidRPr="00DD2319">
        <w:t xml:space="preserve">vid årsskiftet. </w:t>
      </w:r>
      <w:r w:rsidR="002C63D7">
        <w:t>Utskottet erfar att landskapet behöver ha en grundkassa om minst 10 miljoner euro för att säkerställa löpande utgifter.</w:t>
      </w:r>
    </w:p>
    <w:p w14:paraId="5D5E32B9" w14:textId="1EE5FB69" w:rsidR="00524E6A" w:rsidRDefault="0052766B" w:rsidP="00224726">
      <w:pPr>
        <w:pStyle w:val="ANormal"/>
      </w:pPr>
      <w:r>
        <w:tab/>
      </w:r>
      <w:r w:rsidRPr="00DD2319">
        <w:t>Utskottet ser med oro på den negativa</w:t>
      </w:r>
      <w:r w:rsidR="00CB0096" w:rsidRPr="00DD2319">
        <w:t xml:space="preserve"> utvecklingen av likviditeten</w:t>
      </w:r>
      <w:r w:rsidR="00524E6A" w:rsidRPr="00DD2319">
        <w:t xml:space="preserve"> med tanke på att likviditeten minskat med ca 4</w:t>
      </w:r>
      <w:r w:rsidR="00445E24" w:rsidRPr="00DD2319">
        <w:t>5</w:t>
      </w:r>
      <w:r w:rsidR="00524E6A" w:rsidRPr="00DD2319">
        <w:t xml:space="preserve"> miljoner euro under årets första 8 månader. I likviditeten </w:t>
      </w:r>
      <w:r w:rsidR="00CB0096" w:rsidRPr="00DD2319">
        <w:t xml:space="preserve">för </w:t>
      </w:r>
      <w:r w:rsidRPr="00DD2319">
        <w:t>bokslutsdagen</w:t>
      </w:r>
      <w:r w:rsidR="00DD2319" w:rsidRPr="00DD2319">
        <w:t>,</w:t>
      </w:r>
      <w:r w:rsidRPr="00DD2319">
        <w:t xml:space="preserve"> </w:t>
      </w:r>
      <w:r w:rsidR="00CB0096" w:rsidRPr="00DD2319">
        <w:t xml:space="preserve">som uppgick till </w:t>
      </w:r>
      <w:r w:rsidR="00524E6A" w:rsidRPr="00DD2319">
        <w:t>62</w:t>
      </w:r>
      <w:r w:rsidRPr="00DD2319">
        <w:t>,</w:t>
      </w:r>
      <w:r w:rsidR="00524E6A" w:rsidRPr="00DD2319">
        <w:t>2</w:t>
      </w:r>
      <w:r w:rsidR="00CB0096" w:rsidRPr="00DD2319">
        <w:t xml:space="preserve"> miljoner euro</w:t>
      </w:r>
      <w:r w:rsidR="00DD2319" w:rsidRPr="00DD2319">
        <w:t>,</w:t>
      </w:r>
      <w:r w:rsidRPr="00DD2319">
        <w:t xml:space="preserve"> ingår </w:t>
      </w:r>
      <w:r w:rsidR="00990824" w:rsidRPr="00DD2319">
        <w:t>3</w:t>
      </w:r>
      <w:r w:rsidR="00524E6A" w:rsidRPr="00DD2319">
        <w:t>0</w:t>
      </w:r>
      <w:r w:rsidRPr="00DD2319">
        <w:t xml:space="preserve"> </w:t>
      </w:r>
      <w:r w:rsidR="00CB0096" w:rsidRPr="00DD2319">
        <w:t xml:space="preserve">miljoner euro </w:t>
      </w:r>
      <w:r w:rsidRPr="00DD2319">
        <w:t>reserverade medel för tredje sektorn.</w:t>
      </w:r>
      <w:r w:rsidR="00CB0096" w:rsidRPr="00DD2319">
        <w:t xml:space="preserve"> </w:t>
      </w:r>
      <w:r w:rsidR="00524E6A" w:rsidRPr="00DD2319">
        <w:t>Utskottet konstaterar att det saknas egna likvida medel i landskapet att täcka dessa reserverade medel.</w:t>
      </w:r>
      <w:r w:rsidR="00524E6A" w:rsidRPr="00524E6A">
        <w:t xml:space="preserve"> </w:t>
      </w:r>
    </w:p>
    <w:p w14:paraId="7937E9F8" w14:textId="77777777" w:rsidR="00C6183B" w:rsidRPr="00172D44" w:rsidRDefault="00C6183B" w:rsidP="00224726">
      <w:pPr>
        <w:pStyle w:val="ANormal"/>
        <w:rPr>
          <w:color w:val="FF0000"/>
          <w:highlight w:val="yellow"/>
        </w:rPr>
      </w:pPr>
    </w:p>
    <w:p w14:paraId="39E11C7C" w14:textId="77777777" w:rsidR="000F32A0" w:rsidRPr="00172D44" w:rsidRDefault="000F32A0" w:rsidP="000F32A0">
      <w:pPr>
        <w:pStyle w:val="RubrikC"/>
        <w:rPr>
          <w:highlight w:val="yellow"/>
        </w:rPr>
      </w:pPr>
      <w:bookmarkStart w:id="12" w:name="_Toc208482855"/>
      <w:r w:rsidRPr="00585A9F">
        <w:t>Pensionskostnaderna</w:t>
      </w:r>
      <w:bookmarkEnd w:id="12"/>
    </w:p>
    <w:p w14:paraId="0C0E91E6" w14:textId="77777777" w:rsidR="000F32A0" w:rsidRPr="00172D44" w:rsidRDefault="000F32A0" w:rsidP="000F32A0">
      <w:pPr>
        <w:pStyle w:val="Rubrikmellanrum"/>
        <w:rPr>
          <w:highlight w:val="yellow"/>
        </w:rPr>
      </w:pPr>
    </w:p>
    <w:p w14:paraId="45E4518F" w14:textId="7F75704E" w:rsidR="00A41FD2" w:rsidRPr="00E7089D" w:rsidRDefault="004568BA" w:rsidP="00A41FD2">
      <w:pPr>
        <w:pStyle w:val="ANormal"/>
      </w:pPr>
      <w:r w:rsidRPr="0031330C">
        <w:t>Utgifterna för landskapets pensioner</w:t>
      </w:r>
      <w:r w:rsidR="00A41FD2" w:rsidRPr="0031330C">
        <w:t xml:space="preserve"> uppgår till </w:t>
      </w:r>
      <w:r w:rsidR="00B24EE4" w:rsidRPr="0031330C">
        <w:t>4</w:t>
      </w:r>
      <w:r w:rsidR="0031330C" w:rsidRPr="0031330C">
        <w:t>4</w:t>
      </w:r>
      <w:r w:rsidR="00B24EE4" w:rsidRPr="0031330C">
        <w:t>,</w:t>
      </w:r>
      <w:r w:rsidR="0031330C" w:rsidRPr="0031330C">
        <w:t>9</w:t>
      </w:r>
      <w:r w:rsidR="00B24EE4" w:rsidRPr="0031330C">
        <w:t xml:space="preserve"> (</w:t>
      </w:r>
      <w:r w:rsidR="0031330C" w:rsidRPr="0031330C">
        <w:t>42</w:t>
      </w:r>
      <w:r w:rsidR="00F566D8" w:rsidRPr="0031330C">
        <w:t>,</w:t>
      </w:r>
      <w:r w:rsidR="0031330C" w:rsidRPr="0031330C">
        <w:t>1</w:t>
      </w:r>
      <w:r w:rsidR="00F566D8" w:rsidRPr="0031330C">
        <w:t>)</w:t>
      </w:r>
      <w:r w:rsidR="00A41FD2" w:rsidRPr="0031330C">
        <w:t xml:space="preserve"> miljoner euro, vilket är </w:t>
      </w:r>
      <w:r w:rsidR="0031330C" w:rsidRPr="0031330C">
        <w:t>2</w:t>
      </w:r>
      <w:r w:rsidR="00B24EE4" w:rsidRPr="0031330C">
        <w:t>,</w:t>
      </w:r>
      <w:r w:rsidR="0031330C" w:rsidRPr="0031330C">
        <w:t>8</w:t>
      </w:r>
      <w:r w:rsidR="00B24EE4" w:rsidRPr="0031330C">
        <w:t xml:space="preserve"> (</w:t>
      </w:r>
      <w:r w:rsidR="0031330C" w:rsidRPr="0031330C">
        <w:t>3</w:t>
      </w:r>
      <w:r w:rsidR="00F566D8" w:rsidRPr="0031330C">
        <w:t>,</w:t>
      </w:r>
      <w:r w:rsidR="0031330C" w:rsidRPr="0031330C">
        <w:t>3</w:t>
      </w:r>
      <w:r w:rsidR="00A41FD2" w:rsidRPr="0031330C">
        <w:t xml:space="preserve">) miljoner eller </w:t>
      </w:r>
      <w:r w:rsidR="0031330C" w:rsidRPr="0031330C">
        <w:t>6</w:t>
      </w:r>
      <w:r w:rsidR="00B24EE4" w:rsidRPr="0031330C">
        <w:t>,</w:t>
      </w:r>
      <w:r w:rsidR="0031330C" w:rsidRPr="0031330C">
        <w:t>7</w:t>
      </w:r>
      <w:r w:rsidR="00B24EE4" w:rsidRPr="0031330C">
        <w:t xml:space="preserve"> (</w:t>
      </w:r>
      <w:r w:rsidR="0031330C" w:rsidRPr="0031330C">
        <w:t>8</w:t>
      </w:r>
      <w:r w:rsidR="00F566D8" w:rsidRPr="0031330C">
        <w:t>,</w:t>
      </w:r>
      <w:r w:rsidR="0031330C" w:rsidRPr="0031330C">
        <w:t>5</w:t>
      </w:r>
      <w:r w:rsidR="00A41FD2" w:rsidRPr="0031330C">
        <w:t>) procent högre än 202</w:t>
      </w:r>
      <w:r w:rsidR="0031330C" w:rsidRPr="0031330C">
        <w:t>3</w:t>
      </w:r>
      <w:r w:rsidR="00A41FD2" w:rsidRPr="0031330C">
        <w:t>. Enligt budgeten för 202</w:t>
      </w:r>
      <w:r w:rsidR="0031330C" w:rsidRPr="0031330C">
        <w:t>4</w:t>
      </w:r>
      <w:r w:rsidR="00A41FD2" w:rsidRPr="0031330C">
        <w:t xml:space="preserve"> skulle pensionskostnaderna </w:t>
      </w:r>
      <w:r w:rsidR="00B24EE4" w:rsidRPr="0031330C">
        <w:t xml:space="preserve">ha </w:t>
      </w:r>
      <w:r w:rsidR="006B444B" w:rsidRPr="0031330C">
        <w:t>uppgå</w:t>
      </w:r>
      <w:r w:rsidR="00B70932" w:rsidRPr="0031330C">
        <w:t>tt</w:t>
      </w:r>
      <w:r w:rsidR="006B444B" w:rsidRPr="0031330C">
        <w:t xml:space="preserve"> till </w:t>
      </w:r>
      <w:r w:rsidR="00B24EE4" w:rsidRPr="0031330C">
        <w:t>4</w:t>
      </w:r>
      <w:r w:rsidR="0031330C" w:rsidRPr="0031330C">
        <w:t>3</w:t>
      </w:r>
      <w:r w:rsidR="00B24EE4" w:rsidRPr="0031330C">
        <w:t>,</w:t>
      </w:r>
      <w:r w:rsidR="0031330C" w:rsidRPr="0031330C">
        <w:t>7</w:t>
      </w:r>
      <w:r w:rsidR="006B444B" w:rsidRPr="0031330C">
        <w:t xml:space="preserve"> miljoner euro.</w:t>
      </w:r>
      <w:r w:rsidR="00BD2F1D" w:rsidRPr="00172D44">
        <w:rPr>
          <w:highlight w:val="yellow"/>
        </w:rPr>
        <w:t xml:space="preserve"> </w:t>
      </w:r>
      <w:r w:rsidR="00C43A02" w:rsidRPr="00E7089D">
        <w:t xml:space="preserve">Antalet pensionstagare ökar för </w:t>
      </w:r>
      <w:r w:rsidR="00E7089D">
        <w:t>tillfället</w:t>
      </w:r>
      <w:r w:rsidR="00B81F54">
        <w:t xml:space="preserve"> med</w:t>
      </w:r>
      <w:r w:rsidR="00C43A02" w:rsidRPr="00E7089D">
        <w:t xml:space="preserve"> </w:t>
      </w:r>
      <w:r w:rsidR="00E7089D" w:rsidRPr="00E7089D">
        <w:t xml:space="preserve">70 - </w:t>
      </w:r>
      <w:r w:rsidR="00C43A02" w:rsidRPr="00E7089D">
        <w:t>100 personer per år</w:t>
      </w:r>
      <w:r w:rsidR="00E7089D">
        <w:t>.</w:t>
      </w:r>
    </w:p>
    <w:p w14:paraId="6EA97C2B" w14:textId="77777777" w:rsidR="00BD2F1D" w:rsidRPr="00172D44" w:rsidRDefault="00BD2F1D" w:rsidP="00A41FD2">
      <w:pPr>
        <w:pStyle w:val="ANormal"/>
        <w:rPr>
          <w:highlight w:val="yellow"/>
        </w:rPr>
      </w:pPr>
    </w:p>
    <w:tbl>
      <w:tblPr>
        <w:tblStyle w:val="Tabellrutnt"/>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336"/>
        <w:gridCol w:w="1336"/>
        <w:gridCol w:w="1336"/>
        <w:gridCol w:w="1336"/>
        <w:gridCol w:w="1336"/>
      </w:tblGrid>
      <w:tr w:rsidR="0031330C" w:rsidRPr="00172D44" w14:paraId="16E04826" w14:textId="41D3FFC5" w:rsidTr="004525D4">
        <w:tc>
          <w:tcPr>
            <w:tcW w:w="1336" w:type="dxa"/>
          </w:tcPr>
          <w:p w14:paraId="35FFC600" w14:textId="77777777" w:rsidR="0031330C" w:rsidRPr="007C627C" w:rsidRDefault="0031330C" w:rsidP="00BD2F1D">
            <w:pPr>
              <w:pStyle w:val="ANormal"/>
              <w:jc w:val="center"/>
              <w:rPr>
                <w:b/>
                <w:bCs/>
                <w:sz w:val="20"/>
                <w:szCs w:val="18"/>
              </w:rPr>
            </w:pPr>
          </w:p>
        </w:tc>
        <w:tc>
          <w:tcPr>
            <w:tcW w:w="1336" w:type="dxa"/>
          </w:tcPr>
          <w:p w14:paraId="4B05E0AD" w14:textId="4801E8D4" w:rsidR="0031330C" w:rsidRPr="007C627C" w:rsidRDefault="0031330C" w:rsidP="00BD2F1D">
            <w:pPr>
              <w:pStyle w:val="ANormal"/>
              <w:jc w:val="center"/>
              <w:rPr>
                <w:b/>
                <w:bCs/>
                <w:sz w:val="20"/>
                <w:szCs w:val="18"/>
              </w:rPr>
            </w:pPr>
            <w:r w:rsidRPr="007C627C">
              <w:rPr>
                <w:b/>
                <w:bCs/>
                <w:sz w:val="20"/>
                <w:szCs w:val="18"/>
              </w:rPr>
              <w:t>2021</w:t>
            </w:r>
          </w:p>
        </w:tc>
        <w:tc>
          <w:tcPr>
            <w:tcW w:w="1336" w:type="dxa"/>
          </w:tcPr>
          <w:p w14:paraId="3B8921BE" w14:textId="067FA6E0" w:rsidR="0031330C" w:rsidRPr="007C627C" w:rsidRDefault="0031330C" w:rsidP="00BD2F1D">
            <w:pPr>
              <w:pStyle w:val="ANormal"/>
              <w:jc w:val="center"/>
              <w:rPr>
                <w:b/>
                <w:bCs/>
                <w:sz w:val="20"/>
                <w:szCs w:val="18"/>
              </w:rPr>
            </w:pPr>
            <w:r w:rsidRPr="007C627C">
              <w:rPr>
                <w:b/>
                <w:bCs/>
                <w:sz w:val="20"/>
                <w:szCs w:val="18"/>
              </w:rPr>
              <w:t>2022</w:t>
            </w:r>
          </w:p>
        </w:tc>
        <w:tc>
          <w:tcPr>
            <w:tcW w:w="1336" w:type="dxa"/>
          </w:tcPr>
          <w:p w14:paraId="192C1526" w14:textId="3489B610" w:rsidR="0031330C" w:rsidRPr="007C627C" w:rsidRDefault="0031330C" w:rsidP="00BD2F1D">
            <w:pPr>
              <w:pStyle w:val="ANormal"/>
              <w:jc w:val="center"/>
              <w:rPr>
                <w:b/>
                <w:bCs/>
                <w:sz w:val="20"/>
                <w:szCs w:val="18"/>
              </w:rPr>
            </w:pPr>
            <w:r w:rsidRPr="007C627C">
              <w:rPr>
                <w:b/>
                <w:bCs/>
                <w:sz w:val="20"/>
                <w:szCs w:val="18"/>
              </w:rPr>
              <w:t>2023</w:t>
            </w:r>
          </w:p>
        </w:tc>
        <w:tc>
          <w:tcPr>
            <w:tcW w:w="1336" w:type="dxa"/>
            <w:vAlign w:val="center"/>
          </w:tcPr>
          <w:p w14:paraId="7D07F4EA" w14:textId="752EE5F2" w:rsidR="0031330C" w:rsidRPr="007C627C" w:rsidRDefault="0031330C" w:rsidP="00BD2F1D">
            <w:pPr>
              <w:pStyle w:val="ANormal"/>
              <w:jc w:val="center"/>
              <w:rPr>
                <w:b/>
                <w:bCs/>
                <w:sz w:val="20"/>
                <w:szCs w:val="18"/>
              </w:rPr>
            </w:pPr>
            <w:r w:rsidRPr="007C627C">
              <w:rPr>
                <w:b/>
                <w:bCs/>
                <w:sz w:val="20"/>
                <w:szCs w:val="18"/>
              </w:rPr>
              <w:t>2024</w:t>
            </w:r>
          </w:p>
        </w:tc>
      </w:tr>
      <w:tr w:rsidR="0031330C" w:rsidRPr="00172D44" w14:paraId="09C0251D" w14:textId="354BB8BC" w:rsidTr="004525D4">
        <w:tc>
          <w:tcPr>
            <w:tcW w:w="1336" w:type="dxa"/>
          </w:tcPr>
          <w:p w14:paraId="353C9047" w14:textId="745E16F3" w:rsidR="0031330C" w:rsidRPr="000512F0" w:rsidRDefault="0031330C" w:rsidP="00A41FD2">
            <w:pPr>
              <w:pStyle w:val="ANormal"/>
              <w:rPr>
                <w:sz w:val="20"/>
                <w:szCs w:val="18"/>
              </w:rPr>
            </w:pPr>
            <w:r w:rsidRPr="000512F0">
              <w:rPr>
                <w:sz w:val="20"/>
                <w:szCs w:val="18"/>
              </w:rPr>
              <w:t>Inkomster från pensionsfonden</w:t>
            </w:r>
          </w:p>
        </w:tc>
        <w:tc>
          <w:tcPr>
            <w:tcW w:w="1336" w:type="dxa"/>
            <w:vAlign w:val="center"/>
          </w:tcPr>
          <w:p w14:paraId="62662E08" w14:textId="4F95CD1A" w:rsidR="0031330C" w:rsidRPr="000512F0" w:rsidRDefault="0031330C" w:rsidP="00FA27A8">
            <w:pPr>
              <w:pStyle w:val="ANormal"/>
              <w:jc w:val="center"/>
              <w:rPr>
                <w:sz w:val="20"/>
                <w:szCs w:val="18"/>
              </w:rPr>
            </w:pPr>
            <w:r w:rsidRPr="000512F0">
              <w:rPr>
                <w:sz w:val="20"/>
                <w:szCs w:val="18"/>
              </w:rPr>
              <w:t>20 275 000</w:t>
            </w:r>
          </w:p>
        </w:tc>
        <w:tc>
          <w:tcPr>
            <w:tcW w:w="1336" w:type="dxa"/>
            <w:vAlign w:val="center"/>
          </w:tcPr>
          <w:p w14:paraId="0500C632" w14:textId="5648ADF3" w:rsidR="0031330C" w:rsidRPr="000512F0" w:rsidRDefault="0031330C" w:rsidP="00FA27A8">
            <w:pPr>
              <w:pStyle w:val="ANormal"/>
              <w:jc w:val="center"/>
              <w:rPr>
                <w:sz w:val="20"/>
                <w:szCs w:val="18"/>
              </w:rPr>
            </w:pPr>
            <w:r w:rsidRPr="000512F0">
              <w:rPr>
                <w:sz w:val="20"/>
                <w:szCs w:val="18"/>
              </w:rPr>
              <w:t>21 400 000</w:t>
            </w:r>
          </w:p>
        </w:tc>
        <w:tc>
          <w:tcPr>
            <w:tcW w:w="1336" w:type="dxa"/>
            <w:vAlign w:val="center"/>
          </w:tcPr>
          <w:p w14:paraId="263805F3" w14:textId="33F0587C" w:rsidR="0031330C" w:rsidRPr="000512F0" w:rsidRDefault="0031330C" w:rsidP="00FA27A8">
            <w:pPr>
              <w:pStyle w:val="ANormal"/>
              <w:jc w:val="center"/>
              <w:rPr>
                <w:sz w:val="20"/>
                <w:szCs w:val="18"/>
              </w:rPr>
            </w:pPr>
            <w:r w:rsidRPr="000512F0">
              <w:rPr>
                <w:sz w:val="20"/>
                <w:szCs w:val="18"/>
              </w:rPr>
              <w:t>22 400 000</w:t>
            </w:r>
          </w:p>
        </w:tc>
        <w:tc>
          <w:tcPr>
            <w:tcW w:w="1336" w:type="dxa"/>
            <w:vAlign w:val="center"/>
          </w:tcPr>
          <w:p w14:paraId="34FAC45D" w14:textId="0F11094A" w:rsidR="0031330C" w:rsidRPr="000512F0" w:rsidRDefault="007C627C" w:rsidP="00FA27A8">
            <w:pPr>
              <w:pStyle w:val="ANormal"/>
              <w:jc w:val="center"/>
              <w:rPr>
                <w:sz w:val="20"/>
                <w:szCs w:val="18"/>
              </w:rPr>
            </w:pPr>
            <w:r w:rsidRPr="000512F0">
              <w:rPr>
                <w:sz w:val="20"/>
                <w:szCs w:val="18"/>
              </w:rPr>
              <w:t>24 025 000</w:t>
            </w:r>
          </w:p>
        </w:tc>
      </w:tr>
      <w:tr w:rsidR="0031330C" w:rsidRPr="00172D44" w14:paraId="4616C401" w14:textId="134BE2E1" w:rsidTr="004525D4">
        <w:tc>
          <w:tcPr>
            <w:tcW w:w="1336" w:type="dxa"/>
          </w:tcPr>
          <w:p w14:paraId="2B5C7ED0" w14:textId="21C50067" w:rsidR="0031330C" w:rsidRPr="000512F0" w:rsidRDefault="0031330C" w:rsidP="00A41FD2">
            <w:pPr>
              <w:pStyle w:val="ANormal"/>
              <w:rPr>
                <w:sz w:val="20"/>
                <w:szCs w:val="18"/>
              </w:rPr>
            </w:pPr>
            <w:r w:rsidRPr="000512F0">
              <w:rPr>
                <w:sz w:val="20"/>
                <w:szCs w:val="18"/>
              </w:rPr>
              <w:t>Kostnader för pensioner</w:t>
            </w:r>
          </w:p>
        </w:tc>
        <w:tc>
          <w:tcPr>
            <w:tcW w:w="1336" w:type="dxa"/>
            <w:vAlign w:val="center"/>
          </w:tcPr>
          <w:p w14:paraId="5494D89B" w14:textId="3ECF599F" w:rsidR="0031330C" w:rsidRPr="000512F0" w:rsidRDefault="0031330C" w:rsidP="00FA27A8">
            <w:pPr>
              <w:pStyle w:val="ANormal"/>
              <w:jc w:val="center"/>
              <w:rPr>
                <w:sz w:val="20"/>
                <w:szCs w:val="18"/>
              </w:rPr>
            </w:pPr>
            <w:r w:rsidRPr="000512F0">
              <w:rPr>
                <w:sz w:val="20"/>
                <w:szCs w:val="18"/>
              </w:rPr>
              <w:t>37 342 800</w:t>
            </w:r>
          </w:p>
        </w:tc>
        <w:tc>
          <w:tcPr>
            <w:tcW w:w="1336" w:type="dxa"/>
            <w:vAlign w:val="center"/>
          </w:tcPr>
          <w:p w14:paraId="6D468986" w14:textId="2B3D8E7C" w:rsidR="0031330C" w:rsidRPr="000512F0" w:rsidRDefault="0031330C" w:rsidP="00FA27A8">
            <w:pPr>
              <w:pStyle w:val="ANormal"/>
              <w:jc w:val="center"/>
              <w:rPr>
                <w:sz w:val="20"/>
                <w:szCs w:val="18"/>
              </w:rPr>
            </w:pPr>
            <w:r w:rsidRPr="000512F0">
              <w:rPr>
                <w:sz w:val="20"/>
                <w:szCs w:val="18"/>
              </w:rPr>
              <w:t>38 768 200</w:t>
            </w:r>
          </w:p>
        </w:tc>
        <w:tc>
          <w:tcPr>
            <w:tcW w:w="1336" w:type="dxa"/>
            <w:vAlign w:val="center"/>
          </w:tcPr>
          <w:p w14:paraId="63630116" w14:textId="01BAC494" w:rsidR="0031330C" w:rsidRPr="000512F0" w:rsidRDefault="0031330C" w:rsidP="00FA27A8">
            <w:pPr>
              <w:pStyle w:val="ANormal"/>
              <w:jc w:val="center"/>
              <w:rPr>
                <w:sz w:val="20"/>
                <w:szCs w:val="18"/>
              </w:rPr>
            </w:pPr>
            <w:r w:rsidRPr="000512F0">
              <w:rPr>
                <w:sz w:val="20"/>
                <w:szCs w:val="18"/>
              </w:rPr>
              <w:t>42 107 200</w:t>
            </w:r>
          </w:p>
        </w:tc>
        <w:tc>
          <w:tcPr>
            <w:tcW w:w="1336" w:type="dxa"/>
            <w:vAlign w:val="center"/>
          </w:tcPr>
          <w:p w14:paraId="614B82F7" w14:textId="0420CEC9" w:rsidR="0031330C" w:rsidRPr="000512F0" w:rsidRDefault="007C627C" w:rsidP="00FA27A8">
            <w:pPr>
              <w:pStyle w:val="ANormal"/>
              <w:jc w:val="center"/>
              <w:rPr>
                <w:sz w:val="20"/>
                <w:szCs w:val="18"/>
              </w:rPr>
            </w:pPr>
            <w:r w:rsidRPr="000512F0">
              <w:rPr>
                <w:sz w:val="20"/>
                <w:szCs w:val="18"/>
              </w:rPr>
              <w:t>44 899 300</w:t>
            </w:r>
          </w:p>
        </w:tc>
      </w:tr>
      <w:tr w:rsidR="0031330C" w:rsidRPr="00172D44" w14:paraId="53C520A1" w14:textId="28EC2489" w:rsidTr="004525D4">
        <w:trPr>
          <w:trHeight w:val="304"/>
        </w:trPr>
        <w:tc>
          <w:tcPr>
            <w:tcW w:w="1336" w:type="dxa"/>
            <w:vAlign w:val="center"/>
          </w:tcPr>
          <w:p w14:paraId="64F3B1B6" w14:textId="5066ED94" w:rsidR="0031330C" w:rsidRPr="000512F0" w:rsidRDefault="0031330C" w:rsidP="00A41FD2">
            <w:pPr>
              <w:pStyle w:val="ANormal"/>
              <w:rPr>
                <w:sz w:val="20"/>
                <w:szCs w:val="18"/>
              </w:rPr>
            </w:pPr>
            <w:r w:rsidRPr="000512F0">
              <w:rPr>
                <w:sz w:val="20"/>
                <w:szCs w:val="18"/>
              </w:rPr>
              <w:t>Nettokostnad</w:t>
            </w:r>
          </w:p>
        </w:tc>
        <w:tc>
          <w:tcPr>
            <w:tcW w:w="1336" w:type="dxa"/>
            <w:vAlign w:val="center"/>
          </w:tcPr>
          <w:p w14:paraId="2E07CF23" w14:textId="76B1BD64" w:rsidR="0031330C" w:rsidRPr="000512F0" w:rsidRDefault="0031330C" w:rsidP="00FA27A8">
            <w:pPr>
              <w:pStyle w:val="ANormal"/>
              <w:jc w:val="center"/>
              <w:rPr>
                <w:b/>
                <w:bCs/>
                <w:sz w:val="20"/>
                <w:szCs w:val="18"/>
              </w:rPr>
            </w:pPr>
            <w:r w:rsidRPr="000512F0">
              <w:rPr>
                <w:b/>
                <w:bCs/>
                <w:sz w:val="20"/>
                <w:szCs w:val="18"/>
              </w:rPr>
              <w:t>17 067 800</w:t>
            </w:r>
          </w:p>
        </w:tc>
        <w:tc>
          <w:tcPr>
            <w:tcW w:w="1336" w:type="dxa"/>
            <w:vAlign w:val="center"/>
          </w:tcPr>
          <w:p w14:paraId="7CA238F8" w14:textId="453C72E0" w:rsidR="0031330C" w:rsidRPr="000512F0" w:rsidRDefault="0031330C" w:rsidP="00FA27A8">
            <w:pPr>
              <w:pStyle w:val="ANormal"/>
              <w:jc w:val="center"/>
              <w:rPr>
                <w:b/>
                <w:bCs/>
                <w:sz w:val="20"/>
                <w:szCs w:val="18"/>
              </w:rPr>
            </w:pPr>
            <w:r w:rsidRPr="000512F0">
              <w:rPr>
                <w:b/>
                <w:bCs/>
                <w:sz w:val="20"/>
                <w:szCs w:val="18"/>
              </w:rPr>
              <w:t>17 368 200</w:t>
            </w:r>
          </w:p>
        </w:tc>
        <w:tc>
          <w:tcPr>
            <w:tcW w:w="1336" w:type="dxa"/>
            <w:vAlign w:val="center"/>
          </w:tcPr>
          <w:p w14:paraId="76707854" w14:textId="55872EF5" w:rsidR="0031330C" w:rsidRPr="000512F0" w:rsidRDefault="0031330C" w:rsidP="00FA27A8">
            <w:pPr>
              <w:pStyle w:val="ANormal"/>
              <w:jc w:val="center"/>
              <w:rPr>
                <w:b/>
                <w:bCs/>
                <w:sz w:val="20"/>
                <w:szCs w:val="18"/>
              </w:rPr>
            </w:pPr>
            <w:r w:rsidRPr="000512F0">
              <w:rPr>
                <w:b/>
                <w:bCs/>
                <w:sz w:val="20"/>
                <w:szCs w:val="18"/>
              </w:rPr>
              <w:t>19 707 200</w:t>
            </w:r>
          </w:p>
        </w:tc>
        <w:tc>
          <w:tcPr>
            <w:tcW w:w="1336" w:type="dxa"/>
            <w:vAlign w:val="center"/>
          </w:tcPr>
          <w:p w14:paraId="06425757" w14:textId="02077F24" w:rsidR="0031330C" w:rsidRPr="000512F0" w:rsidRDefault="007C627C" w:rsidP="00FA27A8">
            <w:pPr>
              <w:pStyle w:val="ANormal"/>
              <w:jc w:val="center"/>
              <w:rPr>
                <w:b/>
                <w:bCs/>
                <w:sz w:val="20"/>
                <w:szCs w:val="18"/>
              </w:rPr>
            </w:pPr>
            <w:r w:rsidRPr="000512F0">
              <w:rPr>
                <w:b/>
                <w:bCs/>
                <w:sz w:val="20"/>
                <w:szCs w:val="18"/>
              </w:rPr>
              <w:t>20 874 300</w:t>
            </w:r>
          </w:p>
        </w:tc>
      </w:tr>
      <w:tr w:rsidR="0031330C" w:rsidRPr="00172D44" w14:paraId="54F6C079" w14:textId="3A1D6798" w:rsidTr="004525D4">
        <w:trPr>
          <w:trHeight w:val="304"/>
        </w:trPr>
        <w:tc>
          <w:tcPr>
            <w:tcW w:w="1336" w:type="dxa"/>
            <w:vAlign w:val="center"/>
          </w:tcPr>
          <w:p w14:paraId="428087C9" w14:textId="6E912294" w:rsidR="0031330C" w:rsidRPr="000512F0" w:rsidRDefault="0031330C" w:rsidP="00A41FD2">
            <w:pPr>
              <w:pStyle w:val="ANormal"/>
              <w:rPr>
                <w:sz w:val="20"/>
                <w:szCs w:val="18"/>
              </w:rPr>
            </w:pPr>
            <w:r w:rsidRPr="000512F0">
              <w:rPr>
                <w:sz w:val="20"/>
                <w:szCs w:val="18"/>
              </w:rPr>
              <w:t>Antal pensionstagare</w:t>
            </w:r>
          </w:p>
        </w:tc>
        <w:tc>
          <w:tcPr>
            <w:tcW w:w="1336" w:type="dxa"/>
            <w:vAlign w:val="center"/>
          </w:tcPr>
          <w:p w14:paraId="2E571EC9" w14:textId="19AE7F55" w:rsidR="0031330C" w:rsidRPr="000512F0" w:rsidRDefault="0031330C" w:rsidP="00FA27A8">
            <w:pPr>
              <w:pStyle w:val="ANormal"/>
              <w:jc w:val="center"/>
              <w:rPr>
                <w:b/>
                <w:bCs/>
                <w:sz w:val="20"/>
                <w:szCs w:val="18"/>
              </w:rPr>
            </w:pPr>
            <w:r w:rsidRPr="000512F0">
              <w:rPr>
                <w:b/>
                <w:bCs/>
                <w:sz w:val="20"/>
                <w:szCs w:val="18"/>
              </w:rPr>
              <w:t>3 112</w:t>
            </w:r>
          </w:p>
        </w:tc>
        <w:tc>
          <w:tcPr>
            <w:tcW w:w="1336" w:type="dxa"/>
            <w:vAlign w:val="center"/>
          </w:tcPr>
          <w:p w14:paraId="5F44CB13" w14:textId="5657AEB4" w:rsidR="0031330C" w:rsidRPr="000512F0" w:rsidRDefault="0031330C" w:rsidP="00FA27A8">
            <w:pPr>
              <w:pStyle w:val="ANormal"/>
              <w:jc w:val="center"/>
              <w:rPr>
                <w:b/>
                <w:bCs/>
                <w:sz w:val="20"/>
                <w:szCs w:val="18"/>
              </w:rPr>
            </w:pPr>
            <w:r w:rsidRPr="000512F0">
              <w:rPr>
                <w:b/>
                <w:bCs/>
                <w:sz w:val="20"/>
                <w:szCs w:val="18"/>
              </w:rPr>
              <w:t>3 224</w:t>
            </w:r>
          </w:p>
        </w:tc>
        <w:tc>
          <w:tcPr>
            <w:tcW w:w="1336" w:type="dxa"/>
            <w:vAlign w:val="center"/>
          </w:tcPr>
          <w:p w14:paraId="6D2F91BC" w14:textId="7CD60C86" w:rsidR="0031330C" w:rsidRPr="000512F0" w:rsidRDefault="0031330C" w:rsidP="00FA27A8">
            <w:pPr>
              <w:pStyle w:val="ANormal"/>
              <w:jc w:val="center"/>
              <w:rPr>
                <w:b/>
                <w:bCs/>
                <w:sz w:val="20"/>
                <w:szCs w:val="18"/>
              </w:rPr>
            </w:pPr>
            <w:r w:rsidRPr="000512F0">
              <w:rPr>
                <w:b/>
                <w:bCs/>
                <w:sz w:val="20"/>
                <w:szCs w:val="18"/>
              </w:rPr>
              <w:t>3 305</w:t>
            </w:r>
          </w:p>
        </w:tc>
        <w:tc>
          <w:tcPr>
            <w:tcW w:w="1336" w:type="dxa"/>
            <w:vAlign w:val="center"/>
          </w:tcPr>
          <w:p w14:paraId="151BF489" w14:textId="14E61134" w:rsidR="0031330C" w:rsidRPr="000512F0" w:rsidRDefault="007C627C" w:rsidP="00FA27A8">
            <w:pPr>
              <w:pStyle w:val="ANormal"/>
              <w:jc w:val="center"/>
              <w:rPr>
                <w:b/>
                <w:bCs/>
                <w:sz w:val="20"/>
                <w:szCs w:val="18"/>
              </w:rPr>
            </w:pPr>
            <w:r w:rsidRPr="000512F0">
              <w:rPr>
                <w:b/>
                <w:bCs/>
                <w:sz w:val="20"/>
                <w:szCs w:val="18"/>
              </w:rPr>
              <w:t>3369</w:t>
            </w:r>
          </w:p>
        </w:tc>
      </w:tr>
    </w:tbl>
    <w:p w14:paraId="5C16B405" w14:textId="77777777" w:rsidR="00BD2F1D" w:rsidRPr="00172D44" w:rsidRDefault="00BD2F1D" w:rsidP="00A41FD2">
      <w:pPr>
        <w:pStyle w:val="ANormal"/>
        <w:rPr>
          <w:highlight w:val="yellow"/>
        </w:rPr>
      </w:pPr>
    </w:p>
    <w:p w14:paraId="3C86DC6A" w14:textId="4D56A229" w:rsidR="00172A39" w:rsidRPr="00172D44" w:rsidRDefault="00172A39" w:rsidP="00A41FD2">
      <w:pPr>
        <w:pStyle w:val="ANormal"/>
        <w:rPr>
          <w:highlight w:val="yellow"/>
        </w:rPr>
      </w:pPr>
      <w:r w:rsidRPr="007C627C">
        <w:lastRenderedPageBreak/>
        <w:tab/>
        <w:t xml:space="preserve">Ur tabellen framgår det att </w:t>
      </w:r>
      <w:r w:rsidR="002B4BC9" w:rsidRPr="007C627C">
        <w:t>netto</w:t>
      </w:r>
      <w:r w:rsidRPr="007C627C">
        <w:t xml:space="preserve">kostnaderna </w:t>
      </w:r>
      <w:r w:rsidR="002B4BC9" w:rsidRPr="007C627C">
        <w:t>för pensionerna tidigare</w:t>
      </w:r>
      <w:r w:rsidRPr="007C627C">
        <w:t xml:space="preserve"> har legat på drygt 17 miljoner euro, trots</w:t>
      </w:r>
      <w:r w:rsidR="002B4BC9" w:rsidRPr="007C627C">
        <w:t xml:space="preserve"> att pensionernas totalbelopp har stigit</w:t>
      </w:r>
      <w:r w:rsidRPr="007C627C">
        <w:t xml:space="preserve">. Regleringen av nettokostnaden har skett genom ett ökat uttag från pensionsfonden, vilket är i samklang med fondens syften. </w:t>
      </w:r>
      <w:r w:rsidR="00E7089D" w:rsidRPr="00E7089D">
        <w:t>År</w:t>
      </w:r>
      <w:r w:rsidRPr="00E7089D">
        <w:t xml:space="preserve"> 202</w:t>
      </w:r>
      <w:r w:rsidR="007C627C" w:rsidRPr="00E7089D">
        <w:t>4</w:t>
      </w:r>
      <w:r w:rsidRPr="00E7089D">
        <w:t xml:space="preserve"> budgeterades en </w:t>
      </w:r>
      <w:r w:rsidR="007C627C" w:rsidRPr="00E7089D">
        <w:t xml:space="preserve">nettokostnad </w:t>
      </w:r>
      <w:r w:rsidRPr="00E7089D">
        <w:t>om 19,7 miljoner euro</w:t>
      </w:r>
      <w:r w:rsidR="00E7089D" w:rsidRPr="00E7089D">
        <w:t xml:space="preserve"> i budget.</w:t>
      </w:r>
      <w:r w:rsidRPr="00E7089D">
        <w:t xml:space="preserve"> </w:t>
      </w:r>
      <w:r w:rsidR="00E7089D" w:rsidRPr="00E7089D">
        <w:t>För år</w:t>
      </w:r>
      <w:r w:rsidRPr="00E7089D">
        <w:t xml:space="preserve"> 202</w:t>
      </w:r>
      <w:r w:rsidR="00E7089D" w:rsidRPr="00E7089D">
        <w:t>5 har budgeten för nettokostnaderna minskat med 1,67 miljoner euro, till 18</w:t>
      </w:r>
      <w:r w:rsidR="00585A9F">
        <w:t>,</w:t>
      </w:r>
      <w:r w:rsidR="00E7089D" w:rsidRPr="00E7089D">
        <w:t>03</w:t>
      </w:r>
      <w:r w:rsidR="00992766">
        <w:t xml:space="preserve"> miljoner euro</w:t>
      </w:r>
      <w:r w:rsidRPr="00E7089D">
        <w:t>.</w:t>
      </w:r>
    </w:p>
    <w:p w14:paraId="7A4FAB9D" w14:textId="63D7414C" w:rsidR="008F4736" w:rsidRPr="00172D44" w:rsidRDefault="008F4736" w:rsidP="000F32A0">
      <w:pPr>
        <w:pStyle w:val="ANormal"/>
        <w:rPr>
          <w:color w:val="FF0000"/>
          <w:highlight w:val="yellow"/>
        </w:rPr>
      </w:pPr>
    </w:p>
    <w:p w14:paraId="3EE06529" w14:textId="352710C3" w:rsidR="004A03FE" w:rsidRPr="00120423" w:rsidRDefault="00A00CA6" w:rsidP="004A03FE">
      <w:pPr>
        <w:pStyle w:val="RubrikC"/>
      </w:pPr>
      <w:bookmarkStart w:id="13" w:name="_Toc208482856"/>
      <w:r w:rsidRPr="00120423">
        <w:t>Personal</w:t>
      </w:r>
      <w:bookmarkEnd w:id="13"/>
    </w:p>
    <w:p w14:paraId="36BAEAC6" w14:textId="77777777" w:rsidR="004A03FE" w:rsidRPr="00120423" w:rsidRDefault="004A03FE" w:rsidP="004A03FE">
      <w:pPr>
        <w:pStyle w:val="Rubrikmellanrum"/>
      </w:pPr>
    </w:p>
    <w:p w14:paraId="7AB28226" w14:textId="77777777" w:rsidR="003E1E3E" w:rsidRPr="00120423" w:rsidRDefault="006A65AC" w:rsidP="00BC2A42">
      <w:pPr>
        <w:pStyle w:val="ANormal"/>
      </w:pPr>
      <w:r w:rsidRPr="00120423">
        <w:t>I årsredovisningens relationstal för personalen ingår den allmänna förvaltningen och de underställda myndigheterna, förutom Landskapets fastighetsverk och Ålands hälso- och sjukvård</w:t>
      </w:r>
      <w:r w:rsidR="00EB43DB" w:rsidRPr="00120423">
        <w:t xml:space="preserve"> (ÅHS)</w:t>
      </w:r>
      <w:r w:rsidR="002C5C9A" w:rsidRPr="00120423">
        <w:t xml:space="preserve"> som redovisar personalparametrar</w:t>
      </w:r>
      <w:r w:rsidR="002B7E94" w:rsidRPr="00120423">
        <w:t>na</w:t>
      </w:r>
      <w:r w:rsidR="002C5C9A" w:rsidRPr="00120423">
        <w:t xml:space="preserve"> i sina egna årsredovisningar</w:t>
      </w:r>
      <w:r w:rsidRPr="00120423">
        <w:t xml:space="preserve">. </w:t>
      </w:r>
    </w:p>
    <w:p w14:paraId="579EBCFE" w14:textId="0177DB21" w:rsidR="00CD4893" w:rsidRDefault="003E1E3E" w:rsidP="00141A52">
      <w:pPr>
        <w:pStyle w:val="ANormal"/>
      </w:pPr>
      <w:r w:rsidRPr="00120423">
        <w:tab/>
      </w:r>
      <w:r w:rsidR="006A65AC" w:rsidRPr="00120423">
        <w:t xml:space="preserve">Antalet årsverken </w:t>
      </w:r>
      <w:r w:rsidRPr="00120423">
        <w:t xml:space="preserve">redovisas </w:t>
      </w:r>
      <w:r w:rsidR="00120423" w:rsidRPr="00120423">
        <w:t xml:space="preserve">dock </w:t>
      </w:r>
      <w:r w:rsidRPr="00120423">
        <w:t>för hela landskapet, förutom för Landskapets fastighetsverk som utelämnats. I</w:t>
      </w:r>
      <w:r w:rsidR="006A65AC" w:rsidRPr="00120423">
        <w:t>nom allmänna förvaltningen uppgick</w:t>
      </w:r>
      <w:r w:rsidRPr="00120423">
        <w:t xml:space="preserve"> antalet årsverken till</w:t>
      </w:r>
      <w:r w:rsidR="006A65AC" w:rsidRPr="00120423">
        <w:t xml:space="preserve"> </w:t>
      </w:r>
      <w:r w:rsidR="00F25730" w:rsidRPr="00120423">
        <w:t>3</w:t>
      </w:r>
      <w:r w:rsidR="00120423" w:rsidRPr="00120423">
        <w:t>16</w:t>
      </w:r>
      <w:r w:rsidR="00F25730" w:rsidRPr="00120423">
        <w:t xml:space="preserve"> (</w:t>
      </w:r>
      <w:r w:rsidR="00B42924" w:rsidRPr="00120423">
        <w:t>30</w:t>
      </w:r>
      <w:r w:rsidR="00120423" w:rsidRPr="00120423">
        <w:t>0</w:t>
      </w:r>
      <w:r w:rsidR="00F25730" w:rsidRPr="00120423">
        <w:t>)</w:t>
      </w:r>
      <w:r w:rsidRPr="00120423">
        <w:t xml:space="preserve">, </w:t>
      </w:r>
      <w:r w:rsidR="006A65AC" w:rsidRPr="001F25FD">
        <w:t>i de</w:t>
      </w:r>
      <w:r w:rsidR="00120423" w:rsidRPr="001F25FD">
        <w:t xml:space="preserve"> underlydande</w:t>
      </w:r>
      <w:r w:rsidR="006A65AC" w:rsidRPr="001F25FD">
        <w:t xml:space="preserve"> myndigheterna till </w:t>
      </w:r>
      <w:r w:rsidRPr="001F25FD">
        <w:t>5</w:t>
      </w:r>
      <w:r w:rsidR="001F25FD">
        <w:t>13</w:t>
      </w:r>
      <w:r w:rsidRPr="001F25FD">
        <w:t xml:space="preserve"> (</w:t>
      </w:r>
      <w:r w:rsidR="001F25FD" w:rsidRPr="001F25FD">
        <w:t>50</w:t>
      </w:r>
      <w:r w:rsidR="001F25FD">
        <w:t>6</w:t>
      </w:r>
      <w:r w:rsidRPr="001F25FD">
        <w:t>)</w:t>
      </w:r>
      <w:r w:rsidR="002C3371" w:rsidRPr="001F25FD">
        <w:t xml:space="preserve"> och inom ÅHS till</w:t>
      </w:r>
      <w:r w:rsidR="009E7149" w:rsidRPr="001F25FD">
        <w:t xml:space="preserve"> </w:t>
      </w:r>
      <w:r w:rsidR="002C3371" w:rsidRPr="001F25FD">
        <w:t>8</w:t>
      </w:r>
      <w:r w:rsidR="001F25FD" w:rsidRPr="001F25FD">
        <w:t>73</w:t>
      </w:r>
      <w:r w:rsidR="002C3371" w:rsidRPr="001F25FD">
        <w:t xml:space="preserve"> (8</w:t>
      </w:r>
      <w:r w:rsidR="001F25FD" w:rsidRPr="001F25FD">
        <w:t>65</w:t>
      </w:r>
      <w:r w:rsidR="002C3371" w:rsidRPr="001F25FD">
        <w:t>)</w:t>
      </w:r>
      <w:r w:rsidR="00E5016A" w:rsidRPr="001F25FD">
        <w:t xml:space="preserve">, totalt </w:t>
      </w:r>
      <w:r w:rsidR="002C3371" w:rsidRPr="001F25FD">
        <w:t>17</w:t>
      </w:r>
      <w:r w:rsidR="001F25FD" w:rsidRPr="001F25FD">
        <w:t>02</w:t>
      </w:r>
      <w:r w:rsidR="002C3371" w:rsidRPr="001F25FD">
        <w:t xml:space="preserve"> (1</w:t>
      </w:r>
      <w:r w:rsidR="001F25FD" w:rsidRPr="001F25FD">
        <w:t>679</w:t>
      </w:r>
      <w:r w:rsidR="002C3371" w:rsidRPr="001F25FD">
        <w:t>)</w:t>
      </w:r>
      <w:r w:rsidR="006A65AC" w:rsidRPr="001F25FD">
        <w:t xml:space="preserve">. </w:t>
      </w:r>
      <w:r w:rsidR="009B61FC" w:rsidRPr="001F25FD">
        <w:t xml:space="preserve">Årsverkena har således </w:t>
      </w:r>
      <w:r w:rsidR="009E7149" w:rsidRPr="001F25FD">
        <w:t xml:space="preserve">under året </w:t>
      </w:r>
      <w:r w:rsidR="009B61FC" w:rsidRPr="001F25FD">
        <w:t>ökat med</w:t>
      </w:r>
      <w:r w:rsidR="009E7149" w:rsidRPr="001F25FD">
        <w:t xml:space="preserve"> totalt</w:t>
      </w:r>
      <w:r w:rsidR="009B61FC" w:rsidRPr="001F25FD">
        <w:t xml:space="preserve"> </w:t>
      </w:r>
      <w:r w:rsidR="001F25FD" w:rsidRPr="001F25FD">
        <w:t>23</w:t>
      </w:r>
      <w:r w:rsidR="009B61FC" w:rsidRPr="001F25FD">
        <w:t>.</w:t>
      </w:r>
      <w:r w:rsidR="00B00377">
        <w:t xml:space="preserve"> </w:t>
      </w:r>
      <w:r w:rsidR="00B81F54" w:rsidRPr="00B81F54">
        <w:t>Fastighetsverkets årsverken 51 (57) framkommer av fastighetsverkets eget bokslut.</w:t>
      </w:r>
    </w:p>
    <w:p w14:paraId="3FC447B8" w14:textId="237B26BE" w:rsidR="00141A52" w:rsidRDefault="00CD4893" w:rsidP="00141A52">
      <w:pPr>
        <w:pStyle w:val="ANormal"/>
      </w:pPr>
      <w:r>
        <w:tab/>
      </w:r>
      <w:r w:rsidR="00B00377">
        <w:t>Utskottet noterade i sitt betänkande angående årsredovisningen 2023 (Finans- och näringsutskottets betänkande 14/</w:t>
      </w:r>
      <w:proofErr w:type="gramStart"/>
      <w:r w:rsidR="00B00377">
        <w:t>2023-2024</w:t>
      </w:r>
      <w:proofErr w:type="gramEnd"/>
      <w:r w:rsidR="00B00377">
        <w:t>) att det fanns en diskrepans mellan</w:t>
      </w:r>
      <w:r w:rsidR="00141A52">
        <w:t xml:space="preserve"> landskapsregeringens och ÅHS redovisning över årsverken. Denna diskrepans finns än, där det i årsberättelsen för år 2024 framkommer att ÅHS har 873 årsverken, medan ÅHS uppger i sin egen verksamhetsberättelse för år 2024 att det f</w:t>
      </w:r>
      <w:r w:rsidR="00372BBF">
        <w:t>a</w:t>
      </w:r>
      <w:r w:rsidR="00141A52">
        <w:t>nns 909 årsverken. I utskottets betänkande över årsredovisningen 2023 framkom även att fastighetsverkets årsverken bör framkomma i framtida årsredovisningar, detta har inte gjorts i årsredovisningen för år 2024.</w:t>
      </w:r>
    </w:p>
    <w:p w14:paraId="2F9533D2" w14:textId="77777777" w:rsidR="00CE535E" w:rsidRDefault="00141A52" w:rsidP="00BC2A42">
      <w:pPr>
        <w:pStyle w:val="ANormal"/>
      </w:pPr>
      <w:r>
        <w:tab/>
        <w:t xml:space="preserve">Utskottet har i betänkande angående årsredovisningen för år 2023 betonat att även små myndigheters årsverken i fortsättningen bör redovisas per myndighet, utskottet noterar att landskapsregeringen inte gjort detta år 2024. Utskottet betonar att antal anställda per myndighet bör framgå i årsredovisningen så att resursanvändningen i förhållande till budgeten redovisas transparent. </w:t>
      </w:r>
      <w:bookmarkStart w:id="14" w:name="_Hlk176337457"/>
    </w:p>
    <w:p w14:paraId="282C018B" w14:textId="2B04C8E7" w:rsidR="00CE535E" w:rsidRDefault="00CE535E" w:rsidP="00BC2A42">
      <w:pPr>
        <w:pStyle w:val="ANormal"/>
      </w:pPr>
      <w:r>
        <w:tab/>
      </w:r>
      <w:r w:rsidRPr="00CE535E">
        <w:t>Den hälsorelaterade frånvaron uppgick år 2024 till 28 600 kalenderdagar</w:t>
      </w:r>
      <w:r>
        <w:t xml:space="preserve">, </w:t>
      </w:r>
      <w:r w:rsidR="008250BC">
        <w:t xml:space="preserve">vilket är lägre </w:t>
      </w:r>
      <w:r>
        <w:t>än 2023 (</w:t>
      </w:r>
      <w:r w:rsidR="008250BC">
        <w:t>32</w:t>
      </w:r>
      <w:r>
        <w:t> </w:t>
      </w:r>
      <w:r w:rsidR="008250BC">
        <w:t>142</w:t>
      </w:r>
      <w:r>
        <w:t xml:space="preserve">), </w:t>
      </w:r>
      <w:r w:rsidR="008250BC">
        <w:t>när man räknar med ÅHS i statistiken för år 2023.</w:t>
      </w:r>
      <w:r>
        <w:t xml:space="preserve"> År 2024 inkluderas ÅHS i statistiken. Den genomsnittliga sjukfrånvaron</w:t>
      </w:r>
      <w:r w:rsidR="00CD4893">
        <w:t xml:space="preserve"> för hela landskapsförvaltningen</w:t>
      </w:r>
      <w:r>
        <w:t xml:space="preserve"> var 15 dagar/anställd år 2024, vilket är två dagar färre i förhållande till år 2023.  </w:t>
      </w:r>
    </w:p>
    <w:bookmarkEnd w:id="14"/>
    <w:p w14:paraId="684C303E" w14:textId="7AB35F1C" w:rsidR="00EB43DB" w:rsidRPr="00172D44" w:rsidRDefault="00EB43DB" w:rsidP="009234F8">
      <w:pPr>
        <w:pStyle w:val="ANormal"/>
        <w:rPr>
          <w:highlight w:val="yellow"/>
        </w:rPr>
      </w:pPr>
      <w:r w:rsidRPr="001B6DB5">
        <w:tab/>
        <w:t xml:space="preserve">ÅHS gör upp ett eget personalbokslut. I </w:t>
      </w:r>
      <w:r w:rsidR="00C6568C" w:rsidRPr="001B6DB5">
        <w:t>december</w:t>
      </w:r>
      <w:r w:rsidRPr="001B6DB5">
        <w:t xml:space="preserve"> 202</w:t>
      </w:r>
      <w:r w:rsidR="001B6DB5">
        <w:t>4</w:t>
      </w:r>
      <w:r w:rsidRPr="001B6DB5">
        <w:t xml:space="preserve"> fanns det </w:t>
      </w:r>
      <w:r w:rsidR="0000525D" w:rsidRPr="001B6DB5">
        <w:t>9</w:t>
      </w:r>
      <w:r w:rsidR="001B6DB5" w:rsidRPr="001B6DB5">
        <w:t>49</w:t>
      </w:r>
      <w:r w:rsidR="0000525D" w:rsidRPr="001B6DB5">
        <w:t xml:space="preserve"> (</w:t>
      </w:r>
      <w:r w:rsidR="002D1915" w:rsidRPr="001B6DB5">
        <w:t>9</w:t>
      </w:r>
      <w:r w:rsidR="001B6DB5" w:rsidRPr="001B6DB5">
        <w:t>75</w:t>
      </w:r>
      <w:r w:rsidR="00C6568C" w:rsidRPr="001B6DB5">
        <w:t>)</w:t>
      </w:r>
      <w:r w:rsidRPr="001B6DB5">
        <w:t xml:space="preserve"> anställda, varav </w:t>
      </w:r>
      <w:r w:rsidR="001B6DB5" w:rsidRPr="001B6DB5">
        <w:t>145</w:t>
      </w:r>
      <w:r w:rsidR="0000525D" w:rsidRPr="001B6DB5">
        <w:t xml:space="preserve"> (</w:t>
      </w:r>
      <w:r w:rsidR="002D1915" w:rsidRPr="001B6DB5">
        <w:t>2</w:t>
      </w:r>
      <w:r w:rsidR="001B6DB5" w:rsidRPr="001B6DB5">
        <w:t>36</w:t>
      </w:r>
      <w:r w:rsidR="00C6568C" w:rsidRPr="001B6DB5">
        <w:t>)</w:t>
      </w:r>
      <w:r w:rsidRPr="001B6DB5">
        <w:t xml:space="preserve"> hade tidsbegränsade anställningar. </w:t>
      </w:r>
      <w:r w:rsidR="00C6568C" w:rsidRPr="001B6DB5">
        <w:t>Totalt beräkna</w:t>
      </w:r>
      <w:r w:rsidR="00CD4893">
        <w:t>s</w:t>
      </w:r>
      <w:r w:rsidR="00C6568C" w:rsidRPr="001B6DB5">
        <w:t xml:space="preserve"> att antalet årsverken uppgick till </w:t>
      </w:r>
      <w:r w:rsidR="0000525D" w:rsidRPr="001B6DB5">
        <w:t>90</w:t>
      </w:r>
      <w:r w:rsidR="001B6DB5" w:rsidRPr="001B6DB5">
        <w:t>9</w:t>
      </w:r>
      <w:r w:rsidR="0000525D" w:rsidRPr="001B6DB5">
        <w:t xml:space="preserve"> (</w:t>
      </w:r>
      <w:r w:rsidR="001B6DB5" w:rsidRPr="001B6DB5">
        <w:t>903</w:t>
      </w:r>
      <w:r w:rsidR="002D1915" w:rsidRPr="001B6DB5">
        <w:t>)</w:t>
      </w:r>
      <w:r w:rsidR="00C6568C" w:rsidRPr="001B6DB5">
        <w:t>.</w:t>
      </w:r>
      <w:r w:rsidR="00C6568C" w:rsidRPr="00172D44">
        <w:rPr>
          <w:highlight w:val="yellow"/>
        </w:rPr>
        <w:t xml:space="preserve"> </w:t>
      </w:r>
      <w:r w:rsidRPr="00060B65">
        <w:t xml:space="preserve"> </w:t>
      </w:r>
    </w:p>
    <w:p w14:paraId="0AE3D575" w14:textId="54344FEC" w:rsidR="006D548C" w:rsidRDefault="006D548C" w:rsidP="00BC2A42">
      <w:pPr>
        <w:pStyle w:val="ANormal"/>
      </w:pPr>
      <w:r w:rsidRPr="00060B65">
        <w:tab/>
      </w:r>
      <w:r w:rsidR="007A37E8" w:rsidRPr="00060B65">
        <w:t xml:space="preserve">Det </w:t>
      </w:r>
      <w:r w:rsidR="0063082B" w:rsidRPr="00060B65">
        <w:t>genomsnittlig</w:t>
      </w:r>
      <w:r w:rsidR="007A37E8" w:rsidRPr="00060B65">
        <w:t>a antalet</w:t>
      </w:r>
      <w:r w:rsidR="0063082B" w:rsidRPr="00060B65">
        <w:t xml:space="preserve"> månadsanställda </w:t>
      </w:r>
      <w:r w:rsidR="007A37E8" w:rsidRPr="00060B65">
        <w:t xml:space="preserve">i Fastighetsverket </w:t>
      </w:r>
      <w:r w:rsidR="00313E09" w:rsidRPr="00060B65">
        <w:t xml:space="preserve">uppgår till </w:t>
      </w:r>
      <w:r w:rsidR="002D1915" w:rsidRPr="00060B65">
        <w:t>5</w:t>
      </w:r>
      <w:r w:rsidR="00060B65" w:rsidRPr="00060B65">
        <w:t>1</w:t>
      </w:r>
      <w:r w:rsidR="00954F67" w:rsidRPr="00060B65">
        <w:t>,</w:t>
      </w:r>
      <w:r w:rsidR="00060B65" w:rsidRPr="00060B65">
        <w:t>48</w:t>
      </w:r>
      <w:r w:rsidR="002D1915" w:rsidRPr="00060B65">
        <w:t xml:space="preserve"> (</w:t>
      </w:r>
      <w:r w:rsidR="0063082B" w:rsidRPr="00060B65">
        <w:t>5</w:t>
      </w:r>
      <w:r w:rsidR="00060B65" w:rsidRPr="00060B65">
        <w:t>6</w:t>
      </w:r>
      <w:r w:rsidR="00954F67" w:rsidRPr="00060B65">
        <w:t>,</w:t>
      </w:r>
      <w:r w:rsidR="00060B65" w:rsidRPr="00060B65">
        <w:t>7</w:t>
      </w:r>
      <w:r w:rsidR="002D1915" w:rsidRPr="00060B65">
        <w:t>)</w:t>
      </w:r>
      <w:r w:rsidR="0063082B" w:rsidRPr="00060B65">
        <w:t xml:space="preserve"> personer</w:t>
      </w:r>
      <w:r w:rsidR="002D1915" w:rsidRPr="00060B65">
        <w:t>.</w:t>
      </w:r>
    </w:p>
    <w:p w14:paraId="59B831A0" w14:textId="0004A660" w:rsidR="0052766B" w:rsidRDefault="0052766B" w:rsidP="00BC2A42">
      <w:pPr>
        <w:pStyle w:val="ANormal"/>
      </w:pPr>
      <w:r>
        <w:tab/>
        <w:t>Utskottet noterar att antalet årsverken</w:t>
      </w:r>
      <w:r w:rsidR="00520B3B">
        <w:t xml:space="preserve"> år 2024</w:t>
      </w:r>
      <w:r>
        <w:t xml:space="preserve"> ökat i förhållande till år 2023, och </w:t>
      </w:r>
      <w:r w:rsidR="00520B3B">
        <w:t xml:space="preserve">att </w:t>
      </w:r>
      <w:r>
        <w:t xml:space="preserve">antalet </w:t>
      </w:r>
      <w:r w:rsidR="00520B3B">
        <w:t>a</w:t>
      </w:r>
      <w:r w:rsidR="00CE535E">
        <w:t xml:space="preserve">nställda </w:t>
      </w:r>
      <w:r w:rsidR="00520B3B">
        <w:t>år 2024 är på ungefär samma nivå som år 2023. I och med de ökade verksamhetskostnaderna där en betydande andel består av personalkostnaderna anser utskottet att det är en ohållbar trend att antalet årsverken ökar medan antalet anställda inte minskar</w:t>
      </w:r>
      <w:r w:rsidR="00CD4893">
        <w:t xml:space="preserve"> nämnvärt</w:t>
      </w:r>
      <w:r w:rsidR="00520B3B">
        <w:t xml:space="preserve">. </w:t>
      </w:r>
    </w:p>
    <w:p w14:paraId="75184B43" w14:textId="77777777" w:rsidR="00596E35" w:rsidRDefault="00596E35" w:rsidP="00BC2A42">
      <w:pPr>
        <w:pStyle w:val="ANormal"/>
      </w:pPr>
    </w:p>
    <w:p w14:paraId="3314E3BE" w14:textId="77777777" w:rsidR="00596E35" w:rsidRDefault="00596E35" w:rsidP="00BC2A42">
      <w:pPr>
        <w:pStyle w:val="ANormal"/>
      </w:pPr>
    </w:p>
    <w:p w14:paraId="7F00D8F6" w14:textId="01CB1678" w:rsidR="00596E35" w:rsidRDefault="00596E35" w:rsidP="00BC2A42">
      <w:pPr>
        <w:pStyle w:val="ANormal"/>
      </w:pPr>
      <w:r w:rsidRPr="00596E35">
        <w:rPr>
          <w:noProof/>
        </w:rPr>
        <w:lastRenderedPageBreak/>
        <w:drawing>
          <wp:inline distT="0" distB="0" distL="0" distR="0" wp14:anchorId="6729B0D0" wp14:editId="54C5E55F">
            <wp:extent cx="4267200" cy="4076700"/>
            <wp:effectExtent l="0" t="0" r="0" b="0"/>
            <wp:docPr id="827028119" name="Diagram 1">
              <a:extLst xmlns:a="http://schemas.openxmlformats.org/drawingml/2006/main">
                <a:ext uri="{FF2B5EF4-FFF2-40B4-BE49-F238E27FC236}">
                  <a16:creationId xmlns:a16="http://schemas.microsoft.com/office/drawing/2014/main" id="{50A1D09A-DF4A-1630-162D-AF67D538AA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4041EC7" w14:textId="77777777" w:rsidR="00596E35" w:rsidRDefault="00596E35" w:rsidP="00BC2A42">
      <w:pPr>
        <w:pStyle w:val="ANormal"/>
      </w:pPr>
    </w:p>
    <w:p w14:paraId="2FB46D96" w14:textId="1932612A" w:rsidR="00596E35" w:rsidRPr="00596E35" w:rsidRDefault="00596E35" w:rsidP="00596E35">
      <w:pPr>
        <w:pStyle w:val="ANormal"/>
        <w:rPr>
          <w:i/>
          <w:iCs/>
        </w:rPr>
      </w:pPr>
      <w:r w:rsidRPr="00596E35">
        <w:rPr>
          <w:i/>
          <w:iCs/>
        </w:rPr>
        <w:t>I tabellen ovan framkommer anställda och årsverken inom landskapsförvaltningen (inklusive ÅHS, regeringen och lagtinget). Det bör</w:t>
      </w:r>
      <w:r w:rsidR="0066424F">
        <w:rPr>
          <w:i/>
          <w:iCs/>
        </w:rPr>
        <w:t xml:space="preserve"> noteras</w:t>
      </w:r>
      <w:r w:rsidRPr="00596E35">
        <w:rPr>
          <w:i/>
          <w:iCs/>
        </w:rPr>
        <w:t xml:space="preserve"> att det år 2022 redovisats för lågt antal anställda för Ålands landskapsregering, vilket föranleder att antalet anställda och årsverken år 2023 samt 2024 ger den mest rättvisande bilden</w:t>
      </w:r>
      <w:r w:rsidR="002D174D">
        <w:rPr>
          <w:i/>
          <w:iCs/>
        </w:rPr>
        <w:t xml:space="preserve"> av antalet anställda och årsverken inom landskapsförvaltningen</w:t>
      </w:r>
      <w:r w:rsidRPr="00596E35">
        <w:rPr>
          <w:i/>
          <w:iCs/>
        </w:rPr>
        <w:t xml:space="preserve">. </w:t>
      </w:r>
    </w:p>
    <w:p w14:paraId="1AAFD3F1" w14:textId="77777777" w:rsidR="00596E35" w:rsidRDefault="00596E35" w:rsidP="00BC2A42">
      <w:pPr>
        <w:pStyle w:val="ANormal"/>
      </w:pPr>
    </w:p>
    <w:p w14:paraId="6C3E83B8" w14:textId="77777777" w:rsidR="00596E35" w:rsidRPr="00060B65" w:rsidRDefault="00596E35" w:rsidP="00BC2A42">
      <w:pPr>
        <w:pStyle w:val="ANormal"/>
      </w:pPr>
    </w:p>
    <w:p w14:paraId="2DEA7AE5" w14:textId="4E0CB156" w:rsidR="00C46A55" w:rsidRPr="00AC3EFA" w:rsidRDefault="007F7EF6" w:rsidP="00C46A55">
      <w:pPr>
        <w:pStyle w:val="ANormal"/>
      </w:pPr>
      <w:r w:rsidRPr="00060B65">
        <w:tab/>
      </w:r>
    </w:p>
    <w:p w14:paraId="01F6FCE4" w14:textId="2658F774" w:rsidR="00A867C0" w:rsidRPr="00AC3EFA" w:rsidRDefault="00A867C0" w:rsidP="00A867C0">
      <w:pPr>
        <w:pStyle w:val="RubrikC"/>
      </w:pPr>
      <w:bookmarkStart w:id="15" w:name="_Toc208482857"/>
      <w:r w:rsidRPr="00AC3EFA">
        <w:t>Landskapets tillgånga</w:t>
      </w:r>
      <w:r w:rsidR="00AA559A">
        <w:t>r och PAF-reserveringar</w:t>
      </w:r>
      <w:bookmarkEnd w:id="15"/>
    </w:p>
    <w:p w14:paraId="64588203" w14:textId="3280A128" w:rsidR="00A867C0" w:rsidRPr="00AC3EFA" w:rsidRDefault="00A867C0" w:rsidP="00A867C0">
      <w:pPr>
        <w:pStyle w:val="Rubrikmellanrum"/>
        <w:rPr>
          <w:color w:val="FF0000"/>
        </w:rPr>
      </w:pPr>
    </w:p>
    <w:p w14:paraId="19867EF5" w14:textId="01C878F7" w:rsidR="00A53453" w:rsidRPr="00120423" w:rsidRDefault="00733F66" w:rsidP="00A867C0">
      <w:pPr>
        <w:pStyle w:val="ANormal"/>
      </w:pPr>
      <w:r w:rsidRPr="00EC4BE9">
        <w:rPr>
          <w:color w:val="FF0000"/>
        </w:rPr>
        <w:tab/>
      </w:r>
      <w:r w:rsidRPr="00EC4BE9">
        <w:t>Under posten ”fond</w:t>
      </w:r>
      <w:r w:rsidR="00BF6B46" w:rsidRPr="00EC4BE9">
        <w:t xml:space="preserve">ernas </w:t>
      </w:r>
      <w:r w:rsidRPr="00EC4BE9">
        <w:t>kapital” finns</w:t>
      </w:r>
      <w:r w:rsidR="00EC4BE9" w:rsidRPr="00EC4BE9">
        <w:t xml:space="preserve"> 90 </w:t>
      </w:r>
      <w:r w:rsidR="00F67409" w:rsidRPr="00EC4BE9">
        <w:t>(</w:t>
      </w:r>
      <w:r w:rsidR="00EC4BE9" w:rsidRPr="00EC4BE9">
        <w:t>84</w:t>
      </w:r>
      <w:r w:rsidR="005762E4" w:rsidRPr="00EC4BE9">
        <w:t>,</w:t>
      </w:r>
      <w:r w:rsidR="00EC4BE9" w:rsidRPr="00EC4BE9">
        <w:t>4</w:t>
      </w:r>
      <w:r w:rsidR="005762E4" w:rsidRPr="00EC4BE9">
        <w:t>)</w:t>
      </w:r>
      <w:r w:rsidRPr="00EC4BE9">
        <w:t xml:space="preserve"> miljoner euro upptaget (not 1</w:t>
      </w:r>
      <w:r w:rsidR="005762E4" w:rsidRPr="00EC4BE9">
        <w:t>7</w:t>
      </w:r>
      <w:r w:rsidRPr="00EC4BE9">
        <w:t xml:space="preserve">). Av dessa medel </w:t>
      </w:r>
      <w:r w:rsidR="00BF6B46" w:rsidRPr="00EC4BE9">
        <w:t>utgörs</w:t>
      </w:r>
      <w:r w:rsidRPr="00EC4BE9">
        <w:t xml:space="preserve"> </w:t>
      </w:r>
      <w:r w:rsidR="00412DF9">
        <w:t xml:space="preserve">cirka 1,4 </w:t>
      </w:r>
      <w:r w:rsidR="00C26D0C" w:rsidRPr="00412DF9">
        <w:t xml:space="preserve">miljoner euro </w:t>
      </w:r>
      <w:r w:rsidR="00BF6B46" w:rsidRPr="00412DF9">
        <w:t>av</w:t>
      </w:r>
      <w:r w:rsidR="00412DF9">
        <w:t xml:space="preserve"> Ålands självstyrelses jubileumsfond samt övriga donerade tillgångar. </w:t>
      </w:r>
      <w:r w:rsidR="00C26D0C" w:rsidRPr="00412DF9">
        <w:t xml:space="preserve">Dessa medel är placerade på egna konton och </w:t>
      </w:r>
      <w:r w:rsidR="00CC73A3" w:rsidRPr="00412DF9">
        <w:t xml:space="preserve">kan inte betraktas som en </w:t>
      </w:r>
      <w:r w:rsidR="007223A9" w:rsidRPr="00412DF9">
        <w:t xml:space="preserve">tillgänglig </w:t>
      </w:r>
      <w:r w:rsidR="00CC73A3" w:rsidRPr="00412DF9">
        <w:t xml:space="preserve">del av </w:t>
      </w:r>
      <w:r w:rsidR="00C26D0C" w:rsidRPr="00412DF9">
        <w:t>landskapets likviditet.</w:t>
      </w:r>
      <w:r w:rsidR="00412DF9">
        <w:t xml:space="preserve"> </w:t>
      </w:r>
      <w:r w:rsidR="00C26D0C" w:rsidRPr="00120423">
        <w:t xml:space="preserve">Återstoden om </w:t>
      </w:r>
      <w:r w:rsidR="00F67409" w:rsidRPr="00120423">
        <w:t>8</w:t>
      </w:r>
      <w:r w:rsidR="00120423" w:rsidRPr="00120423">
        <w:t>8</w:t>
      </w:r>
      <w:r w:rsidR="00F67409" w:rsidRPr="00120423">
        <w:t>,</w:t>
      </w:r>
      <w:r w:rsidR="00120423" w:rsidRPr="00120423">
        <w:t>6</w:t>
      </w:r>
      <w:r w:rsidR="00F67409" w:rsidRPr="00120423">
        <w:t xml:space="preserve"> (</w:t>
      </w:r>
      <w:r w:rsidR="00120423" w:rsidRPr="00120423">
        <w:t>83</w:t>
      </w:r>
      <w:r w:rsidR="00BF6B46" w:rsidRPr="00120423">
        <w:t>,</w:t>
      </w:r>
      <w:r w:rsidR="00120423" w:rsidRPr="00120423">
        <w:t>0</w:t>
      </w:r>
      <w:r w:rsidR="00BF6B46" w:rsidRPr="00120423">
        <w:t>)</w:t>
      </w:r>
      <w:r w:rsidR="00C26D0C" w:rsidRPr="00120423">
        <w:t xml:space="preserve"> miljoner euro </w:t>
      </w:r>
      <w:r w:rsidR="00637C11" w:rsidRPr="00120423">
        <w:t>består av en reservation av</w:t>
      </w:r>
      <w:r w:rsidR="00C26D0C" w:rsidRPr="00120423">
        <w:t xml:space="preserve"> PAF-</w:t>
      </w:r>
      <w:r w:rsidR="003E4D86" w:rsidRPr="00120423">
        <w:t>medel</w:t>
      </w:r>
      <w:r w:rsidR="00CC73A3" w:rsidRPr="00120423">
        <w:t xml:space="preserve">. </w:t>
      </w:r>
      <w:r w:rsidR="00EB30C3" w:rsidRPr="00120423">
        <w:t xml:space="preserve">Medlen </w:t>
      </w:r>
      <w:r w:rsidR="003E4D86" w:rsidRPr="00120423">
        <w:t>består av</w:t>
      </w:r>
      <w:r w:rsidR="00EB30C3" w:rsidRPr="00120423">
        <w:t xml:space="preserve"> </w:t>
      </w:r>
      <w:proofErr w:type="spellStart"/>
      <w:r w:rsidR="00EB30C3" w:rsidRPr="00120423">
        <w:t>återbokningar</w:t>
      </w:r>
      <w:proofErr w:type="spellEnd"/>
      <w:r w:rsidR="00EB30C3" w:rsidRPr="00120423">
        <w:t xml:space="preserve"> av outnyttjade PAF-medel</w:t>
      </w:r>
      <w:r w:rsidR="00F67409" w:rsidRPr="00120423">
        <w:t xml:space="preserve"> samt reserveringar</w:t>
      </w:r>
      <w:r w:rsidR="00120423">
        <w:t>.</w:t>
      </w:r>
      <w:r w:rsidR="00EB30C3" w:rsidRPr="00120423">
        <w:t xml:space="preserve"> </w:t>
      </w:r>
      <w:r w:rsidR="002B119B" w:rsidRPr="00120423">
        <w:t>Större delen</w:t>
      </w:r>
      <w:r w:rsidR="00F67409" w:rsidRPr="00120423">
        <w:t xml:space="preserve"> av d</w:t>
      </w:r>
      <w:r w:rsidR="00CC73A3" w:rsidRPr="00120423">
        <w:t xml:space="preserve">essa medel motsvaras inte av en egen likviditet, utan </w:t>
      </w:r>
      <w:r w:rsidR="00733A19" w:rsidRPr="00120423">
        <w:t>medlen</w:t>
      </w:r>
      <w:r w:rsidR="00CC73A3" w:rsidRPr="00120423">
        <w:t xml:space="preserve"> ingår </w:t>
      </w:r>
      <w:r w:rsidR="0036724F" w:rsidRPr="00120423">
        <w:t>i landskapets allmänna likviditet.</w:t>
      </w:r>
      <w:r w:rsidRPr="00120423">
        <w:t xml:space="preserve"> </w:t>
      </w:r>
    </w:p>
    <w:p w14:paraId="289C990B" w14:textId="3BFD92F8" w:rsidR="00B9031E" w:rsidRPr="00E934A2" w:rsidRDefault="00A53453" w:rsidP="00A867C0">
      <w:pPr>
        <w:pStyle w:val="ANormal"/>
      </w:pPr>
      <w:r w:rsidRPr="00E934A2">
        <w:tab/>
      </w:r>
      <w:r w:rsidR="00BF6B46" w:rsidRPr="00E934A2">
        <w:t xml:space="preserve">Utskottet </w:t>
      </w:r>
      <w:r w:rsidR="00816C6F" w:rsidRPr="00E934A2">
        <w:t>har i sina betänkanden över årsredovisningen för åren 202</w:t>
      </w:r>
      <w:r w:rsidR="001B5BB0" w:rsidRPr="00E934A2">
        <w:t xml:space="preserve">1 och </w:t>
      </w:r>
      <w:r w:rsidR="00816C6F" w:rsidRPr="00E934A2">
        <w:t xml:space="preserve">2022 </w:t>
      </w:r>
      <w:r w:rsidR="002D1915" w:rsidRPr="00E934A2">
        <w:t>(FNU 22/</w:t>
      </w:r>
      <w:proofErr w:type="gramStart"/>
      <w:r w:rsidR="002D1915" w:rsidRPr="00E934A2">
        <w:t>2021-2022</w:t>
      </w:r>
      <w:proofErr w:type="gramEnd"/>
      <w:r w:rsidR="00816C6F" w:rsidRPr="00E934A2">
        <w:t xml:space="preserve"> och FNU 24/</w:t>
      </w:r>
      <w:proofErr w:type="gramStart"/>
      <w:r w:rsidR="00816C6F" w:rsidRPr="00E934A2">
        <w:t>2022-2023</w:t>
      </w:r>
      <w:proofErr w:type="gramEnd"/>
      <w:r w:rsidR="002D1915" w:rsidRPr="00E934A2">
        <w:t>)</w:t>
      </w:r>
      <w:r w:rsidR="00BF6B46" w:rsidRPr="00E934A2">
        <w:t xml:space="preserve"> </w:t>
      </w:r>
      <w:r w:rsidR="00816C6F" w:rsidRPr="00E934A2">
        <w:t xml:space="preserve">samt i </w:t>
      </w:r>
      <w:r w:rsidR="002D1915" w:rsidRPr="00E934A2">
        <w:t xml:space="preserve">betänkandet över </w:t>
      </w:r>
      <w:r w:rsidR="00BF6B46" w:rsidRPr="00E934A2">
        <w:t>landskapsrevisionens rapport gällande användningen och redovisningen av PAF-medel</w:t>
      </w:r>
      <w:r w:rsidR="002D1915" w:rsidRPr="00E934A2">
        <w:t xml:space="preserve"> (FNU 23/</w:t>
      </w:r>
      <w:proofErr w:type="gramStart"/>
      <w:r w:rsidR="002D1915" w:rsidRPr="00E934A2">
        <w:t>2021-2022</w:t>
      </w:r>
      <w:proofErr w:type="gramEnd"/>
      <w:r w:rsidR="002D1915" w:rsidRPr="00E934A2">
        <w:t>)</w:t>
      </w:r>
      <w:r w:rsidR="00816C6F" w:rsidRPr="00E934A2">
        <w:t xml:space="preserve"> lyft frågan om tydligare regler </w:t>
      </w:r>
      <w:r w:rsidR="002B119B" w:rsidRPr="00E934A2">
        <w:t xml:space="preserve">för </w:t>
      </w:r>
      <w:r w:rsidR="00816C6F" w:rsidRPr="00E934A2">
        <w:t>de reserverade PAF-medlen, samt även hela lagstiftningen kring penningautomatföreningens verksamhet</w:t>
      </w:r>
      <w:r w:rsidR="00BF6B46" w:rsidRPr="00E934A2">
        <w:t xml:space="preserve">. </w:t>
      </w:r>
      <w:r w:rsidR="00E934A2">
        <w:t>Utskottet noterar att regler för de reserverade PAF-medlen samt lagstiftningen kring penningautomatförening inte har reviderats</w:t>
      </w:r>
      <w:r w:rsidR="003A26B9">
        <w:t xml:space="preserve"> år 2024 trots att utskottet har lyft frågan vid flertal tillfällen</w:t>
      </w:r>
      <w:r w:rsidR="00E934A2">
        <w:t xml:space="preserve">. </w:t>
      </w:r>
      <w:r w:rsidR="00AA559A">
        <w:t xml:space="preserve">Utskottet framhåller att lagtinget enhälligt våren 2025 antog en gemensam åtgärdsuppmaning rörande en revidering av regelverket. Utskottet erfar att landskapsregeringen arbetar med frågan. </w:t>
      </w:r>
    </w:p>
    <w:p w14:paraId="44635416" w14:textId="77777777" w:rsidR="002237D8" w:rsidRDefault="002237D8" w:rsidP="00A867C0">
      <w:pPr>
        <w:pStyle w:val="ANormal"/>
        <w:rPr>
          <w:highlight w:val="yellow"/>
        </w:rPr>
      </w:pPr>
    </w:p>
    <w:p w14:paraId="1C18E17F" w14:textId="7B079153" w:rsidR="002237D8" w:rsidRPr="002237D8" w:rsidRDefault="002237D8" w:rsidP="002237D8">
      <w:pPr>
        <w:pStyle w:val="RubrikC"/>
        <w:rPr>
          <w:highlight w:val="yellow"/>
        </w:rPr>
      </w:pPr>
      <w:bookmarkStart w:id="16" w:name="_Toc208482858"/>
      <w:r w:rsidRPr="002237D8">
        <w:lastRenderedPageBreak/>
        <w:t>Verksamhetskostnader</w:t>
      </w:r>
      <w:bookmarkEnd w:id="16"/>
    </w:p>
    <w:p w14:paraId="1732869A" w14:textId="77777777" w:rsidR="002237D8" w:rsidRDefault="002237D8" w:rsidP="002237D8">
      <w:pPr>
        <w:pStyle w:val="Rubrikmellanrum"/>
        <w:rPr>
          <w:highlight w:val="yellow"/>
        </w:rPr>
      </w:pPr>
    </w:p>
    <w:p w14:paraId="46FCE25A" w14:textId="77777777" w:rsidR="002237D8" w:rsidRDefault="002237D8" w:rsidP="002237D8">
      <w:pPr>
        <w:pStyle w:val="ANormal"/>
        <w:rPr>
          <w:highlight w:val="yellow"/>
        </w:rPr>
      </w:pPr>
    </w:p>
    <w:p w14:paraId="73AB8E87" w14:textId="585A277E" w:rsidR="002237D8" w:rsidRDefault="002237D8" w:rsidP="002237D8">
      <w:pPr>
        <w:pStyle w:val="ANormal"/>
        <w:rPr>
          <w:color w:val="000000" w:themeColor="text1"/>
        </w:rPr>
      </w:pPr>
      <w:r w:rsidRPr="002237D8">
        <w:rPr>
          <w:color w:val="000000" w:themeColor="text1"/>
        </w:rPr>
        <w:t>Ut</w:t>
      </w:r>
      <w:r>
        <w:rPr>
          <w:color w:val="000000" w:themeColor="text1"/>
        </w:rPr>
        <w:t>skottet konstaterar att verksamhetskostnaderna har ökat med cirka 20 % mellan år 2020 (203,4 m€) jämfört med år 2024 (243,8m€). Den största ökningen består av köp av tjänster, vilket har ökat</w:t>
      </w:r>
      <w:r w:rsidR="0099795F">
        <w:rPr>
          <w:color w:val="000000" w:themeColor="text1"/>
        </w:rPr>
        <w:t xml:space="preserve"> med 18m€</w:t>
      </w:r>
      <w:r>
        <w:rPr>
          <w:color w:val="000000" w:themeColor="text1"/>
        </w:rPr>
        <w:t xml:space="preserve"> från 50,6 m€ år 2020 till 68,6 m€ år 2024. En annan stor kostnadsökning är personalkostnaderna, vilket</w:t>
      </w:r>
      <w:r w:rsidR="0099795F">
        <w:rPr>
          <w:color w:val="000000" w:themeColor="text1"/>
        </w:rPr>
        <w:t xml:space="preserve"> har ökat med 16,8m€ från år 2020 (</w:t>
      </w:r>
      <w:r>
        <w:rPr>
          <w:color w:val="000000" w:themeColor="text1"/>
        </w:rPr>
        <w:t>107,9 m€</w:t>
      </w:r>
      <w:r w:rsidR="0099795F">
        <w:rPr>
          <w:color w:val="000000" w:themeColor="text1"/>
        </w:rPr>
        <w:t>) till</w:t>
      </w:r>
      <w:r>
        <w:rPr>
          <w:color w:val="000000" w:themeColor="text1"/>
        </w:rPr>
        <w:t xml:space="preserve"> år 202</w:t>
      </w:r>
      <w:r w:rsidR="0099795F">
        <w:rPr>
          <w:color w:val="000000" w:themeColor="text1"/>
        </w:rPr>
        <w:t>4 (</w:t>
      </w:r>
      <w:r>
        <w:rPr>
          <w:color w:val="000000" w:themeColor="text1"/>
        </w:rPr>
        <w:t>124,7 m€</w:t>
      </w:r>
      <w:r w:rsidR="0099795F">
        <w:rPr>
          <w:color w:val="000000" w:themeColor="text1"/>
        </w:rPr>
        <w:t>)</w:t>
      </w:r>
      <w:r>
        <w:rPr>
          <w:color w:val="000000" w:themeColor="text1"/>
        </w:rPr>
        <w:t>.</w:t>
      </w:r>
    </w:p>
    <w:p w14:paraId="04DD2E7A" w14:textId="3F179A04" w:rsidR="0099795F" w:rsidRDefault="0099795F" w:rsidP="002237D8">
      <w:pPr>
        <w:pStyle w:val="ANormal"/>
        <w:rPr>
          <w:color w:val="000000" w:themeColor="text1"/>
        </w:rPr>
      </w:pPr>
      <w:r>
        <w:rPr>
          <w:color w:val="000000" w:themeColor="text1"/>
        </w:rPr>
        <w:tab/>
        <w:t>Utskottet erfar att kostnadsökningen vad beträffar personalkostnader främst beror på avtalsmässiga lönejusteringar samt löner för vikarier, extra personal</w:t>
      </w:r>
      <w:r w:rsidR="00AA559A">
        <w:rPr>
          <w:color w:val="000000" w:themeColor="text1"/>
        </w:rPr>
        <w:t>, ökat antal årsverken</w:t>
      </w:r>
      <w:r>
        <w:rPr>
          <w:color w:val="000000" w:themeColor="text1"/>
        </w:rPr>
        <w:t xml:space="preserve"> och jour.</w:t>
      </w:r>
    </w:p>
    <w:p w14:paraId="327C8126" w14:textId="26F12414" w:rsidR="0099795F" w:rsidRDefault="0099795F" w:rsidP="002237D8">
      <w:pPr>
        <w:pStyle w:val="ANormal"/>
        <w:rPr>
          <w:color w:val="000000" w:themeColor="text1"/>
        </w:rPr>
      </w:pPr>
      <w:r>
        <w:rPr>
          <w:color w:val="000000" w:themeColor="text1"/>
        </w:rPr>
        <w:tab/>
        <w:t>Utskottet konstaterar att de största kostnadsposterna år 2024 vad beträffar köp av tjänster består dessa av färje- och busstransporter (16,8 m€), extern sjukvård (10,8 m€), IT- och kommunikationstjänster (8,5 m€) samt bygg- och vägprojekt, underhåll (7,3 m€).</w:t>
      </w:r>
    </w:p>
    <w:p w14:paraId="3BFB6FA5" w14:textId="41F93442" w:rsidR="0052766B" w:rsidRDefault="0052766B" w:rsidP="002237D8">
      <w:pPr>
        <w:pStyle w:val="ANormal"/>
        <w:rPr>
          <w:color w:val="000000" w:themeColor="text1"/>
        </w:rPr>
      </w:pPr>
      <w:r>
        <w:rPr>
          <w:color w:val="000000" w:themeColor="text1"/>
        </w:rPr>
        <w:tab/>
        <w:t>Utskottet anser att de</w:t>
      </w:r>
      <w:r w:rsidR="00CB0096">
        <w:rPr>
          <w:color w:val="000000" w:themeColor="text1"/>
        </w:rPr>
        <w:t xml:space="preserve">t finns ett akut behov för att de </w:t>
      </w:r>
      <w:r>
        <w:rPr>
          <w:color w:val="000000" w:themeColor="text1"/>
        </w:rPr>
        <w:t>ökade verksamhetskostnader</w:t>
      </w:r>
      <w:r w:rsidR="00B81F54">
        <w:rPr>
          <w:color w:val="000000" w:themeColor="text1"/>
        </w:rPr>
        <w:t>na</w:t>
      </w:r>
      <w:r>
        <w:rPr>
          <w:color w:val="000000" w:themeColor="text1"/>
        </w:rPr>
        <w:t xml:space="preserve"> stävjas. </w:t>
      </w:r>
      <w:r w:rsidR="00AA559A" w:rsidRPr="00AA559A">
        <w:rPr>
          <w:color w:val="000000" w:themeColor="text1"/>
        </w:rPr>
        <w:t>Vidare uppmanar utskottet landskapsregeringen att undvika bokför</w:t>
      </w:r>
      <w:r w:rsidR="00AA559A">
        <w:rPr>
          <w:color w:val="000000" w:themeColor="text1"/>
        </w:rPr>
        <w:t>ing av</w:t>
      </w:r>
      <w:r w:rsidR="00AA559A" w:rsidRPr="00AA559A">
        <w:rPr>
          <w:color w:val="000000" w:themeColor="text1"/>
        </w:rPr>
        <w:t xml:space="preserve"> kostnader under ospecificerade konton för att öka transparensen om hur landskapets medel nyttjas.</w:t>
      </w:r>
    </w:p>
    <w:p w14:paraId="7100099C" w14:textId="77777777" w:rsidR="00CB0096" w:rsidRDefault="00CB0096" w:rsidP="002237D8">
      <w:pPr>
        <w:pStyle w:val="ANormal"/>
        <w:rPr>
          <w:color w:val="000000" w:themeColor="text1"/>
        </w:rPr>
      </w:pPr>
    </w:p>
    <w:p w14:paraId="53E41909" w14:textId="20340EA0" w:rsidR="00CB0096" w:rsidRPr="00CB0096" w:rsidRDefault="00CB0096" w:rsidP="002237D8">
      <w:pPr>
        <w:pStyle w:val="ANormal"/>
        <w:rPr>
          <w:b/>
          <w:bCs/>
          <w:color w:val="000000" w:themeColor="text1"/>
        </w:rPr>
      </w:pPr>
      <w:r w:rsidRPr="00CB0096">
        <w:rPr>
          <w:b/>
          <w:bCs/>
          <w:color w:val="000000" w:themeColor="text1"/>
        </w:rPr>
        <w:t>Koncernbokslut</w:t>
      </w:r>
    </w:p>
    <w:p w14:paraId="5161C4F9" w14:textId="77777777" w:rsidR="002237D8" w:rsidRDefault="002237D8" w:rsidP="002237D8">
      <w:pPr>
        <w:pStyle w:val="ANormal"/>
        <w:rPr>
          <w:highlight w:val="yellow"/>
        </w:rPr>
      </w:pPr>
    </w:p>
    <w:p w14:paraId="5CBFB945" w14:textId="77777777" w:rsidR="00A332D9" w:rsidRDefault="00CB0096" w:rsidP="00CB0096">
      <w:pPr>
        <w:pStyle w:val="ANormal"/>
        <w:rPr>
          <w:lang w:val="sv-FI"/>
        </w:rPr>
      </w:pPr>
      <w:r w:rsidRPr="00CB0096">
        <w:rPr>
          <w:lang w:val="sv-FI"/>
        </w:rPr>
        <w:t>Utskottet har tidigare belyst behovet av att upprätta ett koncernbokslut i någon form. Detta får stöd i landskapsrevisionens berättelse</w:t>
      </w:r>
      <w:r w:rsidR="00BE6436">
        <w:rPr>
          <w:lang w:val="sv-FI"/>
        </w:rPr>
        <w:t>, där det framkommer att en aktuell och informativ helhetsuppfattning av lands</w:t>
      </w:r>
      <w:r w:rsidR="00A332D9">
        <w:rPr>
          <w:lang w:val="sv-FI"/>
        </w:rPr>
        <w:t>kapets tillgångar och åtaganden är en förutsättning för ett sunt beslutsfattande och därigenom en sund ekonomisk förvaltning</w:t>
      </w:r>
      <w:r w:rsidRPr="00CB0096">
        <w:rPr>
          <w:lang w:val="sv-FI"/>
        </w:rPr>
        <w:t xml:space="preserve">. </w:t>
      </w:r>
    </w:p>
    <w:p w14:paraId="7D0A5F6B" w14:textId="6A16E709" w:rsidR="00A332D9" w:rsidRDefault="00A332D9" w:rsidP="00CB0096">
      <w:pPr>
        <w:pStyle w:val="ANormal"/>
        <w:rPr>
          <w:lang w:val="sv-FI"/>
        </w:rPr>
      </w:pPr>
      <w:r>
        <w:rPr>
          <w:lang w:val="sv-FI"/>
        </w:rPr>
        <w:tab/>
        <w:t>Utskottet erfar att en</w:t>
      </w:r>
      <w:r w:rsidR="00CB0096" w:rsidRPr="00CB0096">
        <w:rPr>
          <w:lang w:val="sv-FI"/>
        </w:rPr>
        <w:t xml:space="preserve"> schematisk bild över koncernbalansräkningen skulle ge en tydligare bild över landskapet Ålands tillgångar samt skulder. Ett exempel </w:t>
      </w:r>
      <w:r>
        <w:rPr>
          <w:lang w:val="sv-FI"/>
        </w:rPr>
        <w:t xml:space="preserve">på detta </w:t>
      </w:r>
      <w:r w:rsidR="00CB0096" w:rsidRPr="00CB0096">
        <w:rPr>
          <w:lang w:val="sv-FI"/>
        </w:rPr>
        <w:t>är när Fastighetsverket bildades och en avsevärd egendomsmassa försvann från landskapets balansräkning. Landskapsregeringen valde senare att införa en bilaga i årsredovisningen där Fastighetsverket</w:t>
      </w:r>
      <w:r w:rsidR="00875FDD">
        <w:rPr>
          <w:lang w:val="sv-FI"/>
        </w:rPr>
        <w:t>s</w:t>
      </w:r>
      <w:r w:rsidR="00CB0096" w:rsidRPr="00CB0096">
        <w:rPr>
          <w:lang w:val="sv-FI"/>
        </w:rPr>
        <w:t xml:space="preserve"> bokslut konsoliderats med landskapets bokslut. </w:t>
      </w:r>
    </w:p>
    <w:p w14:paraId="15FEC195" w14:textId="0AC9566A" w:rsidR="00CB0096" w:rsidRPr="00CB0096" w:rsidRDefault="00A332D9" w:rsidP="00CB0096">
      <w:pPr>
        <w:pStyle w:val="ANormal"/>
        <w:rPr>
          <w:lang w:val="sv-FI"/>
        </w:rPr>
      </w:pPr>
      <w:r>
        <w:rPr>
          <w:lang w:val="sv-FI"/>
        </w:rPr>
        <w:tab/>
      </w:r>
      <w:r w:rsidR="00207FBE">
        <w:rPr>
          <w:lang w:val="sv-FI"/>
        </w:rPr>
        <w:t>U</w:t>
      </w:r>
      <w:r w:rsidR="00CB0096" w:rsidRPr="00CB0096">
        <w:rPr>
          <w:lang w:val="sv-FI"/>
        </w:rPr>
        <w:t>tskottet</w:t>
      </w:r>
      <w:r w:rsidR="00207FBE">
        <w:rPr>
          <w:lang w:val="sv-FI"/>
        </w:rPr>
        <w:t xml:space="preserve"> har samtidigt</w:t>
      </w:r>
      <w:r w:rsidR="00CB0096" w:rsidRPr="00CB0096">
        <w:rPr>
          <w:lang w:val="sv-FI"/>
        </w:rPr>
        <w:t xml:space="preserve"> förståelse för utmaningarna, både resurs- som tidsmässigt, med att upprättgöra ett fullständigt koncernbokslut.</w:t>
      </w:r>
      <w:r w:rsidR="00524E6A">
        <w:rPr>
          <w:lang w:val="sv-FI"/>
        </w:rPr>
        <w:t xml:space="preserve"> </w:t>
      </w:r>
      <w:r w:rsidR="00524E6A" w:rsidRPr="00875FDD">
        <w:rPr>
          <w:lang w:val="sv-FI"/>
        </w:rPr>
        <w:t xml:space="preserve">Dessutom kan ett koncernbokslut eliminera vissa interna </w:t>
      </w:r>
      <w:r w:rsidR="00875FDD" w:rsidRPr="00875FDD">
        <w:rPr>
          <w:lang w:val="sv-FI"/>
        </w:rPr>
        <w:t>poster</w:t>
      </w:r>
      <w:r w:rsidR="00524E6A" w:rsidRPr="00875FDD">
        <w:rPr>
          <w:lang w:val="sv-FI"/>
        </w:rPr>
        <w:t xml:space="preserve"> mellan landskapets bolag, vilket minskar transparensen.</w:t>
      </w:r>
      <w:r w:rsidR="00524E6A">
        <w:rPr>
          <w:lang w:val="sv-FI"/>
        </w:rPr>
        <w:t xml:space="preserve"> </w:t>
      </w:r>
      <w:r w:rsidR="00CB0096" w:rsidRPr="00CB0096">
        <w:rPr>
          <w:lang w:val="sv-FI"/>
        </w:rPr>
        <w:t xml:space="preserve">Utskottet föreslår att </w:t>
      </w:r>
      <w:r>
        <w:rPr>
          <w:lang w:val="sv-FI"/>
        </w:rPr>
        <w:t xml:space="preserve">landskapsregeringen </w:t>
      </w:r>
      <w:r w:rsidR="00CB0096" w:rsidRPr="00CB0096">
        <w:rPr>
          <w:lang w:val="sv-FI"/>
        </w:rPr>
        <w:t xml:space="preserve">utreder möjligheten att vid ett skilt tillfälle upprätta en koncernrapport som kunde innehålla koncernbolagens inklusive </w:t>
      </w:r>
      <w:r w:rsidR="00875FDD">
        <w:rPr>
          <w:lang w:val="sv-FI"/>
        </w:rPr>
        <w:t>L</w:t>
      </w:r>
      <w:r>
        <w:rPr>
          <w:lang w:val="sv-FI"/>
        </w:rPr>
        <w:t>andskapets Ålands p</w:t>
      </w:r>
      <w:r w:rsidR="00CB0096" w:rsidRPr="00CB0096">
        <w:rPr>
          <w:lang w:val="sv-FI"/>
        </w:rPr>
        <w:t>ensionsfonds bokslut</w:t>
      </w:r>
      <w:r>
        <w:rPr>
          <w:lang w:val="sv-FI"/>
        </w:rPr>
        <w:t xml:space="preserve"> och</w:t>
      </w:r>
      <w:r w:rsidR="00CB0096" w:rsidRPr="00CB0096">
        <w:rPr>
          <w:lang w:val="sv-FI"/>
        </w:rPr>
        <w:t xml:space="preserve"> en schematisk koncernbalansräkning.</w:t>
      </w:r>
    </w:p>
    <w:p w14:paraId="4B6A15DD" w14:textId="77777777" w:rsidR="00CB0096" w:rsidRPr="00CB0096" w:rsidRDefault="00CB0096" w:rsidP="002237D8">
      <w:pPr>
        <w:pStyle w:val="ANormal"/>
        <w:rPr>
          <w:highlight w:val="yellow"/>
          <w:lang w:val="sv-FI"/>
        </w:rPr>
      </w:pPr>
    </w:p>
    <w:p w14:paraId="06D435B6" w14:textId="7C2F55F0" w:rsidR="002237D8" w:rsidRPr="00172D44" w:rsidRDefault="002237D8" w:rsidP="00A867C0">
      <w:pPr>
        <w:pStyle w:val="ANormal"/>
        <w:rPr>
          <w:highlight w:val="yellow"/>
        </w:rPr>
      </w:pPr>
    </w:p>
    <w:p w14:paraId="2D848D4A" w14:textId="6532DAD2" w:rsidR="00E44F5F" w:rsidRPr="00F21D36" w:rsidRDefault="00E44F5F" w:rsidP="00A867C0">
      <w:pPr>
        <w:pStyle w:val="ANormal"/>
      </w:pPr>
      <w:r w:rsidRPr="00120423">
        <w:tab/>
      </w:r>
    </w:p>
    <w:p w14:paraId="3212678A" w14:textId="65795662" w:rsidR="00102387" w:rsidRPr="00F21D36" w:rsidRDefault="00B81F54" w:rsidP="00102387">
      <w:pPr>
        <w:pStyle w:val="RubrikC"/>
      </w:pPr>
      <w:bookmarkStart w:id="17" w:name="_Toc208482859"/>
      <w:r w:rsidRPr="00B81F54">
        <w:t>Landskapets pensionssystem och dess pensionsfond</w:t>
      </w:r>
      <w:bookmarkEnd w:id="17"/>
    </w:p>
    <w:p w14:paraId="6DCC0AC2" w14:textId="77777777" w:rsidR="00F21D36" w:rsidRDefault="00F21D36" w:rsidP="00F21D36">
      <w:pPr>
        <w:pStyle w:val="ANormal"/>
        <w:rPr>
          <w:highlight w:val="yellow"/>
        </w:rPr>
      </w:pPr>
    </w:p>
    <w:p w14:paraId="0558587B" w14:textId="77777777" w:rsidR="00F21D36" w:rsidRDefault="00F21D36" w:rsidP="00F21D36">
      <w:pPr>
        <w:pStyle w:val="ANormal"/>
        <w:rPr>
          <w:highlight w:val="yellow"/>
        </w:rPr>
      </w:pPr>
    </w:p>
    <w:p w14:paraId="281C848F" w14:textId="7E3416A4" w:rsidR="00F21D36" w:rsidRDefault="00F21D36" w:rsidP="00F21D36">
      <w:pPr>
        <w:pStyle w:val="ANormal"/>
      </w:pPr>
      <w:r w:rsidRPr="00F21D36">
        <w:t>Utskottet noterade i sitt betänkande</w:t>
      </w:r>
      <w:r>
        <w:t xml:space="preserve"> över årsberättelse för år 202</w:t>
      </w:r>
      <w:r w:rsidR="00B81F54">
        <w:t>3</w:t>
      </w:r>
      <w:r w:rsidRPr="00F21D36">
        <w:t xml:space="preserve"> att pensionsfonden fortsatt är en av landskapets största finansiella tillgångar med en hög fonderingsgrad. Utskottet uppmärksammade särskilt fondens ökade placeringar i private </w:t>
      </w:r>
      <w:proofErr w:type="spellStart"/>
      <w:r w:rsidRPr="00F21D36">
        <w:t>equity</w:t>
      </w:r>
      <w:proofErr w:type="spellEnd"/>
      <w:r w:rsidRPr="00F21D36">
        <w:t xml:space="preserve">, vissa brister i redovisningen av innehaven genom bolaget </w:t>
      </w:r>
      <w:proofErr w:type="spellStart"/>
      <w:r w:rsidRPr="00F21D36">
        <w:t>Brightnala</w:t>
      </w:r>
      <w:proofErr w:type="spellEnd"/>
      <w:r w:rsidRPr="00F21D36">
        <w:t xml:space="preserve"> Holding Ab samt behovet av en översyn av placeringsförordningen. Utskottet framhöll även att årsredovisningen bör göras tydligare och mer enhetlig.</w:t>
      </w:r>
    </w:p>
    <w:p w14:paraId="0443AB12" w14:textId="7A7CE22F" w:rsidR="00F21D36" w:rsidRDefault="00F21D36" w:rsidP="00F21D36">
      <w:pPr>
        <w:pStyle w:val="ANormal"/>
      </w:pPr>
      <w:r>
        <w:tab/>
        <w:t xml:space="preserve">Utskottet erfar </w:t>
      </w:r>
      <w:r w:rsidR="00C10537">
        <w:t xml:space="preserve">att Landskapets Ålands pensionsfond har sett över dotterbolaget </w:t>
      </w:r>
      <w:proofErr w:type="spellStart"/>
      <w:r w:rsidR="00C10537">
        <w:t>Brightnala</w:t>
      </w:r>
      <w:proofErr w:type="spellEnd"/>
      <w:r w:rsidR="00C10537">
        <w:t xml:space="preserve"> Holding Ab och felaktigheter i bokföringen för år 2019 – 2023 har rättats till i bokföringen för år 2024.</w:t>
      </w:r>
    </w:p>
    <w:p w14:paraId="6C3B970C" w14:textId="20CD85C2" w:rsidR="00C10537" w:rsidRDefault="00C10537" w:rsidP="00C10537">
      <w:pPr>
        <w:pStyle w:val="ANormal"/>
      </w:pPr>
      <w:r>
        <w:lastRenderedPageBreak/>
        <w:tab/>
        <w:t>Utöver detta notera</w:t>
      </w:r>
      <w:r w:rsidR="00875FDD">
        <w:t>r</w:t>
      </w:r>
      <w:r>
        <w:t xml:space="preserve"> utskottet Landskapsrevisionens iakttagelser och rekommendationer angående Ålands pensions</w:t>
      </w:r>
      <w:r w:rsidR="00B81F54">
        <w:t>system</w:t>
      </w:r>
      <w:r>
        <w:t>. Utskottet konstaterar att ansvarsskulden under de senaste fem åren ökat med 7,73 procent, från 803,6 miljoner euro till 865,7 miljoner euro. Då pensionsfonden är planerad att avvecklas inom 30–40 år aktualiseras frågan om täckningen av den växande ansvarsskulden</w:t>
      </w:r>
      <w:r w:rsidR="00875FDD">
        <w:t>. Ansvarsskulden åligger fortsatt landskapsregeringen efter detta.</w:t>
      </w:r>
    </w:p>
    <w:p w14:paraId="7C9C9EBC" w14:textId="0437D436" w:rsidR="00787A8C" w:rsidRDefault="00C10537" w:rsidP="00AB2606">
      <w:pPr>
        <w:pStyle w:val="ANormal"/>
      </w:pPr>
      <w:r>
        <w:tab/>
        <w:t xml:space="preserve">Utskottet noterar att den del av ansvarsskulden som ännu inte täcks av fondens tillgångar per den 31.12.2024 uppgår till 270,4 miljoner euro. </w:t>
      </w:r>
    </w:p>
    <w:p w14:paraId="0AEA95DC" w14:textId="01B20EA1" w:rsidR="003F142F" w:rsidRDefault="00787A8C" w:rsidP="00102387">
      <w:pPr>
        <w:pStyle w:val="ANormal"/>
      </w:pPr>
      <w:r>
        <w:tab/>
        <w:t xml:space="preserve">Utskottet erfar att Landskapsrevisionen avser påbörja en effektivitetsrevision av det åländska pensionssystemet under hösten 2025. </w:t>
      </w:r>
      <w:r w:rsidRPr="00787A8C">
        <w:t>Utskottet ser positivt på detta initiativ och en konstruktiv och fortlöpande dialog mellan Ålands landskapsrevision och landskapsregeringen med dess underlydande myndigheter, särskilt i de sammanhang där förbättringsåtgärder och rekommendationer aktualiseras</w:t>
      </w:r>
      <w:r>
        <w:t>.</w:t>
      </w:r>
    </w:p>
    <w:p w14:paraId="3E7B95B1" w14:textId="77777777" w:rsidR="00787A8C" w:rsidRPr="00787A8C" w:rsidRDefault="00787A8C" w:rsidP="00102387">
      <w:pPr>
        <w:pStyle w:val="ANormal"/>
      </w:pPr>
    </w:p>
    <w:p w14:paraId="774339F2" w14:textId="22997F87" w:rsidR="008769D9" w:rsidRPr="00172D44" w:rsidRDefault="008769D9" w:rsidP="00E17BB4">
      <w:pPr>
        <w:pStyle w:val="ANormal"/>
        <w:rPr>
          <w:highlight w:val="yellow"/>
        </w:rPr>
      </w:pPr>
    </w:p>
    <w:p w14:paraId="5ADCDE10" w14:textId="359604BF" w:rsidR="005F3BF2" w:rsidRPr="00105D30" w:rsidRDefault="005F3BF2" w:rsidP="005F3BF2">
      <w:pPr>
        <w:pStyle w:val="RubrikC"/>
        <w:rPr>
          <w:highlight w:val="yellow"/>
        </w:rPr>
      </w:pPr>
      <w:bookmarkStart w:id="18" w:name="_Toc208482860"/>
      <w:r w:rsidRPr="00120423">
        <w:t>Pågående rättegångar</w:t>
      </w:r>
      <w:bookmarkEnd w:id="18"/>
    </w:p>
    <w:p w14:paraId="5740DD6A" w14:textId="6E7B1707" w:rsidR="005F3BF2" w:rsidRPr="00172D44" w:rsidRDefault="005F3BF2" w:rsidP="005F3BF2">
      <w:pPr>
        <w:pStyle w:val="Rubrikmellanrum"/>
        <w:rPr>
          <w:highlight w:val="yellow"/>
        </w:rPr>
      </w:pPr>
    </w:p>
    <w:p w14:paraId="0F4203CF" w14:textId="77777777" w:rsidR="00105D30" w:rsidRDefault="00105D30" w:rsidP="00105D30">
      <w:pPr>
        <w:pStyle w:val="ANormal"/>
      </w:pPr>
      <w:r>
        <w:t>En långvarig rättsprocess har pågått med anledning av uppsägningen av avtalet om färjetrafiken till Föglö. Åbo hovrätt meddelade den 24 januari 2024 dom, varigenom det skadestånd som Ålands landskapsregering skulle utge till ett konsortium bestående av Ansgar Ab och Finlands Färjetrafik Ab fastställdes.</w:t>
      </w:r>
    </w:p>
    <w:p w14:paraId="73A7FCE4" w14:textId="00BE374A" w:rsidR="00105D30" w:rsidRDefault="00105D30" w:rsidP="00105D30">
      <w:pPr>
        <w:pStyle w:val="ANormal"/>
      </w:pPr>
      <w:r>
        <w:tab/>
        <w:t>Landskapsregeringen ingick den 19.04.2024 en förlikning med konsortiet. Förlikningen innebar att konsortiet erhöll 11,9 miljoner euro i ersättning för utebliven vinst. Genom uppgörelsen undveks prövning i Högsta domstolen och den ersättning som annars skulle ha utgått enligt hovrättens dom reducerades med cirka 1,34 miljoner euro.</w:t>
      </w:r>
    </w:p>
    <w:p w14:paraId="4D985DD8" w14:textId="0E9DA3C7" w:rsidR="000F4682" w:rsidRDefault="00105D30" w:rsidP="00105D30">
      <w:pPr>
        <w:pStyle w:val="ANormal"/>
      </w:pPr>
      <w:r>
        <w:tab/>
        <w:t>Kostnaden om 13,2 miljoner euro har budgeterats i samband med ändringsbudget 3/2023 som en extraordinär kostnad i resultaträkningen för år 2023. Under år 2024 har en extraordinär intäkt om cirka 1,34 miljoner euro bokförts, motsvarande den reducering av ersättningsbeloppet som förlikningen medförde.</w:t>
      </w:r>
    </w:p>
    <w:p w14:paraId="15F479D7" w14:textId="02C39A44" w:rsidR="00105D30" w:rsidRDefault="00105D30" w:rsidP="00105D30">
      <w:pPr>
        <w:pStyle w:val="ANormal"/>
      </w:pPr>
      <w:r>
        <w:tab/>
        <w:t xml:space="preserve">Utöver detta noterar utskottet att ytterligare ett tvistemål är anhängigt i Högsta domstolen, där besvärstillstånd inte än getts i ärendet. De krav som ställs på landskapsregeringen är ersättning för olägenheter om 90 000 euro samt dröjsmålsränta räknat från </w:t>
      </w:r>
      <w:r w:rsidR="00AB2606">
        <w:t>23</w:t>
      </w:r>
      <w:r>
        <w:t>.02.2020</w:t>
      </w:r>
      <w:r w:rsidR="00EB1875">
        <w:t xml:space="preserve"> samt rättegångskostnader</w:t>
      </w:r>
      <w:r>
        <w:t>.</w:t>
      </w:r>
      <w:r w:rsidR="00EB1875">
        <w:t xml:space="preserve"> Rättegångskostnader i </w:t>
      </w:r>
      <w:r w:rsidR="00AB2606">
        <w:t>H</w:t>
      </w:r>
      <w:r w:rsidR="00EB1875">
        <w:t xml:space="preserve">ögsta domstolen kan tillkomma. </w:t>
      </w:r>
      <w:r>
        <w:t xml:space="preserve"> </w:t>
      </w:r>
    </w:p>
    <w:p w14:paraId="024BD6E8" w14:textId="77777777" w:rsidR="003A26B9" w:rsidRDefault="003A26B9" w:rsidP="00105D30">
      <w:pPr>
        <w:pStyle w:val="ANormal"/>
      </w:pPr>
    </w:p>
    <w:p w14:paraId="7BEBA187" w14:textId="77777777" w:rsidR="003A26B9" w:rsidRDefault="003A26B9" w:rsidP="00105D30">
      <w:pPr>
        <w:pStyle w:val="ANormal"/>
      </w:pPr>
    </w:p>
    <w:p w14:paraId="435F165D" w14:textId="77777777" w:rsidR="003A26B9" w:rsidRDefault="003A26B9" w:rsidP="00105D30">
      <w:pPr>
        <w:pStyle w:val="ANormal"/>
      </w:pPr>
    </w:p>
    <w:p w14:paraId="08B7A033" w14:textId="77777777" w:rsidR="00105D30" w:rsidRPr="00105D30" w:rsidRDefault="00105D30" w:rsidP="00105D30">
      <w:pPr>
        <w:pStyle w:val="ANormal"/>
      </w:pPr>
    </w:p>
    <w:p w14:paraId="0D5F85CC" w14:textId="77777777" w:rsidR="002401D0" w:rsidRPr="004525D4" w:rsidRDefault="002401D0">
      <w:pPr>
        <w:pStyle w:val="RubrikA"/>
      </w:pPr>
      <w:bookmarkStart w:id="19" w:name="_Toc529800936"/>
      <w:bookmarkStart w:id="20" w:name="_Toc208482861"/>
      <w:r w:rsidRPr="004525D4">
        <w:t>Ärendets behandling</w:t>
      </w:r>
      <w:bookmarkEnd w:id="19"/>
      <w:bookmarkEnd w:id="20"/>
    </w:p>
    <w:p w14:paraId="249CAB31" w14:textId="77777777" w:rsidR="002401D0" w:rsidRPr="004525D4" w:rsidRDefault="002401D0">
      <w:pPr>
        <w:pStyle w:val="Rubrikmellanrum"/>
      </w:pPr>
    </w:p>
    <w:p w14:paraId="2960469A" w14:textId="2AAB9D24" w:rsidR="0028660F" w:rsidRPr="004525D4" w:rsidRDefault="0028660F" w:rsidP="0028660F">
      <w:pPr>
        <w:pStyle w:val="ANormal"/>
        <w:rPr>
          <w:szCs w:val="22"/>
        </w:rPr>
      </w:pPr>
      <w:r w:rsidRPr="004525D4">
        <w:rPr>
          <w:szCs w:val="22"/>
        </w:rPr>
        <w:t xml:space="preserve">Lagtinget har den </w:t>
      </w:r>
      <w:r w:rsidR="004525D4" w:rsidRPr="004525D4">
        <w:rPr>
          <w:szCs w:val="22"/>
        </w:rPr>
        <w:t>4</w:t>
      </w:r>
      <w:r w:rsidR="00C0663E" w:rsidRPr="004525D4">
        <w:rPr>
          <w:szCs w:val="22"/>
        </w:rPr>
        <w:t xml:space="preserve"> </w:t>
      </w:r>
      <w:r w:rsidR="008B0417" w:rsidRPr="004525D4">
        <w:rPr>
          <w:szCs w:val="22"/>
        </w:rPr>
        <w:t>juni</w:t>
      </w:r>
      <w:r w:rsidR="009D0715" w:rsidRPr="004525D4">
        <w:rPr>
          <w:szCs w:val="22"/>
        </w:rPr>
        <w:t xml:space="preserve"> 20</w:t>
      </w:r>
      <w:r w:rsidR="00794DFC" w:rsidRPr="004525D4">
        <w:rPr>
          <w:szCs w:val="22"/>
        </w:rPr>
        <w:t>2</w:t>
      </w:r>
      <w:r w:rsidR="004525D4" w:rsidRPr="004525D4">
        <w:rPr>
          <w:szCs w:val="22"/>
        </w:rPr>
        <w:t>5</w:t>
      </w:r>
      <w:r w:rsidRPr="004525D4">
        <w:rPr>
          <w:szCs w:val="22"/>
        </w:rPr>
        <w:t xml:space="preserve"> </w:t>
      </w:r>
      <w:proofErr w:type="spellStart"/>
      <w:r w:rsidRPr="004525D4">
        <w:rPr>
          <w:szCs w:val="22"/>
        </w:rPr>
        <w:t>inbegärt</w:t>
      </w:r>
      <w:proofErr w:type="spellEnd"/>
      <w:r w:rsidRPr="004525D4">
        <w:rPr>
          <w:szCs w:val="22"/>
        </w:rPr>
        <w:t xml:space="preserve"> finans- och näringsutskottets yttrande </w:t>
      </w:r>
      <w:r w:rsidR="00794DFC" w:rsidRPr="004525D4">
        <w:rPr>
          <w:szCs w:val="22"/>
        </w:rPr>
        <w:t xml:space="preserve">över årsredovisningen </w:t>
      </w:r>
      <w:r w:rsidR="00794DFC" w:rsidRPr="004525D4">
        <w:t xml:space="preserve">jämte landskapsrevisionens </w:t>
      </w:r>
      <w:r w:rsidR="00442692" w:rsidRPr="004525D4">
        <w:t>granskning av densamma.</w:t>
      </w:r>
      <w:r w:rsidR="00794DFC" w:rsidRPr="004525D4">
        <w:t xml:space="preserve"> </w:t>
      </w:r>
    </w:p>
    <w:p w14:paraId="3F5B4C0B" w14:textId="150DDB18" w:rsidR="000512F0" w:rsidRDefault="0028660F" w:rsidP="0028660F">
      <w:pPr>
        <w:pStyle w:val="ANormal"/>
      </w:pPr>
      <w:r w:rsidRPr="00CB5F24">
        <w:tab/>
        <w:t>Utskottet har i ärendet hört</w:t>
      </w:r>
      <w:r w:rsidR="00C772BB" w:rsidRPr="00CB5F24">
        <w:t xml:space="preserve"> </w:t>
      </w:r>
      <w:r w:rsidR="00794DFC" w:rsidRPr="00CB5F24">
        <w:t xml:space="preserve">ministern </w:t>
      </w:r>
      <w:r w:rsidR="007C3A9C" w:rsidRPr="00CB5F24">
        <w:t xml:space="preserve">Mats </w:t>
      </w:r>
      <w:proofErr w:type="spellStart"/>
      <w:r w:rsidR="007C3A9C" w:rsidRPr="00CB5F24">
        <w:t>Perämaa</w:t>
      </w:r>
      <w:proofErr w:type="spellEnd"/>
      <w:r w:rsidR="00442692" w:rsidRPr="00CB5F24">
        <w:t>,</w:t>
      </w:r>
      <w:r w:rsidR="003A26B9">
        <w:t xml:space="preserve"> </w:t>
      </w:r>
      <w:r w:rsidR="003A26B9" w:rsidRPr="00CB5F24">
        <w:t>förvaltningschefen John Eriksso</w:t>
      </w:r>
      <w:r w:rsidR="003A26B9">
        <w:t>n,</w:t>
      </w:r>
      <w:r w:rsidR="00442692" w:rsidRPr="00CB5F24">
        <w:t xml:space="preserve"> </w:t>
      </w:r>
      <w:r w:rsidR="00C27378" w:rsidRPr="00CB5F24">
        <w:t>byrå</w:t>
      </w:r>
      <w:r w:rsidR="00442692" w:rsidRPr="00CB5F24">
        <w:t>chefen Conny Nyholm</w:t>
      </w:r>
      <w:r w:rsidR="007C3A9C" w:rsidRPr="00CB5F24">
        <w:t>, redovisningschefen Boel Josefsson</w:t>
      </w:r>
      <w:r w:rsidR="00CB5F24">
        <w:t xml:space="preserve">, </w:t>
      </w:r>
      <w:r w:rsidR="00AB2606">
        <w:t>l</w:t>
      </w:r>
      <w:r w:rsidR="00CB5F24">
        <w:t>andskapsrevisorn Kenneth Åkergård och revisorn Annina Berglund</w:t>
      </w:r>
      <w:r w:rsidR="000512F0">
        <w:t xml:space="preserve"> </w:t>
      </w:r>
      <w:r w:rsidR="00AB2606">
        <w:t>vid</w:t>
      </w:r>
      <w:r w:rsidR="000512F0">
        <w:t xml:space="preserve"> </w:t>
      </w:r>
      <w:r w:rsidR="003A26B9">
        <w:t>Landskapsrevisionen.</w:t>
      </w:r>
    </w:p>
    <w:p w14:paraId="137D844B" w14:textId="2C812521" w:rsidR="0028660F" w:rsidRPr="00AB2606" w:rsidRDefault="000512F0" w:rsidP="0028660F">
      <w:pPr>
        <w:pStyle w:val="ANormal"/>
      </w:pPr>
      <w:r>
        <w:tab/>
      </w:r>
      <w:r w:rsidR="0028660F" w:rsidRPr="00AB2606">
        <w:t>I ärendets avgörande behandling deltog</w:t>
      </w:r>
      <w:r w:rsidR="002B1EAA" w:rsidRPr="00AB2606">
        <w:t xml:space="preserve"> </w:t>
      </w:r>
      <w:r w:rsidR="0028660F" w:rsidRPr="00AB2606">
        <w:t>ordförande</w:t>
      </w:r>
      <w:r w:rsidR="002B1EAA" w:rsidRPr="00AB2606">
        <w:t>n</w:t>
      </w:r>
      <w:r w:rsidR="0028660F" w:rsidRPr="00AB2606">
        <w:t xml:space="preserve"> </w:t>
      </w:r>
      <w:r w:rsidR="00794DFC" w:rsidRPr="00AB2606">
        <w:t>J</w:t>
      </w:r>
      <w:r w:rsidR="007C3A9C" w:rsidRPr="00AB2606">
        <w:t>ohn Holmberg</w:t>
      </w:r>
      <w:r w:rsidR="00794DFC" w:rsidRPr="00AB2606">
        <w:t xml:space="preserve">, viceordföranden </w:t>
      </w:r>
      <w:r w:rsidR="007C3A9C" w:rsidRPr="00AB2606">
        <w:t xml:space="preserve">Nina Fellman </w:t>
      </w:r>
      <w:r w:rsidR="00794DFC" w:rsidRPr="00AB2606">
        <w:t>samt ledamöterna</w:t>
      </w:r>
      <w:r w:rsidR="006B1169" w:rsidRPr="00AB2606">
        <w:t xml:space="preserve"> </w:t>
      </w:r>
      <w:r w:rsidR="007C3A9C" w:rsidRPr="00AB2606">
        <w:t>Anders Ekström, Jörgen Gusta</w:t>
      </w:r>
      <w:r w:rsidR="000A5A8F" w:rsidRPr="00AB2606">
        <w:t>f</w:t>
      </w:r>
      <w:r w:rsidR="007C3A9C" w:rsidRPr="00AB2606">
        <w:t xml:space="preserve">sson, Roger Höglund, Andreas </w:t>
      </w:r>
      <w:proofErr w:type="spellStart"/>
      <w:r w:rsidR="007C3A9C" w:rsidRPr="00AB2606">
        <w:t>Kanborg</w:t>
      </w:r>
      <w:proofErr w:type="spellEnd"/>
      <w:r w:rsidR="007C3A9C" w:rsidRPr="00AB2606">
        <w:t xml:space="preserve"> och Wille </w:t>
      </w:r>
      <w:proofErr w:type="spellStart"/>
      <w:r w:rsidR="007C3A9C" w:rsidRPr="00AB2606">
        <w:t>Valve</w:t>
      </w:r>
      <w:proofErr w:type="spellEnd"/>
      <w:r w:rsidR="00692FC2" w:rsidRPr="00AB2606">
        <w:t>.</w:t>
      </w:r>
    </w:p>
    <w:p w14:paraId="4F74EAED" w14:textId="77777777" w:rsidR="00692FC2" w:rsidRDefault="00692FC2" w:rsidP="0028660F">
      <w:pPr>
        <w:pStyle w:val="ANormal"/>
        <w:rPr>
          <w:color w:val="FF0000"/>
          <w:highlight w:val="yellow"/>
        </w:rPr>
      </w:pPr>
    </w:p>
    <w:p w14:paraId="6EBBB452" w14:textId="77777777" w:rsidR="00322FF8" w:rsidRPr="00172D44" w:rsidRDefault="00322FF8" w:rsidP="0028660F">
      <w:pPr>
        <w:pStyle w:val="ANormal"/>
        <w:rPr>
          <w:color w:val="FF0000"/>
          <w:highlight w:val="yellow"/>
        </w:rPr>
      </w:pPr>
    </w:p>
    <w:p w14:paraId="62F67142" w14:textId="77777777" w:rsidR="002401D0" w:rsidRPr="004525D4" w:rsidRDefault="002401D0">
      <w:pPr>
        <w:pStyle w:val="RubrikA"/>
      </w:pPr>
      <w:bookmarkStart w:id="21" w:name="_Toc529800937"/>
      <w:bookmarkStart w:id="22" w:name="_Toc208482862"/>
      <w:r w:rsidRPr="004525D4">
        <w:lastRenderedPageBreak/>
        <w:t>Utskottets förslag</w:t>
      </w:r>
      <w:bookmarkEnd w:id="21"/>
      <w:bookmarkEnd w:id="22"/>
    </w:p>
    <w:p w14:paraId="2363E3D8" w14:textId="77777777" w:rsidR="002401D0" w:rsidRPr="004525D4" w:rsidRDefault="002401D0">
      <w:pPr>
        <w:pStyle w:val="Rubrikmellanrum"/>
      </w:pPr>
    </w:p>
    <w:p w14:paraId="4A289A67" w14:textId="77777777" w:rsidR="002401D0" w:rsidRPr="004525D4" w:rsidRDefault="002401D0">
      <w:pPr>
        <w:pStyle w:val="ANormal"/>
      </w:pPr>
      <w:r w:rsidRPr="004525D4">
        <w:t>Med hänvisning till det anförda föreslår utskottet</w:t>
      </w:r>
    </w:p>
    <w:p w14:paraId="12B83F75" w14:textId="77777777" w:rsidR="002401D0" w:rsidRPr="004525D4" w:rsidRDefault="002401D0">
      <w:pPr>
        <w:pStyle w:val="ANormal"/>
      </w:pPr>
    </w:p>
    <w:p w14:paraId="41671D68" w14:textId="779E4E3D" w:rsidR="007730AE" w:rsidRPr="004525D4" w:rsidRDefault="002401D0" w:rsidP="0028660F">
      <w:pPr>
        <w:pStyle w:val="Klam"/>
      </w:pPr>
      <w:r w:rsidRPr="004525D4">
        <w:t>att lagtinget</w:t>
      </w:r>
      <w:r w:rsidR="0028660F" w:rsidRPr="004525D4">
        <w:rPr>
          <w:szCs w:val="22"/>
        </w:rPr>
        <w:t xml:space="preserve"> </w:t>
      </w:r>
      <w:r w:rsidR="0028660F" w:rsidRPr="004525D4">
        <w:t>antecknar sig landskapsregeringens redogörelse över årsredovisningen per den 31.12.20</w:t>
      </w:r>
      <w:r w:rsidR="000B1DB9" w:rsidRPr="004525D4">
        <w:t>2</w:t>
      </w:r>
      <w:r w:rsidR="004525D4">
        <w:t>4</w:t>
      </w:r>
      <w:r w:rsidR="0028660F" w:rsidRPr="004525D4">
        <w:t xml:space="preserve"> jämte landskapsrevisionens berättelse för kännedom samt </w:t>
      </w:r>
    </w:p>
    <w:p w14:paraId="2BDFF793" w14:textId="77777777" w:rsidR="004F27E9" w:rsidRPr="004525D4" w:rsidRDefault="004F27E9" w:rsidP="004F27E9">
      <w:pPr>
        <w:pStyle w:val="ANormal"/>
      </w:pPr>
    </w:p>
    <w:p w14:paraId="4A297F3E" w14:textId="77777777" w:rsidR="0028660F" w:rsidRPr="004525D4" w:rsidRDefault="0028660F" w:rsidP="0028660F">
      <w:pPr>
        <w:pStyle w:val="Klam"/>
      </w:pPr>
      <w:r w:rsidRPr="004525D4">
        <w:t>att utskottets betänkande bringas till landskapsregeringens kännedom.</w:t>
      </w:r>
    </w:p>
    <w:p w14:paraId="5CA9EBDE" w14:textId="77777777" w:rsidR="002401D0" w:rsidRPr="004525D4" w:rsidRDefault="002401D0">
      <w:pPr>
        <w:pStyle w:val="ANormal"/>
        <w:jc w:val="center"/>
        <w:rPr>
          <w:color w:val="000000" w:themeColor="text1"/>
        </w:rPr>
      </w:pPr>
      <w:hyperlink w:anchor="_top" w:tooltip="Klicka för att gå till toppen av dokumentet" w:history="1">
        <w:r w:rsidRPr="004525D4">
          <w:rPr>
            <w:rStyle w:val="Hyperlnk"/>
            <w:color w:val="000000" w:themeColor="text1"/>
          </w:rPr>
          <w:t>__________________</w:t>
        </w:r>
      </w:hyperlink>
    </w:p>
    <w:p w14:paraId="7DCA7A56" w14:textId="77777777" w:rsidR="002401D0" w:rsidRPr="004525D4" w:rsidRDefault="002401D0">
      <w:pPr>
        <w:pStyle w:val="ANormal"/>
        <w:rPr>
          <w:color w:val="000000" w:themeColor="text1"/>
        </w:rPr>
      </w:pPr>
    </w:p>
    <w:p w14:paraId="5BC43B83" w14:textId="77777777" w:rsidR="002401D0" w:rsidRPr="004525D4" w:rsidRDefault="002401D0">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2401D0" w:rsidRPr="00172D44" w14:paraId="3CAD2E87" w14:textId="77777777">
        <w:trPr>
          <w:cantSplit/>
        </w:trPr>
        <w:tc>
          <w:tcPr>
            <w:tcW w:w="7931" w:type="dxa"/>
            <w:gridSpan w:val="2"/>
          </w:tcPr>
          <w:p w14:paraId="122BFD9D" w14:textId="18D278A9" w:rsidR="002401D0" w:rsidRPr="004525D4" w:rsidRDefault="002401D0" w:rsidP="00FD3F3C">
            <w:pPr>
              <w:pStyle w:val="ANormal"/>
              <w:keepNext/>
            </w:pPr>
            <w:r w:rsidRPr="004525D4">
              <w:t>Mariehamn den</w:t>
            </w:r>
            <w:r w:rsidR="00FD3F3C" w:rsidRPr="004525D4">
              <w:t xml:space="preserve"> </w:t>
            </w:r>
            <w:r w:rsidR="004525D4" w:rsidRPr="004525D4">
              <w:t>11</w:t>
            </w:r>
            <w:r w:rsidR="006B1169" w:rsidRPr="004525D4">
              <w:t xml:space="preserve"> </w:t>
            </w:r>
            <w:r w:rsidR="003B4113" w:rsidRPr="004525D4">
              <w:t>september</w:t>
            </w:r>
            <w:r w:rsidR="0028660F" w:rsidRPr="004525D4">
              <w:t xml:space="preserve"> 20</w:t>
            </w:r>
            <w:r w:rsidR="004D3D04" w:rsidRPr="004525D4">
              <w:t>2</w:t>
            </w:r>
            <w:r w:rsidR="004525D4" w:rsidRPr="004525D4">
              <w:t>5</w:t>
            </w:r>
          </w:p>
        </w:tc>
      </w:tr>
      <w:tr w:rsidR="002401D0" w:rsidRPr="004525D4" w14:paraId="5FC79617" w14:textId="77777777">
        <w:tc>
          <w:tcPr>
            <w:tcW w:w="4454" w:type="dxa"/>
            <w:vAlign w:val="bottom"/>
          </w:tcPr>
          <w:p w14:paraId="5ADEB740" w14:textId="77777777" w:rsidR="002401D0" w:rsidRPr="004525D4" w:rsidRDefault="002401D0">
            <w:pPr>
              <w:pStyle w:val="ANormal"/>
              <w:keepNext/>
            </w:pPr>
          </w:p>
          <w:p w14:paraId="2D28F3A9" w14:textId="77777777" w:rsidR="008B2E9B" w:rsidRPr="004525D4" w:rsidRDefault="008B2E9B">
            <w:pPr>
              <w:pStyle w:val="ANormal"/>
              <w:keepNext/>
            </w:pPr>
          </w:p>
          <w:p w14:paraId="171852F8" w14:textId="77777777" w:rsidR="002401D0" w:rsidRPr="004525D4" w:rsidRDefault="002401D0">
            <w:pPr>
              <w:pStyle w:val="ANormal"/>
              <w:keepNext/>
            </w:pPr>
          </w:p>
          <w:p w14:paraId="1B33ACE4" w14:textId="77777777" w:rsidR="002401D0" w:rsidRPr="004525D4" w:rsidRDefault="002401D0">
            <w:pPr>
              <w:pStyle w:val="ANormal"/>
              <w:keepNext/>
            </w:pPr>
            <w:r w:rsidRPr="004525D4">
              <w:t>Ordförande</w:t>
            </w:r>
          </w:p>
        </w:tc>
        <w:tc>
          <w:tcPr>
            <w:tcW w:w="3477" w:type="dxa"/>
            <w:vAlign w:val="bottom"/>
          </w:tcPr>
          <w:p w14:paraId="287C7488" w14:textId="77777777" w:rsidR="002401D0" w:rsidRPr="004525D4" w:rsidRDefault="002401D0">
            <w:pPr>
              <w:pStyle w:val="ANormal"/>
              <w:keepNext/>
            </w:pPr>
          </w:p>
          <w:p w14:paraId="498F46BE" w14:textId="77777777" w:rsidR="002401D0" w:rsidRPr="004525D4" w:rsidRDefault="002401D0">
            <w:pPr>
              <w:pStyle w:val="ANormal"/>
              <w:keepNext/>
            </w:pPr>
          </w:p>
          <w:p w14:paraId="1899CFDA" w14:textId="097DF3EC" w:rsidR="002401D0" w:rsidRPr="004525D4" w:rsidRDefault="00102387">
            <w:pPr>
              <w:pStyle w:val="ANormal"/>
              <w:keepNext/>
            </w:pPr>
            <w:r w:rsidRPr="004525D4">
              <w:t>John Holmberg</w:t>
            </w:r>
          </w:p>
        </w:tc>
      </w:tr>
      <w:tr w:rsidR="002401D0" w:rsidRPr="004525D4" w14:paraId="7D528759" w14:textId="77777777">
        <w:tc>
          <w:tcPr>
            <w:tcW w:w="4454" w:type="dxa"/>
            <w:vAlign w:val="bottom"/>
          </w:tcPr>
          <w:p w14:paraId="06D5DD88" w14:textId="677FFF5A" w:rsidR="002401D0" w:rsidRPr="004525D4" w:rsidRDefault="002401D0">
            <w:pPr>
              <w:pStyle w:val="ANormal"/>
              <w:keepNext/>
            </w:pPr>
          </w:p>
          <w:p w14:paraId="34740167" w14:textId="77777777" w:rsidR="00FD3F3C" w:rsidRPr="004525D4" w:rsidRDefault="00FD3F3C">
            <w:pPr>
              <w:pStyle w:val="ANormal"/>
              <w:keepNext/>
            </w:pPr>
          </w:p>
          <w:p w14:paraId="55A05078" w14:textId="77777777" w:rsidR="002401D0" w:rsidRPr="004525D4" w:rsidRDefault="002401D0">
            <w:pPr>
              <w:pStyle w:val="ANormal"/>
              <w:keepNext/>
            </w:pPr>
          </w:p>
          <w:p w14:paraId="023BEFED" w14:textId="77777777" w:rsidR="002401D0" w:rsidRPr="004525D4" w:rsidRDefault="002401D0">
            <w:pPr>
              <w:pStyle w:val="ANormal"/>
              <w:keepNext/>
            </w:pPr>
            <w:r w:rsidRPr="004525D4">
              <w:t>Sekreterare</w:t>
            </w:r>
          </w:p>
        </w:tc>
        <w:tc>
          <w:tcPr>
            <w:tcW w:w="3477" w:type="dxa"/>
            <w:vAlign w:val="bottom"/>
          </w:tcPr>
          <w:p w14:paraId="507012E4" w14:textId="77777777" w:rsidR="002401D0" w:rsidRPr="004525D4" w:rsidRDefault="002401D0">
            <w:pPr>
              <w:pStyle w:val="ANormal"/>
              <w:keepNext/>
            </w:pPr>
          </w:p>
          <w:p w14:paraId="76918CB8" w14:textId="77777777" w:rsidR="002401D0" w:rsidRPr="004525D4" w:rsidRDefault="002401D0">
            <w:pPr>
              <w:pStyle w:val="ANormal"/>
              <w:keepNext/>
            </w:pPr>
          </w:p>
          <w:p w14:paraId="48D06228" w14:textId="5DCC9FEF" w:rsidR="002401D0" w:rsidRPr="004525D4" w:rsidRDefault="004525D4">
            <w:pPr>
              <w:pStyle w:val="ANormal"/>
              <w:keepNext/>
            </w:pPr>
            <w:r w:rsidRPr="004525D4">
              <w:t xml:space="preserve">Benjamin </w:t>
            </w:r>
            <w:proofErr w:type="spellStart"/>
            <w:r w:rsidRPr="004525D4">
              <w:t>Sidorov</w:t>
            </w:r>
            <w:proofErr w:type="spellEnd"/>
          </w:p>
        </w:tc>
      </w:tr>
    </w:tbl>
    <w:p w14:paraId="621F53F8" w14:textId="7C44FE24" w:rsidR="002401D0" w:rsidRDefault="002401D0">
      <w:pPr>
        <w:pStyle w:val="ANormal"/>
      </w:pPr>
    </w:p>
    <w:sectPr w:rsidR="002401D0">
      <w:headerReference w:type="even" r:id="rId12"/>
      <w:headerReference w:type="default" r:id="rId13"/>
      <w:footerReference w:type="default" r:id="rId14"/>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37B0A" w14:textId="77777777" w:rsidR="00122EA4" w:rsidRDefault="00122EA4">
      <w:r>
        <w:separator/>
      </w:r>
    </w:p>
  </w:endnote>
  <w:endnote w:type="continuationSeparator" w:id="0">
    <w:p w14:paraId="4B9C89BA" w14:textId="77777777" w:rsidR="00122EA4" w:rsidRDefault="00122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62F64" w14:textId="77777777" w:rsidR="00B97AC9" w:rsidRDefault="00B97AC9">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887BB" w14:textId="174E24A9" w:rsidR="00B97AC9" w:rsidRDefault="00B97AC9">
    <w:pPr>
      <w:pStyle w:val="Sidfot"/>
      <w:rPr>
        <w:lang w:val="fi-FI"/>
      </w:rPr>
    </w:pPr>
    <w:r w:rsidRPr="003B645F">
      <w:fldChar w:fldCharType="begin"/>
    </w:r>
    <w:r w:rsidRPr="003B645F">
      <w:rPr>
        <w:lang w:val="fi-FI"/>
      </w:rPr>
      <w:instrText xml:space="preserve"> FILENAME  \* MERGEFORMAT </w:instrText>
    </w:r>
    <w:r w:rsidRPr="003B645F">
      <w:fldChar w:fldCharType="separate"/>
    </w:r>
    <w:r w:rsidR="009A3B43">
      <w:rPr>
        <w:noProof/>
        <w:lang w:val="fi-FI"/>
      </w:rPr>
      <w:t>FNU1</w:t>
    </w:r>
    <w:r w:rsidR="00183054">
      <w:rPr>
        <w:noProof/>
        <w:lang w:val="fi-FI"/>
      </w:rPr>
      <w:t>9</w:t>
    </w:r>
    <w:r w:rsidR="009A3B43">
      <w:rPr>
        <w:noProof/>
        <w:lang w:val="fi-FI"/>
      </w:rPr>
      <w:t>202</w:t>
    </w:r>
    <w:r w:rsidR="00227424">
      <w:rPr>
        <w:noProof/>
        <w:lang w:val="fi-FI"/>
      </w:rPr>
      <w:t>4</w:t>
    </w:r>
    <w:r w:rsidR="009A3B43">
      <w:rPr>
        <w:noProof/>
        <w:lang w:val="fi-FI"/>
      </w:rPr>
      <w:t>202</w:t>
    </w:r>
    <w:r w:rsidR="00227424">
      <w:rPr>
        <w:noProof/>
        <w:lang w:val="fi-FI"/>
      </w:rPr>
      <w:t>5</w:t>
    </w:r>
    <w:r w:rsidR="009A3B43">
      <w:rPr>
        <w:noProof/>
        <w:lang w:val="fi-FI"/>
      </w:rPr>
      <w:t>.docx</w:t>
    </w:r>
    <w:r w:rsidRPr="003B645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87C94" w14:textId="77777777" w:rsidR="00B97AC9" w:rsidRDefault="00B97AC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090C4" w14:textId="77777777" w:rsidR="00122EA4" w:rsidRDefault="00122EA4">
      <w:r>
        <w:separator/>
      </w:r>
    </w:p>
  </w:footnote>
  <w:footnote w:type="continuationSeparator" w:id="0">
    <w:p w14:paraId="12A4B519" w14:textId="77777777" w:rsidR="00122EA4" w:rsidRDefault="00122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12BE0" w14:textId="4980734D" w:rsidR="00B97AC9" w:rsidRDefault="00B97AC9">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FD3F3C">
      <w:rPr>
        <w:rStyle w:val="Sidnummer"/>
        <w:noProof/>
      </w:rPr>
      <w:t>4</w:t>
    </w:r>
    <w:r>
      <w:rPr>
        <w:rStyle w:val="Sidnummer"/>
      </w:rPr>
      <w:fldChar w:fldCharType="end"/>
    </w:r>
  </w:p>
  <w:p w14:paraId="26ACF95B" w14:textId="77777777" w:rsidR="00B97AC9" w:rsidRDefault="00B97AC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21BA9" w14:textId="75CC3A3E" w:rsidR="00B97AC9" w:rsidRDefault="00B97AC9">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sidR="00FD3F3C">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C639FD"/>
    <w:multiLevelType w:val="hybridMultilevel"/>
    <w:tmpl w:val="87289DEA"/>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EC6BD8"/>
    <w:multiLevelType w:val="hybridMultilevel"/>
    <w:tmpl w:val="0A247A1C"/>
    <w:lvl w:ilvl="0" w:tplc="7BDE54FE">
      <w:start w:val="3"/>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num w:numId="1" w16cid:durableId="1463112473">
    <w:abstractNumId w:val="6"/>
  </w:num>
  <w:num w:numId="2" w16cid:durableId="633412735">
    <w:abstractNumId w:val="3"/>
  </w:num>
  <w:num w:numId="3" w16cid:durableId="870606378">
    <w:abstractNumId w:val="2"/>
  </w:num>
  <w:num w:numId="4" w16cid:durableId="987243958">
    <w:abstractNumId w:val="1"/>
  </w:num>
  <w:num w:numId="5" w16cid:durableId="1490714233">
    <w:abstractNumId w:val="0"/>
  </w:num>
  <w:num w:numId="6" w16cid:durableId="1484732458">
    <w:abstractNumId w:val="7"/>
  </w:num>
  <w:num w:numId="7" w16cid:durableId="30083697">
    <w:abstractNumId w:val="5"/>
  </w:num>
  <w:num w:numId="8" w16cid:durableId="1639648846">
    <w:abstractNumId w:val="4"/>
  </w:num>
  <w:num w:numId="9" w16cid:durableId="1815641099">
    <w:abstractNumId w:val="11"/>
  </w:num>
  <w:num w:numId="10" w16cid:durableId="2007586321">
    <w:abstractNumId w:val="14"/>
  </w:num>
  <w:num w:numId="11" w16cid:durableId="372997827">
    <w:abstractNumId w:val="13"/>
  </w:num>
  <w:num w:numId="12" w16cid:durableId="281689276">
    <w:abstractNumId w:val="17"/>
  </w:num>
  <w:num w:numId="13" w16cid:durableId="994069191">
    <w:abstractNumId w:val="12"/>
  </w:num>
  <w:num w:numId="14" w16cid:durableId="1365210152">
    <w:abstractNumId w:val="16"/>
  </w:num>
  <w:num w:numId="15" w16cid:durableId="1991857939">
    <w:abstractNumId w:val="10"/>
  </w:num>
  <w:num w:numId="16" w16cid:durableId="948856903">
    <w:abstractNumId w:val="22"/>
  </w:num>
  <w:num w:numId="17" w16cid:durableId="756290074">
    <w:abstractNumId w:val="8"/>
  </w:num>
  <w:num w:numId="18" w16cid:durableId="1517385280">
    <w:abstractNumId w:val="18"/>
  </w:num>
  <w:num w:numId="19" w16cid:durableId="1140004145">
    <w:abstractNumId w:val="21"/>
  </w:num>
  <w:num w:numId="20" w16cid:durableId="1017538532">
    <w:abstractNumId w:val="24"/>
  </w:num>
  <w:num w:numId="21" w16cid:durableId="1381513153">
    <w:abstractNumId w:val="23"/>
  </w:num>
  <w:num w:numId="22" w16cid:durableId="879050078">
    <w:abstractNumId w:val="15"/>
  </w:num>
  <w:num w:numId="23" w16cid:durableId="1942493518">
    <w:abstractNumId w:val="19"/>
  </w:num>
  <w:num w:numId="24" w16cid:durableId="1547058826">
    <w:abstractNumId w:val="19"/>
  </w:num>
  <w:num w:numId="25" w16cid:durableId="305940179">
    <w:abstractNumId w:val="20"/>
  </w:num>
  <w:num w:numId="26" w16cid:durableId="1066614100">
    <w:abstractNumId w:val="15"/>
  </w:num>
  <w:num w:numId="27" w16cid:durableId="1864440656">
    <w:abstractNumId w:val="15"/>
  </w:num>
  <w:num w:numId="28" w16cid:durableId="1370957443">
    <w:abstractNumId w:val="15"/>
  </w:num>
  <w:num w:numId="29" w16cid:durableId="468211086">
    <w:abstractNumId w:val="15"/>
  </w:num>
  <w:num w:numId="30" w16cid:durableId="22289071">
    <w:abstractNumId w:val="15"/>
  </w:num>
  <w:num w:numId="31" w16cid:durableId="1210610807">
    <w:abstractNumId w:val="15"/>
  </w:num>
  <w:num w:numId="32" w16cid:durableId="421144393">
    <w:abstractNumId w:val="15"/>
  </w:num>
  <w:num w:numId="33" w16cid:durableId="1652129120">
    <w:abstractNumId w:val="15"/>
  </w:num>
  <w:num w:numId="34" w16cid:durableId="1466703526">
    <w:abstractNumId w:val="15"/>
  </w:num>
  <w:num w:numId="35" w16cid:durableId="676150749">
    <w:abstractNumId w:val="19"/>
  </w:num>
  <w:num w:numId="36" w16cid:durableId="2074770433">
    <w:abstractNumId w:val="20"/>
  </w:num>
  <w:num w:numId="37" w16cid:durableId="957644032">
    <w:abstractNumId w:val="15"/>
  </w:num>
  <w:num w:numId="38" w16cid:durableId="5325594">
    <w:abstractNumId w:val="15"/>
  </w:num>
  <w:num w:numId="39" w16cid:durableId="367030453">
    <w:abstractNumId w:val="15"/>
  </w:num>
  <w:num w:numId="40" w16cid:durableId="2073847725">
    <w:abstractNumId w:val="15"/>
  </w:num>
  <w:num w:numId="41" w16cid:durableId="1447575894">
    <w:abstractNumId w:val="15"/>
  </w:num>
  <w:num w:numId="42" w16cid:durableId="1066607222">
    <w:abstractNumId w:val="15"/>
  </w:num>
  <w:num w:numId="43" w16cid:durableId="1790003597">
    <w:abstractNumId w:val="15"/>
  </w:num>
  <w:num w:numId="44" w16cid:durableId="1101989640">
    <w:abstractNumId w:val="15"/>
  </w:num>
  <w:num w:numId="45" w16cid:durableId="1076824956">
    <w:abstractNumId w:val="15"/>
  </w:num>
  <w:num w:numId="46" w16cid:durableId="77869098">
    <w:abstractNumId w:val="9"/>
  </w:num>
  <w:num w:numId="47" w16cid:durableId="160013597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C85"/>
    <w:rsid w:val="000001AB"/>
    <w:rsid w:val="0000076A"/>
    <w:rsid w:val="0000155F"/>
    <w:rsid w:val="00003789"/>
    <w:rsid w:val="00003871"/>
    <w:rsid w:val="0000525D"/>
    <w:rsid w:val="00011A4F"/>
    <w:rsid w:val="00015AEF"/>
    <w:rsid w:val="00015E9C"/>
    <w:rsid w:val="00017F68"/>
    <w:rsid w:val="00021809"/>
    <w:rsid w:val="000230D5"/>
    <w:rsid w:val="00023409"/>
    <w:rsid w:val="0002582A"/>
    <w:rsid w:val="00034F67"/>
    <w:rsid w:val="00035949"/>
    <w:rsid w:val="00047AF9"/>
    <w:rsid w:val="0005073A"/>
    <w:rsid w:val="000512F0"/>
    <w:rsid w:val="00051556"/>
    <w:rsid w:val="000519F0"/>
    <w:rsid w:val="000545CE"/>
    <w:rsid w:val="00060B65"/>
    <w:rsid w:val="000677AA"/>
    <w:rsid w:val="0007018A"/>
    <w:rsid w:val="00074652"/>
    <w:rsid w:val="00077752"/>
    <w:rsid w:val="00080809"/>
    <w:rsid w:val="00084AE1"/>
    <w:rsid w:val="00085531"/>
    <w:rsid w:val="00093C35"/>
    <w:rsid w:val="00097A7E"/>
    <w:rsid w:val="000A091D"/>
    <w:rsid w:val="000A17FF"/>
    <w:rsid w:val="000A3626"/>
    <w:rsid w:val="000A3B5C"/>
    <w:rsid w:val="000A5A8F"/>
    <w:rsid w:val="000A6DAB"/>
    <w:rsid w:val="000B1DB9"/>
    <w:rsid w:val="000B2DC9"/>
    <w:rsid w:val="000B53AE"/>
    <w:rsid w:val="000B734B"/>
    <w:rsid w:val="000C1885"/>
    <w:rsid w:val="000C5E78"/>
    <w:rsid w:val="000D07A7"/>
    <w:rsid w:val="000D2773"/>
    <w:rsid w:val="000D2B3C"/>
    <w:rsid w:val="000D567E"/>
    <w:rsid w:val="000E74D9"/>
    <w:rsid w:val="000F1A34"/>
    <w:rsid w:val="000F32A0"/>
    <w:rsid w:val="000F4682"/>
    <w:rsid w:val="000F49F6"/>
    <w:rsid w:val="000F7417"/>
    <w:rsid w:val="00102387"/>
    <w:rsid w:val="00103629"/>
    <w:rsid w:val="00104E9F"/>
    <w:rsid w:val="00105474"/>
    <w:rsid w:val="00105D30"/>
    <w:rsid w:val="00107DB4"/>
    <w:rsid w:val="00110090"/>
    <w:rsid w:val="00120423"/>
    <w:rsid w:val="0012136A"/>
    <w:rsid w:val="00122EA4"/>
    <w:rsid w:val="001344E8"/>
    <w:rsid w:val="00140161"/>
    <w:rsid w:val="00140BAE"/>
    <w:rsid w:val="00141A52"/>
    <w:rsid w:val="00144B0F"/>
    <w:rsid w:val="00147A66"/>
    <w:rsid w:val="00151B71"/>
    <w:rsid w:val="0015337C"/>
    <w:rsid w:val="0015344E"/>
    <w:rsid w:val="0015618B"/>
    <w:rsid w:val="0015721C"/>
    <w:rsid w:val="00157C9A"/>
    <w:rsid w:val="00161E67"/>
    <w:rsid w:val="001620C4"/>
    <w:rsid w:val="00164BD9"/>
    <w:rsid w:val="00167CB6"/>
    <w:rsid w:val="001709AE"/>
    <w:rsid w:val="00172A39"/>
    <w:rsid w:val="00172D44"/>
    <w:rsid w:val="00176D83"/>
    <w:rsid w:val="00183054"/>
    <w:rsid w:val="0019240D"/>
    <w:rsid w:val="00195A8B"/>
    <w:rsid w:val="00195FF1"/>
    <w:rsid w:val="00197DF5"/>
    <w:rsid w:val="001A0448"/>
    <w:rsid w:val="001B131E"/>
    <w:rsid w:val="001B5BB0"/>
    <w:rsid w:val="001B6DB5"/>
    <w:rsid w:val="001C5EC3"/>
    <w:rsid w:val="001D24DD"/>
    <w:rsid w:val="001D2A05"/>
    <w:rsid w:val="001D399F"/>
    <w:rsid w:val="001D3D91"/>
    <w:rsid w:val="001D683B"/>
    <w:rsid w:val="001D7281"/>
    <w:rsid w:val="001D7CF2"/>
    <w:rsid w:val="001D7F15"/>
    <w:rsid w:val="001E0424"/>
    <w:rsid w:val="001E1B17"/>
    <w:rsid w:val="001F25FD"/>
    <w:rsid w:val="00203BD9"/>
    <w:rsid w:val="00207FBE"/>
    <w:rsid w:val="00214AEC"/>
    <w:rsid w:val="002151FD"/>
    <w:rsid w:val="00215926"/>
    <w:rsid w:val="002237D8"/>
    <w:rsid w:val="00224726"/>
    <w:rsid w:val="00227424"/>
    <w:rsid w:val="002302B2"/>
    <w:rsid w:val="00231791"/>
    <w:rsid w:val="002358E0"/>
    <w:rsid w:val="002401D0"/>
    <w:rsid w:val="002460A5"/>
    <w:rsid w:val="00250D54"/>
    <w:rsid w:val="002542D0"/>
    <w:rsid w:val="002555BF"/>
    <w:rsid w:val="00256B7F"/>
    <w:rsid w:val="00261E9E"/>
    <w:rsid w:val="0027263A"/>
    <w:rsid w:val="00274393"/>
    <w:rsid w:val="00276D4F"/>
    <w:rsid w:val="00280319"/>
    <w:rsid w:val="00282388"/>
    <w:rsid w:val="002827E4"/>
    <w:rsid w:val="00284BA5"/>
    <w:rsid w:val="00285510"/>
    <w:rsid w:val="0028660F"/>
    <w:rsid w:val="00287AE0"/>
    <w:rsid w:val="00296163"/>
    <w:rsid w:val="002A1F13"/>
    <w:rsid w:val="002A2CF6"/>
    <w:rsid w:val="002A7242"/>
    <w:rsid w:val="002B0A4C"/>
    <w:rsid w:val="002B0EE8"/>
    <w:rsid w:val="002B119B"/>
    <w:rsid w:val="002B1B9A"/>
    <w:rsid w:val="002B1EAA"/>
    <w:rsid w:val="002B26FD"/>
    <w:rsid w:val="002B4BC9"/>
    <w:rsid w:val="002B7E94"/>
    <w:rsid w:val="002C1AC9"/>
    <w:rsid w:val="002C3371"/>
    <w:rsid w:val="002C5C9A"/>
    <w:rsid w:val="002C63D7"/>
    <w:rsid w:val="002D174D"/>
    <w:rsid w:val="002D1915"/>
    <w:rsid w:val="002D6491"/>
    <w:rsid w:val="002E5952"/>
    <w:rsid w:val="002F0F3D"/>
    <w:rsid w:val="002F654E"/>
    <w:rsid w:val="00306A3F"/>
    <w:rsid w:val="0031113B"/>
    <w:rsid w:val="003115FF"/>
    <w:rsid w:val="00311ED4"/>
    <w:rsid w:val="0031330C"/>
    <w:rsid w:val="00313E09"/>
    <w:rsid w:val="003145DC"/>
    <w:rsid w:val="00322FF8"/>
    <w:rsid w:val="00340547"/>
    <w:rsid w:val="003446BB"/>
    <w:rsid w:val="0034641B"/>
    <w:rsid w:val="003469BF"/>
    <w:rsid w:val="003618BC"/>
    <w:rsid w:val="003633BA"/>
    <w:rsid w:val="0036359C"/>
    <w:rsid w:val="00366A7E"/>
    <w:rsid w:val="0036724F"/>
    <w:rsid w:val="00372727"/>
    <w:rsid w:val="00372BBF"/>
    <w:rsid w:val="00374D02"/>
    <w:rsid w:val="00380074"/>
    <w:rsid w:val="00384C67"/>
    <w:rsid w:val="00390A57"/>
    <w:rsid w:val="00396C85"/>
    <w:rsid w:val="00397857"/>
    <w:rsid w:val="003A26B9"/>
    <w:rsid w:val="003A410F"/>
    <w:rsid w:val="003A42BA"/>
    <w:rsid w:val="003B1E8B"/>
    <w:rsid w:val="003B4113"/>
    <w:rsid w:val="003B645F"/>
    <w:rsid w:val="003B70BD"/>
    <w:rsid w:val="003B7559"/>
    <w:rsid w:val="003C2FDC"/>
    <w:rsid w:val="003C4CFC"/>
    <w:rsid w:val="003C7A70"/>
    <w:rsid w:val="003D1556"/>
    <w:rsid w:val="003D2CBF"/>
    <w:rsid w:val="003D4464"/>
    <w:rsid w:val="003D6F3C"/>
    <w:rsid w:val="003D726A"/>
    <w:rsid w:val="003E1373"/>
    <w:rsid w:val="003E1E3E"/>
    <w:rsid w:val="003E4D86"/>
    <w:rsid w:val="003E511D"/>
    <w:rsid w:val="003F0471"/>
    <w:rsid w:val="003F142F"/>
    <w:rsid w:val="003F218D"/>
    <w:rsid w:val="003F3A5C"/>
    <w:rsid w:val="003F4905"/>
    <w:rsid w:val="00412AD2"/>
    <w:rsid w:val="00412DF9"/>
    <w:rsid w:val="00414E83"/>
    <w:rsid w:val="00420216"/>
    <w:rsid w:val="00421C50"/>
    <w:rsid w:val="004226F9"/>
    <w:rsid w:val="00424EAB"/>
    <w:rsid w:val="00431AF5"/>
    <w:rsid w:val="00431F72"/>
    <w:rsid w:val="00433E76"/>
    <w:rsid w:val="0043499A"/>
    <w:rsid w:val="00441C2B"/>
    <w:rsid w:val="00442692"/>
    <w:rsid w:val="00445E24"/>
    <w:rsid w:val="004525D4"/>
    <w:rsid w:val="004568BA"/>
    <w:rsid w:val="004572FD"/>
    <w:rsid w:val="00463790"/>
    <w:rsid w:val="004652E7"/>
    <w:rsid w:val="004655BD"/>
    <w:rsid w:val="00472B1E"/>
    <w:rsid w:val="00476397"/>
    <w:rsid w:val="004942D5"/>
    <w:rsid w:val="004A03FE"/>
    <w:rsid w:val="004A0E23"/>
    <w:rsid w:val="004A3BA0"/>
    <w:rsid w:val="004A43C6"/>
    <w:rsid w:val="004A74CA"/>
    <w:rsid w:val="004A7BE1"/>
    <w:rsid w:val="004B7724"/>
    <w:rsid w:val="004C08EE"/>
    <w:rsid w:val="004D3D04"/>
    <w:rsid w:val="004E08C4"/>
    <w:rsid w:val="004E493E"/>
    <w:rsid w:val="004F1700"/>
    <w:rsid w:val="004F27E9"/>
    <w:rsid w:val="004F3023"/>
    <w:rsid w:val="004F5A98"/>
    <w:rsid w:val="00506820"/>
    <w:rsid w:val="00506CE3"/>
    <w:rsid w:val="005173FD"/>
    <w:rsid w:val="005209A5"/>
    <w:rsid w:val="00520B3B"/>
    <w:rsid w:val="0052146E"/>
    <w:rsid w:val="00521853"/>
    <w:rsid w:val="00524E6A"/>
    <w:rsid w:val="00525C29"/>
    <w:rsid w:val="0052766B"/>
    <w:rsid w:val="0053343B"/>
    <w:rsid w:val="00535645"/>
    <w:rsid w:val="0053660C"/>
    <w:rsid w:val="00543AFA"/>
    <w:rsid w:val="00544483"/>
    <w:rsid w:val="00551A73"/>
    <w:rsid w:val="00552063"/>
    <w:rsid w:val="00552D70"/>
    <w:rsid w:val="0055331D"/>
    <w:rsid w:val="0055767C"/>
    <w:rsid w:val="005632DA"/>
    <w:rsid w:val="0057039B"/>
    <w:rsid w:val="00575298"/>
    <w:rsid w:val="005762E4"/>
    <w:rsid w:val="00576A16"/>
    <w:rsid w:val="00577410"/>
    <w:rsid w:val="00577FBB"/>
    <w:rsid w:val="00581D4A"/>
    <w:rsid w:val="00585A9F"/>
    <w:rsid w:val="00586D81"/>
    <w:rsid w:val="005870DA"/>
    <w:rsid w:val="00596E35"/>
    <w:rsid w:val="005B184E"/>
    <w:rsid w:val="005B1A95"/>
    <w:rsid w:val="005B274D"/>
    <w:rsid w:val="005B3A95"/>
    <w:rsid w:val="005B6DA1"/>
    <w:rsid w:val="005B6F65"/>
    <w:rsid w:val="005C6B67"/>
    <w:rsid w:val="005C7DA8"/>
    <w:rsid w:val="005D48B7"/>
    <w:rsid w:val="005D78B1"/>
    <w:rsid w:val="005E3E28"/>
    <w:rsid w:val="005E5074"/>
    <w:rsid w:val="005F10D9"/>
    <w:rsid w:val="005F3BF2"/>
    <w:rsid w:val="006031E1"/>
    <w:rsid w:val="006113A6"/>
    <w:rsid w:val="00615822"/>
    <w:rsid w:val="006178FB"/>
    <w:rsid w:val="006213CE"/>
    <w:rsid w:val="006219B7"/>
    <w:rsid w:val="00622C8F"/>
    <w:rsid w:val="0063064B"/>
    <w:rsid w:val="0063082B"/>
    <w:rsid w:val="00637C11"/>
    <w:rsid w:val="0064004C"/>
    <w:rsid w:val="00640E2A"/>
    <w:rsid w:val="006440AE"/>
    <w:rsid w:val="0065138E"/>
    <w:rsid w:val="00652495"/>
    <w:rsid w:val="006575F9"/>
    <w:rsid w:val="0066424F"/>
    <w:rsid w:val="006647BA"/>
    <w:rsid w:val="0066595E"/>
    <w:rsid w:val="00666876"/>
    <w:rsid w:val="006716D5"/>
    <w:rsid w:val="00677227"/>
    <w:rsid w:val="0068721B"/>
    <w:rsid w:val="00690003"/>
    <w:rsid w:val="0069237F"/>
    <w:rsid w:val="00692FC2"/>
    <w:rsid w:val="006A146D"/>
    <w:rsid w:val="006A65AC"/>
    <w:rsid w:val="006A70A6"/>
    <w:rsid w:val="006B1169"/>
    <w:rsid w:val="006B2E9E"/>
    <w:rsid w:val="006B444B"/>
    <w:rsid w:val="006B57AC"/>
    <w:rsid w:val="006B723A"/>
    <w:rsid w:val="006C6D7E"/>
    <w:rsid w:val="006D0261"/>
    <w:rsid w:val="006D548C"/>
    <w:rsid w:val="006D5EA2"/>
    <w:rsid w:val="006E31D2"/>
    <w:rsid w:val="006E6EB7"/>
    <w:rsid w:val="006F5146"/>
    <w:rsid w:val="00702060"/>
    <w:rsid w:val="007115B4"/>
    <w:rsid w:val="007223A9"/>
    <w:rsid w:val="00723B93"/>
    <w:rsid w:val="0072409B"/>
    <w:rsid w:val="0072567D"/>
    <w:rsid w:val="00731B30"/>
    <w:rsid w:val="00733A19"/>
    <w:rsid w:val="00733F66"/>
    <w:rsid w:val="00735E34"/>
    <w:rsid w:val="0074736B"/>
    <w:rsid w:val="007476D2"/>
    <w:rsid w:val="00752D7B"/>
    <w:rsid w:val="00770E5E"/>
    <w:rsid w:val="007730AE"/>
    <w:rsid w:val="00773766"/>
    <w:rsid w:val="00773C68"/>
    <w:rsid w:val="007857F4"/>
    <w:rsid w:val="00787A8C"/>
    <w:rsid w:val="00794DFC"/>
    <w:rsid w:val="007A1C77"/>
    <w:rsid w:val="007A37E8"/>
    <w:rsid w:val="007B3BDA"/>
    <w:rsid w:val="007B41A0"/>
    <w:rsid w:val="007B4B30"/>
    <w:rsid w:val="007B6DFA"/>
    <w:rsid w:val="007C1486"/>
    <w:rsid w:val="007C198F"/>
    <w:rsid w:val="007C3A9C"/>
    <w:rsid w:val="007C627C"/>
    <w:rsid w:val="007D3050"/>
    <w:rsid w:val="007D7E4E"/>
    <w:rsid w:val="007F7EF6"/>
    <w:rsid w:val="008040FD"/>
    <w:rsid w:val="0080623B"/>
    <w:rsid w:val="00810074"/>
    <w:rsid w:val="00811D50"/>
    <w:rsid w:val="008141E5"/>
    <w:rsid w:val="00816C6F"/>
    <w:rsid w:val="00817B04"/>
    <w:rsid w:val="008250BC"/>
    <w:rsid w:val="00830A55"/>
    <w:rsid w:val="00831E23"/>
    <w:rsid w:val="00835020"/>
    <w:rsid w:val="00837646"/>
    <w:rsid w:val="008522F4"/>
    <w:rsid w:val="00857757"/>
    <w:rsid w:val="00857C3B"/>
    <w:rsid w:val="008625F2"/>
    <w:rsid w:val="008660B8"/>
    <w:rsid w:val="0086750F"/>
    <w:rsid w:val="00867DBF"/>
    <w:rsid w:val="00875FDD"/>
    <w:rsid w:val="00875FFA"/>
    <w:rsid w:val="00876059"/>
    <w:rsid w:val="008769D9"/>
    <w:rsid w:val="008779C3"/>
    <w:rsid w:val="008907E3"/>
    <w:rsid w:val="0089765E"/>
    <w:rsid w:val="008A12D8"/>
    <w:rsid w:val="008A4892"/>
    <w:rsid w:val="008B0417"/>
    <w:rsid w:val="008B2644"/>
    <w:rsid w:val="008B267F"/>
    <w:rsid w:val="008B2E9B"/>
    <w:rsid w:val="008B3E10"/>
    <w:rsid w:val="008B5CC6"/>
    <w:rsid w:val="008C010E"/>
    <w:rsid w:val="008C12A6"/>
    <w:rsid w:val="008C4867"/>
    <w:rsid w:val="008C54D7"/>
    <w:rsid w:val="008D070E"/>
    <w:rsid w:val="008E2B9C"/>
    <w:rsid w:val="008E2D60"/>
    <w:rsid w:val="008E490D"/>
    <w:rsid w:val="008E6281"/>
    <w:rsid w:val="008E7A17"/>
    <w:rsid w:val="008F07CF"/>
    <w:rsid w:val="008F1105"/>
    <w:rsid w:val="008F11A4"/>
    <w:rsid w:val="008F4736"/>
    <w:rsid w:val="00901C71"/>
    <w:rsid w:val="00903E19"/>
    <w:rsid w:val="00903ED3"/>
    <w:rsid w:val="0091166C"/>
    <w:rsid w:val="009203F6"/>
    <w:rsid w:val="009204CC"/>
    <w:rsid w:val="009234F8"/>
    <w:rsid w:val="00923E3D"/>
    <w:rsid w:val="00925232"/>
    <w:rsid w:val="00926D1C"/>
    <w:rsid w:val="00930631"/>
    <w:rsid w:val="0093302F"/>
    <w:rsid w:val="00933138"/>
    <w:rsid w:val="009335E1"/>
    <w:rsid w:val="00935080"/>
    <w:rsid w:val="00937102"/>
    <w:rsid w:val="009427FA"/>
    <w:rsid w:val="009450DE"/>
    <w:rsid w:val="00954F67"/>
    <w:rsid w:val="00957C36"/>
    <w:rsid w:val="00962EEE"/>
    <w:rsid w:val="009632DD"/>
    <w:rsid w:val="00963E35"/>
    <w:rsid w:val="00970A64"/>
    <w:rsid w:val="00981519"/>
    <w:rsid w:val="00982306"/>
    <w:rsid w:val="00984B19"/>
    <w:rsid w:val="00990824"/>
    <w:rsid w:val="00992766"/>
    <w:rsid w:val="00994C1E"/>
    <w:rsid w:val="0099795F"/>
    <w:rsid w:val="009A3632"/>
    <w:rsid w:val="009A3B43"/>
    <w:rsid w:val="009B200C"/>
    <w:rsid w:val="009B2ED2"/>
    <w:rsid w:val="009B418F"/>
    <w:rsid w:val="009B61FC"/>
    <w:rsid w:val="009C0360"/>
    <w:rsid w:val="009C3ECD"/>
    <w:rsid w:val="009C69B2"/>
    <w:rsid w:val="009D0715"/>
    <w:rsid w:val="009D34F4"/>
    <w:rsid w:val="009D602D"/>
    <w:rsid w:val="009D73B2"/>
    <w:rsid w:val="009D7F15"/>
    <w:rsid w:val="009E038E"/>
    <w:rsid w:val="009E21A3"/>
    <w:rsid w:val="009E7149"/>
    <w:rsid w:val="009E7FCC"/>
    <w:rsid w:val="009F06C0"/>
    <w:rsid w:val="009F0ADE"/>
    <w:rsid w:val="009F0C3B"/>
    <w:rsid w:val="009F2816"/>
    <w:rsid w:val="009F2E86"/>
    <w:rsid w:val="009F715D"/>
    <w:rsid w:val="009F7CE2"/>
    <w:rsid w:val="00A00441"/>
    <w:rsid w:val="00A00CA6"/>
    <w:rsid w:val="00A04B63"/>
    <w:rsid w:val="00A177E8"/>
    <w:rsid w:val="00A17906"/>
    <w:rsid w:val="00A234A9"/>
    <w:rsid w:val="00A2392D"/>
    <w:rsid w:val="00A332D9"/>
    <w:rsid w:val="00A40860"/>
    <w:rsid w:val="00A41FD2"/>
    <w:rsid w:val="00A44021"/>
    <w:rsid w:val="00A44B01"/>
    <w:rsid w:val="00A465B8"/>
    <w:rsid w:val="00A53453"/>
    <w:rsid w:val="00A569BB"/>
    <w:rsid w:val="00A629BF"/>
    <w:rsid w:val="00A6670A"/>
    <w:rsid w:val="00A7667D"/>
    <w:rsid w:val="00A77B74"/>
    <w:rsid w:val="00A80B1D"/>
    <w:rsid w:val="00A81289"/>
    <w:rsid w:val="00A855FB"/>
    <w:rsid w:val="00A85FEE"/>
    <w:rsid w:val="00A867C0"/>
    <w:rsid w:val="00A906FF"/>
    <w:rsid w:val="00A91C50"/>
    <w:rsid w:val="00A959EE"/>
    <w:rsid w:val="00A97A41"/>
    <w:rsid w:val="00AA1C2B"/>
    <w:rsid w:val="00AA37D1"/>
    <w:rsid w:val="00AA38B4"/>
    <w:rsid w:val="00AA559A"/>
    <w:rsid w:val="00AA579A"/>
    <w:rsid w:val="00AA58A0"/>
    <w:rsid w:val="00AA64C1"/>
    <w:rsid w:val="00AA789B"/>
    <w:rsid w:val="00AB2606"/>
    <w:rsid w:val="00AB6B1C"/>
    <w:rsid w:val="00AB792E"/>
    <w:rsid w:val="00AC12CB"/>
    <w:rsid w:val="00AC2DD5"/>
    <w:rsid w:val="00AC3EFA"/>
    <w:rsid w:val="00AE1714"/>
    <w:rsid w:val="00AE62A8"/>
    <w:rsid w:val="00AF4A8E"/>
    <w:rsid w:val="00AF6B8C"/>
    <w:rsid w:val="00B00377"/>
    <w:rsid w:val="00B01CE8"/>
    <w:rsid w:val="00B03D6C"/>
    <w:rsid w:val="00B04FCD"/>
    <w:rsid w:val="00B11C58"/>
    <w:rsid w:val="00B1381D"/>
    <w:rsid w:val="00B15A6E"/>
    <w:rsid w:val="00B17906"/>
    <w:rsid w:val="00B20CED"/>
    <w:rsid w:val="00B244AF"/>
    <w:rsid w:val="00B24EE4"/>
    <w:rsid w:val="00B2631C"/>
    <w:rsid w:val="00B266EA"/>
    <w:rsid w:val="00B30F84"/>
    <w:rsid w:val="00B32E91"/>
    <w:rsid w:val="00B36A8F"/>
    <w:rsid w:val="00B42924"/>
    <w:rsid w:val="00B45252"/>
    <w:rsid w:val="00B50CFD"/>
    <w:rsid w:val="00B569FE"/>
    <w:rsid w:val="00B70932"/>
    <w:rsid w:val="00B71A96"/>
    <w:rsid w:val="00B74B1D"/>
    <w:rsid w:val="00B765AF"/>
    <w:rsid w:val="00B81F54"/>
    <w:rsid w:val="00B82500"/>
    <w:rsid w:val="00B83952"/>
    <w:rsid w:val="00B85135"/>
    <w:rsid w:val="00B9031E"/>
    <w:rsid w:val="00B90DEC"/>
    <w:rsid w:val="00B94285"/>
    <w:rsid w:val="00B94710"/>
    <w:rsid w:val="00B9497B"/>
    <w:rsid w:val="00B96D48"/>
    <w:rsid w:val="00B97AC9"/>
    <w:rsid w:val="00BB2619"/>
    <w:rsid w:val="00BB290D"/>
    <w:rsid w:val="00BC2A42"/>
    <w:rsid w:val="00BC2BEF"/>
    <w:rsid w:val="00BC52CC"/>
    <w:rsid w:val="00BD2F1D"/>
    <w:rsid w:val="00BD32B1"/>
    <w:rsid w:val="00BE13EF"/>
    <w:rsid w:val="00BE1563"/>
    <w:rsid w:val="00BE19A1"/>
    <w:rsid w:val="00BE55DA"/>
    <w:rsid w:val="00BE6436"/>
    <w:rsid w:val="00BE72BC"/>
    <w:rsid w:val="00BF6B46"/>
    <w:rsid w:val="00BF6E9C"/>
    <w:rsid w:val="00C0237C"/>
    <w:rsid w:val="00C0663E"/>
    <w:rsid w:val="00C10537"/>
    <w:rsid w:val="00C1722F"/>
    <w:rsid w:val="00C20998"/>
    <w:rsid w:val="00C20B82"/>
    <w:rsid w:val="00C23DD0"/>
    <w:rsid w:val="00C25CBC"/>
    <w:rsid w:val="00C26D0C"/>
    <w:rsid w:val="00C27378"/>
    <w:rsid w:val="00C324A1"/>
    <w:rsid w:val="00C34291"/>
    <w:rsid w:val="00C352B6"/>
    <w:rsid w:val="00C43A02"/>
    <w:rsid w:val="00C43B9D"/>
    <w:rsid w:val="00C44361"/>
    <w:rsid w:val="00C459E6"/>
    <w:rsid w:val="00C45B90"/>
    <w:rsid w:val="00C46A55"/>
    <w:rsid w:val="00C56047"/>
    <w:rsid w:val="00C57B50"/>
    <w:rsid w:val="00C615C6"/>
    <w:rsid w:val="00C6183B"/>
    <w:rsid w:val="00C6568C"/>
    <w:rsid w:val="00C6611C"/>
    <w:rsid w:val="00C772BB"/>
    <w:rsid w:val="00C81F01"/>
    <w:rsid w:val="00C841CA"/>
    <w:rsid w:val="00C901DA"/>
    <w:rsid w:val="00C97BF1"/>
    <w:rsid w:val="00CA0384"/>
    <w:rsid w:val="00CA1E7C"/>
    <w:rsid w:val="00CB0096"/>
    <w:rsid w:val="00CB087E"/>
    <w:rsid w:val="00CB5F24"/>
    <w:rsid w:val="00CB6092"/>
    <w:rsid w:val="00CC5482"/>
    <w:rsid w:val="00CC73A3"/>
    <w:rsid w:val="00CD11FA"/>
    <w:rsid w:val="00CD4893"/>
    <w:rsid w:val="00CD704E"/>
    <w:rsid w:val="00CE4E30"/>
    <w:rsid w:val="00CE5256"/>
    <w:rsid w:val="00CE535E"/>
    <w:rsid w:val="00CF4FA7"/>
    <w:rsid w:val="00CF569E"/>
    <w:rsid w:val="00CF700E"/>
    <w:rsid w:val="00D00810"/>
    <w:rsid w:val="00D10359"/>
    <w:rsid w:val="00D11A6D"/>
    <w:rsid w:val="00D13619"/>
    <w:rsid w:val="00D14C02"/>
    <w:rsid w:val="00D16403"/>
    <w:rsid w:val="00D17DFB"/>
    <w:rsid w:val="00D255C3"/>
    <w:rsid w:val="00D26588"/>
    <w:rsid w:val="00D32E65"/>
    <w:rsid w:val="00D41D6E"/>
    <w:rsid w:val="00D55443"/>
    <w:rsid w:val="00D558FA"/>
    <w:rsid w:val="00D93512"/>
    <w:rsid w:val="00D97E84"/>
    <w:rsid w:val="00DA4B23"/>
    <w:rsid w:val="00DB1184"/>
    <w:rsid w:val="00DB79BE"/>
    <w:rsid w:val="00DC153D"/>
    <w:rsid w:val="00DC2DD2"/>
    <w:rsid w:val="00DC45B2"/>
    <w:rsid w:val="00DC7A0C"/>
    <w:rsid w:val="00DD200A"/>
    <w:rsid w:val="00DD2319"/>
    <w:rsid w:val="00DD4511"/>
    <w:rsid w:val="00DE0F61"/>
    <w:rsid w:val="00DE5A9B"/>
    <w:rsid w:val="00DF6A21"/>
    <w:rsid w:val="00DF74C6"/>
    <w:rsid w:val="00E00BC1"/>
    <w:rsid w:val="00E01F65"/>
    <w:rsid w:val="00E0709F"/>
    <w:rsid w:val="00E17BB4"/>
    <w:rsid w:val="00E2185B"/>
    <w:rsid w:val="00E34A24"/>
    <w:rsid w:val="00E37088"/>
    <w:rsid w:val="00E3799A"/>
    <w:rsid w:val="00E41D07"/>
    <w:rsid w:val="00E42523"/>
    <w:rsid w:val="00E44F5F"/>
    <w:rsid w:val="00E45CFC"/>
    <w:rsid w:val="00E472E0"/>
    <w:rsid w:val="00E5016A"/>
    <w:rsid w:val="00E51EFC"/>
    <w:rsid w:val="00E56129"/>
    <w:rsid w:val="00E7038D"/>
    <w:rsid w:val="00E7089D"/>
    <w:rsid w:val="00E751B4"/>
    <w:rsid w:val="00E802AE"/>
    <w:rsid w:val="00E82CC1"/>
    <w:rsid w:val="00E86072"/>
    <w:rsid w:val="00E87224"/>
    <w:rsid w:val="00E934A2"/>
    <w:rsid w:val="00E93715"/>
    <w:rsid w:val="00E95EF2"/>
    <w:rsid w:val="00E9645C"/>
    <w:rsid w:val="00E97F83"/>
    <w:rsid w:val="00EA6800"/>
    <w:rsid w:val="00EB1875"/>
    <w:rsid w:val="00EB30C3"/>
    <w:rsid w:val="00EB3D39"/>
    <w:rsid w:val="00EB43DB"/>
    <w:rsid w:val="00EB757C"/>
    <w:rsid w:val="00EB7914"/>
    <w:rsid w:val="00EC018C"/>
    <w:rsid w:val="00EC2B67"/>
    <w:rsid w:val="00EC4BE9"/>
    <w:rsid w:val="00EC53AA"/>
    <w:rsid w:val="00EC68F1"/>
    <w:rsid w:val="00ED1D0D"/>
    <w:rsid w:val="00ED5D4C"/>
    <w:rsid w:val="00EE4B0E"/>
    <w:rsid w:val="00EF18CD"/>
    <w:rsid w:val="00EF2CB7"/>
    <w:rsid w:val="00EF2D73"/>
    <w:rsid w:val="00EF3F86"/>
    <w:rsid w:val="00F06C86"/>
    <w:rsid w:val="00F170DD"/>
    <w:rsid w:val="00F17926"/>
    <w:rsid w:val="00F21901"/>
    <w:rsid w:val="00F21D36"/>
    <w:rsid w:val="00F23C7C"/>
    <w:rsid w:val="00F25730"/>
    <w:rsid w:val="00F318FD"/>
    <w:rsid w:val="00F329AB"/>
    <w:rsid w:val="00F3591F"/>
    <w:rsid w:val="00F566D8"/>
    <w:rsid w:val="00F651A5"/>
    <w:rsid w:val="00F67409"/>
    <w:rsid w:val="00F75E00"/>
    <w:rsid w:val="00F77544"/>
    <w:rsid w:val="00F82CEB"/>
    <w:rsid w:val="00F8578B"/>
    <w:rsid w:val="00F87A32"/>
    <w:rsid w:val="00F90A79"/>
    <w:rsid w:val="00F95D06"/>
    <w:rsid w:val="00F96115"/>
    <w:rsid w:val="00FA0917"/>
    <w:rsid w:val="00FA27A8"/>
    <w:rsid w:val="00FB00DF"/>
    <w:rsid w:val="00FB177A"/>
    <w:rsid w:val="00FB6B85"/>
    <w:rsid w:val="00FC4350"/>
    <w:rsid w:val="00FC493E"/>
    <w:rsid w:val="00FC7612"/>
    <w:rsid w:val="00FD1F54"/>
    <w:rsid w:val="00FD3A92"/>
    <w:rsid w:val="00FD3F3C"/>
    <w:rsid w:val="00FD4F82"/>
    <w:rsid w:val="00FD51C8"/>
    <w:rsid w:val="00FD5AB8"/>
    <w:rsid w:val="00FD6F71"/>
    <w:rsid w:val="00FE7431"/>
    <w:rsid w:val="00FE756F"/>
    <w:rsid w:val="00FF47B8"/>
    <w:rsid w:val="00FF77F1"/>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F5A082"/>
  <w15:docId w15:val="{CA6F5244-1C2F-458F-AD6D-CB4D80249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link w:val="ANormalChar"/>
    <w:qFormat/>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uiPriority w:val="39"/>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character" w:customStyle="1" w:styleId="ANormalChar">
    <w:name w:val="ANormal Char"/>
    <w:link w:val="ANormal"/>
    <w:rsid w:val="0028660F"/>
    <w:rPr>
      <w:sz w:val="22"/>
      <w:lang w:val="sv-SE" w:eastAsia="sv-SE"/>
    </w:rPr>
  </w:style>
  <w:style w:type="paragraph" w:styleId="Ballongtext">
    <w:name w:val="Balloon Text"/>
    <w:basedOn w:val="Normal"/>
    <w:link w:val="BallongtextChar"/>
    <w:rsid w:val="00B266EA"/>
    <w:rPr>
      <w:rFonts w:ascii="Tahoma" w:hAnsi="Tahoma" w:cs="Tahoma"/>
      <w:sz w:val="16"/>
      <w:szCs w:val="16"/>
    </w:rPr>
  </w:style>
  <w:style w:type="character" w:customStyle="1" w:styleId="BallongtextChar">
    <w:name w:val="Ballongtext Char"/>
    <w:basedOn w:val="Standardstycketeckensnitt"/>
    <w:link w:val="Ballongtext"/>
    <w:rsid w:val="00B266EA"/>
    <w:rPr>
      <w:rFonts w:ascii="Tahoma" w:hAnsi="Tahoma" w:cs="Tahoma"/>
      <w:sz w:val="16"/>
      <w:szCs w:val="16"/>
      <w:lang w:val="sv-SE" w:eastAsia="sv-SE"/>
    </w:rPr>
  </w:style>
  <w:style w:type="paragraph" w:customStyle="1" w:styleId="anormal0">
    <w:name w:val="anormal"/>
    <w:basedOn w:val="Normal"/>
    <w:rsid w:val="00AA1C2B"/>
    <w:pPr>
      <w:spacing w:before="100" w:beforeAutospacing="1" w:after="100" w:afterAutospacing="1"/>
    </w:pPr>
    <w:rPr>
      <w:lang w:val="sv-FI" w:eastAsia="sv-FI"/>
    </w:rPr>
  </w:style>
  <w:style w:type="paragraph" w:customStyle="1" w:styleId="lagparagraf0">
    <w:name w:val="lagparagraf"/>
    <w:basedOn w:val="Normal"/>
    <w:rsid w:val="00AA1C2B"/>
    <w:pPr>
      <w:spacing w:before="100" w:beforeAutospacing="1" w:after="100" w:afterAutospacing="1"/>
    </w:pPr>
    <w:rPr>
      <w:lang w:val="sv-FI" w:eastAsia="sv-FI"/>
    </w:rPr>
  </w:style>
  <w:style w:type="paragraph" w:customStyle="1" w:styleId="lagpararubrik0">
    <w:name w:val="lagpararubrik"/>
    <w:basedOn w:val="Normal"/>
    <w:rsid w:val="00AA1C2B"/>
    <w:pPr>
      <w:spacing w:before="100" w:beforeAutospacing="1" w:after="100" w:afterAutospacing="1"/>
    </w:pPr>
    <w:rPr>
      <w:lang w:val="sv-FI" w:eastAsia="sv-FI"/>
    </w:rPr>
  </w:style>
  <w:style w:type="paragraph" w:styleId="Liststycke">
    <w:name w:val="List Paragraph"/>
    <w:basedOn w:val="Normal"/>
    <w:uiPriority w:val="34"/>
    <w:qFormat/>
    <w:rsid w:val="0031113B"/>
    <w:pPr>
      <w:ind w:left="720"/>
      <w:contextualSpacing/>
    </w:pPr>
  </w:style>
  <w:style w:type="paragraph" w:styleId="Fotnotstext">
    <w:name w:val="footnote text"/>
    <w:basedOn w:val="Normal"/>
    <w:link w:val="FotnotstextChar"/>
    <w:semiHidden/>
    <w:unhideWhenUsed/>
    <w:rsid w:val="00C0237C"/>
    <w:rPr>
      <w:sz w:val="20"/>
      <w:szCs w:val="20"/>
    </w:rPr>
  </w:style>
  <w:style w:type="character" w:customStyle="1" w:styleId="FotnotstextChar">
    <w:name w:val="Fotnotstext Char"/>
    <w:basedOn w:val="Standardstycketeckensnitt"/>
    <w:link w:val="Fotnotstext"/>
    <w:semiHidden/>
    <w:rsid w:val="00C0237C"/>
    <w:rPr>
      <w:lang w:val="sv-SE" w:eastAsia="sv-SE"/>
    </w:rPr>
  </w:style>
  <w:style w:type="character" w:styleId="Fotnotsreferens">
    <w:name w:val="footnote reference"/>
    <w:basedOn w:val="Standardstycketeckensnitt"/>
    <w:semiHidden/>
    <w:unhideWhenUsed/>
    <w:rsid w:val="00C0237C"/>
    <w:rPr>
      <w:vertAlign w:val="superscript"/>
    </w:rPr>
  </w:style>
  <w:style w:type="paragraph" w:styleId="Oformateradtext">
    <w:name w:val="Plain Text"/>
    <w:basedOn w:val="Normal"/>
    <w:link w:val="OformateradtextChar"/>
    <w:uiPriority w:val="99"/>
    <w:semiHidden/>
    <w:unhideWhenUsed/>
    <w:rsid w:val="000A17FF"/>
    <w:rPr>
      <w:rFonts w:ascii="Calibri" w:eastAsiaTheme="minorHAnsi" w:hAnsi="Calibri" w:cstheme="minorBidi"/>
      <w:sz w:val="22"/>
      <w:szCs w:val="21"/>
      <w:lang w:val="sv-FI" w:eastAsia="en-US"/>
    </w:rPr>
  </w:style>
  <w:style w:type="character" w:customStyle="1" w:styleId="OformateradtextChar">
    <w:name w:val="Oformaterad text Char"/>
    <w:basedOn w:val="Standardstycketeckensnitt"/>
    <w:link w:val="Oformateradtext"/>
    <w:uiPriority w:val="99"/>
    <w:semiHidden/>
    <w:rsid w:val="000A17FF"/>
    <w:rPr>
      <w:rFonts w:ascii="Calibri" w:eastAsiaTheme="minorHAnsi" w:hAnsi="Calibri" w:cstheme="minorBidi"/>
      <w:sz w:val="22"/>
      <w:szCs w:val="21"/>
      <w:lang w:eastAsia="en-US"/>
    </w:rPr>
  </w:style>
  <w:style w:type="table" w:styleId="Tabellrutnt">
    <w:name w:val="Table Grid"/>
    <w:basedOn w:val="Normaltabell"/>
    <w:rsid w:val="00BD2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23580">
      <w:bodyDiv w:val="1"/>
      <w:marLeft w:val="0"/>
      <w:marRight w:val="0"/>
      <w:marTop w:val="0"/>
      <w:marBottom w:val="0"/>
      <w:divBdr>
        <w:top w:val="none" w:sz="0" w:space="0" w:color="auto"/>
        <w:left w:val="none" w:sz="0" w:space="0" w:color="auto"/>
        <w:bottom w:val="none" w:sz="0" w:space="0" w:color="auto"/>
        <w:right w:val="none" w:sz="0" w:space="0" w:color="auto"/>
      </w:divBdr>
    </w:div>
    <w:div w:id="255789182">
      <w:bodyDiv w:val="1"/>
      <w:marLeft w:val="0"/>
      <w:marRight w:val="0"/>
      <w:marTop w:val="0"/>
      <w:marBottom w:val="0"/>
      <w:divBdr>
        <w:top w:val="none" w:sz="0" w:space="0" w:color="auto"/>
        <w:left w:val="none" w:sz="0" w:space="0" w:color="auto"/>
        <w:bottom w:val="none" w:sz="0" w:space="0" w:color="auto"/>
        <w:right w:val="none" w:sz="0" w:space="0" w:color="auto"/>
      </w:divBdr>
    </w:div>
    <w:div w:id="339935351">
      <w:bodyDiv w:val="1"/>
      <w:marLeft w:val="0"/>
      <w:marRight w:val="0"/>
      <w:marTop w:val="0"/>
      <w:marBottom w:val="0"/>
      <w:divBdr>
        <w:top w:val="none" w:sz="0" w:space="0" w:color="auto"/>
        <w:left w:val="none" w:sz="0" w:space="0" w:color="auto"/>
        <w:bottom w:val="none" w:sz="0" w:space="0" w:color="auto"/>
        <w:right w:val="none" w:sz="0" w:space="0" w:color="auto"/>
      </w:divBdr>
    </w:div>
    <w:div w:id="502403221">
      <w:bodyDiv w:val="1"/>
      <w:marLeft w:val="0"/>
      <w:marRight w:val="0"/>
      <w:marTop w:val="0"/>
      <w:marBottom w:val="0"/>
      <w:divBdr>
        <w:top w:val="none" w:sz="0" w:space="0" w:color="auto"/>
        <w:left w:val="none" w:sz="0" w:space="0" w:color="auto"/>
        <w:bottom w:val="none" w:sz="0" w:space="0" w:color="auto"/>
        <w:right w:val="none" w:sz="0" w:space="0" w:color="auto"/>
      </w:divBdr>
    </w:div>
    <w:div w:id="516504247">
      <w:bodyDiv w:val="1"/>
      <w:marLeft w:val="0"/>
      <w:marRight w:val="0"/>
      <w:marTop w:val="0"/>
      <w:marBottom w:val="0"/>
      <w:divBdr>
        <w:top w:val="none" w:sz="0" w:space="0" w:color="auto"/>
        <w:left w:val="none" w:sz="0" w:space="0" w:color="auto"/>
        <w:bottom w:val="none" w:sz="0" w:space="0" w:color="auto"/>
        <w:right w:val="none" w:sz="0" w:space="0" w:color="auto"/>
      </w:divBdr>
    </w:div>
    <w:div w:id="683285808">
      <w:bodyDiv w:val="1"/>
      <w:marLeft w:val="0"/>
      <w:marRight w:val="0"/>
      <w:marTop w:val="0"/>
      <w:marBottom w:val="0"/>
      <w:divBdr>
        <w:top w:val="none" w:sz="0" w:space="0" w:color="auto"/>
        <w:left w:val="none" w:sz="0" w:space="0" w:color="auto"/>
        <w:bottom w:val="none" w:sz="0" w:space="0" w:color="auto"/>
        <w:right w:val="none" w:sz="0" w:space="0" w:color="auto"/>
      </w:divBdr>
    </w:div>
    <w:div w:id="1280263328">
      <w:bodyDiv w:val="1"/>
      <w:marLeft w:val="0"/>
      <w:marRight w:val="0"/>
      <w:marTop w:val="0"/>
      <w:marBottom w:val="0"/>
      <w:divBdr>
        <w:top w:val="none" w:sz="0" w:space="0" w:color="auto"/>
        <w:left w:val="none" w:sz="0" w:space="0" w:color="auto"/>
        <w:bottom w:val="none" w:sz="0" w:space="0" w:color="auto"/>
        <w:right w:val="none" w:sz="0" w:space="0" w:color="auto"/>
      </w:divBdr>
    </w:div>
    <w:div w:id="2076194907">
      <w:bodyDiv w:val="1"/>
      <w:marLeft w:val="0"/>
      <w:marRight w:val="0"/>
      <w:marTop w:val="0"/>
      <w:marBottom w:val="0"/>
      <w:divBdr>
        <w:top w:val="none" w:sz="0" w:space="0" w:color="auto"/>
        <w:left w:val="none" w:sz="0" w:space="0" w:color="auto"/>
        <w:bottom w:val="none" w:sz="0" w:space="0" w:color="auto"/>
        <w:right w:val="none" w:sz="0" w:space="0" w:color="auto"/>
      </w:divBdr>
    </w:div>
    <w:div w:id="214296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r>
              <a:rPr lang="sv-FI" sz="1400" dirty="0"/>
              <a:t>Årsverken och anställda</a:t>
            </a:r>
            <a:r>
              <a:rPr lang="sv-FI" sz="1400" baseline="0" dirty="0"/>
              <a:t> 2022</a:t>
            </a:r>
            <a:r>
              <a:rPr lang="sv-FI" sz="1400" b="0" i="0" u="none" strike="noStrike" baseline="0"/>
              <a:t>–</a:t>
            </a:r>
            <a:r>
              <a:rPr lang="sv-FI" sz="1400" baseline="0" dirty="0"/>
              <a:t>2024 </a:t>
            </a:r>
            <a:endParaRPr lang="sv-FI" sz="1400" dirty="0"/>
          </a:p>
        </c:rich>
      </c:tx>
      <c:layout>
        <c:manualLayout>
          <c:xMode val="edge"/>
          <c:yMode val="edge"/>
          <c:x val="0.21168892950881141"/>
          <c:y val="1.821326072558687E-3"/>
        </c:manualLayout>
      </c:layout>
      <c:overlay val="0"/>
      <c:spPr>
        <a:noFill/>
        <a:ln>
          <a:noFill/>
        </a:ln>
        <a:effectLst/>
      </c:spPr>
      <c:txPr>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endParaRPr lang="sv-FI"/>
        </a:p>
      </c:txPr>
    </c:title>
    <c:autoTitleDeleted val="0"/>
    <c:plotArea>
      <c:layout>
        <c:manualLayout>
          <c:layoutTarget val="inner"/>
          <c:xMode val="edge"/>
          <c:yMode val="edge"/>
          <c:x val="6.8955831692913389E-2"/>
          <c:y val="0.11492568190663867"/>
          <c:w val="0.91541916830708658"/>
          <c:h val="0.76772959105994154"/>
        </c:manualLayout>
      </c:layout>
      <c:lineChart>
        <c:grouping val="standard"/>
        <c:varyColors val="0"/>
        <c:ser>
          <c:idx val="0"/>
          <c:order val="0"/>
          <c:tx>
            <c:strRef>
              <c:f>Blad1!$B$1</c:f>
              <c:strCache>
                <c:ptCount val="1"/>
                <c:pt idx="0">
                  <c:v>Årsverken</c:v>
                </c:pt>
              </c:strCache>
            </c:strRef>
          </c:tx>
          <c:spPr>
            <a:ln w="28575" cap="rnd">
              <a:solidFill>
                <a:schemeClr val="accent1"/>
              </a:solidFill>
              <a:round/>
            </a:ln>
            <a:effectLst/>
          </c:spPr>
          <c:marker>
            <c:symbol val="none"/>
          </c:marker>
          <c:dLbls>
            <c:dLbl>
              <c:idx val="0"/>
              <c:layout>
                <c:manualLayout>
                  <c:x val="-3.8240088410001427E-2"/>
                  <c:y val="-2.7968027925980285E-2"/>
                </c:manualLayout>
              </c:layout>
              <c:spPr>
                <a:noFill/>
                <a:ln>
                  <a:noFill/>
                </a:ln>
                <a:effectLst/>
              </c:spPr>
              <c:txPr>
                <a:bodyPr rot="0" spcFirstLastPara="1" vertOverflow="ellipsis" vert="horz" wrap="square" lIns="38100" tIns="19050" rIns="38100" bIns="19050" anchor="ctr" anchorCtr="1">
                  <a:noAutofit/>
                </a:bodyPr>
                <a:lstStyle/>
                <a:p>
                  <a:pPr>
                    <a:defRPr sz="1197" b="0" i="0" u="none" strike="noStrike" kern="1200" baseline="0">
                      <a:solidFill>
                        <a:schemeClr val="tx1">
                          <a:lumMod val="75000"/>
                          <a:lumOff val="25000"/>
                        </a:schemeClr>
                      </a:solidFill>
                      <a:latin typeface="+mn-lt"/>
                      <a:ea typeface="+mn-ea"/>
                      <a:cs typeface="+mn-cs"/>
                    </a:defRPr>
                  </a:pPr>
                  <a:endParaRPr lang="sv-FI"/>
                </a:p>
              </c:txPr>
              <c:showLegendKey val="0"/>
              <c:showVal val="1"/>
              <c:showCatName val="0"/>
              <c:showSerName val="0"/>
              <c:showPercent val="0"/>
              <c:showBubbleSize val="0"/>
              <c:extLst>
                <c:ext xmlns:c15="http://schemas.microsoft.com/office/drawing/2012/chart" uri="{CE6537A1-D6FC-4f65-9D91-7224C49458BB}">
                  <c15:layout>
                    <c:manualLayout>
                      <c:w val="9.1449095178892117E-2"/>
                      <c:h val="4.7676206721011256E-2"/>
                    </c:manualLayout>
                  </c15:layout>
                </c:ext>
                <c:ext xmlns:c16="http://schemas.microsoft.com/office/drawing/2014/chart" uri="{C3380CC4-5D6E-409C-BE32-E72D297353CC}">
                  <c16:uniqueId val="{00000000-155D-4155-905C-67C8AEAD2234}"/>
                </c:ext>
              </c:extLst>
            </c:dLbl>
            <c:dLbl>
              <c:idx val="1"/>
              <c:layout>
                <c:manualLayout>
                  <c:x val="-2.3437500000000059E-2"/>
                  <c:y val="-2.34374985582247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55D-4155-905C-67C8AEAD2234}"/>
                </c:ext>
              </c:extLst>
            </c:dLbl>
            <c:dLbl>
              <c:idx val="2"/>
              <c:layout>
                <c:manualLayout>
                  <c:x val="-4.0625000000000001E-2"/>
                  <c:y val="-2.5781248414047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55D-4155-905C-67C8AEAD2234}"/>
                </c:ext>
              </c:extLst>
            </c:dLbl>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sv-F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Blad1!$A$2:$A$4</c:f>
              <c:numCache>
                <c:formatCode>General</c:formatCode>
                <c:ptCount val="3"/>
                <c:pt idx="0">
                  <c:v>2022</c:v>
                </c:pt>
                <c:pt idx="1">
                  <c:v>2023</c:v>
                </c:pt>
                <c:pt idx="2">
                  <c:v>2024</c:v>
                </c:pt>
              </c:numCache>
            </c:numRef>
          </c:cat>
          <c:val>
            <c:numRef>
              <c:f>Blad1!$B$2:$B$4</c:f>
              <c:numCache>
                <c:formatCode>General</c:formatCode>
                <c:ptCount val="3"/>
                <c:pt idx="0">
                  <c:v>1680</c:v>
                </c:pt>
                <c:pt idx="1">
                  <c:v>1679</c:v>
                </c:pt>
                <c:pt idx="2">
                  <c:v>1702</c:v>
                </c:pt>
              </c:numCache>
            </c:numRef>
          </c:val>
          <c:smooth val="0"/>
          <c:extLst>
            <c:ext xmlns:c16="http://schemas.microsoft.com/office/drawing/2014/chart" uri="{C3380CC4-5D6E-409C-BE32-E72D297353CC}">
              <c16:uniqueId val="{00000003-155D-4155-905C-67C8AEAD2234}"/>
            </c:ext>
          </c:extLst>
        </c:ser>
        <c:ser>
          <c:idx val="1"/>
          <c:order val="1"/>
          <c:tx>
            <c:strRef>
              <c:f>Blad1!$C$1</c:f>
              <c:strCache>
                <c:ptCount val="1"/>
                <c:pt idx="0">
                  <c:v>Anställda</c:v>
                </c:pt>
              </c:strCache>
            </c:strRef>
          </c:tx>
          <c:spPr>
            <a:ln w="28575" cap="rnd">
              <a:solidFill>
                <a:schemeClr val="accent2"/>
              </a:solidFill>
              <a:round/>
            </a:ln>
            <a:effectLst/>
          </c:spPr>
          <c:marker>
            <c:symbol val="none"/>
          </c:marker>
          <c:dLbls>
            <c:dLbl>
              <c:idx val="0"/>
              <c:layout>
                <c:manualLayout>
                  <c:x val="-3.4356679099323155E-2"/>
                  <c:y val="-4.29298206883018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55D-4155-905C-67C8AEAD2234}"/>
                </c:ext>
              </c:extLst>
            </c:dLbl>
            <c:dLbl>
              <c:idx val="1"/>
              <c:layout>
                <c:manualLayout>
                  <c:x val="-2.34375E-2"/>
                  <c:y val="-3.0468748125692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55D-4155-905C-67C8AEAD2234}"/>
                </c:ext>
              </c:extLst>
            </c:dLbl>
            <c:dLbl>
              <c:idx val="2"/>
              <c:layout>
                <c:manualLayout>
                  <c:x val="-3.5937499999999997E-2"/>
                  <c:y val="-2.5781248414047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55D-4155-905C-67C8AEAD2234}"/>
                </c:ext>
              </c:extLst>
            </c:dLbl>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sv-F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Blad1!$A$2:$A$4</c:f>
              <c:numCache>
                <c:formatCode>General</c:formatCode>
                <c:ptCount val="3"/>
                <c:pt idx="0">
                  <c:v>2022</c:v>
                </c:pt>
                <c:pt idx="1">
                  <c:v>2023</c:v>
                </c:pt>
                <c:pt idx="2">
                  <c:v>2024</c:v>
                </c:pt>
              </c:numCache>
            </c:numRef>
          </c:cat>
          <c:val>
            <c:numRef>
              <c:f>Blad1!$C$2:$C$4</c:f>
              <c:numCache>
                <c:formatCode>General</c:formatCode>
                <c:ptCount val="3"/>
                <c:pt idx="0">
                  <c:v>1837</c:v>
                </c:pt>
                <c:pt idx="1">
                  <c:v>1914</c:v>
                </c:pt>
                <c:pt idx="2">
                  <c:v>1908</c:v>
                </c:pt>
              </c:numCache>
            </c:numRef>
          </c:val>
          <c:smooth val="0"/>
          <c:extLst>
            <c:ext xmlns:c16="http://schemas.microsoft.com/office/drawing/2014/chart" uri="{C3380CC4-5D6E-409C-BE32-E72D297353CC}">
              <c16:uniqueId val="{00000007-155D-4155-905C-67C8AEAD2234}"/>
            </c:ext>
          </c:extLst>
        </c:ser>
        <c:dLbls>
          <c:showLegendKey val="0"/>
          <c:showVal val="0"/>
          <c:showCatName val="0"/>
          <c:showSerName val="0"/>
          <c:showPercent val="0"/>
          <c:showBubbleSize val="0"/>
        </c:dLbls>
        <c:smooth val="0"/>
        <c:axId val="1611064719"/>
        <c:axId val="1611067599"/>
      </c:lineChart>
      <c:catAx>
        <c:axId val="1611064719"/>
        <c:scaling>
          <c:orientation val="minMax"/>
        </c:scaling>
        <c:delete val="0"/>
        <c:axPos val="b"/>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sv-FI"/>
          </a:p>
        </c:txPr>
        <c:crossAx val="1611067599"/>
        <c:crosses val="autoZero"/>
        <c:auto val="1"/>
        <c:lblAlgn val="ctr"/>
        <c:lblOffset val="100"/>
        <c:noMultiLvlLbl val="0"/>
      </c:catAx>
      <c:valAx>
        <c:axId val="16110675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sv-FI"/>
          </a:p>
        </c:txPr>
        <c:crossAx val="1611064719"/>
        <c:crosses val="autoZero"/>
        <c:crossBetween val="between"/>
      </c:valAx>
      <c:spPr>
        <a:noFill/>
        <a:ln>
          <a:noFill/>
        </a:ln>
        <a:effectLst/>
      </c:spPr>
    </c:plotArea>
    <c:legend>
      <c:legendPos val="b"/>
      <c:layout>
        <c:manualLayout>
          <c:xMode val="edge"/>
          <c:yMode val="edge"/>
          <c:x val="0.30048367638255746"/>
          <c:y val="0.92308311461067372"/>
          <c:w val="0.46219054197172721"/>
          <c:h val="7.6916885389326339E-2"/>
        </c:manualLayout>
      </c:layout>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sv-FI"/>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sv-F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2481</Words>
  <Characters>17477</Characters>
  <Application>Microsoft Office Word</Application>
  <DocSecurity>0</DocSecurity>
  <Lines>145</Lines>
  <Paragraphs>39</Paragraphs>
  <ScaleCrop>false</ScaleCrop>
  <HeadingPairs>
    <vt:vector size="2" baseType="variant">
      <vt:variant>
        <vt:lpstr>Rubrik</vt:lpstr>
      </vt:variant>
      <vt:variant>
        <vt:i4>1</vt:i4>
      </vt:variant>
    </vt:vector>
  </HeadingPairs>
  <TitlesOfParts>
    <vt:vector size="1" baseType="lpstr">
      <vt:lpstr>Finans- och näringsutskottets betänkande nr 25/2018-2019</vt:lpstr>
    </vt:vector>
  </TitlesOfParts>
  <Company>Ålands lagting</Company>
  <LinksUpToDate>false</LinksUpToDate>
  <CharactersWithSpaces>19919</CharactersWithSpaces>
  <SharedDoc>false</SharedDoc>
  <HLinks>
    <vt:vector size="36" baseType="variant">
      <vt:variant>
        <vt:i4>262192</vt:i4>
      </vt:variant>
      <vt:variant>
        <vt:i4>33</vt:i4>
      </vt:variant>
      <vt:variant>
        <vt:i4>0</vt:i4>
      </vt:variant>
      <vt:variant>
        <vt:i4>5</vt:i4>
      </vt:variant>
      <vt:variant>
        <vt:lpwstr/>
      </vt:variant>
      <vt:variant>
        <vt:lpwstr>_top</vt:lpwstr>
      </vt:variant>
      <vt:variant>
        <vt:i4>1441854</vt:i4>
      </vt:variant>
      <vt:variant>
        <vt:i4>26</vt:i4>
      </vt:variant>
      <vt:variant>
        <vt:i4>0</vt:i4>
      </vt:variant>
      <vt:variant>
        <vt:i4>5</vt:i4>
      </vt:variant>
      <vt:variant>
        <vt:lpwstr/>
      </vt:variant>
      <vt:variant>
        <vt:lpwstr>_Toc23924616</vt:lpwstr>
      </vt:variant>
      <vt:variant>
        <vt:i4>1376318</vt:i4>
      </vt:variant>
      <vt:variant>
        <vt:i4>20</vt:i4>
      </vt:variant>
      <vt:variant>
        <vt:i4>0</vt:i4>
      </vt:variant>
      <vt:variant>
        <vt:i4>5</vt:i4>
      </vt:variant>
      <vt:variant>
        <vt:lpwstr/>
      </vt:variant>
      <vt:variant>
        <vt:lpwstr>_Toc23924615</vt:lpwstr>
      </vt:variant>
      <vt:variant>
        <vt:i4>1310782</vt:i4>
      </vt:variant>
      <vt:variant>
        <vt:i4>14</vt:i4>
      </vt:variant>
      <vt:variant>
        <vt:i4>0</vt:i4>
      </vt:variant>
      <vt:variant>
        <vt:i4>5</vt:i4>
      </vt:variant>
      <vt:variant>
        <vt:lpwstr/>
      </vt:variant>
      <vt:variant>
        <vt:lpwstr>_Toc23924614</vt:lpwstr>
      </vt:variant>
      <vt:variant>
        <vt:i4>1245246</vt:i4>
      </vt:variant>
      <vt:variant>
        <vt:i4>8</vt:i4>
      </vt:variant>
      <vt:variant>
        <vt:i4>0</vt:i4>
      </vt:variant>
      <vt:variant>
        <vt:i4>5</vt:i4>
      </vt:variant>
      <vt:variant>
        <vt:lpwstr/>
      </vt:variant>
      <vt:variant>
        <vt:lpwstr>_Toc23924613</vt:lpwstr>
      </vt:variant>
      <vt:variant>
        <vt:i4>1179710</vt:i4>
      </vt:variant>
      <vt:variant>
        <vt:i4>2</vt:i4>
      </vt:variant>
      <vt:variant>
        <vt:i4>0</vt:i4>
      </vt:variant>
      <vt:variant>
        <vt:i4>5</vt:i4>
      </vt:variant>
      <vt:variant>
        <vt:lpwstr/>
      </vt:variant>
      <vt:variant>
        <vt:lpwstr>_Toc23924612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Finans- och näringsutskottets betänkande nr 25/2018-2019</dc:title>
  <dc:creator>Jessica Laaksonen</dc:creator>
  <cp:lastModifiedBy>Jessica Laaksonen</cp:lastModifiedBy>
  <cp:revision>2</cp:revision>
  <cp:lastPrinted>2024-09-24T07:34:00Z</cp:lastPrinted>
  <dcterms:created xsi:type="dcterms:W3CDTF">2025-09-12T08:45:00Z</dcterms:created>
  <dcterms:modified xsi:type="dcterms:W3CDTF">2025-09-12T08:45:00Z</dcterms:modified>
</cp:coreProperties>
</file>