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7"/>
        <w:gridCol w:w="4439"/>
        <w:gridCol w:w="1720"/>
        <w:gridCol w:w="2565"/>
      </w:tblGrid>
      <w:tr w:rsidR="000E14E2" w14:paraId="3C8EE6EB" w14:textId="77777777" w:rsidTr="009B366B">
        <w:trPr>
          <w:cantSplit/>
          <w:trHeight w:val="20"/>
        </w:trPr>
        <w:tc>
          <w:tcPr>
            <w:tcW w:w="858" w:type="dxa"/>
          </w:tcPr>
          <w:p w14:paraId="4F7B59C9" w14:textId="77777777" w:rsidR="000E14E2" w:rsidRDefault="000E14E2">
            <w:pPr>
              <w:pStyle w:val="xLedtext"/>
              <w:keepNext/>
              <w:rPr>
                <w:noProof/>
              </w:rPr>
            </w:pPr>
          </w:p>
        </w:tc>
        <w:tc>
          <w:tcPr>
            <w:tcW w:w="8723" w:type="dxa"/>
            <w:gridSpan w:val="3"/>
            <w:vAlign w:val="bottom"/>
          </w:tcPr>
          <w:p w14:paraId="4A305DE5" w14:textId="6FEDAD83" w:rsidR="000E14E2" w:rsidRDefault="00C90082">
            <w:pPr>
              <w:pStyle w:val="xMellanrum"/>
            </w:pPr>
            <w:r>
              <w:rPr>
                <w:noProof/>
              </w:rPr>
              <w:drawing>
                <wp:inline distT="0" distB="0" distL="0" distR="0" wp14:anchorId="58AA109A" wp14:editId="03690B93">
                  <wp:extent cx="57150" cy="57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tc>
      </w:tr>
      <w:tr w:rsidR="009B366B" w14:paraId="750B6C45" w14:textId="77777777" w:rsidTr="000E14E2">
        <w:trPr>
          <w:cantSplit/>
          <w:trHeight w:val="299"/>
        </w:trPr>
        <w:tc>
          <w:tcPr>
            <w:tcW w:w="5300" w:type="dxa"/>
            <w:gridSpan w:val="2"/>
            <w:vMerge w:val="restart"/>
          </w:tcPr>
          <w:p w14:paraId="513D9F36" w14:textId="1A859517" w:rsidR="009B366B" w:rsidRDefault="00C90082">
            <w:pPr>
              <w:pStyle w:val="xAvsandare1"/>
            </w:pPr>
            <w:r>
              <w:rPr>
                <w:noProof/>
              </w:rPr>
              <w:drawing>
                <wp:inline distT="0" distB="0" distL="0" distR="0" wp14:anchorId="0F4BD072" wp14:editId="2F102C70">
                  <wp:extent cx="1809750" cy="4667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466725"/>
                          </a:xfrm>
                          <a:prstGeom prst="rect">
                            <a:avLst/>
                          </a:prstGeom>
                          <a:noFill/>
                          <a:ln>
                            <a:noFill/>
                          </a:ln>
                        </pic:spPr>
                      </pic:pic>
                    </a:graphicData>
                  </a:graphic>
                </wp:inline>
              </w:drawing>
            </w:r>
          </w:p>
        </w:tc>
        <w:tc>
          <w:tcPr>
            <w:tcW w:w="4288" w:type="dxa"/>
            <w:gridSpan w:val="2"/>
            <w:vAlign w:val="bottom"/>
          </w:tcPr>
          <w:p w14:paraId="4411AC4A" w14:textId="3030B9CF" w:rsidR="009B366B" w:rsidRPr="00F83DB7" w:rsidRDefault="009B366B" w:rsidP="00850D2A">
            <w:pPr>
              <w:pStyle w:val="xDokTypNr"/>
            </w:pPr>
            <w:r w:rsidRPr="00F83DB7">
              <w:t xml:space="preserve">YTTRANDE nr </w:t>
            </w:r>
            <w:r w:rsidR="00F83DB7" w:rsidRPr="00F83DB7">
              <w:t>3</w:t>
            </w:r>
            <w:r w:rsidRPr="00F83DB7">
              <w:t>/</w:t>
            </w:r>
            <w:proofErr w:type="gramStart"/>
            <w:r w:rsidRPr="00F83DB7">
              <w:t>20</w:t>
            </w:r>
            <w:r w:rsidR="00E20E76" w:rsidRPr="00F83DB7">
              <w:t>2</w:t>
            </w:r>
            <w:r w:rsidR="00F83DB7" w:rsidRPr="00F83DB7">
              <w:t>4</w:t>
            </w:r>
            <w:r w:rsidRPr="00F83DB7">
              <w:t>-20</w:t>
            </w:r>
            <w:r w:rsidR="00E20E76" w:rsidRPr="00F83DB7">
              <w:t>2</w:t>
            </w:r>
            <w:r w:rsidR="00F83DB7" w:rsidRPr="00F83DB7">
              <w:t>5</w:t>
            </w:r>
            <w:proofErr w:type="gramEnd"/>
            <w:r w:rsidR="00F83DB7">
              <w:t>-S</w:t>
            </w:r>
          </w:p>
        </w:tc>
      </w:tr>
      <w:tr w:rsidR="009B366B" w14:paraId="6B417484" w14:textId="77777777" w:rsidTr="009B366B">
        <w:trPr>
          <w:cantSplit/>
          <w:trHeight w:val="238"/>
        </w:trPr>
        <w:tc>
          <w:tcPr>
            <w:tcW w:w="5296" w:type="dxa"/>
            <w:gridSpan w:val="2"/>
            <w:vMerge/>
          </w:tcPr>
          <w:p w14:paraId="524587A7" w14:textId="77777777" w:rsidR="009B366B" w:rsidRDefault="009B366B">
            <w:pPr>
              <w:pStyle w:val="xLedtext"/>
            </w:pPr>
          </w:p>
        </w:tc>
        <w:tc>
          <w:tcPr>
            <w:tcW w:w="1721" w:type="dxa"/>
            <w:vAlign w:val="bottom"/>
          </w:tcPr>
          <w:p w14:paraId="507203C8" w14:textId="77777777" w:rsidR="009B366B" w:rsidRDefault="009B366B">
            <w:pPr>
              <w:pStyle w:val="xLedtext"/>
            </w:pPr>
            <w:r>
              <w:t>Datum</w:t>
            </w:r>
          </w:p>
        </w:tc>
        <w:tc>
          <w:tcPr>
            <w:tcW w:w="2564" w:type="dxa"/>
            <w:vAlign w:val="bottom"/>
          </w:tcPr>
          <w:p w14:paraId="410801FF" w14:textId="77777777" w:rsidR="009B366B" w:rsidRDefault="009B366B">
            <w:pPr>
              <w:pStyle w:val="xLedtext"/>
            </w:pPr>
          </w:p>
        </w:tc>
      </w:tr>
      <w:tr w:rsidR="009B366B" w14:paraId="4F19D9FC" w14:textId="77777777" w:rsidTr="009B366B">
        <w:trPr>
          <w:cantSplit/>
          <w:trHeight w:val="238"/>
        </w:trPr>
        <w:tc>
          <w:tcPr>
            <w:tcW w:w="5296" w:type="dxa"/>
            <w:gridSpan w:val="2"/>
            <w:vMerge/>
          </w:tcPr>
          <w:p w14:paraId="491FE6D6" w14:textId="77777777" w:rsidR="009B366B" w:rsidRDefault="009B366B">
            <w:pPr>
              <w:pStyle w:val="xAvsandare2"/>
            </w:pPr>
          </w:p>
        </w:tc>
        <w:tc>
          <w:tcPr>
            <w:tcW w:w="1721" w:type="dxa"/>
            <w:vAlign w:val="center"/>
          </w:tcPr>
          <w:p w14:paraId="67E77562" w14:textId="7CF550EC" w:rsidR="009B366B" w:rsidRDefault="009B366B" w:rsidP="00850D2A">
            <w:pPr>
              <w:pStyle w:val="xDatum1"/>
            </w:pPr>
            <w:r>
              <w:t>20</w:t>
            </w:r>
            <w:r w:rsidR="00E20E76">
              <w:t>2</w:t>
            </w:r>
            <w:r w:rsidR="00163AC0">
              <w:t>5</w:t>
            </w:r>
            <w:r>
              <w:t>-</w:t>
            </w:r>
            <w:r w:rsidR="00491686">
              <w:t>0</w:t>
            </w:r>
            <w:r w:rsidR="00163AC0">
              <w:t>9</w:t>
            </w:r>
            <w:r>
              <w:t>-</w:t>
            </w:r>
            <w:r w:rsidR="00163AC0">
              <w:t>25</w:t>
            </w:r>
          </w:p>
        </w:tc>
        <w:tc>
          <w:tcPr>
            <w:tcW w:w="2564" w:type="dxa"/>
            <w:vAlign w:val="center"/>
          </w:tcPr>
          <w:p w14:paraId="358F220B" w14:textId="77777777" w:rsidR="009B366B" w:rsidRDefault="009B366B">
            <w:pPr>
              <w:pStyle w:val="xBeteckning1"/>
            </w:pPr>
          </w:p>
        </w:tc>
      </w:tr>
      <w:tr w:rsidR="00850D2A" w14:paraId="5E15EF25" w14:textId="77777777" w:rsidTr="009B366B">
        <w:trPr>
          <w:cantSplit/>
          <w:trHeight w:val="238"/>
        </w:trPr>
        <w:tc>
          <w:tcPr>
            <w:tcW w:w="5296" w:type="dxa"/>
            <w:gridSpan w:val="2"/>
          </w:tcPr>
          <w:p w14:paraId="2DCC7828" w14:textId="77777777" w:rsidR="00850D2A" w:rsidRDefault="00850D2A">
            <w:pPr>
              <w:pStyle w:val="xLedtext"/>
            </w:pPr>
          </w:p>
        </w:tc>
        <w:tc>
          <w:tcPr>
            <w:tcW w:w="1721" w:type="dxa"/>
            <w:vAlign w:val="bottom"/>
          </w:tcPr>
          <w:p w14:paraId="182A67AE" w14:textId="77777777" w:rsidR="00850D2A" w:rsidRDefault="00850D2A">
            <w:pPr>
              <w:pStyle w:val="xLedtext"/>
            </w:pPr>
          </w:p>
        </w:tc>
        <w:tc>
          <w:tcPr>
            <w:tcW w:w="2564" w:type="dxa"/>
            <w:vAlign w:val="bottom"/>
          </w:tcPr>
          <w:p w14:paraId="2DD84D30" w14:textId="77777777" w:rsidR="00850D2A" w:rsidRDefault="00850D2A">
            <w:pPr>
              <w:pStyle w:val="xLedtext"/>
            </w:pPr>
          </w:p>
        </w:tc>
      </w:tr>
      <w:tr w:rsidR="00850D2A" w14:paraId="53391F9B" w14:textId="77777777" w:rsidTr="009B366B">
        <w:trPr>
          <w:cantSplit/>
          <w:trHeight w:val="238"/>
        </w:trPr>
        <w:tc>
          <w:tcPr>
            <w:tcW w:w="5296" w:type="dxa"/>
            <w:gridSpan w:val="2"/>
            <w:tcBorders>
              <w:bottom w:val="single" w:sz="4" w:space="0" w:color="auto"/>
            </w:tcBorders>
          </w:tcPr>
          <w:p w14:paraId="0A844DF0" w14:textId="77777777" w:rsidR="00850D2A" w:rsidRDefault="00850D2A">
            <w:pPr>
              <w:pStyle w:val="xAvsandare3"/>
            </w:pPr>
          </w:p>
        </w:tc>
        <w:tc>
          <w:tcPr>
            <w:tcW w:w="1721" w:type="dxa"/>
            <w:tcBorders>
              <w:bottom w:val="single" w:sz="4" w:space="0" w:color="auto"/>
            </w:tcBorders>
            <w:vAlign w:val="center"/>
          </w:tcPr>
          <w:p w14:paraId="10AEAE75" w14:textId="77777777" w:rsidR="00850D2A" w:rsidRDefault="00850D2A">
            <w:pPr>
              <w:pStyle w:val="xDatum2"/>
            </w:pPr>
          </w:p>
        </w:tc>
        <w:tc>
          <w:tcPr>
            <w:tcW w:w="2564" w:type="dxa"/>
            <w:tcBorders>
              <w:bottom w:val="single" w:sz="4" w:space="0" w:color="auto"/>
            </w:tcBorders>
            <w:vAlign w:val="center"/>
          </w:tcPr>
          <w:p w14:paraId="18676FCF" w14:textId="77777777" w:rsidR="00850D2A" w:rsidRDefault="00850D2A">
            <w:pPr>
              <w:pStyle w:val="xBeteckning2"/>
            </w:pPr>
          </w:p>
        </w:tc>
      </w:tr>
      <w:tr w:rsidR="000E14E2" w14:paraId="6CD93A3D" w14:textId="77777777" w:rsidTr="009B366B">
        <w:trPr>
          <w:cantSplit/>
          <w:trHeight w:val="238"/>
        </w:trPr>
        <w:tc>
          <w:tcPr>
            <w:tcW w:w="858" w:type="dxa"/>
            <w:tcBorders>
              <w:top w:val="single" w:sz="4" w:space="0" w:color="auto"/>
            </w:tcBorders>
            <w:vAlign w:val="bottom"/>
          </w:tcPr>
          <w:p w14:paraId="517E5B1E" w14:textId="77777777" w:rsidR="000E14E2" w:rsidRDefault="000E14E2">
            <w:pPr>
              <w:pStyle w:val="xLedtext"/>
            </w:pPr>
          </w:p>
        </w:tc>
        <w:tc>
          <w:tcPr>
            <w:tcW w:w="4438" w:type="dxa"/>
            <w:tcBorders>
              <w:top w:val="single" w:sz="4" w:space="0" w:color="auto"/>
            </w:tcBorders>
            <w:vAlign w:val="bottom"/>
          </w:tcPr>
          <w:p w14:paraId="777A779F" w14:textId="77777777" w:rsidR="000E14E2" w:rsidRDefault="000E14E2">
            <w:pPr>
              <w:pStyle w:val="xLedtext"/>
            </w:pPr>
          </w:p>
        </w:tc>
        <w:tc>
          <w:tcPr>
            <w:tcW w:w="4285" w:type="dxa"/>
            <w:gridSpan w:val="2"/>
            <w:tcBorders>
              <w:top w:val="single" w:sz="4" w:space="0" w:color="auto"/>
            </w:tcBorders>
            <w:vAlign w:val="bottom"/>
          </w:tcPr>
          <w:p w14:paraId="304BF3EB" w14:textId="77777777" w:rsidR="000E14E2" w:rsidRDefault="000E14E2">
            <w:pPr>
              <w:pStyle w:val="xLedtext"/>
            </w:pPr>
          </w:p>
        </w:tc>
      </w:tr>
      <w:tr w:rsidR="000E14E2" w14:paraId="233F5CF8" w14:textId="77777777" w:rsidTr="009B366B">
        <w:trPr>
          <w:cantSplit/>
          <w:trHeight w:val="238"/>
        </w:trPr>
        <w:tc>
          <w:tcPr>
            <w:tcW w:w="858" w:type="dxa"/>
          </w:tcPr>
          <w:p w14:paraId="649C1504" w14:textId="77777777" w:rsidR="000E14E2" w:rsidRDefault="000E14E2">
            <w:pPr>
              <w:pStyle w:val="xCelltext"/>
            </w:pPr>
          </w:p>
        </w:tc>
        <w:tc>
          <w:tcPr>
            <w:tcW w:w="4438" w:type="dxa"/>
            <w:vMerge w:val="restart"/>
          </w:tcPr>
          <w:p w14:paraId="52DF3928" w14:textId="77777777" w:rsidR="000E14E2" w:rsidRDefault="000E14E2">
            <w:pPr>
              <w:pStyle w:val="xMottagare1"/>
            </w:pPr>
            <w:r>
              <w:t>Till Ålands lagting</w:t>
            </w:r>
          </w:p>
        </w:tc>
        <w:tc>
          <w:tcPr>
            <w:tcW w:w="4285" w:type="dxa"/>
            <w:gridSpan w:val="2"/>
            <w:vMerge w:val="restart"/>
          </w:tcPr>
          <w:p w14:paraId="58A0934A" w14:textId="77777777" w:rsidR="000E14E2" w:rsidRDefault="000E14E2">
            <w:pPr>
              <w:pStyle w:val="xMottagare1"/>
              <w:tabs>
                <w:tab w:val="left" w:pos="2349"/>
              </w:tabs>
            </w:pPr>
          </w:p>
        </w:tc>
      </w:tr>
      <w:tr w:rsidR="000E14E2" w14:paraId="5EF13FB6" w14:textId="77777777" w:rsidTr="009B366B">
        <w:trPr>
          <w:cantSplit/>
          <w:trHeight w:val="238"/>
        </w:trPr>
        <w:tc>
          <w:tcPr>
            <w:tcW w:w="858" w:type="dxa"/>
          </w:tcPr>
          <w:p w14:paraId="50DE5CD3" w14:textId="77777777" w:rsidR="000E14E2" w:rsidRDefault="000E14E2">
            <w:pPr>
              <w:pStyle w:val="xCelltext"/>
            </w:pPr>
          </w:p>
        </w:tc>
        <w:tc>
          <w:tcPr>
            <w:tcW w:w="4438" w:type="dxa"/>
            <w:vMerge/>
            <w:vAlign w:val="center"/>
          </w:tcPr>
          <w:p w14:paraId="7D9BF679" w14:textId="77777777" w:rsidR="000E14E2" w:rsidRDefault="000E14E2">
            <w:pPr>
              <w:pStyle w:val="xCelltext"/>
            </w:pPr>
          </w:p>
        </w:tc>
        <w:tc>
          <w:tcPr>
            <w:tcW w:w="4285" w:type="dxa"/>
            <w:gridSpan w:val="2"/>
            <w:vMerge/>
            <w:vAlign w:val="center"/>
          </w:tcPr>
          <w:p w14:paraId="634B6868" w14:textId="77777777" w:rsidR="000E14E2" w:rsidRDefault="000E14E2">
            <w:pPr>
              <w:pStyle w:val="xCelltext"/>
            </w:pPr>
          </w:p>
        </w:tc>
      </w:tr>
      <w:tr w:rsidR="000E14E2" w14:paraId="27DE8C5C" w14:textId="77777777" w:rsidTr="009B366B">
        <w:trPr>
          <w:cantSplit/>
          <w:trHeight w:val="238"/>
        </w:trPr>
        <w:tc>
          <w:tcPr>
            <w:tcW w:w="858" w:type="dxa"/>
          </w:tcPr>
          <w:p w14:paraId="68261277" w14:textId="77777777" w:rsidR="000E14E2" w:rsidRDefault="000E14E2">
            <w:pPr>
              <w:pStyle w:val="xCelltext"/>
            </w:pPr>
          </w:p>
        </w:tc>
        <w:tc>
          <w:tcPr>
            <w:tcW w:w="4438" w:type="dxa"/>
            <w:vMerge/>
            <w:vAlign w:val="center"/>
          </w:tcPr>
          <w:p w14:paraId="179F47E8" w14:textId="77777777" w:rsidR="000E14E2" w:rsidRDefault="000E14E2">
            <w:pPr>
              <w:pStyle w:val="xCelltext"/>
            </w:pPr>
          </w:p>
        </w:tc>
        <w:tc>
          <w:tcPr>
            <w:tcW w:w="4285" w:type="dxa"/>
            <w:gridSpan w:val="2"/>
            <w:vMerge/>
            <w:vAlign w:val="center"/>
          </w:tcPr>
          <w:p w14:paraId="54965F9A" w14:textId="77777777" w:rsidR="000E14E2" w:rsidRDefault="000E14E2">
            <w:pPr>
              <w:pStyle w:val="xCelltext"/>
            </w:pPr>
          </w:p>
        </w:tc>
      </w:tr>
      <w:tr w:rsidR="000E14E2" w14:paraId="0924D997" w14:textId="77777777" w:rsidTr="009B366B">
        <w:trPr>
          <w:cantSplit/>
          <w:trHeight w:val="238"/>
        </w:trPr>
        <w:tc>
          <w:tcPr>
            <w:tcW w:w="858" w:type="dxa"/>
          </w:tcPr>
          <w:p w14:paraId="1FBB711A" w14:textId="77777777" w:rsidR="000E14E2" w:rsidRDefault="000E14E2">
            <w:pPr>
              <w:pStyle w:val="xCelltext"/>
            </w:pPr>
          </w:p>
        </w:tc>
        <w:tc>
          <w:tcPr>
            <w:tcW w:w="4438" w:type="dxa"/>
            <w:vMerge/>
            <w:vAlign w:val="center"/>
          </w:tcPr>
          <w:p w14:paraId="74EEB774" w14:textId="77777777" w:rsidR="000E14E2" w:rsidRDefault="000E14E2">
            <w:pPr>
              <w:pStyle w:val="xCelltext"/>
            </w:pPr>
          </w:p>
        </w:tc>
        <w:tc>
          <w:tcPr>
            <w:tcW w:w="4285" w:type="dxa"/>
            <w:gridSpan w:val="2"/>
            <w:vMerge/>
            <w:vAlign w:val="center"/>
          </w:tcPr>
          <w:p w14:paraId="0500C226" w14:textId="77777777" w:rsidR="000E14E2" w:rsidRDefault="000E14E2">
            <w:pPr>
              <w:pStyle w:val="xCelltext"/>
            </w:pPr>
          </w:p>
        </w:tc>
      </w:tr>
      <w:tr w:rsidR="000E14E2" w14:paraId="4284A070" w14:textId="77777777" w:rsidTr="009B366B">
        <w:trPr>
          <w:cantSplit/>
          <w:trHeight w:val="238"/>
        </w:trPr>
        <w:tc>
          <w:tcPr>
            <w:tcW w:w="858" w:type="dxa"/>
          </w:tcPr>
          <w:p w14:paraId="65BC28A8" w14:textId="77777777" w:rsidR="000E14E2" w:rsidRDefault="000E14E2">
            <w:pPr>
              <w:pStyle w:val="xCelltext"/>
            </w:pPr>
          </w:p>
        </w:tc>
        <w:tc>
          <w:tcPr>
            <w:tcW w:w="4438" w:type="dxa"/>
            <w:vMerge/>
            <w:vAlign w:val="center"/>
          </w:tcPr>
          <w:p w14:paraId="7E7094B6" w14:textId="77777777" w:rsidR="000E14E2" w:rsidRDefault="000E14E2">
            <w:pPr>
              <w:pStyle w:val="xCelltext"/>
            </w:pPr>
          </w:p>
        </w:tc>
        <w:tc>
          <w:tcPr>
            <w:tcW w:w="4285" w:type="dxa"/>
            <w:gridSpan w:val="2"/>
            <w:vMerge/>
            <w:vAlign w:val="center"/>
          </w:tcPr>
          <w:p w14:paraId="40060899" w14:textId="77777777" w:rsidR="000E14E2" w:rsidRDefault="000E14E2">
            <w:pPr>
              <w:pStyle w:val="xCelltext"/>
            </w:pPr>
          </w:p>
        </w:tc>
      </w:tr>
    </w:tbl>
    <w:p w14:paraId="750BADC5" w14:textId="77777777" w:rsidR="000E14E2" w:rsidRDefault="000E14E2">
      <w:pPr>
        <w:rPr>
          <w:b/>
          <w:bCs/>
        </w:rPr>
        <w:sectPr w:rsidR="000E14E2">
          <w:footerReference w:type="even" r:id="rId9"/>
          <w:footerReference w:type="default" r:id="rId10"/>
          <w:pgSz w:w="11906" w:h="16838" w:code="9"/>
          <w:pgMar w:top="567" w:right="1134" w:bottom="1134" w:left="1191" w:header="624" w:footer="851" w:gutter="0"/>
          <w:cols w:space="708"/>
          <w:docGrid w:linePitch="360"/>
        </w:sectPr>
      </w:pPr>
    </w:p>
    <w:p w14:paraId="5C164A89" w14:textId="77777777" w:rsidR="00711FC2" w:rsidRDefault="00363052" w:rsidP="00711FC2">
      <w:pPr>
        <w:pStyle w:val="ArendeOverRubrik"/>
      </w:pPr>
      <w:r>
        <w:t xml:space="preserve">Landskapsregeringens </w:t>
      </w:r>
      <w:r w:rsidR="00711FC2">
        <w:t>yttrande</w:t>
      </w:r>
    </w:p>
    <w:p w14:paraId="5E36603B" w14:textId="22CAB027" w:rsidR="00711FC2" w:rsidRDefault="00491686" w:rsidP="00491686">
      <w:pPr>
        <w:pStyle w:val="ArendeRubrik"/>
      </w:pPr>
      <w:r>
        <w:t>Yttrande över republikens presidents framställning till Ålands lagting om godkännande av kommunikationsministeriets förordning om det multilaterala avtalet M3</w:t>
      </w:r>
      <w:r w:rsidR="00163AC0">
        <w:t>64</w:t>
      </w:r>
      <w:r>
        <w:t xml:space="preserve"> enligt </w:t>
      </w:r>
      <w:r w:rsidR="00163AC0">
        <w:t>punkt</w:t>
      </w:r>
      <w:r>
        <w:t xml:space="preserve"> 1.5</w:t>
      </w:r>
      <w:r w:rsidR="00163AC0">
        <w:t>.1</w:t>
      </w:r>
      <w:r>
        <w:t xml:space="preserve"> i bilaga A till överenskommelsen om internationell transport av farligt gods på väg (ADR)</w:t>
      </w:r>
    </w:p>
    <w:p w14:paraId="671697F0" w14:textId="0A31AAE0" w:rsidR="00711FC2" w:rsidRDefault="00711FC2" w:rsidP="00711FC2">
      <w:pPr>
        <w:pStyle w:val="ArendeUnderRubrik"/>
      </w:pPr>
      <w:r w:rsidRPr="00AC4B07">
        <w:t xml:space="preserve">Republikens presidents framställning nr </w:t>
      </w:r>
      <w:r w:rsidR="00163AC0">
        <w:t>3</w:t>
      </w:r>
      <w:r w:rsidRPr="00AC4B07">
        <w:t>/</w:t>
      </w:r>
      <w:proofErr w:type="gramStart"/>
      <w:r w:rsidRPr="00AC4B07">
        <w:t>20</w:t>
      </w:r>
      <w:r w:rsidR="002E5308" w:rsidRPr="00AC4B07">
        <w:t>2</w:t>
      </w:r>
      <w:r w:rsidR="00163AC0">
        <w:t>4</w:t>
      </w:r>
      <w:r w:rsidRPr="00AC4B07">
        <w:t>-20</w:t>
      </w:r>
      <w:r w:rsidR="002E5308" w:rsidRPr="00AC4B07">
        <w:t>2</w:t>
      </w:r>
      <w:r w:rsidR="00163AC0">
        <w:t>5</w:t>
      </w:r>
      <w:proofErr w:type="gramEnd"/>
    </w:p>
    <w:p w14:paraId="0F111D7C" w14:textId="77777777" w:rsidR="00363052" w:rsidRDefault="00363052" w:rsidP="00304390">
      <w:pPr>
        <w:pStyle w:val="RubrikA"/>
      </w:pPr>
    </w:p>
    <w:p w14:paraId="1EA4E5D5" w14:textId="6006A32A" w:rsidR="000E14E2" w:rsidRDefault="005C5CBA" w:rsidP="00304390">
      <w:pPr>
        <w:pStyle w:val="RubrikA"/>
      </w:pPr>
      <w:r>
        <w:t>Bakgrund</w:t>
      </w:r>
    </w:p>
    <w:p w14:paraId="3711D04E" w14:textId="77777777" w:rsidR="00850D2A" w:rsidRDefault="00850D2A" w:rsidP="00850D2A">
      <w:pPr>
        <w:pStyle w:val="Rubrikmellanrum"/>
      </w:pPr>
    </w:p>
    <w:p w14:paraId="2BFD4E05" w14:textId="1E58967D" w:rsidR="005C5CBA" w:rsidRDefault="0068054C" w:rsidP="00850D2A">
      <w:pPr>
        <w:pStyle w:val="ANormal"/>
      </w:pPr>
      <w:r>
        <w:t xml:space="preserve">Ålands lagting har den </w:t>
      </w:r>
      <w:r w:rsidR="009B4768">
        <w:t>13</w:t>
      </w:r>
      <w:r w:rsidR="006F1772">
        <w:t xml:space="preserve"> </w:t>
      </w:r>
      <w:r w:rsidR="009B4768">
        <w:t>augusti</w:t>
      </w:r>
      <w:r>
        <w:t xml:space="preserve"> 202</w:t>
      </w:r>
      <w:r w:rsidR="009B4768">
        <w:t>5</w:t>
      </w:r>
      <w:r>
        <w:t xml:space="preserve"> begärt </w:t>
      </w:r>
      <w:r w:rsidR="005C5CBA">
        <w:t xml:space="preserve">landskapsregeringens </w:t>
      </w:r>
      <w:r w:rsidR="00491686">
        <w:t>y</w:t>
      </w:r>
      <w:r w:rsidR="00491686" w:rsidRPr="00491686">
        <w:t>ttrande över republikens presidents framställning till Ålands lagting om</w:t>
      </w:r>
      <w:r w:rsidR="009B4768">
        <w:t xml:space="preserve"> </w:t>
      </w:r>
      <w:r w:rsidR="009B4768" w:rsidRPr="009B4768">
        <w:t>godkännande av kommunikationsministeriets förordning om det multilaterala avtalet M364 enligt punkt 1.5.1 i bilaga A till överenskommelsen om internationell transport av farligt gods på väg (ADR)</w:t>
      </w:r>
      <w:r w:rsidR="00491686">
        <w:t>.</w:t>
      </w:r>
    </w:p>
    <w:p w14:paraId="3F17A901" w14:textId="09BB546C" w:rsidR="005C5CBA" w:rsidRDefault="005C5CBA" w:rsidP="00850D2A">
      <w:pPr>
        <w:pStyle w:val="ANormal"/>
      </w:pPr>
    </w:p>
    <w:p w14:paraId="72A26A87" w14:textId="3E8015D5" w:rsidR="005C5CBA" w:rsidRDefault="005C5CBA" w:rsidP="00850D2A">
      <w:pPr>
        <w:pStyle w:val="ANormal"/>
      </w:pPr>
      <w:r w:rsidRPr="005C5CBA">
        <w:t xml:space="preserve">Eftersom </w:t>
      </w:r>
      <w:r>
        <w:t xml:space="preserve">avtalet </w:t>
      </w:r>
      <w:r w:rsidRPr="005C5CBA">
        <w:t>innehåller bestämmelser som hör till landskapets lagstiftningsbehörighet måste Ålands lagtings godkännande i enlighet med 59</w:t>
      </w:r>
      <w:r w:rsidR="006F1772">
        <w:t> </w:t>
      </w:r>
      <w:r w:rsidRPr="005C5CBA">
        <w:t>§</w:t>
      </w:r>
      <w:r w:rsidR="006F1772">
        <w:t> </w:t>
      </w:r>
      <w:r w:rsidRPr="005C5CBA">
        <w:t>1</w:t>
      </w:r>
      <w:r w:rsidR="006F1772">
        <w:t> </w:t>
      </w:r>
      <w:r w:rsidRPr="005C5CBA">
        <w:t xml:space="preserve">mom. i självstyrelselagen (1991:71) för Åland inhämtas för att </w:t>
      </w:r>
      <w:r w:rsidR="009B4768">
        <w:t>kommunikationsministeriets</w:t>
      </w:r>
      <w:r w:rsidR="00A6387B">
        <w:t xml:space="preserve"> genomförandeförordning </w:t>
      </w:r>
      <w:r w:rsidRPr="005C5CBA">
        <w:t>ska träda i kraft även på Åland.</w:t>
      </w:r>
    </w:p>
    <w:p w14:paraId="65568033" w14:textId="4281008A" w:rsidR="005C5CBA" w:rsidRDefault="005C5CBA" w:rsidP="00850D2A">
      <w:pPr>
        <w:pStyle w:val="ANormal"/>
      </w:pPr>
    </w:p>
    <w:p w14:paraId="7AC60C11" w14:textId="1AC9E9F4" w:rsidR="005C5CBA" w:rsidRDefault="005C5CBA" w:rsidP="00850D2A">
      <w:pPr>
        <w:pStyle w:val="ANormal"/>
      </w:pPr>
    </w:p>
    <w:p w14:paraId="348453DB" w14:textId="77777777" w:rsidR="005C5CBA" w:rsidRDefault="005C5CBA" w:rsidP="005C5CBA">
      <w:pPr>
        <w:pStyle w:val="RubrikA"/>
      </w:pPr>
      <w:r>
        <w:t>Behörighetsfördelning</w:t>
      </w:r>
    </w:p>
    <w:p w14:paraId="4F210032" w14:textId="4E36891E" w:rsidR="005C5CBA" w:rsidRDefault="005C5CBA" w:rsidP="005C5CBA">
      <w:pPr>
        <w:pStyle w:val="ANormal"/>
      </w:pPr>
      <w:r>
        <w:br/>
        <w:t>Enligt 18 § 6, 21 och 22 punkterna i självstyrelselagen för Åland har landskapet behörighet i fråga om bland annat allmän ordning och säkerhet, vägar och vägtrafik samt näringsverksamhet.</w:t>
      </w:r>
    </w:p>
    <w:p w14:paraId="72E021C0" w14:textId="77777777" w:rsidR="005C5CBA" w:rsidRDefault="005C5CBA" w:rsidP="00850D2A">
      <w:pPr>
        <w:pStyle w:val="ANormal"/>
      </w:pPr>
    </w:p>
    <w:p w14:paraId="588AB951" w14:textId="17BDE7C8" w:rsidR="005C5CBA" w:rsidRDefault="005C5CBA" w:rsidP="00850D2A">
      <w:pPr>
        <w:pStyle w:val="ANormal"/>
      </w:pPr>
    </w:p>
    <w:p w14:paraId="5AF1BAD1" w14:textId="77777777" w:rsidR="005C5CBA" w:rsidRDefault="005C5CBA" w:rsidP="005C5CBA">
      <w:pPr>
        <w:pStyle w:val="RubrikA"/>
      </w:pPr>
      <w:r>
        <w:t>Allmänt om ADR</w:t>
      </w:r>
    </w:p>
    <w:p w14:paraId="1D542DE0" w14:textId="77777777" w:rsidR="005C5CBA" w:rsidRDefault="005C5CBA" w:rsidP="005C5CBA">
      <w:pPr>
        <w:pStyle w:val="ANormal"/>
      </w:pPr>
    </w:p>
    <w:p w14:paraId="0698DDC3" w14:textId="2858D490" w:rsidR="005C5CBA" w:rsidRDefault="005C5CBA" w:rsidP="005C5CBA">
      <w:pPr>
        <w:pStyle w:val="ANormal"/>
      </w:pPr>
      <w:r>
        <w:t>ADR</w:t>
      </w:r>
      <w:r w:rsidR="00755281">
        <w:t xml:space="preserve"> (The </w:t>
      </w:r>
      <w:proofErr w:type="spellStart"/>
      <w:r w:rsidR="00755281">
        <w:t>European</w:t>
      </w:r>
      <w:proofErr w:type="spellEnd"/>
      <w:r w:rsidR="00755281">
        <w:t xml:space="preserve"> </w:t>
      </w:r>
      <w:proofErr w:type="spellStart"/>
      <w:r w:rsidR="00755281">
        <w:t>Agreement</w:t>
      </w:r>
      <w:proofErr w:type="spellEnd"/>
      <w:r w:rsidR="00755281">
        <w:t xml:space="preserve"> </w:t>
      </w:r>
      <w:proofErr w:type="spellStart"/>
      <w:r w:rsidR="00755281">
        <w:t>concerning</w:t>
      </w:r>
      <w:proofErr w:type="spellEnd"/>
      <w:r w:rsidR="00755281">
        <w:t xml:space="preserve"> the International </w:t>
      </w:r>
      <w:proofErr w:type="spellStart"/>
      <w:r w:rsidR="00755281">
        <w:t>Carriage</w:t>
      </w:r>
      <w:proofErr w:type="spellEnd"/>
      <w:r w:rsidR="00755281">
        <w:t xml:space="preserve"> </w:t>
      </w:r>
      <w:proofErr w:type="spellStart"/>
      <w:r w:rsidR="00755281">
        <w:t>of</w:t>
      </w:r>
      <w:proofErr w:type="spellEnd"/>
      <w:r w:rsidR="00755281">
        <w:t xml:space="preserve"> </w:t>
      </w:r>
      <w:proofErr w:type="spellStart"/>
      <w:r w:rsidR="00755281">
        <w:t>Dangerous</w:t>
      </w:r>
      <w:proofErr w:type="spellEnd"/>
      <w:r w:rsidR="00755281">
        <w:t xml:space="preserve"> Gods by Road)</w:t>
      </w:r>
      <w:r>
        <w:t xml:space="preserve"> är en europeisk överenskommelse från 1957 om transport av farligt gods i vägtrafik. Den trädde i kraft i Finland år 1979 genom att en förordning om ikraftträdande utfärdades (FFS 289/1979 och </w:t>
      </w:r>
      <w:proofErr w:type="spellStart"/>
      <w:r>
        <w:t>FördrS</w:t>
      </w:r>
      <w:proofErr w:type="spellEnd"/>
      <w:r>
        <w:t xml:space="preserve"> 23/1979). Den 20 april 2020 beslutade lagtinget att på eget initiativ ge sitt bifall till att ikraftträdandeförordningen träder i kraft också på Åland till de delar ADR faller inom landskapets behörighet. </w:t>
      </w:r>
    </w:p>
    <w:p w14:paraId="54E90F85" w14:textId="77777777" w:rsidR="005C5CBA" w:rsidRDefault="005C5CBA" w:rsidP="005C5CBA">
      <w:pPr>
        <w:pStyle w:val="ANormal"/>
      </w:pPr>
    </w:p>
    <w:p w14:paraId="4316B889" w14:textId="15467699" w:rsidR="005C5CBA" w:rsidRDefault="00491686" w:rsidP="005C5CBA">
      <w:pPr>
        <w:pStyle w:val="ANormal"/>
      </w:pPr>
      <w:r w:rsidRPr="00491686">
        <w:t xml:space="preserve">Bilagorna till ADR innehåller detaljerade bestämmelser om transport av farligt gods på väg, så kallade ADR-bestämmelser, som parterna i överenskommelsen ska följa vid internationella ADR-transporter. Bestämmelserna i ADR omfattar bland annat klassificering, avsändning, förpackning, fyllning, </w:t>
      </w:r>
      <w:r w:rsidRPr="00491686">
        <w:lastRenderedPageBreak/>
        <w:t>etikettering och märkning av farliga ämnen och föremål, upprättande av handlingar, lastning och lossning samt själva transporten. Dessutom omfattar de också krav avseende konstruktion, provning, användning och godkännande av utrustning, förpackningar, tankar och fordon i samband med transport av farliga ämnen och föremål. Överenskommelsen innehåller också bestämmelser om utbildningar, certifikat och intyg</w:t>
      </w:r>
      <w:r w:rsidR="005C5CBA">
        <w:t>.</w:t>
      </w:r>
    </w:p>
    <w:p w14:paraId="318042A7" w14:textId="0C055190" w:rsidR="005C5CBA" w:rsidRDefault="005C5CBA" w:rsidP="005C5CBA">
      <w:pPr>
        <w:pStyle w:val="ANormal"/>
      </w:pPr>
      <w:r>
        <w:t xml:space="preserve"> </w:t>
      </w:r>
    </w:p>
    <w:p w14:paraId="6B71AEF5" w14:textId="5EB68A09" w:rsidR="005C5CBA" w:rsidRDefault="005C5CBA" w:rsidP="005C5CBA">
      <w:pPr>
        <w:pStyle w:val="ANormal"/>
      </w:pPr>
      <w:r>
        <w:t xml:space="preserve">Enligt artikel 4.3 i ADR har de fördragsslutande parterna rätt att genom bilaterala eller multilaterala fördrag </w:t>
      </w:r>
      <w:r w:rsidR="00491686">
        <w:t xml:space="preserve">(separata överenskommelser) </w:t>
      </w:r>
      <w:r>
        <w:t xml:space="preserve">tillåta att farligt gods transporteras med avvikelse från ADR-bestämmelserna, under förutsättning att en säkerhetsnivå som motsvarar ADR-bestämmelserna bibehålls. </w:t>
      </w:r>
      <w:r w:rsidR="00877EEA">
        <w:t xml:space="preserve">Även Europaparlamentets och rådet direktiv 2008/68/EG om transport av farligt gods på väg, järnväg och inre vattenvägar (TFÄ-direktivet) innehåller en bestämmelse om att medlemsstaterna kan ingå multilateral separata ADR-överenskommelser.   </w:t>
      </w:r>
    </w:p>
    <w:p w14:paraId="766DD9CC" w14:textId="703BDC8C" w:rsidR="005C5CBA" w:rsidRDefault="005C5CBA" w:rsidP="00850D2A">
      <w:pPr>
        <w:pStyle w:val="ANormal"/>
      </w:pPr>
    </w:p>
    <w:p w14:paraId="4388CA4A" w14:textId="77777777" w:rsidR="006F1772" w:rsidRDefault="006F1772" w:rsidP="00850D2A">
      <w:pPr>
        <w:pStyle w:val="ANormal"/>
      </w:pPr>
    </w:p>
    <w:p w14:paraId="0A5F3147" w14:textId="32539490" w:rsidR="005C5CBA" w:rsidRDefault="005C5CBA" w:rsidP="005C5CBA">
      <w:pPr>
        <w:pStyle w:val="RubrikA"/>
      </w:pPr>
      <w:r>
        <w:t>Aktuell</w:t>
      </w:r>
      <w:r w:rsidR="005C0499">
        <w:t>t</w:t>
      </w:r>
      <w:r>
        <w:t xml:space="preserve"> tilläggsavtal till ADR</w:t>
      </w:r>
    </w:p>
    <w:p w14:paraId="2BFD7857" w14:textId="77777777" w:rsidR="005C5CBA" w:rsidRDefault="005C5CBA" w:rsidP="005C5CBA">
      <w:pPr>
        <w:pStyle w:val="ANormal"/>
      </w:pPr>
    </w:p>
    <w:p w14:paraId="7562FB6D" w14:textId="41897F9C" w:rsidR="002C7280" w:rsidRDefault="009B4768" w:rsidP="002C7280">
      <w:pPr>
        <w:pStyle w:val="ANormal"/>
      </w:pPr>
      <w:r>
        <w:t>Norge</w:t>
      </w:r>
      <w:r w:rsidR="00877EEA">
        <w:t xml:space="preserve"> </w:t>
      </w:r>
      <w:r>
        <w:t>har föreslagit</w:t>
      </w:r>
      <w:r w:rsidR="00877EEA">
        <w:t xml:space="preserve"> den multilaterala separata överenskommelsen M</w:t>
      </w:r>
      <w:r>
        <w:t>364</w:t>
      </w:r>
      <w:r w:rsidR="00877EEA">
        <w:t>.</w:t>
      </w:r>
      <w:r>
        <w:t xml:space="preserve"> I ADR-bestämmelserna ingår bland annat krav på transportenhetens godkännandecertifikat och förvaringsplatsen för dem under transporten. Vid det internationella ADR-mötet i maj 2025 beslöts det att kravet på förvaringsplats för godkännandecertifikat för en släpvagn ändras. ADR-experterna godkände att godkännandecertifikat för en släpvagn får förvaras på släpvagnen. Med avvikelse</w:t>
      </w:r>
      <w:r w:rsidR="00470B54">
        <w:t xml:space="preserve"> från ADR-bestämmelserna om handlingar som ska medföras på transportenheten behöver godkännandecertifikat för en släpvagn inte förvaras i förarhytten, förutsatt att det hålls tillgängligt på en säker plats på släpvagnen, skyddad från väder. Hittills har </w:t>
      </w:r>
      <w:r w:rsidR="002C7280">
        <w:t>M</w:t>
      </w:r>
      <w:r w:rsidR="00470B54">
        <w:t>364</w:t>
      </w:r>
      <w:r w:rsidR="002C7280">
        <w:t xml:space="preserve"> undertecknats av</w:t>
      </w:r>
      <w:r w:rsidR="00470B54">
        <w:t xml:space="preserve"> Norge, Tyskland, Förenade kungariket och Spanien</w:t>
      </w:r>
      <w:r w:rsidR="002C7280">
        <w:t xml:space="preserve">. </w:t>
      </w:r>
    </w:p>
    <w:p w14:paraId="3FC8C53C" w14:textId="77777777" w:rsidR="002C7280" w:rsidRDefault="002C7280" w:rsidP="002C7280">
      <w:pPr>
        <w:pStyle w:val="ANormal"/>
      </w:pPr>
    </w:p>
    <w:p w14:paraId="2709B560" w14:textId="341CD625" w:rsidR="002C7280" w:rsidRDefault="00470B54" w:rsidP="002C7280">
      <w:pPr>
        <w:pStyle w:val="ANormal"/>
      </w:pPr>
      <w:r>
        <w:t>Enligt framställningen innehåller d</w:t>
      </w:r>
      <w:r w:rsidR="002C7280">
        <w:t>en separata överenskommelsen</w:t>
      </w:r>
      <w:r>
        <w:t xml:space="preserve"> M364</w:t>
      </w:r>
      <w:r w:rsidR="002C7280">
        <w:t xml:space="preserve"> inte några bestämmelser som hör till området för lagstiftningen. </w:t>
      </w:r>
      <w:proofErr w:type="spellStart"/>
      <w:r w:rsidR="002C7280">
        <w:t>Ikraftsättandet</w:t>
      </w:r>
      <w:proofErr w:type="spellEnd"/>
      <w:r w:rsidR="002C7280">
        <w:t xml:space="preserve"> sker således genom förordning. Bestämmelser om </w:t>
      </w:r>
      <w:proofErr w:type="spellStart"/>
      <w:r w:rsidR="002C7280">
        <w:t>ikraftsättandet</w:t>
      </w:r>
      <w:proofErr w:type="spellEnd"/>
      <w:r w:rsidR="002C7280">
        <w:t xml:space="preserve"> av överenskommelsen utfärdades genom en förordning av kommunikationsministeriet som publicerades i Finlands författningssamlings föredragsserie. </w:t>
      </w:r>
      <w:r w:rsidR="0056495A">
        <w:t>Förordningen, som bilagts presidentens framställning,</w:t>
      </w:r>
      <w:r w:rsidR="002C7280">
        <w:t xml:space="preserve"> trädde i kraft den </w:t>
      </w:r>
      <w:r>
        <w:t>25</w:t>
      </w:r>
      <w:r w:rsidR="002C7280">
        <w:t xml:space="preserve"> </w:t>
      </w:r>
      <w:r>
        <w:t>juni</w:t>
      </w:r>
      <w:r w:rsidR="002C7280">
        <w:t xml:space="preserve"> 202</w:t>
      </w:r>
      <w:r>
        <w:t>5 och är i kraft till och med 31.12.2026.</w:t>
      </w:r>
    </w:p>
    <w:p w14:paraId="6CEAFDDF" w14:textId="6912B13F" w:rsidR="005C5CBA" w:rsidRDefault="005C5CBA" w:rsidP="00850D2A">
      <w:pPr>
        <w:pStyle w:val="ANormal"/>
      </w:pPr>
    </w:p>
    <w:p w14:paraId="0D26BA32" w14:textId="77777777" w:rsidR="00E14007" w:rsidRDefault="00E14007" w:rsidP="00850D2A">
      <w:pPr>
        <w:pStyle w:val="ANormal"/>
      </w:pPr>
    </w:p>
    <w:p w14:paraId="322AF2DE" w14:textId="4D7D48EC" w:rsidR="005C5CBA" w:rsidRDefault="005C5CBA" w:rsidP="005C5CBA">
      <w:pPr>
        <w:pStyle w:val="RubrikA"/>
      </w:pPr>
      <w:r>
        <w:t>Ställningstagande</w:t>
      </w:r>
    </w:p>
    <w:p w14:paraId="5A637706" w14:textId="34DA1399" w:rsidR="005C5CBA" w:rsidRDefault="005C5CBA" w:rsidP="00850D2A">
      <w:pPr>
        <w:pStyle w:val="ANormal"/>
      </w:pPr>
    </w:p>
    <w:p w14:paraId="3D9FFD9E" w14:textId="45B1519D" w:rsidR="005C0499" w:rsidRDefault="006F1772" w:rsidP="005C5CBA">
      <w:pPr>
        <w:pStyle w:val="ANormal"/>
      </w:pPr>
      <w:r w:rsidRPr="006F1772">
        <w:t>Landskapsregeringen konstaterar att</w:t>
      </w:r>
      <w:r>
        <w:t xml:space="preserve"> </w:t>
      </w:r>
      <w:r w:rsidR="005C0499">
        <w:t>lagtinget har lämnat bifall till att ADR ska gälla på Åland.</w:t>
      </w:r>
      <w:r w:rsidR="00647C18">
        <w:t xml:space="preserve"> Vad gäller aktuell</w:t>
      </w:r>
      <w:r w:rsidR="008F085A">
        <w:t>t</w:t>
      </w:r>
      <w:r w:rsidR="00470B54">
        <w:t xml:space="preserve"> tilläggsavtal</w:t>
      </w:r>
      <w:r w:rsidR="00647C18">
        <w:t xml:space="preserve"> </w:t>
      </w:r>
      <w:r w:rsidR="00470B54">
        <w:t xml:space="preserve">M364 </w:t>
      </w:r>
      <w:r w:rsidR="00647C18">
        <w:t xml:space="preserve">konstaterar landskapsregeringen att </w:t>
      </w:r>
      <w:r w:rsidR="00647C18" w:rsidRPr="006F1772">
        <w:t xml:space="preserve">tilläggsavtal till ADR </w:t>
      </w:r>
      <w:r w:rsidR="00647C18">
        <w:t xml:space="preserve">alltid </w:t>
      </w:r>
      <w:r w:rsidR="00647C18" w:rsidRPr="006F1772">
        <w:t>förutsätter att en säkerhetsnivå som motsvarar ADR-bestämmelserna bibehålls.</w:t>
      </w:r>
      <w:r w:rsidR="00647C18">
        <w:t xml:space="preserve"> </w:t>
      </w:r>
      <w:r w:rsidR="005C0499">
        <w:t xml:space="preserve"> </w:t>
      </w:r>
    </w:p>
    <w:p w14:paraId="14C66449" w14:textId="1A01FB25" w:rsidR="00647C18" w:rsidRDefault="00647C18" w:rsidP="005C5CBA">
      <w:pPr>
        <w:pStyle w:val="ANormal"/>
      </w:pPr>
    </w:p>
    <w:p w14:paraId="590C7DE0" w14:textId="6928DDC5" w:rsidR="00647C18" w:rsidRDefault="00647C18" w:rsidP="005C5CBA">
      <w:pPr>
        <w:pStyle w:val="ANormal"/>
      </w:pPr>
      <w:bookmarkStart w:id="0" w:name="_Hlk95471533"/>
      <w:r>
        <w:t xml:space="preserve">Transport av farligt gods på väg regleras i landskapet i </w:t>
      </w:r>
      <w:r w:rsidR="00470B54" w:rsidRPr="00470B54">
        <w:t>landskapslagen (2024:83) om tillämpning av lagen om transport av farliga ämnen samt landskapsförordning (2024:88) om tillämpning på Åland av riksförfattningar om transport farliga ämnen</w:t>
      </w:r>
      <w:r>
        <w:t xml:space="preserve">. </w:t>
      </w:r>
      <w:r w:rsidR="00470B54">
        <w:t xml:space="preserve">Lagstiftningen är en så kallad blankettlagstiftning. Ändringar i rikets lagstiftning </w:t>
      </w:r>
      <w:r w:rsidR="00C447F0">
        <w:t>sätts även i kraft automatiskt i landskapet.</w:t>
      </w:r>
      <w:r w:rsidR="00470B54">
        <w:t xml:space="preserve"> </w:t>
      </w:r>
      <w:r>
        <w:t>Landskapsregeringens bedömning är att lagstiftningsåtgärder</w:t>
      </w:r>
      <w:r w:rsidR="00C447F0">
        <w:t xml:space="preserve"> med anledning av tilläggsavtal M364</w:t>
      </w:r>
      <w:r>
        <w:t xml:space="preserve"> inte är nödvändiga.  </w:t>
      </w:r>
    </w:p>
    <w:bookmarkEnd w:id="0"/>
    <w:p w14:paraId="263A6B81" w14:textId="77777777" w:rsidR="005C0499" w:rsidRDefault="005C0499" w:rsidP="005C5CBA">
      <w:pPr>
        <w:pStyle w:val="ANormal"/>
      </w:pPr>
    </w:p>
    <w:p w14:paraId="0ED0D0DD" w14:textId="4E0CCD8F" w:rsidR="006F1772" w:rsidRDefault="006F1772" w:rsidP="005C5CBA">
      <w:pPr>
        <w:pStyle w:val="ANormal"/>
      </w:pPr>
      <w:r w:rsidRPr="006F1772">
        <w:lastRenderedPageBreak/>
        <w:t xml:space="preserve">Landskapsregeringen </w:t>
      </w:r>
      <w:r w:rsidR="0056495A">
        <w:t>ser</w:t>
      </w:r>
      <w:r w:rsidRPr="006F1772">
        <w:t xml:space="preserve"> inget hinder mot att lagtinget ger sitt bifal</w:t>
      </w:r>
      <w:r w:rsidR="0056495A">
        <w:t>l</w:t>
      </w:r>
      <w:r w:rsidRPr="006F1772">
        <w:t xml:space="preserve"> till att den förordning som sätter tilläggsavtalet </w:t>
      </w:r>
      <w:r w:rsidR="0056495A">
        <w:t>M</w:t>
      </w:r>
      <w:r w:rsidR="00C447F0">
        <w:t>364</w:t>
      </w:r>
      <w:r w:rsidR="0056495A">
        <w:t xml:space="preserve"> </w:t>
      </w:r>
      <w:r w:rsidRPr="006F1772">
        <w:t>i kraft i Finland träder i kraft också på Åland till de delar det faller inom landskapets behörighet.</w:t>
      </w:r>
    </w:p>
    <w:p w14:paraId="43864571" w14:textId="77777777" w:rsidR="006F1772" w:rsidRDefault="006F1772" w:rsidP="005C5CBA">
      <w:pPr>
        <w:pStyle w:val="ANormal"/>
      </w:pPr>
    </w:p>
    <w:p w14:paraId="592529B4" w14:textId="77777777" w:rsidR="000E14E2" w:rsidRDefault="000E14E2">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0E14E2" w14:paraId="68B8A56D" w14:textId="77777777">
        <w:trPr>
          <w:cantSplit/>
        </w:trPr>
        <w:tc>
          <w:tcPr>
            <w:tcW w:w="7931" w:type="dxa"/>
            <w:gridSpan w:val="2"/>
          </w:tcPr>
          <w:p w14:paraId="01BDC845" w14:textId="31B2D184" w:rsidR="000E14E2" w:rsidRDefault="000E14E2">
            <w:pPr>
              <w:pStyle w:val="ANormal"/>
              <w:keepNext/>
            </w:pPr>
            <w:r>
              <w:t xml:space="preserve">Mariehamn den </w:t>
            </w:r>
            <w:r w:rsidR="00C447F0">
              <w:t>25</w:t>
            </w:r>
            <w:r w:rsidR="00915497">
              <w:t>.</w:t>
            </w:r>
            <w:r w:rsidR="00C447F0">
              <w:t>9</w:t>
            </w:r>
            <w:r w:rsidR="00915497">
              <w:t>.202</w:t>
            </w:r>
            <w:r w:rsidR="00C447F0">
              <w:t>5</w:t>
            </w:r>
          </w:p>
        </w:tc>
      </w:tr>
      <w:tr w:rsidR="000E14E2" w14:paraId="7B9ABE8A" w14:textId="77777777">
        <w:tc>
          <w:tcPr>
            <w:tcW w:w="4454" w:type="dxa"/>
            <w:vAlign w:val="bottom"/>
          </w:tcPr>
          <w:p w14:paraId="0EAF46CE" w14:textId="77777777" w:rsidR="000E14E2" w:rsidRDefault="000E14E2">
            <w:pPr>
              <w:pStyle w:val="ANormal"/>
              <w:keepNext/>
            </w:pPr>
          </w:p>
          <w:p w14:paraId="529E18ED" w14:textId="77777777" w:rsidR="00F83DB7" w:rsidRDefault="00F83DB7">
            <w:pPr>
              <w:pStyle w:val="ANormal"/>
              <w:keepNext/>
            </w:pPr>
          </w:p>
          <w:p w14:paraId="753C0F25" w14:textId="77777777" w:rsidR="000E14E2" w:rsidRDefault="000E14E2">
            <w:pPr>
              <w:pStyle w:val="ANormal"/>
              <w:keepNext/>
            </w:pPr>
          </w:p>
          <w:p w14:paraId="1C1DF521" w14:textId="77777777" w:rsidR="000E14E2" w:rsidRPr="00711FC2" w:rsidRDefault="000E14E2" w:rsidP="00711FC2">
            <w:pPr>
              <w:pStyle w:val="ANormal"/>
              <w:keepNext/>
            </w:pPr>
            <w:proofErr w:type="spellStart"/>
            <w:r w:rsidRPr="00711FC2">
              <w:t>Lantråd</w:t>
            </w:r>
            <w:proofErr w:type="spellEnd"/>
          </w:p>
        </w:tc>
        <w:tc>
          <w:tcPr>
            <w:tcW w:w="3477" w:type="dxa"/>
            <w:vAlign w:val="bottom"/>
          </w:tcPr>
          <w:p w14:paraId="4451C20A" w14:textId="77777777" w:rsidR="000E14E2" w:rsidRDefault="000E14E2">
            <w:pPr>
              <w:pStyle w:val="ANormal"/>
              <w:keepNext/>
            </w:pPr>
          </w:p>
          <w:p w14:paraId="0F8DC550" w14:textId="77777777" w:rsidR="000E14E2" w:rsidRDefault="000E14E2">
            <w:pPr>
              <w:pStyle w:val="ANormal"/>
              <w:keepNext/>
            </w:pPr>
          </w:p>
          <w:p w14:paraId="4CD75312" w14:textId="3D441728" w:rsidR="000E14E2" w:rsidRDefault="0056495A">
            <w:pPr>
              <w:pStyle w:val="ANormal"/>
              <w:keepNext/>
            </w:pPr>
            <w:r>
              <w:t>Katrin Sjögren</w:t>
            </w:r>
          </w:p>
        </w:tc>
      </w:tr>
      <w:tr w:rsidR="000E14E2" w14:paraId="2059F982" w14:textId="77777777">
        <w:tc>
          <w:tcPr>
            <w:tcW w:w="4454" w:type="dxa"/>
            <w:vAlign w:val="bottom"/>
          </w:tcPr>
          <w:p w14:paraId="7A8CAEA3" w14:textId="77777777" w:rsidR="000E14E2" w:rsidRDefault="000E14E2">
            <w:pPr>
              <w:pStyle w:val="ANormal"/>
              <w:keepNext/>
            </w:pPr>
          </w:p>
          <w:p w14:paraId="0214A2D2" w14:textId="77777777" w:rsidR="000E14E2" w:rsidRDefault="000E14E2">
            <w:pPr>
              <w:pStyle w:val="ANormal"/>
              <w:keepNext/>
            </w:pPr>
          </w:p>
          <w:p w14:paraId="2763AA1F" w14:textId="77777777" w:rsidR="00F83DB7" w:rsidRDefault="00F83DB7">
            <w:pPr>
              <w:pStyle w:val="ANormal"/>
              <w:keepNext/>
            </w:pPr>
          </w:p>
          <w:p w14:paraId="6CB712A6" w14:textId="5F9B7C5A" w:rsidR="000E14E2" w:rsidRDefault="00D80C1D">
            <w:pPr>
              <w:pStyle w:val="ANormal"/>
              <w:keepNext/>
            </w:pPr>
            <w:r>
              <w:t>M</w:t>
            </w:r>
            <w:r w:rsidR="00711FC2">
              <w:t>inister</w:t>
            </w:r>
          </w:p>
        </w:tc>
        <w:tc>
          <w:tcPr>
            <w:tcW w:w="3477" w:type="dxa"/>
            <w:vAlign w:val="bottom"/>
          </w:tcPr>
          <w:p w14:paraId="46536BA2" w14:textId="77777777" w:rsidR="000E14E2" w:rsidRDefault="000E14E2">
            <w:pPr>
              <w:pStyle w:val="ANormal"/>
              <w:keepNext/>
            </w:pPr>
          </w:p>
          <w:p w14:paraId="0955040A" w14:textId="77777777" w:rsidR="000E14E2" w:rsidRDefault="000E14E2">
            <w:pPr>
              <w:pStyle w:val="ANormal"/>
              <w:keepNext/>
            </w:pPr>
          </w:p>
          <w:p w14:paraId="1D88B379" w14:textId="1A9B6470" w:rsidR="000E14E2" w:rsidRDefault="0056495A">
            <w:pPr>
              <w:pStyle w:val="ANormal"/>
              <w:keepNext/>
            </w:pPr>
            <w:r>
              <w:t>Camilla Gunell</w:t>
            </w:r>
          </w:p>
        </w:tc>
      </w:tr>
    </w:tbl>
    <w:p w14:paraId="36C5ADD2" w14:textId="77777777" w:rsidR="000E14E2" w:rsidRDefault="000E14E2">
      <w:pPr>
        <w:pStyle w:val="ANormal"/>
      </w:pPr>
    </w:p>
    <w:sectPr w:rsidR="000E14E2">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57CB" w14:textId="77777777" w:rsidR="005C5CBA" w:rsidRDefault="005C5CBA">
      <w:r>
        <w:separator/>
      </w:r>
    </w:p>
  </w:endnote>
  <w:endnote w:type="continuationSeparator" w:id="0">
    <w:p w14:paraId="1279D79F" w14:textId="77777777" w:rsidR="005C5CBA" w:rsidRDefault="005C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8A67" w14:textId="77777777" w:rsidR="000E14E2" w:rsidRDefault="000E14E2">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374F" w14:textId="3A9C1423" w:rsidR="000E14E2" w:rsidRDefault="000E14E2">
    <w:pPr>
      <w:pStyle w:val="Sidfot"/>
      <w:rPr>
        <w:lang w:val="fi-FI"/>
      </w:rPr>
    </w:pPr>
    <w:r>
      <w:fldChar w:fldCharType="begin"/>
    </w:r>
    <w:r>
      <w:rPr>
        <w:lang w:val="fi-FI"/>
      </w:rPr>
      <w:instrText xml:space="preserve"> FILENAME  \* MERGEFORMAT </w:instrText>
    </w:r>
    <w:r>
      <w:fldChar w:fldCharType="separate"/>
    </w:r>
    <w:r w:rsidR="00A90C80">
      <w:rPr>
        <w:noProof/>
        <w:lang w:val="fi-FI"/>
      </w:rPr>
      <w:t>Yttrande ÅLR 2025 M364.docx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571E" w14:textId="77777777" w:rsidR="000E14E2" w:rsidRDefault="000E14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597D" w14:textId="77777777" w:rsidR="005C5CBA" w:rsidRDefault="005C5CBA">
      <w:r>
        <w:separator/>
      </w:r>
    </w:p>
  </w:footnote>
  <w:footnote w:type="continuationSeparator" w:id="0">
    <w:p w14:paraId="5CD1FB03" w14:textId="77777777" w:rsidR="005C5CBA" w:rsidRDefault="005C5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ED8D" w14:textId="77777777" w:rsidR="000E14E2" w:rsidRDefault="000E14E2">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711FC2">
      <w:rPr>
        <w:rStyle w:val="Sidnummer"/>
        <w:noProof/>
      </w:rPr>
      <w:t>2</w:t>
    </w:r>
    <w:r>
      <w:rPr>
        <w:rStyle w:val="Sidnummer"/>
      </w:rPr>
      <w:fldChar w:fldCharType="end"/>
    </w:r>
  </w:p>
  <w:p w14:paraId="2DB5F6B1" w14:textId="77777777" w:rsidR="000E14E2" w:rsidRDefault="000E14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F84D" w14:textId="77777777" w:rsidR="000E14E2" w:rsidRDefault="000E14E2">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646810E"/>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4DAD22B0"/>
    <w:multiLevelType w:val="multilevel"/>
    <w:tmpl w:val="FD0E8B5C"/>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2" w15:restartNumberingAfterBreak="0">
    <w:nsid w:val="57E542AD"/>
    <w:multiLevelType w:val="hybridMultilevel"/>
    <w:tmpl w:val="35348B62"/>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F80F6B"/>
    <w:multiLevelType w:val="hybridMultilevel"/>
    <w:tmpl w:val="94B672B0"/>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E5C4CB1"/>
    <w:multiLevelType w:val="hybridMultilevel"/>
    <w:tmpl w:val="E990C7C8"/>
    <w:lvl w:ilvl="0" w:tplc="22186126">
      <w:start w:val="1"/>
      <w:numFmt w:val="bullet"/>
      <w:lvlRestart w:val="0"/>
      <w:pStyle w:val="Punktlista"/>
      <w:lvlText w:val=""/>
      <w:lvlJc w:val="left"/>
      <w:pPr>
        <w:tabs>
          <w:tab w:val="num" w:pos="283"/>
        </w:tabs>
        <w:ind w:left="283" w:hanging="283"/>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88481757">
    <w:abstractNumId w:val="2"/>
  </w:num>
  <w:num w:numId="2" w16cid:durableId="231158395">
    <w:abstractNumId w:val="3"/>
  </w:num>
  <w:num w:numId="3" w16cid:durableId="1407458285">
    <w:abstractNumId w:val="4"/>
  </w:num>
  <w:num w:numId="4" w16cid:durableId="1039471696">
    <w:abstractNumId w:val="0"/>
  </w:num>
  <w:num w:numId="5" w16cid:durableId="447623397">
    <w:abstractNumId w:val="1"/>
  </w:num>
  <w:num w:numId="6" w16cid:durableId="1609241546">
    <w:abstractNumId w:val="1"/>
  </w:num>
  <w:num w:numId="7" w16cid:durableId="664935987">
    <w:abstractNumId w:val="1"/>
  </w:num>
  <w:num w:numId="8" w16cid:durableId="1751803498">
    <w:abstractNumId w:val="1"/>
  </w:num>
  <w:num w:numId="9" w16cid:durableId="1419405260">
    <w:abstractNumId w:val="1"/>
  </w:num>
  <w:num w:numId="10" w16cid:durableId="1212422514">
    <w:abstractNumId w:val="1"/>
  </w:num>
  <w:num w:numId="11" w16cid:durableId="798691600">
    <w:abstractNumId w:val="1"/>
  </w:num>
  <w:num w:numId="12" w16cid:durableId="930158806">
    <w:abstractNumId w:val="1"/>
  </w:num>
  <w:num w:numId="13" w16cid:durableId="150196496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1304"/>
  <w:autoHyphenation/>
  <w:hyphenationZone w:val="142"/>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BA"/>
    <w:rsid w:val="0002224F"/>
    <w:rsid w:val="000E14E2"/>
    <w:rsid w:val="00106F79"/>
    <w:rsid w:val="00163AC0"/>
    <w:rsid w:val="001A3E58"/>
    <w:rsid w:val="001C2C84"/>
    <w:rsid w:val="001C3AD1"/>
    <w:rsid w:val="002C7280"/>
    <w:rsid w:val="002E5308"/>
    <w:rsid w:val="00304390"/>
    <w:rsid w:val="00321030"/>
    <w:rsid w:val="00344C72"/>
    <w:rsid w:val="00363052"/>
    <w:rsid w:val="003B5934"/>
    <w:rsid w:val="003B7ED3"/>
    <w:rsid w:val="00470B54"/>
    <w:rsid w:val="00491686"/>
    <w:rsid w:val="004925F4"/>
    <w:rsid w:val="004B06F1"/>
    <w:rsid w:val="004B7E96"/>
    <w:rsid w:val="004F4725"/>
    <w:rsid w:val="0056495A"/>
    <w:rsid w:val="005753EC"/>
    <w:rsid w:val="005C0499"/>
    <w:rsid w:val="005C5CBA"/>
    <w:rsid w:val="00647C18"/>
    <w:rsid w:val="0068054C"/>
    <w:rsid w:val="00697EF9"/>
    <w:rsid w:val="006B2E78"/>
    <w:rsid w:val="006F1772"/>
    <w:rsid w:val="006F4626"/>
    <w:rsid w:val="00711FC2"/>
    <w:rsid w:val="00755281"/>
    <w:rsid w:val="007F2AF5"/>
    <w:rsid w:val="007F3701"/>
    <w:rsid w:val="00815E1B"/>
    <w:rsid w:val="0083506F"/>
    <w:rsid w:val="00850D2A"/>
    <w:rsid w:val="00877EEA"/>
    <w:rsid w:val="008D28B5"/>
    <w:rsid w:val="008F085A"/>
    <w:rsid w:val="009069E2"/>
    <w:rsid w:val="00915497"/>
    <w:rsid w:val="00943DC2"/>
    <w:rsid w:val="0095647F"/>
    <w:rsid w:val="009B366B"/>
    <w:rsid w:val="009B4768"/>
    <w:rsid w:val="00A6387B"/>
    <w:rsid w:val="00A77928"/>
    <w:rsid w:val="00A90C80"/>
    <w:rsid w:val="00AC4B07"/>
    <w:rsid w:val="00BB70F3"/>
    <w:rsid w:val="00C447F0"/>
    <w:rsid w:val="00C73721"/>
    <w:rsid w:val="00C90082"/>
    <w:rsid w:val="00CB6FBA"/>
    <w:rsid w:val="00D17355"/>
    <w:rsid w:val="00D80C1D"/>
    <w:rsid w:val="00E14007"/>
    <w:rsid w:val="00E20E76"/>
    <w:rsid w:val="00E438B7"/>
    <w:rsid w:val="00E966CF"/>
    <w:rsid w:val="00F02B6C"/>
    <w:rsid w:val="00F162FE"/>
    <w:rsid w:val="00F20967"/>
    <w:rsid w:val="00F305D6"/>
    <w:rsid w:val="00F63936"/>
    <w:rsid w:val="00F83DB7"/>
    <w:rsid w:val="00FA20FA"/>
    <w:rsid w:val="00FD1463"/>
    <w:rsid w:val="00FD4F9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CB01BC"/>
  <w15:docId w15:val="{CCE22085-62C6-4E66-AD94-A5A5FFC8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25F4"/>
    <w:rPr>
      <w:sz w:val="24"/>
      <w:szCs w:val="24"/>
      <w:lang w:val="sv-SE" w:eastAsia="sv-SE"/>
    </w:rPr>
  </w:style>
  <w:style w:type="paragraph" w:styleId="Rubrik1">
    <w:name w:val="heading 1"/>
    <w:basedOn w:val="Normal"/>
    <w:next w:val="Normal"/>
    <w:semiHidden/>
    <w:pPr>
      <w:keepNext/>
      <w:numPr>
        <w:numId w:val="5"/>
      </w:numPr>
      <w:spacing w:before="240" w:after="60"/>
      <w:outlineLvl w:val="0"/>
    </w:pPr>
    <w:rPr>
      <w:rFonts w:ascii="Arial" w:hAnsi="Arial" w:cs="Arial"/>
      <w:b/>
      <w:bCs/>
      <w:kern w:val="32"/>
      <w:sz w:val="32"/>
      <w:szCs w:val="32"/>
    </w:rPr>
  </w:style>
  <w:style w:type="paragraph" w:styleId="Rubrik2">
    <w:name w:val="heading 2"/>
    <w:basedOn w:val="Normal"/>
    <w:next w:val="Normal"/>
    <w:semiHidden/>
    <w:pPr>
      <w:keepNext/>
      <w:numPr>
        <w:ilvl w:val="1"/>
        <w:numId w:val="6"/>
      </w:numPr>
      <w:spacing w:before="240" w:after="60"/>
      <w:outlineLvl w:val="1"/>
    </w:pPr>
    <w:rPr>
      <w:rFonts w:ascii="Arial" w:hAnsi="Arial" w:cs="Arial"/>
      <w:b/>
      <w:bCs/>
      <w:i/>
      <w:iCs/>
      <w:sz w:val="28"/>
      <w:szCs w:val="28"/>
    </w:rPr>
  </w:style>
  <w:style w:type="paragraph" w:styleId="Rubrik3">
    <w:name w:val="heading 3"/>
    <w:basedOn w:val="Normal"/>
    <w:next w:val="Normal"/>
    <w:semiHidden/>
    <w:pPr>
      <w:keepNext/>
      <w:numPr>
        <w:ilvl w:val="2"/>
        <w:numId w:val="7"/>
      </w:numPr>
      <w:spacing w:before="240" w:after="60"/>
      <w:outlineLvl w:val="2"/>
    </w:pPr>
    <w:rPr>
      <w:rFonts w:ascii="Arial" w:hAnsi="Arial" w:cs="Arial"/>
      <w:b/>
      <w:bCs/>
      <w:sz w:val="26"/>
      <w:szCs w:val="26"/>
    </w:rPr>
  </w:style>
  <w:style w:type="paragraph" w:styleId="Rubrik4">
    <w:name w:val="heading 4"/>
    <w:basedOn w:val="Normal"/>
    <w:next w:val="Normal"/>
    <w:semiHidden/>
    <w:pPr>
      <w:keepNext/>
      <w:numPr>
        <w:ilvl w:val="3"/>
        <w:numId w:val="8"/>
      </w:numPr>
      <w:spacing w:before="240" w:after="60"/>
      <w:outlineLvl w:val="3"/>
    </w:pPr>
    <w:rPr>
      <w:b/>
      <w:bCs/>
      <w:sz w:val="28"/>
      <w:szCs w:val="28"/>
    </w:rPr>
  </w:style>
  <w:style w:type="paragraph" w:styleId="Rubrik5">
    <w:name w:val="heading 5"/>
    <w:basedOn w:val="Normal"/>
    <w:next w:val="Normal"/>
    <w:semiHidden/>
    <w:pPr>
      <w:numPr>
        <w:ilvl w:val="4"/>
        <w:numId w:val="9"/>
      </w:numPr>
      <w:spacing w:before="240" w:after="60"/>
      <w:outlineLvl w:val="4"/>
    </w:pPr>
    <w:rPr>
      <w:b/>
      <w:bCs/>
      <w:i/>
      <w:iCs/>
      <w:sz w:val="26"/>
      <w:szCs w:val="26"/>
    </w:rPr>
  </w:style>
  <w:style w:type="paragraph" w:styleId="Rubrik6">
    <w:name w:val="heading 6"/>
    <w:basedOn w:val="Normal"/>
    <w:next w:val="Normal"/>
    <w:semiHidden/>
    <w:pPr>
      <w:numPr>
        <w:ilvl w:val="5"/>
        <w:numId w:val="10"/>
      </w:numPr>
      <w:spacing w:before="240" w:after="60"/>
      <w:outlineLvl w:val="5"/>
    </w:pPr>
    <w:rPr>
      <w:b/>
      <w:bCs/>
      <w:sz w:val="22"/>
      <w:szCs w:val="22"/>
    </w:rPr>
  </w:style>
  <w:style w:type="paragraph" w:styleId="Rubrik7">
    <w:name w:val="heading 7"/>
    <w:basedOn w:val="Normal"/>
    <w:next w:val="Normal"/>
    <w:semiHidden/>
    <w:pPr>
      <w:numPr>
        <w:ilvl w:val="6"/>
        <w:numId w:val="11"/>
      </w:numPr>
      <w:spacing w:before="240" w:after="60"/>
      <w:outlineLvl w:val="6"/>
    </w:pPr>
  </w:style>
  <w:style w:type="paragraph" w:styleId="Rubrik8">
    <w:name w:val="heading 8"/>
    <w:basedOn w:val="Normal"/>
    <w:next w:val="Normal"/>
    <w:semiHidden/>
    <w:pPr>
      <w:numPr>
        <w:ilvl w:val="7"/>
        <w:numId w:val="12"/>
      </w:numPr>
      <w:spacing w:before="240" w:after="60"/>
      <w:outlineLvl w:val="7"/>
    </w:pPr>
    <w:rPr>
      <w:i/>
      <w:iCs/>
    </w:rPr>
  </w:style>
  <w:style w:type="paragraph" w:styleId="Rubrik9">
    <w:name w:val="heading 9"/>
    <w:basedOn w:val="Normal"/>
    <w:next w:val="Normal"/>
    <w:semiHidden/>
    <w:pPr>
      <w:numPr>
        <w:ilvl w:val="8"/>
        <w:numId w:val="13"/>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4"/>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 w:val="left" w:pos="1140"/>
      </w:tabs>
      <w:ind w:left="851"/>
    </w:pPr>
  </w:style>
  <w:style w:type="paragraph" w:customStyle="1" w:styleId="ANormal">
    <w:name w:val="ANormal"/>
    <w:qFormat/>
    <w:pPr>
      <w:tabs>
        <w:tab w:val="left" w:pos="283"/>
        <w:tab w:val="left" w:pos="851"/>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unhideWhenUsed/>
    <w:pPr>
      <w:suppressAutoHyphens/>
    </w:pPr>
    <w:rPr>
      <w:rFonts w:ascii="Arial" w:hAnsi="Arial" w:cs="Arial"/>
      <w:b/>
      <w:bCs/>
      <w:sz w:val="26"/>
      <w:lang w:val="sv-SE" w:eastAsia="sv-SE"/>
    </w:rPr>
  </w:style>
  <w:style w:type="paragraph" w:customStyle="1" w:styleId="ArendeUnderRubrik">
    <w:name w:val="ArendeUnderRubrik"/>
    <w:unhideWhenUsed/>
    <w:pPr>
      <w:numPr>
        <w:numId w:val="1"/>
      </w:numPr>
      <w:suppressAutoHyphens/>
    </w:pPr>
    <w:rPr>
      <w:rFonts w:ascii="Verdana" w:hAnsi="Verdana" w:cs="Arial"/>
      <w:sz w:val="16"/>
      <w:lang w:val="sv-SE" w:eastAsia="sv-SE"/>
    </w:rPr>
  </w:style>
  <w:style w:type="paragraph" w:customStyle="1" w:styleId="Rubrikmellanrum">
    <w:name w:val="Rubrikmellanrum"/>
    <w:basedOn w:val="ANormal"/>
    <w:next w:val="ANormal"/>
    <w:unhideWhenUsed/>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2"/>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semiHidden/>
    <w:pPr>
      <w:keepNext/>
      <w:keepLines/>
      <w:suppressAutoHyphens/>
      <w:jc w:val="center"/>
      <w:outlineLvl w:val="1"/>
    </w:pPr>
    <w:rPr>
      <w:b/>
      <w:bCs/>
      <w:sz w:val="24"/>
    </w:rPr>
  </w:style>
  <w:style w:type="paragraph" w:customStyle="1" w:styleId="LagKapitel">
    <w:name w:val="LagKapitel"/>
    <w:basedOn w:val="LagHuvRubr"/>
    <w:next w:val="ANormal"/>
    <w:semiHidden/>
    <w:pPr>
      <w:outlineLvl w:val="9"/>
    </w:pPr>
    <w:rPr>
      <w:bCs w:val="0"/>
      <w:sz w:val="22"/>
    </w:rPr>
  </w:style>
  <w:style w:type="paragraph" w:customStyle="1" w:styleId="LagParagraf">
    <w:name w:val="LagParagraf"/>
    <w:basedOn w:val="LagKapitel"/>
    <w:next w:val="LagPararubrik"/>
    <w:semiHidden/>
    <w:rPr>
      <w:b w:val="0"/>
    </w:rPr>
  </w:style>
  <w:style w:type="paragraph" w:customStyle="1" w:styleId="LagPararubrik">
    <w:name w:val="LagPararubrik"/>
    <w:basedOn w:val="LagKapitel"/>
    <w:next w:val="ANormal"/>
    <w:semiHidden/>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customStyle="1" w:styleId="ANormalindraget">
    <w:name w:val="ANormal_indraget"/>
    <w:basedOn w:val="ANormal"/>
    <w:next w:val="ANormal"/>
    <w:semiHidden/>
    <w:pPr>
      <w:tabs>
        <w:tab w:val="left" w:pos="1140"/>
      </w:tabs>
      <w:ind w:left="851"/>
    </w:pPr>
  </w:style>
  <w:style w:type="paragraph" w:styleId="Punktlista">
    <w:name w:val="List Bullet"/>
    <w:basedOn w:val="ANormal"/>
    <w:autoRedefine/>
    <w:unhideWhenUsed/>
    <w:qFormat/>
    <w:pPr>
      <w:numPr>
        <w:numId w:val="3"/>
      </w:numPr>
    </w:pPr>
  </w:style>
  <w:style w:type="paragraph" w:customStyle="1" w:styleId="Tabelldecimal">
    <w:name w:val="Tabelldecimal"/>
    <w:basedOn w:val="Tabelltext"/>
    <w:unhideWhenUsed/>
    <w:pPr>
      <w:tabs>
        <w:tab w:val="decimal" w:pos="1904"/>
      </w:tabs>
    </w:pPr>
  </w:style>
  <w:style w:type="paragraph" w:customStyle="1" w:styleId="Tabellrubrik">
    <w:name w:val="Tabellrubrik"/>
    <w:basedOn w:val="Tabelltext"/>
    <w:next w:val="Tabelltext"/>
    <w:pPr>
      <w:keepNext/>
      <w:keepLines/>
      <w:suppressAutoHyphen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tinget\LR-yttr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LR-yttrande.dot</Template>
  <TotalTime>0</TotalTime>
  <Pages>3</Pages>
  <Words>871</Words>
  <Characters>4621</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Landskapsregeringens yttrande nr x/201x-201x</vt:lpstr>
    </vt:vector>
  </TitlesOfParts>
  <Company/>
  <LinksUpToDate>false</LinksUpToDate>
  <CharactersWithSpaces>5482</CharactersWithSpaces>
  <SharedDoc>false</SharedDoc>
  <HLinks>
    <vt:vector size="12" baseType="variant">
      <vt:variant>
        <vt:i4>8257584</vt:i4>
      </vt:variant>
      <vt:variant>
        <vt:i4>9</vt:i4>
      </vt:variant>
      <vt:variant>
        <vt:i4>0</vt:i4>
      </vt:variant>
      <vt:variant>
        <vt:i4>5</vt:i4>
      </vt:variant>
      <vt:variant>
        <vt:lpwstr>http://www.pedago.fi/lagtinget/assistans/start.htm</vt:lpwstr>
      </vt:variant>
      <vt:variant>
        <vt:lpwstr/>
      </vt:variant>
      <vt:variant>
        <vt:i4>1179708</vt:i4>
      </vt:variant>
      <vt:variant>
        <vt:i4>2</vt:i4>
      </vt:variant>
      <vt:variant>
        <vt:i4>0</vt:i4>
      </vt:variant>
      <vt:variant>
        <vt:i4>5</vt:i4>
      </vt:variant>
      <vt:variant>
        <vt:lpwstr/>
      </vt:variant>
      <vt:variant>
        <vt:lpwstr>_Toc322693427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Landskapsregeringens yttrande nr 3/2024-2025</dc:title>
  <dc:subject/>
  <dc:creator>Katja Meitz</dc:creator>
  <cp:keywords/>
  <dc:description/>
  <cp:lastModifiedBy>Jessica Laaksonen</cp:lastModifiedBy>
  <cp:revision>2</cp:revision>
  <cp:lastPrinted>2025-09-29T06:47:00Z</cp:lastPrinted>
  <dcterms:created xsi:type="dcterms:W3CDTF">2025-09-29T06:55:00Z</dcterms:created>
  <dcterms:modified xsi:type="dcterms:W3CDTF">2025-09-29T06:55:00Z</dcterms:modified>
</cp:coreProperties>
</file>