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CD0E38" w14:paraId="35CE2F93" w14:textId="77777777" w:rsidTr="00547E63">
        <w:trPr>
          <w:cantSplit/>
          <w:trHeight w:val="20"/>
        </w:trPr>
        <w:tc>
          <w:tcPr>
            <w:tcW w:w="861" w:type="dxa"/>
            <w:vMerge w:val="restart"/>
          </w:tcPr>
          <w:p w14:paraId="50D2CC89" w14:textId="77777777" w:rsidR="00CD0E38" w:rsidRDefault="00CD0E38" w:rsidP="00047279">
            <w:pPr>
              <w:pStyle w:val="xLedtext"/>
              <w:jc w:val="both"/>
              <w:rPr>
                <w:noProof/>
              </w:rPr>
            </w:pPr>
            <w:bookmarkStart w:id="0" w:name="_top"/>
            <w:bookmarkEnd w:id="0"/>
            <w:r>
              <w:rPr>
                <w:noProof/>
              </w:rPr>
              <w:drawing>
                <wp:inline distT="0" distB="0" distL="0" distR="0" wp14:anchorId="6778837A" wp14:editId="6EB4B881">
                  <wp:extent cx="476250" cy="685800"/>
                  <wp:effectExtent l="0" t="0" r="0" b="0"/>
                  <wp:docPr id="1" name="Bild 1" descr="En bild som visar skiss, rita, clipar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skiss, rita, clipart, symbol&#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1FD846D" w14:textId="77777777" w:rsidR="00CD0E38" w:rsidRDefault="00CD0E38" w:rsidP="00047279">
            <w:pPr>
              <w:pStyle w:val="xMellanrum"/>
              <w:jc w:val="both"/>
            </w:pPr>
            <w:r>
              <w:rPr>
                <w:noProof/>
              </w:rPr>
              <w:drawing>
                <wp:inline distT="0" distB="0" distL="0" distR="0" wp14:anchorId="0C9833F6" wp14:editId="460E100D">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CD0E38" w14:paraId="55A996E9" w14:textId="77777777" w:rsidTr="00547E63">
        <w:trPr>
          <w:cantSplit/>
          <w:trHeight w:val="299"/>
        </w:trPr>
        <w:tc>
          <w:tcPr>
            <w:tcW w:w="861" w:type="dxa"/>
            <w:vMerge/>
          </w:tcPr>
          <w:p w14:paraId="4203FC69" w14:textId="77777777" w:rsidR="00CD0E38" w:rsidRDefault="00CD0E38" w:rsidP="00047279">
            <w:pPr>
              <w:pStyle w:val="xLedtext"/>
              <w:jc w:val="both"/>
            </w:pPr>
          </w:p>
        </w:tc>
        <w:tc>
          <w:tcPr>
            <w:tcW w:w="4448" w:type="dxa"/>
            <w:vAlign w:val="bottom"/>
          </w:tcPr>
          <w:p w14:paraId="2DF7121A" w14:textId="77777777" w:rsidR="00CD0E38" w:rsidRDefault="00CD0E38" w:rsidP="00047279">
            <w:pPr>
              <w:pStyle w:val="xAvsandare1"/>
              <w:jc w:val="both"/>
            </w:pPr>
            <w:r>
              <w:t>Ålands lagting</w:t>
            </w:r>
          </w:p>
        </w:tc>
        <w:tc>
          <w:tcPr>
            <w:tcW w:w="4288" w:type="dxa"/>
            <w:gridSpan w:val="2"/>
            <w:vAlign w:val="bottom"/>
          </w:tcPr>
          <w:p w14:paraId="7A7E2DA2" w14:textId="7BFF2FC7" w:rsidR="00CD0E38" w:rsidRDefault="00CD0E38" w:rsidP="00047279">
            <w:pPr>
              <w:pStyle w:val="xDokTypNr"/>
              <w:jc w:val="both"/>
            </w:pPr>
            <w:r>
              <w:t xml:space="preserve">BETÄNKANDE nr </w:t>
            </w:r>
            <w:r w:rsidR="00956E7F">
              <w:t>6</w:t>
            </w:r>
            <w:r>
              <w:t>/2025-2026</w:t>
            </w:r>
          </w:p>
        </w:tc>
      </w:tr>
      <w:tr w:rsidR="00CD0E38" w14:paraId="1A5B3EB2" w14:textId="77777777" w:rsidTr="00547E63">
        <w:trPr>
          <w:cantSplit/>
          <w:trHeight w:val="238"/>
        </w:trPr>
        <w:tc>
          <w:tcPr>
            <w:tcW w:w="861" w:type="dxa"/>
            <w:vMerge/>
          </w:tcPr>
          <w:p w14:paraId="660F5A9C" w14:textId="77777777" w:rsidR="00CD0E38" w:rsidRDefault="00CD0E38" w:rsidP="00047279">
            <w:pPr>
              <w:pStyle w:val="xLedtext"/>
              <w:jc w:val="both"/>
            </w:pPr>
          </w:p>
        </w:tc>
        <w:tc>
          <w:tcPr>
            <w:tcW w:w="4448" w:type="dxa"/>
            <w:vAlign w:val="bottom"/>
          </w:tcPr>
          <w:p w14:paraId="7613F713" w14:textId="77777777" w:rsidR="00CD0E38" w:rsidRDefault="00CD0E38" w:rsidP="00047279">
            <w:pPr>
              <w:pStyle w:val="xLedtext"/>
              <w:jc w:val="both"/>
            </w:pPr>
          </w:p>
        </w:tc>
        <w:tc>
          <w:tcPr>
            <w:tcW w:w="1725" w:type="dxa"/>
            <w:vAlign w:val="bottom"/>
          </w:tcPr>
          <w:p w14:paraId="76FA7D06" w14:textId="77777777" w:rsidR="00CD0E38" w:rsidRDefault="00CD0E38" w:rsidP="00047279">
            <w:pPr>
              <w:pStyle w:val="xLedtext"/>
              <w:jc w:val="both"/>
            </w:pPr>
            <w:r>
              <w:t>Datum</w:t>
            </w:r>
          </w:p>
        </w:tc>
        <w:tc>
          <w:tcPr>
            <w:tcW w:w="2563" w:type="dxa"/>
            <w:vAlign w:val="bottom"/>
          </w:tcPr>
          <w:p w14:paraId="029B4964" w14:textId="77777777" w:rsidR="00CD0E38" w:rsidRDefault="00CD0E38" w:rsidP="00047279">
            <w:pPr>
              <w:pStyle w:val="xLedtext"/>
              <w:jc w:val="both"/>
            </w:pPr>
          </w:p>
        </w:tc>
      </w:tr>
      <w:tr w:rsidR="00CD0E38" w14:paraId="39D5CDC4" w14:textId="77777777" w:rsidTr="00547E63">
        <w:trPr>
          <w:cantSplit/>
          <w:trHeight w:val="238"/>
        </w:trPr>
        <w:tc>
          <w:tcPr>
            <w:tcW w:w="861" w:type="dxa"/>
            <w:vMerge/>
          </w:tcPr>
          <w:p w14:paraId="39810371" w14:textId="77777777" w:rsidR="00CD0E38" w:rsidRDefault="00CD0E38" w:rsidP="00047279">
            <w:pPr>
              <w:pStyle w:val="xAvsandare2"/>
              <w:jc w:val="both"/>
            </w:pPr>
          </w:p>
        </w:tc>
        <w:tc>
          <w:tcPr>
            <w:tcW w:w="4448" w:type="dxa"/>
            <w:vAlign w:val="center"/>
          </w:tcPr>
          <w:p w14:paraId="256DC930" w14:textId="77777777" w:rsidR="00CD0E38" w:rsidRDefault="00CD0E38" w:rsidP="00047279">
            <w:pPr>
              <w:pStyle w:val="xAvsandare2"/>
              <w:jc w:val="both"/>
            </w:pPr>
            <w:r>
              <w:t>Social- och miljöutskottet</w:t>
            </w:r>
          </w:p>
        </w:tc>
        <w:tc>
          <w:tcPr>
            <w:tcW w:w="1725" w:type="dxa"/>
            <w:vAlign w:val="center"/>
          </w:tcPr>
          <w:p w14:paraId="7FCC06AF" w14:textId="3AE53F76" w:rsidR="00CD0E38" w:rsidRDefault="00CD0E38" w:rsidP="00047279">
            <w:pPr>
              <w:pStyle w:val="xDatum1"/>
              <w:jc w:val="both"/>
            </w:pPr>
            <w:r>
              <w:t>2026-0</w:t>
            </w:r>
            <w:r w:rsidR="00376464">
              <w:t>4</w:t>
            </w:r>
            <w:r>
              <w:t>-</w:t>
            </w:r>
            <w:r w:rsidR="00956E7F">
              <w:t>21</w:t>
            </w:r>
          </w:p>
        </w:tc>
        <w:tc>
          <w:tcPr>
            <w:tcW w:w="2563" w:type="dxa"/>
            <w:vAlign w:val="center"/>
          </w:tcPr>
          <w:p w14:paraId="51295605" w14:textId="77777777" w:rsidR="00CD0E38" w:rsidRDefault="00CD0E38" w:rsidP="00047279">
            <w:pPr>
              <w:pStyle w:val="xBeteckning1"/>
              <w:jc w:val="both"/>
            </w:pPr>
          </w:p>
        </w:tc>
      </w:tr>
      <w:tr w:rsidR="00CD0E38" w14:paraId="5A297BF6" w14:textId="77777777" w:rsidTr="00547E63">
        <w:trPr>
          <w:cantSplit/>
          <w:trHeight w:val="238"/>
        </w:trPr>
        <w:tc>
          <w:tcPr>
            <w:tcW w:w="861" w:type="dxa"/>
            <w:vMerge/>
          </w:tcPr>
          <w:p w14:paraId="5A43AAC6" w14:textId="77777777" w:rsidR="00CD0E38" w:rsidRDefault="00CD0E38" w:rsidP="00047279">
            <w:pPr>
              <w:pStyle w:val="xLedtext"/>
              <w:jc w:val="both"/>
            </w:pPr>
          </w:p>
        </w:tc>
        <w:tc>
          <w:tcPr>
            <w:tcW w:w="4448" w:type="dxa"/>
            <w:vAlign w:val="bottom"/>
          </w:tcPr>
          <w:p w14:paraId="70FB4E36" w14:textId="77777777" w:rsidR="00CD0E38" w:rsidRDefault="00CD0E38" w:rsidP="00047279">
            <w:pPr>
              <w:pStyle w:val="xLedtext"/>
              <w:jc w:val="both"/>
            </w:pPr>
          </w:p>
        </w:tc>
        <w:tc>
          <w:tcPr>
            <w:tcW w:w="1725" w:type="dxa"/>
            <w:vAlign w:val="bottom"/>
          </w:tcPr>
          <w:p w14:paraId="73F4571D" w14:textId="77777777" w:rsidR="00CD0E38" w:rsidRDefault="00CD0E38" w:rsidP="00047279">
            <w:pPr>
              <w:pStyle w:val="xLedtext"/>
              <w:jc w:val="both"/>
            </w:pPr>
          </w:p>
        </w:tc>
        <w:tc>
          <w:tcPr>
            <w:tcW w:w="2563" w:type="dxa"/>
            <w:vAlign w:val="bottom"/>
          </w:tcPr>
          <w:p w14:paraId="7FBEEA25" w14:textId="77777777" w:rsidR="00CD0E38" w:rsidRDefault="00CD0E38" w:rsidP="00047279">
            <w:pPr>
              <w:pStyle w:val="xLedtext"/>
              <w:jc w:val="both"/>
            </w:pPr>
          </w:p>
        </w:tc>
      </w:tr>
      <w:tr w:rsidR="00CD0E38" w14:paraId="4D5A6C35" w14:textId="77777777" w:rsidTr="00547E63">
        <w:trPr>
          <w:cantSplit/>
          <w:trHeight w:val="238"/>
        </w:trPr>
        <w:tc>
          <w:tcPr>
            <w:tcW w:w="861" w:type="dxa"/>
            <w:vMerge/>
            <w:tcBorders>
              <w:bottom w:val="single" w:sz="4" w:space="0" w:color="auto"/>
            </w:tcBorders>
          </w:tcPr>
          <w:p w14:paraId="04856337" w14:textId="77777777" w:rsidR="00CD0E38" w:rsidRDefault="00CD0E38" w:rsidP="00047279">
            <w:pPr>
              <w:pStyle w:val="xAvsandare3"/>
              <w:jc w:val="both"/>
            </w:pPr>
          </w:p>
        </w:tc>
        <w:tc>
          <w:tcPr>
            <w:tcW w:w="4448" w:type="dxa"/>
            <w:tcBorders>
              <w:bottom w:val="single" w:sz="4" w:space="0" w:color="auto"/>
            </w:tcBorders>
            <w:vAlign w:val="center"/>
          </w:tcPr>
          <w:p w14:paraId="0C3BD61A" w14:textId="77777777" w:rsidR="00CD0E38" w:rsidRDefault="00CD0E38" w:rsidP="00047279">
            <w:pPr>
              <w:pStyle w:val="xAvsandare3"/>
              <w:jc w:val="both"/>
            </w:pPr>
          </w:p>
        </w:tc>
        <w:tc>
          <w:tcPr>
            <w:tcW w:w="1725" w:type="dxa"/>
            <w:tcBorders>
              <w:bottom w:val="single" w:sz="4" w:space="0" w:color="auto"/>
            </w:tcBorders>
            <w:vAlign w:val="center"/>
          </w:tcPr>
          <w:p w14:paraId="6E9161DC" w14:textId="77777777" w:rsidR="00CD0E38" w:rsidRDefault="00CD0E38" w:rsidP="00047279">
            <w:pPr>
              <w:pStyle w:val="xDatum2"/>
              <w:jc w:val="both"/>
            </w:pPr>
          </w:p>
        </w:tc>
        <w:tc>
          <w:tcPr>
            <w:tcW w:w="2563" w:type="dxa"/>
            <w:tcBorders>
              <w:bottom w:val="single" w:sz="4" w:space="0" w:color="auto"/>
            </w:tcBorders>
            <w:vAlign w:val="center"/>
          </w:tcPr>
          <w:p w14:paraId="5A641A86" w14:textId="77777777" w:rsidR="00CD0E38" w:rsidRDefault="00CD0E38" w:rsidP="00047279">
            <w:pPr>
              <w:pStyle w:val="xBeteckning2"/>
              <w:jc w:val="both"/>
            </w:pPr>
          </w:p>
        </w:tc>
      </w:tr>
      <w:tr w:rsidR="00CD0E38" w14:paraId="7915DBD7" w14:textId="77777777" w:rsidTr="00547E63">
        <w:trPr>
          <w:cantSplit/>
          <w:trHeight w:val="238"/>
        </w:trPr>
        <w:tc>
          <w:tcPr>
            <w:tcW w:w="861" w:type="dxa"/>
            <w:tcBorders>
              <w:top w:val="single" w:sz="4" w:space="0" w:color="auto"/>
            </w:tcBorders>
            <w:vAlign w:val="bottom"/>
          </w:tcPr>
          <w:p w14:paraId="20F60BD1" w14:textId="77777777" w:rsidR="00CD0E38" w:rsidRDefault="00CD0E38" w:rsidP="00047279">
            <w:pPr>
              <w:pStyle w:val="xLedtext"/>
              <w:jc w:val="both"/>
            </w:pPr>
          </w:p>
        </w:tc>
        <w:tc>
          <w:tcPr>
            <w:tcW w:w="4448" w:type="dxa"/>
            <w:tcBorders>
              <w:top w:val="single" w:sz="4" w:space="0" w:color="auto"/>
            </w:tcBorders>
            <w:vAlign w:val="bottom"/>
          </w:tcPr>
          <w:p w14:paraId="1A300D3F" w14:textId="77777777" w:rsidR="00CD0E38" w:rsidRDefault="00CD0E38" w:rsidP="00047279">
            <w:pPr>
              <w:pStyle w:val="xLedtext"/>
              <w:jc w:val="both"/>
            </w:pPr>
          </w:p>
        </w:tc>
        <w:tc>
          <w:tcPr>
            <w:tcW w:w="4288" w:type="dxa"/>
            <w:gridSpan w:val="2"/>
            <w:tcBorders>
              <w:top w:val="single" w:sz="4" w:space="0" w:color="auto"/>
            </w:tcBorders>
            <w:vAlign w:val="bottom"/>
          </w:tcPr>
          <w:p w14:paraId="4078E5D4" w14:textId="77777777" w:rsidR="00CD0E38" w:rsidRDefault="00CD0E38" w:rsidP="00047279">
            <w:pPr>
              <w:pStyle w:val="xLedtext"/>
              <w:jc w:val="both"/>
            </w:pPr>
          </w:p>
        </w:tc>
      </w:tr>
      <w:tr w:rsidR="00CD0E38" w14:paraId="33B78C50" w14:textId="77777777" w:rsidTr="00547E63">
        <w:trPr>
          <w:cantSplit/>
          <w:trHeight w:val="238"/>
        </w:trPr>
        <w:tc>
          <w:tcPr>
            <w:tcW w:w="861" w:type="dxa"/>
          </w:tcPr>
          <w:p w14:paraId="569FC18A" w14:textId="77777777" w:rsidR="00CD0E38" w:rsidRDefault="00CD0E38" w:rsidP="00047279">
            <w:pPr>
              <w:pStyle w:val="xCelltext"/>
              <w:jc w:val="both"/>
            </w:pPr>
          </w:p>
        </w:tc>
        <w:tc>
          <w:tcPr>
            <w:tcW w:w="4448" w:type="dxa"/>
            <w:vMerge w:val="restart"/>
          </w:tcPr>
          <w:p w14:paraId="49D09D7B" w14:textId="77777777" w:rsidR="00CD0E38" w:rsidRDefault="00CD0E38" w:rsidP="00047279">
            <w:pPr>
              <w:pStyle w:val="xMottagare1"/>
              <w:jc w:val="both"/>
            </w:pPr>
            <w:r>
              <w:t>Till Ålands lagting</w:t>
            </w:r>
          </w:p>
        </w:tc>
        <w:tc>
          <w:tcPr>
            <w:tcW w:w="4288" w:type="dxa"/>
            <w:gridSpan w:val="2"/>
            <w:vMerge w:val="restart"/>
          </w:tcPr>
          <w:p w14:paraId="6336430F" w14:textId="77777777" w:rsidR="00CD0E38" w:rsidRDefault="00CD0E38" w:rsidP="00047279">
            <w:pPr>
              <w:pStyle w:val="xMottagare1"/>
              <w:tabs>
                <w:tab w:val="left" w:pos="2349"/>
              </w:tabs>
              <w:jc w:val="both"/>
            </w:pPr>
          </w:p>
        </w:tc>
      </w:tr>
      <w:tr w:rsidR="00CD0E38" w14:paraId="747F651D" w14:textId="77777777" w:rsidTr="00547E63">
        <w:trPr>
          <w:cantSplit/>
          <w:trHeight w:val="238"/>
        </w:trPr>
        <w:tc>
          <w:tcPr>
            <w:tcW w:w="861" w:type="dxa"/>
          </w:tcPr>
          <w:p w14:paraId="238EA830" w14:textId="77777777" w:rsidR="00CD0E38" w:rsidRDefault="00CD0E38" w:rsidP="00047279">
            <w:pPr>
              <w:pStyle w:val="xCelltext"/>
              <w:jc w:val="both"/>
            </w:pPr>
          </w:p>
        </w:tc>
        <w:tc>
          <w:tcPr>
            <w:tcW w:w="4448" w:type="dxa"/>
            <w:vMerge/>
            <w:vAlign w:val="center"/>
          </w:tcPr>
          <w:p w14:paraId="32D70C16" w14:textId="77777777" w:rsidR="00CD0E38" w:rsidRDefault="00CD0E38" w:rsidP="00047279">
            <w:pPr>
              <w:pStyle w:val="xCelltext"/>
              <w:jc w:val="both"/>
            </w:pPr>
          </w:p>
        </w:tc>
        <w:tc>
          <w:tcPr>
            <w:tcW w:w="4288" w:type="dxa"/>
            <w:gridSpan w:val="2"/>
            <w:vMerge/>
            <w:vAlign w:val="center"/>
          </w:tcPr>
          <w:p w14:paraId="7EF768E0" w14:textId="77777777" w:rsidR="00CD0E38" w:rsidRDefault="00CD0E38" w:rsidP="00047279">
            <w:pPr>
              <w:pStyle w:val="xCelltext"/>
              <w:jc w:val="both"/>
            </w:pPr>
          </w:p>
        </w:tc>
      </w:tr>
      <w:tr w:rsidR="00CD0E38" w14:paraId="442B4572" w14:textId="77777777" w:rsidTr="00547E63">
        <w:trPr>
          <w:cantSplit/>
          <w:trHeight w:val="238"/>
        </w:trPr>
        <w:tc>
          <w:tcPr>
            <w:tcW w:w="861" w:type="dxa"/>
          </w:tcPr>
          <w:p w14:paraId="56570098" w14:textId="77777777" w:rsidR="00CD0E38" w:rsidRDefault="00CD0E38" w:rsidP="00047279">
            <w:pPr>
              <w:pStyle w:val="xCelltext"/>
              <w:jc w:val="both"/>
            </w:pPr>
          </w:p>
        </w:tc>
        <w:tc>
          <w:tcPr>
            <w:tcW w:w="4448" w:type="dxa"/>
            <w:vMerge/>
            <w:vAlign w:val="center"/>
          </w:tcPr>
          <w:p w14:paraId="62BEB92F" w14:textId="77777777" w:rsidR="00CD0E38" w:rsidRDefault="00CD0E38" w:rsidP="00047279">
            <w:pPr>
              <w:pStyle w:val="xCelltext"/>
              <w:jc w:val="both"/>
            </w:pPr>
          </w:p>
        </w:tc>
        <w:tc>
          <w:tcPr>
            <w:tcW w:w="4288" w:type="dxa"/>
            <w:gridSpan w:val="2"/>
            <w:vMerge/>
            <w:vAlign w:val="center"/>
          </w:tcPr>
          <w:p w14:paraId="49D3247A" w14:textId="77777777" w:rsidR="00CD0E38" w:rsidRDefault="00CD0E38" w:rsidP="00047279">
            <w:pPr>
              <w:pStyle w:val="xCelltext"/>
              <w:jc w:val="both"/>
            </w:pPr>
          </w:p>
        </w:tc>
      </w:tr>
      <w:tr w:rsidR="00CD0E38" w14:paraId="2431A473" w14:textId="77777777" w:rsidTr="00547E63">
        <w:trPr>
          <w:cantSplit/>
          <w:trHeight w:val="238"/>
        </w:trPr>
        <w:tc>
          <w:tcPr>
            <w:tcW w:w="861" w:type="dxa"/>
          </w:tcPr>
          <w:p w14:paraId="4B13FA2F" w14:textId="77777777" w:rsidR="00CD0E38" w:rsidRDefault="00CD0E38" w:rsidP="00047279">
            <w:pPr>
              <w:pStyle w:val="xCelltext"/>
              <w:jc w:val="both"/>
            </w:pPr>
          </w:p>
        </w:tc>
        <w:tc>
          <w:tcPr>
            <w:tcW w:w="4448" w:type="dxa"/>
            <w:vMerge/>
            <w:vAlign w:val="center"/>
          </w:tcPr>
          <w:p w14:paraId="5871B9C2" w14:textId="77777777" w:rsidR="00CD0E38" w:rsidRDefault="00CD0E38" w:rsidP="00047279">
            <w:pPr>
              <w:pStyle w:val="xCelltext"/>
              <w:jc w:val="both"/>
            </w:pPr>
          </w:p>
        </w:tc>
        <w:tc>
          <w:tcPr>
            <w:tcW w:w="4288" w:type="dxa"/>
            <w:gridSpan w:val="2"/>
            <w:vMerge/>
            <w:vAlign w:val="center"/>
          </w:tcPr>
          <w:p w14:paraId="1DF03BC5" w14:textId="77777777" w:rsidR="00CD0E38" w:rsidRDefault="00CD0E38" w:rsidP="00047279">
            <w:pPr>
              <w:pStyle w:val="xCelltext"/>
              <w:jc w:val="both"/>
            </w:pPr>
          </w:p>
        </w:tc>
      </w:tr>
      <w:tr w:rsidR="00CD0E38" w14:paraId="78328AF7" w14:textId="77777777" w:rsidTr="00547E63">
        <w:trPr>
          <w:cantSplit/>
          <w:trHeight w:val="238"/>
        </w:trPr>
        <w:tc>
          <w:tcPr>
            <w:tcW w:w="861" w:type="dxa"/>
          </w:tcPr>
          <w:p w14:paraId="1F7E85E1" w14:textId="77777777" w:rsidR="00CD0E38" w:rsidRDefault="00CD0E38" w:rsidP="00047279">
            <w:pPr>
              <w:pStyle w:val="xCelltext"/>
              <w:jc w:val="both"/>
            </w:pPr>
          </w:p>
        </w:tc>
        <w:tc>
          <w:tcPr>
            <w:tcW w:w="4448" w:type="dxa"/>
            <w:vMerge/>
            <w:vAlign w:val="center"/>
          </w:tcPr>
          <w:p w14:paraId="53E2C1C2" w14:textId="77777777" w:rsidR="00CD0E38" w:rsidRDefault="00CD0E38" w:rsidP="00047279">
            <w:pPr>
              <w:pStyle w:val="xCelltext"/>
              <w:jc w:val="both"/>
            </w:pPr>
          </w:p>
        </w:tc>
        <w:tc>
          <w:tcPr>
            <w:tcW w:w="4288" w:type="dxa"/>
            <w:gridSpan w:val="2"/>
            <w:vMerge/>
            <w:vAlign w:val="center"/>
          </w:tcPr>
          <w:p w14:paraId="3D301215" w14:textId="77777777" w:rsidR="00CD0E38" w:rsidRDefault="00CD0E38" w:rsidP="00047279">
            <w:pPr>
              <w:pStyle w:val="xCelltext"/>
              <w:jc w:val="both"/>
            </w:pPr>
          </w:p>
        </w:tc>
      </w:tr>
    </w:tbl>
    <w:p w14:paraId="460A0FAE" w14:textId="77777777" w:rsidR="00CD0E38" w:rsidRDefault="00CD0E38" w:rsidP="00047279">
      <w:pPr>
        <w:jc w:val="both"/>
        <w:rPr>
          <w:b/>
          <w:bCs/>
        </w:rPr>
        <w:sectPr w:rsidR="00CD0E38" w:rsidSect="00CD0E38">
          <w:footerReference w:type="even" r:id="rId10"/>
          <w:footerReference w:type="default" r:id="rId11"/>
          <w:pgSz w:w="11906" w:h="16838" w:code="9"/>
          <w:pgMar w:top="567" w:right="1134" w:bottom="1134" w:left="1191" w:header="624" w:footer="737" w:gutter="0"/>
          <w:cols w:space="708"/>
          <w:docGrid w:linePitch="360"/>
        </w:sectPr>
      </w:pPr>
    </w:p>
    <w:p w14:paraId="0B085A0F" w14:textId="77777777" w:rsidR="00CD0E38" w:rsidRDefault="00CD0E38" w:rsidP="00047279">
      <w:pPr>
        <w:pStyle w:val="ArendeOverRubrik"/>
        <w:jc w:val="both"/>
      </w:pPr>
      <w:r>
        <w:t>Social-och miljöutskottets betänkande</w:t>
      </w:r>
    </w:p>
    <w:p w14:paraId="109BC433" w14:textId="33A29ECB" w:rsidR="00CD0E38" w:rsidRPr="00CD0E38" w:rsidRDefault="00376464" w:rsidP="00047279">
      <w:pPr>
        <w:pStyle w:val="ArendeUnderRubrik"/>
        <w:numPr>
          <w:ilvl w:val="0"/>
          <w:numId w:val="0"/>
        </w:numPr>
        <w:ind w:left="283" w:hanging="283"/>
        <w:jc w:val="both"/>
        <w:rPr>
          <w:rFonts w:ascii="Arial" w:hAnsi="Arial"/>
          <w:b/>
          <w:bCs/>
          <w:color w:val="000000"/>
          <w:sz w:val="26"/>
          <w:lang w:val="sv-FI"/>
        </w:rPr>
      </w:pPr>
      <w:r>
        <w:rPr>
          <w:rFonts w:ascii="Arial" w:hAnsi="Arial"/>
          <w:b/>
          <w:bCs/>
          <w:color w:val="000000"/>
          <w:sz w:val="26"/>
          <w:lang w:val="sv-FI"/>
        </w:rPr>
        <w:t>Vaccinationsregister för TBE-vaccin</w:t>
      </w:r>
    </w:p>
    <w:p w14:paraId="7155CFA1" w14:textId="17C683A3" w:rsidR="00376464" w:rsidRPr="00376464" w:rsidRDefault="00376464" w:rsidP="00376464">
      <w:pPr>
        <w:pStyle w:val="ArendeUnderRubrik"/>
        <w:jc w:val="both"/>
      </w:pPr>
      <w:r>
        <w:t>Lagtingsledamot Veronica Thörnroos åtgärdsmotion nr 14/2024-2025</w:t>
      </w:r>
    </w:p>
    <w:p w14:paraId="230378D4" w14:textId="35FE2171" w:rsidR="00CD0E38" w:rsidRDefault="00CD0E38" w:rsidP="00047279">
      <w:pPr>
        <w:pStyle w:val="ArendeUnderRubrik"/>
        <w:jc w:val="both"/>
      </w:pPr>
      <w:r>
        <w:t xml:space="preserve">Lagtingsledamot </w:t>
      </w:r>
      <w:r w:rsidR="00376464">
        <w:t xml:space="preserve">Mogens Lindéns </w:t>
      </w:r>
      <w:r>
        <w:t xml:space="preserve">m.fl. åtgärdsmotion </w:t>
      </w:r>
      <w:r w:rsidR="00365B3C">
        <w:t>nr</w:t>
      </w:r>
      <w:r>
        <w:t xml:space="preserve"> </w:t>
      </w:r>
      <w:r w:rsidR="00376464">
        <w:t>15</w:t>
      </w:r>
      <w:r>
        <w:t>/2024-2025</w:t>
      </w:r>
    </w:p>
    <w:p w14:paraId="573F33A2" w14:textId="77777777" w:rsidR="00CD0E38" w:rsidRDefault="00CD0E38" w:rsidP="00047279">
      <w:pPr>
        <w:pStyle w:val="ANormal"/>
      </w:pPr>
    </w:p>
    <w:p w14:paraId="2EACA6CB" w14:textId="77777777" w:rsidR="00CD0E38" w:rsidRDefault="00CD0E38" w:rsidP="00047279">
      <w:pPr>
        <w:pStyle w:val="Innehll1"/>
        <w:jc w:val="both"/>
      </w:pPr>
      <w:r>
        <w:t>INNEHÅLL</w:t>
      </w:r>
    </w:p>
    <w:p w14:paraId="555D4774" w14:textId="7D707CC0" w:rsidR="00C663D3" w:rsidRDefault="00CD0E38">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6731377" w:history="1">
        <w:r w:rsidR="00C663D3" w:rsidRPr="00F5328A">
          <w:rPr>
            <w:rStyle w:val="Hyperlnk"/>
          </w:rPr>
          <w:t>Sammanfattning</w:t>
        </w:r>
        <w:r w:rsidR="00C663D3">
          <w:rPr>
            <w:webHidden/>
          </w:rPr>
          <w:tab/>
        </w:r>
        <w:r w:rsidR="00C663D3">
          <w:rPr>
            <w:webHidden/>
          </w:rPr>
          <w:fldChar w:fldCharType="begin"/>
        </w:r>
        <w:r w:rsidR="00C663D3">
          <w:rPr>
            <w:webHidden/>
          </w:rPr>
          <w:instrText xml:space="preserve"> PAGEREF _Toc226731377 \h </w:instrText>
        </w:r>
        <w:r w:rsidR="00C663D3">
          <w:rPr>
            <w:webHidden/>
          </w:rPr>
        </w:r>
        <w:r w:rsidR="00C663D3">
          <w:rPr>
            <w:webHidden/>
          </w:rPr>
          <w:fldChar w:fldCharType="separate"/>
        </w:r>
        <w:r w:rsidR="00C663D3">
          <w:rPr>
            <w:webHidden/>
          </w:rPr>
          <w:t>1</w:t>
        </w:r>
        <w:r w:rsidR="00C663D3">
          <w:rPr>
            <w:webHidden/>
          </w:rPr>
          <w:fldChar w:fldCharType="end"/>
        </w:r>
      </w:hyperlink>
    </w:p>
    <w:p w14:paraId="768B1331" w14:textId="36AAAFB8" w:rsidR="00C663D3" w:rsidRDefault="00C663D3">
      <w:pPr>
        <w:pStyle w:val="Innehll2"/>
        <w:rPr>
          <w:rFonts w:asciiTheme="minorHAnsi" w:eastAsiaTheme="minorEastAsia" w:hAnsiTheme="minorHAnsi" w:cstheme="minorBidi"/>
          <w:kern w:val="2"/>
          <w:sz w:val="24"/>
          <w:szCs w:val="24"/>
          <w:lang w:val="sv-FI" w:eastAsia="sv-FI"/>
          <w14:ligatures w14:val="standardContextual"/>
        </w:rPr>
      </w:pPr>
      <w:hyperlink w:anchor="_Toc226731378" w:history="1">
        <w:r w:rsidRPr="00F5328A">
          <w:rPr>
            <w:rStyle w:val="Hyperlnk"/>
          </w:rPr>
          <w:t>Motionärernas förslag</w:t>
        </w:r>
        <w:r>
          <w:rPr>
            <w:webHidden/>
          </w:rPr>
          <w:tab/>
        </w:r>
        <w:r>
          <w:rPr>
            <w:webHidden/>
          </w:rPr>
          <w:fldChar w:fldCharType="begin"/>
        </w:r>
        <w:r>
          <w:rPr>
            <w:webHidden/>
          </w:rPr>
          <w:instrText xml:space="preserve"> PAGEREF _Toc226731378 \h </w:instrText>
        </w:r>
        <w:r>
          <w:rPr>
            <w:webHidden/>
          </w:rPr>
        </w:r>
        <w:r>
          <w:rPr>
            <w:webHidden/>
          </w:rPr>
          <w:fldChar w:fldCharType="separate"/>
        </w:r>
        <w:r>
          <w:rPr>
            <w:webHidden/>
          </w:rPr>
          <w:t>1</w:t>
        </w:r>
        <w:r>
          <w:rPr>
            <w:webHidden/>
          </w:rPr>
          <w:fldChar w:fldCharType="end"/>
        </w:r>
      </w:hyperlink>
    </w:p>
    <w:p w14:paraId="506C27C6" w14:textId="793A0C90" w:rsidR="00C663D3" w:rsidRDefault="00C663D3">
      <w:pPr>
        <w:pStyle w:val="Innehll2"/>
        <w:rPr>
          <w:rFonts w:asciiTheme="minorHAnsi" w:eastAsiaTheme="minorEastAsia" w:hAnsiTheme="minorHAnsi" w:cstheme="minorBidi"/>
          <w:kern w:val="2"/>
          <w:sz w:val="24"/>
          <w:szCs w:val="24"/>
          <w:lang w:val="sv-FI" w:eastAsia="sv-FI"/>
          <w14:ligatures w14:val="standardContextual"/>
        </w:rPr>
      </w:pPr>
      <w:hyperlink w:anchor="_Toc226731379" w:history="1">
        <w:r w:rsidRPr="00F5328A">
          <w:rPr>
            <w:rStyle w:val="Hyperlnk"/>
          </w:rPr>
          <w:t>Utskottets förslag</w:t>
        </w:r>
        <w:r>
          <w:rPr>
            <w:webHidden/>
          </w:rPr>
          <w:tab/>
        </w:r>
        <w:r>
          <w:rPr>
            <w:webHidden/>
          </w:rPr>
          <w:fldChar w:fldCharType="begin"/>
        </w:r>
        <w:r>
          <w:rPr>
            <w:webHidden/>
          </w:rPr>
          <w:instrText xml:space="preserve"> PAGEREF _Toc226731379 \h </w:instrText>
        </w:r>
        <w:r>
          <w:rPr>
            <w:webHidden/>
          </w:rPr>
        </w:r>
        <w:r>
          <w:rPr>
            <w:webHidden/>
          </w:rPr>
          <w:fldChar w:fldCharType="separate"/>
        </w:r>
        <w:r>
          <w:rPr>
            <w:webHidden/>
          </w:rPr>
          <w:t>1</w:t>
        </w:r>
        <w:r>
          <w:rPr>
            <w:webHidden/>
          </w:rPr>
          <w:fldChar w:fldCharType="end"/>
        </w:r>
      </w:hyperlink>
    </w:p>
    <w:p w14:paraId="603EC333" w14:textId="13BF04CF" w:rsidR="00C663D3" w:rsidRDefault="00C663D3">
      <w:pPr>
        <w:pStyle w:val="Innehll1"/>
        <w:rPr>
          <w:rFonts w:asciiTheme="minorHAnsi" w:eastAsiaTheme="minorEastAsia" w:hAnsiTheme="minorHAnsi" w:cstheme="minorBidi"/>
          <w:kern w:val="2"/>
          <w:sz w:val="24"/>
          <w:szCs w:val="24"/>
          <w:lang w:val="sv-FI" w:eastAsia="sv-FI"/>
          <w14:ligatures w14:val="standardContextual"/>
        </w:rPr>
      </w:pPr>
      <w:hyperlink w:anchor="_Toc226731380" w:history="1">
        <w:r w:rsidRPr="00F5328A">
          <w:rPr>
            <w:rStyle w:val="Hyperlnk"/>
          </w:rPr>
          <w:t>Utskottets synpunkter</w:t>
        </w:r>
        <w:r>
          <w:rPr>
            <w:webHidden/>
          </w:rPr>
          <w:tab/>
        </w:r>
        <w:r>
          <w:rPr>
            <w:webHidden/>
          </w:rPr>
          <w:fldChar w:fldCharType="begin"/>
        </w:r>
        <w:r>
          <w:rPr>
            <w:webHidden/>
          </w:rPr>
          <w:instrText xml:space="preserve"> PAGEREF _Toc226731380 \h </w:instrText>
        </w:r>
        <w:r>
          <w:rPr>
            <w:webHidden/>
          </w:rPr>
        </w:r>
        <w:r>
          <w:rPr>
            <w:webHidden/>
          </w:rPr>
          <w:fldChar w:fldCharType="separate"/>
        </w:r>
        <w:r>
          <w:rPr>
            <w:webHidden/>
          </w:rPr>
          <w:t>1</w:t>
        </w:r>
        <w:r>
          <w:rPr>
            <w:webHidden/>
          </w:rPr>
          <w:fldChar w:fldCharType="end"/>
        </w:r>
      </w:hyperlink>
    </w:p>
    <w:p w14:paraId="62D3676C" w14:textId="79246794" w:rsidR="00C663D3" w:rsidRDefault="00C663D3">
      <w:pPr>
        <w:pStyle w:val="Innehll1"/>
        <w:rPr>
          <w:rFonts w:asciiTheme="minorHAnsi" w:eastAsiaTheme="minorEastAsia" w:hAnsiTheme="minorHAnsi" w:cstheme="minorBidi"/>
          <w:kern w:val="2"/>
          <w:sz w:val="24"/>
          <w:szCs w:val="24"/>
          <w:lang w:val="sv-FI" w:eastAsia="sv-FI"/>
          <w14:ligatures w14:val="standardContextual"/>
        </w:rPr>
      </w:pPr>
      <w:hyperlink w:anchor="_Toc226731381" w:history="1">
        <w:r w:rsidRPr="00F5328A">
          <w:rPr>
            <w:rStyle w:val="Hyperlnk"/>
          </w:rPr>
          <w:t>Ärendets behandling</w:t>
        </w:r>
        <w:r>
          <w:rPr>
            <w:webHidden/>
          </w:rPr>
          <w:tab/>
        </w:r>
        <w:r>
          <w:rPr>
            <w:webHidden/>
          </w:rPr>
          <w:fldChar w:fldCharType="begin"/>
        </w:r>
        <w:r>
          <w:rPr>
            <w:webHidden/>
          </w:rPr>
          <w:instrText xml:space="preserve"> PAGEREF _Toc226731381 \h </w:instrText>
        </w:r>
        <w:r>
          <w:rPr>
            <w:webHidden/>
          </w:rPr>
        </w:r>
        <w:r>
          <w:rPr>
            <w:webHidden/>
          </w:rPr>
          <w:fldChar w:fldCharType="separate"/>
        </w:r>
        <w:r>
          <w:rPr>
            <w:webHidden/>
          </w:rPr>
          <w:t>4</w:t>
        </w:r>
        <w:r>
          <w:rPr>
            <w:webHidden/>
          </w:rPr>
          <w:fldChar w:fldCharType="end"/>
        </w:r>
      </w:hyperlink>
    </w:p>
    <w:p w14:paraId="633389A7" w14:textId="05589E81" w:rsidR="00C663D3" w:rsidRDefault="00C663D3">
      <w:pPr>
        <w:pStyle w:val="Innehll1"/>
        <w:rPr>
          <w:rFonts w:asciiTheme="minorHAnsi" w:eastAsiaTheme="minorEastAsia" w:hAnsiTheme="minorHAnsi" w:cstheme="minorBidi"/>
          <w:kern w:val="2"/>
          <w:sz w:val="24"/>
          <w:szCs w:val="24"/>
          <w:lang w:val="sv-FI" w:eastAsia="sv-FI"/>
          <w14:ligatures w14:val="standardContextual"/>
        </w:rPr>
      </w:pPr>
      <w:hyperlink w:anchor="_Toc226731382" w:history="1">
        <w:r w:rsidRPr="00F5328A">
          <w:rPr>
            <w:rStyle w:val="Hyperlnk"/>
          </w:rPr>
          <w:t>Utskottets förslag</w:t>
        </w:r>
        <w:r>
          <w:rPr>
            <w:webHidden/>
          </w:rPr>
          <w:tab/>
        </w:r>
        <w:r>
          <w:rPr>
            <w:webHidden/>
          </w:rPr>
          <w:fldChar w:fldCharType="begin"/>
        </w:r>
        <w:r>
          <w:rPr>
            <w:webHidden/>
          </w:rPr>
          <w:instrText xml:space="preserve"> PAGEREF _Toc226731382 \h </w:instrText>
        </w:r>
        <w:r>
          <w:rPr>
            <w:webHidden/>
          </w:rPr>
        </w:r>
        <w:r>
          <w:rPr>
            <w:webHidden/>
          </w:rPr>
          <w:fldChar w:fldCharType="separate"/>
        </w:r>
        <w:r>
          <w:rPr>
            <w:webHidden/>
          </w:rPr>
          <w:t>4</w:t>
        </w:r>
        <w:r>
          <w:rPr>
            <w:webHidden/>
          </w:rPr>
          <w:fldChar w:fldCharType="end"/>
        </w:r>
      </w:hyperlink>
    </w:p>
    <w:p w14:paraId="10E3DCBE" w14:textId="4B34A954" w:rsidR="00CD0E38" w:rsidRDefault="00CD0E38" w:rsidP="00047279">
      <w:pPr>
        <w:pStyle w:val="ANormal"/>
        <w:rPr>
          <w:noProof/>
        </w:rPr>
      </w:pPr>
      <w:r>
        <w:rPr>
          <w:rFonts w:ascii="Verdana" w:hAnsi="Verdana"/>
          <w:noProof/>
          <w:sz w:val="16"/>
          <w:szCs w:val="36"/>
        </w:rPr>
        <w:fldChar w:fldCharType="end"/>
      </w:r>
    </w:p>
    <w:p w14:paraId="10981D5F" w14:textId="77777777" w:rsidR="00CD0E38" w:rsidRDefault="00CD0E38" w:rsidP="00047279">
      <w:pPr>
        <w:pStyle w:val="ANormal"/>
      </w:pPr>
    </w:p>
    <w:p w14:paraId="442A2909" w14:textId="77777777" w:rsidR="00956E7F" w:rsidRDefault="00956E7F" w:rsidP="00956E7F">
      <w:pPr>
        <w:pStyle w:val="RubrikA"/>
        <w:jc w:val="both"/>
      </w:pPr>
      <w:bookmarkStart w:id="1" w:name="_Toc529800932"/>
      <w:bookmarkStart w:id="2" w:name="_Toc226731377"/>
      <w:r>
        <w:t>Sammanfattning</w:t>
      </w:r>
      <w:bookmarkEnd w:id="1"/>
      <w:bookmarkEnd w:id="2"/>
    </w:p>
    <w:p w14:paraId="20750BE6" w14:textId="77777777" w:rsidR="00956E7F" w:rsidRDefault="00956E7F" w:rsidP="00956E7F">
      <w:pPr>
        <w:pStyle w:val="Rubrikmellanrum"/>
      </w:pPr>
    </w:p>
    <w:p w14:paraId="455630ED" w14:textId="77777777" w:rsidR="00956E7F" w:rsidRDefault="00956E7F" w:rsidP="00956E7F">
      <w:pPr>
        <w:pStyle w:val="RubrikB"/>
        <w:jc w:val="both"/>
      </w:pPr>
      <w:bookmarkStart w:id="3" w:name="_Toc529800933"/>
      <w:bookmarkStart w:id="4" w:name="_Toc226731378"/>
      <w:r>
        <w:t>Motionärernas förslag</w:t>
      </w:r>
      <w:bookmarkEnd w:id="3"/>
      <w:bookmarkEnd w:id="4"/>
    </w:p>
    <w:p w14:paraId="169FBAAF" w14:textId="77777777" w:rsidR="00956E7F" w:rsidRDefault="00956E7F" w:rsidP="00956E7F">
      <w:pPr>
        <w:pStyle w:val="Rubrikmellanrum"/>
      </w:pPr>
    </w:p>
    <w:p w14:paraId="08C9831A" w14:textId="77777777" w:rsidR="00956E7F" w:rsidRDefault="00956E7F" w:rsidP="00956E7F">
      <w:pPr>
        <w:pStyle w:val="ANormal"/>
        <w:rPr>
          <w:color w:val="000000"/>
        </w:rPr>
      </w:pPr>
      <w:r>
        <w:rPr>
          <w:color w:val="000000"/>
        </w:rPr>
        <w:t xml:space="preserve">I lagtingsledamot Veronica Thörnroos åtgärdsmotion nr 14/2024-2025 uppmanas landskapsregeringen snarast initiera en kampanj för att höja vaccinationsgraden och göra </w:t>
      </w:r>
      <w:proofErr w:type="spellStart"/>
      <w:r>
        <w:rPr>
          <w:color w:val="000000"/>
        </w:rPr>
        <w:t>boosterdosen</w:t>
      </w:r>
      <w:proofErr w:type="spellEnd"/>
      <w:r>
        <w:rPr>
          <w:color w:val="000000"/>
        </w:rPr>
        <w:t xml:space="preserve"> av TBE vaccin avgiftsfri för den enskilde samt skapa ett gemensamt vaccinationsregister. </w:t>
      </w:r>
    </w:p>
    <w:p w14:paraId="35B72069" w14:textId="77777777" w:rsidR="00956E7F" w:rsidRDefault="00956E7F" w:rsidP="00956E7F">
      <w:pPr>
        <w:pStyle w:val="ANormal"/>
      </w:pPr>
      <w:r>
        <w:rPr>
          <w:color w:val="000000"/>
        </w:rPr>
        <w:t>I lagtingsledamot Mogens Lindéns med fleras åtgärdsmotion nr 15/2024-2025 uppmanas landskapsregeringen att skapa ett gemensamt åländskt vaccinationsregister med påminnelsefunktion gällande TBE-vaccination.</w:t>
      </w:r>
    </w:p>
    <w:p w14:paraId="4D633D2D" w14:textId="77777777" w:rsidR="00956E7F" w:rsidRDefault="00956E7F" w:rsidP="00956E7F">
      <w:pPr>
        <w:pStyle w:val="ANormal"/>
      </w:pPr>
    </w:p>
    <w:p w14:paraId="732EC9CD" w14:textId="77777777" w:rsidR="00956E7F" w:rsidRDefault="00956E7F" w:rsidP="00956E7F">
      <w:pPr>
        <w:pStyle w:val="ANormal"/>
      </w:pPr>
    </w:p>
    <w:p w14:paraId="6500B13C" w14:textId="77777777" w:rsidR="00956E7F" w:rsidRDefault="00956E7F" w:rsidP="00956E7F">
      <w:pPr>
        <w:pStyle w:val="RubrikB"/>
        <w:jc w:val="both"/>
      </w:pPr>
      <w:bookmarkStart w:id="5" w:name="_Toc529800934"/>
      <w:bookmarkStart w:id="6" w:name="_Toc226731379"/>
      <w:r>
        <w:t>Utskottets förslag</w:t>
      </w:r>
      <w:bookmarkEnd w:id="5"/>
      <w:bookmarkEnd w:id="6"/>
    </w:p>
    <w:p w14:paraId="669C3D0F" w14:textId="77777777" w:rsidR="00956E7F" w:rsidRDefault="00956E7F" w:rsidP="00956E7F">
      <w:pPr>
        <w:pStyle w:val="Rubrikmellanrum"/>
      </w:pPr>
    </w:p>
    <w:p w14:paraId="12DF68BB" w14:textId="77777777" w:rsidR="00956E7F" w:rsidRDefault="00956E7F" w:rsidP="00956E7F">
      <w:pPr>
        <w:pStyle w:val="ANormal"/>
      </w:pPr>
      <w:r>
        <w:t>Utskottet föreslår att åtgärdsmotionerna förkastas och bringar betänkandets motivering till landskapsregeringens kännedom.</w:t>
      </w:r>
    </w:p>
    <w:p w14:paraId="1FC18036" w14:textId="77777777" w:rsidR="00956E7F" w:rsidRDefault="00956E7F" w:rsidP="00956E7F">
      <w:pPr>
        <w:pStyle w:val="ANormal"/>
      </w:pPr>
    </w:p>
    <w:p w14:paraId="5D606CE2" w14:textId="77777777" w:rsidR="00956E7F" w:rsidRDefault="00956E7F" w:rsidP="00956E7F">
      <w:pPr>
        <w:pStyle w:val="RubrikA"/>
        <w:jc w:val="both"/>
      </w:pPr>
      <w:bookmarkStart w:id="7" w:name="_Toc226731380"/>
      <w:bookmarkStart w:id="8" w:name="_Toc529800936"/>
      <w:r>
        <w:t>Utskottets synpunkter</w:t>
      </w:r>
      <w:bookmarkEnd w:id="7"/>
    </w:p>
    <w:p w14:paraId="573E0F10" w14:textId="77777777" w:rsidR="00956E7F" w:rsidRDefault="00956E7F" w:rsidP="00956E7F">
      <w:pPr>
        <w:pStyle w:val="Rubrikmellanrum"/>
      </w:pPr>
    </w:p>
    <w:p w14:paraId="02D4C769" w14:textId="77777777" w:rsidR="00956E7F" w:rsidRDefault="00956E7F" w:rsidP="00956E7F">
      <w:pPr>
        <w:pStyle w:val="ANormal"/>
        <w:rPr>
          <w:i/>
          <w:iCs/>
        </w:rPr>
      </w:pPr>
      <w:r>
        <w:rPr>
          <w:i/>
          <w:iCs/>
        </w:rPr>
        <w:t>Situationen på Åland</w:t>
      </w:r>
    </w:p>
    <w:p w14:paraId="37F2BE84" w14:textId="77777777" w:rsidR="00956E7F" w:rsidRDefault="00956E7F" w:rsidP="00956E7F">
      <w:pPr>
        <w:pStyle w:val="Rubrikmellanrum"/>
      </w:pPr>
    </w:p>
    <w:p w14:paraId="7683B0B5" w14:textId="77777777" w:rsidR="00956E7F" w:rsidRDefault="00956E7F" w:rsidP="00956E7F">
      <w:pPr>
        <w:pStyle w:val="ANormal"/>
        <w:rPr>
          <w:lang w:val="sv-FI"/>
        </w:rPr>
      </w:pPr>
      <w:r>
        <w:rPr>
          <w:lang w:val="sv-FI"/>
        </w:rPr>
        <w:t xml:space="preserve">Social- och miljöutskottet konstaterar att Åland tidigare haft en mycket hög andel av Finlands TBE-fall. TBE-förekomsten på Åland har varit stabil till skillnad från närregionen där fallen ökar. Även på Åland kan en viss ökning ses. Det åländska vaccinationsprogrammet med tre kostnadsfria doser infördes 2006 och har enligt tillgänglig forskning haft en tydlig effekt. </w:t>
      </w:r>
    </w:p>
    <w:p w14:paraId="351F1008" w14:textId="77777777" w:rsidR="00956E7F" w:rsidRDefault="00956E7F" w:rsidP="00956E7F">
      <w:pPr>
        <w:pStyle w:val="ANormal"/>
        <w:rPr>
          <w:lang w:val="sv-FI"/>
        </w:rPr>
      </w:pPr>
    </w:p>
    <w:p w14:paraId="03B6DB8D" w14:textId="77777777" w:rsidR="00956E7F" w:rsidRDefault="00956E7F" w:rsidP="00956E7F">
      <w:pPr>
        <w:pStyle w:val="ANormal"/>
        <w:jc w:val="center"/>
      </w:pPr>
      <w:r>
        <w:rPr>
          <w:noProof/>
          <w:lang w:val="sv-FI"/>
        </w:rPr>
        <w:lastRenderedPageBreak/>
        <w:drawing>
          <wp:inline distT="0" distB="0" distL="0" distR="0" wp14:anchorId="6E760201" wp14:editId="4037CCEF">
            <wp:extent cx="5364272" cy="2659687"/>
            <wp:effectExtent l="0" t="0" r="7828" b="7313"/>
            <wp:docPr id="979455748"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64272" cy="2659687"/>
                    </a:xfrm>
                    <a:prstGeom prst="rect">
                      <a:avLst/>
                    </a:prstGeom>
                    <a:noFill/>
                    <a:ln>
                      <a:noFill/>
                      <a:prstDash/>
                    </a:ln>
                  </pic:spPr>
                </pic:pic>
              </a:graphicData>
            </a:graphic>
          </wp:inline>
        </w:drawing>
      </w:r>
    </w:p>
    <w:p w14:paraId="19115F21" w14:textId="77777777" w:rsidR="00956E7F" w:rsidRDefault="00956E7F" w:rsidP="00956E7F">
      <w:pPr>
        <w:pStyle w:val="ANormal"/>
        <w:rPr>
          <w:lang w:val="sv-FI"/>
        </w:rPr>
      </w:pPr>
    </w:p>
    <w:p w14:paraId="4A7B4396" w14:textId="77777777" w:rsidR="00956E7F" w:rsidRDefault="00956E7F" w:rsidP="00956E7F">
      <w:pPr>
        <w:pStyle w:val="ANormal"/>
        <w:rPr>
          <w:lang w:val="sv-FI"/>
        </w:rPr>
      </w:pPr>
      <w:r>
        <w:rPr>
          <w:lang w:val="sv-FI"/>
        </w:rPr>
        <w:tab/>
        <w:t>Utskottet noterar att vaccinationsprogrammet haft avsedd effekt. Samtidigt konstateras att skyddet inte är fullständigt och att bland de insjuknade finns en större andel ovaccinerade, en del endast delvis vaccinerade samt en mindre andel med fullgott vaccin. Vaccinationstäckningen bland barn och ungdomar är hög. Cirka 90 procent av åländska barn födda mellan 2006 och 2015 har fått minst tre doser. Samtidigt saknas ett heltäckande register för vuxna, vilket innebär att den totala vaccinationstäckningen i befolkningen är osäker.</w:t>
      </w:r>
    </w:p>
    <w:p w14:paraId="75DCC015" w14:textId="77777777" w:rsidR="00956E7F" w:rsidRDefault="00956E7F" w:rsidP="00956E7F">
      <w:pPr>
        <w:pStyle w:val="ANormal"/>
        <w:rPr>
          <w:lang w:val="sv-FI"/>
        </w:rPr>
      </w:pPr>
      <w:r>
        <w:rPr>
          <w:lang w:val="sv-FI"/>
        </w:rPr>
        <w:tab/>
        <w:t>Utskottet noterar särskilt att tre doser inte ger ett livslångt skydd. För ett effektivt skydd hela livet krävs påfyllnadsdoser i enlighet med rekommendationer från Institutet för hälsa och välfärd.</w:t>
      </w:r>
    </w:p>
    <w:p w14:paraId="30C1E9BB" w14:textId="77777777" w:rsidR="00956E7F" w:rsidRDefault="00956E7F" w:rsidP="00956E7F">
      <w:pPr>
        <w:pStyle w:val="ANormal"/>
        <w:rPr>
          <w:i/>
          <w:iCs/>
        </w:rPr>
      </w:pPr>
    </w:p>
    <w:p w14:paraId="1A306767" w14:textId="77777777" w:rsidR="00956E7F" w:rsidRDefault="00956E7F" w:rsidP="00956E7F">
      <w:pPr>
        <w:pStyle w:val="ANormal"/>
        <w:rPr>
          <w:i/>
          <w:iCs/>
        </w:rPr>
      </w:pPr>
      <w:r>
        <w:rPr>
          <w:i/>
          <w:iCs/>
        </w:rPr>
        <w:t xml:space="preserve">Lagstiftningsbehörighet och ansvarsfördelning </w:t>
      </w:r>
    </w:p>
    <w:p w14:paraId="4DFBA44C" w14:textId="77777777" w:rsidR="00956E7F" w:rsidRDefault="00956E7F" w:rsidP="00956E7F">
      <w:pPr>
        <w:pStyle w:val="Rubrikmellanrum"/>
        <w:rPr>
          <w:lang w:val="sv-FI"/>
        </w:rPr>
      </w:pPr>
    </w:p>
    <w:p w14:paraId="49DAD532" w14:textId="77777777" w:rsidR="00956E7F" w:rsidRDefault="00956E7F" w:rsidP="00956E7F">
      <w:pPr>
        <w:pStyle w:val="ANormal"/>
        <w:rPr>
          <w:lang w:val="sv-FI"/>
        </w:rPr>
      </w:pPr>
      <w:r>
        <w:rPr>
          <w:lang w:val="sv-FI"/>
        </w:rPr>
        <w:t>Utskottet konstaterar att vaccinationsprogram i huvudsak faller inom rikets behörighet. Det nationella vaccinationsprogrammet fastställs i Finland och administreras av Institutet för hälsa och välfärd. Samtidigt har Åland behörighet inom hälso- och sjukvård och kan vidta egna åtgärder, inklusive att finansiera tilläggsinsatser som inte ingår i det nationella programmet. Detta har också skett genom införandet av den åländska TBE-vaccinationen med kostnadsfria grunddoser.</w:t>
      </w:r>
    </w:p>
    <w:p w14:paraId="6B31B3FB" w14:textId="77777777" w:rsidR="00956E7F" w:rsidRDefault="00956E7F" w:rsidP="00956E7F">
      <w:pPr>
        <w:pStyle w:val="ANormal"/>
        <w:rPr>
          <w:lang w:val="sv-FI"/>
        </w:rPr>
      </w:pPr>
      <w:r>
        <w:rPr>
          <w:lang w:val="sv-FI"/>
        </w:rPr>
        <w:tab/>
        <w:t xml:space="preserve">Vad gäller motionernas uppmaning om att införa ett åländskt vaccinationsregister konstaterar utskottet att avsaknaden av ett heltäckande vaccinationsregister utgör en brist i dagens system. Samtidigt bedömer utskottet att ett separat åländskt register skulle vara administrativt och juridiskt krävande att upprätta. Införandet av nya allmänna vaccinationsprogram eller förändringar av nationella rekommendationer kräver samordning med riksmyndigheterna. Möjligheten att reglera exempelvis företagshälsovårdens verksamhet är begränsad, eftersom den i huvudsak faller under rikets lagstiftningsbehörighet. Tekniska lösningar såsom nationella vaccinationsregister och Kanta-systemet kräver samarbete med riket och kan inte ensidigt utvecklas av Åland. </w:t>
      </w:r>
    </w:p>
    <w:p w14:paraId="6CD295B3" w14:textId="77777777" w:rsidR="00956E7F" w:rsidRDefault="00956E7F" w:rsidP="00956E7F">
      <w:pPr>
        <w:pStyle w:val="ANormal"/>
        <w:rPr>
          <w:lang w:val="sv-FI"/>
        </w:rPr>
      </w:pPr>
      <w:r>
        <w:rPr>
          <w:lang w:val="sv-FI"/>
        </w:rPr>
        <w:tab/>
        <w:t xml:space="preserve">TBE vaccin har till ålänningar getts inom den offentliga sjukvården på Åland, av privata tjänsteleverantörer på Åland, i företagshälsovården på Åland samt av offentlig eller privat sjukvård i Finland eller i andra länder. Vaccinationsuppgifter från alla dessa instanser skulle krävas för ett tillförlitligt och heltäckande åländskt vaccinationsregister. Påminnelsefunktion om TBE-vaccin kräver adekvat vaccinationshistorik för att inte riskera att påminnelser om doser kommer i fel tid eller inte alls. Utskottet noterar att sedan 2026 finns en ny funktion i Kanta om påminnelse </w:t>
      </w:r>
      <w:r>
        <w:rPr>
          <w:lang w:val="sv-FI"/>
        </w:rPr>
        <w:lastRenderedPageBreak/>
        <w:t xml:space="preserve">för stelkrampsvaccin. Trots att tekniska utmaningar finns för att använda påminnelsefunktionen för andra vaccin konstaterar utskottet att det är en välkommen funktion i Kanta. Utskottet noterar dock att patientdatasystemet på Åland Cosmic inte är anslutet till Kanta, varför överföringar av vaccinationsuppgifter från ÅHS inte är möjligt i nuläge.  </w:t>
      </w:r>
      <w:r>
        <w:rPr>
          <w:lang w:val="sv-FI"/>
        </w:rPr>
        <w:tab/>
      </w:r>
    </w:p>
    <w:p w14:paraId="65C5D50F" w14:textId="77777777" w:rsidR="00956E7F" w:rsidRDefault="00956E7F" w:rsidP="00956E7F">
      <w:pPr>
        <w:pStyle w:val="ANormal"/>
        <w:rPr>
          <w:lang w:val="sv-FI"/>
        </w:rPr>
      </w:pPr>
      <w:r>
        <w:rPr>
          <w:lang w:val="sv-FI"/>
        </w:rPr>
        <w:tab/>
        <w:t xml:space="preserve">Utskottet ser därför positivt på att vidareutveckla det nationella Kanta-systemet som en gemensam plattform för vaccinationsinformation där påminnelsefunktion går att införa. Sedan 2024 är det lagstadgat för alla tjänsteleverantörer att överföra vaccinationsuppgifter till Kanta. Utskottet betonar därför vikten av att alla vårdgivare aktivt registrerar vaccinationer och informerar om kommande doser. </w:t>
      </w:r>
    </w:p>
    <w:p w14:paraId="718B82FA" w14:textId="77777777" w:rsidR="00956E7F" w:rsidRDefault="00956E7F" w:rsidP="00956E7F">
      <w:pPr>
        <w:pStyle w:val="ANormal"/>
      </w:pPr>
      <w:r>
        <w:rPr>
          <w:lang w:val="sv-FI"/>
        </w:rPr>
        <w:tab/>
        <w:t>Utskottet har erfarit att t</w:t>
      </w:r>
      <w:r>
        <w:t xml:space="preserve">rots att kännedomen om TBE och vaccinationsprogrammet är relativt god, finns en tydlig brist i uppföljningen av påfyllnadsdoser. </w:t>
      </w:r>
      <w:r>
        <w:rPr>
          <w:lang w:val="sv-FI"/>
        </w:rPr>
        <w:t xml:space="preserve">Enligt utskottet bör nya informationsinsatser riktas till allmänheten om vikten av att följa sin vaccinationsstatus då det är </w:t>
      </w:r>
      <w:r>
        <w:t>en central och kostnadseffektiv åtgärd för att stärka vaccinationsskyddet i befolkningen. Utskottet bedömer att riktade kampanjer bidrar till att öka medvetenheten och därmed vaccinationsgraden.</w:t>
      </w:r>
    </w:p>
    <w:p w14:paraId="102CAB8E" w14:textId="77777777" w:rsidR="00956E7F" w:rsidRDefault="00956E7F" w:rsidP="00956E7F">
      <w:pPr>
        <w:pStyle w:val="ANormal"/>
      </w:pPr>
    </w:p>
    <w:p w14:paraId="1CBE2E72" w14:textId="77777777" w:rsidR="00956E7F" w:rsidRDefault="00956E7F" w:rsidP="00956E7F">
      <w:pPr>
        <w:pStyle w:val="ANormal"/>
        <w:keepNext/>
      </w:pPr>
      <w:r>
        <w:rPr>
          <w:noProof/>
          <w:lang w:val="sv-FI"/>
        </w:rPr>
        <w:drawing>
          <wp:inline distT="0" distB="0" distL="0" distR="0" wp14:anchorId="37BDCE4F" wp14:editId="07A06C3E">
            <wp:extent cx="4654085" cy="3232961"/>
            <wp:effectExtent l="0" t="0" r="0" b="5539"/>
            <wp:docPr id="479246939" name="Bildobjekt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4827" t="3026" r="3320" b="11673"/>
                    <a:stretch>
                      <a:fillRect/>
                    </a:stretch>
                  </pic:blipFill>
                  <pic:spPr>
                    <a:xfrm>
                      <a:off x="0" y="0"/>
                      <a:ext cx="4654085" cy="3232961"/>
                    </a:xfrm>
                    <a:prstGeom prst="rect">
                      <a:avLst/>
                    </a:prstGeom>
                    <a:noFill/>
                    <a:ln>
                      <a:noFill/>
                      <a:prstDash/>
                    </a:ln>
                  </pic:spPr>
                </pic:pic>
              </a:graphicData>
            </a:graphic>
          </wp:inline>
        </w:drawing>
      </w:r>
    </w:p>
    <w:p w14:paraId="4708864F" w14:textId="77777777" w:rsidR="00956E7F" w:rsidRDefault="00956E7F" w:rsidP="00956E7F">
      <w:pPr>
        <w:pStyle w:val="Beskrivning"/>
        <w:jc w:val="both"/>
      </w:pPr>
      <w:r>
        <w:rPr>
          <w:i w:val="0"/>
          <w:iCs w:val="0"/>
        </w:rPr>
        <w:t>Bild: Incidens för femårsperiod, Institutet för hälsa och välfärd (THL).</w:t>
      </w:r>
    </w:p>
    <w:p w14:paraId="2D1555B3" w14:textId="77777777" w:rsidR="00956E7F" w:rsidRDefault="00956E7F" w:rsidP="00956E7F">
      <w:pPr>
        <w:pStyle w:val="ANormal"/>
        <w:rPr>
          <w:i/>
          <w:iCs/>
          <w:lang w:val="sv-FI"/>
        </w:rPr>
      </w:pPr>
      <w:r>
        <w:rPr>
          <w:i/>
          <w:iCs/>
          <w:lang w:val="sv-FI"/>
        </w:rPr>
        <w:t xml:space="preserve">Påfyllnadsdoser och samhällsekonomiska överväganden </w:t>
      </w:r>
    </w:p>
    <w:p w14:paraId="26857511" w14:textId="77777777" w:rsidR="00956E7F" w:rsidRDefault="00956E7F" w:rsidP="00956E7F">
      <w:pPr>
        <w:pStyle w:val="Rubrikmellanrum"/>
        <w:rPr>
          <w:lang w:val="sv-FI"/>
        </w:rPr>
      </w:pPr>
    </w:p>
    <w:p w14:paraId="68E8DA20" w14:textId="77777777" w:rsidR="00956E7F" w:rsidRDefault="00956E7F" w:rsidP="00956E7F">
      <w:pPr>
        <w:pStyle w:val="ANormal"/>
      </w:pPr>
      <w:r>
        <w:t xml:space="preserve">Inom det nationella TBE-vaccinationsprogrammet består grundserien av tre kostnadsfria doser. Därefter rekommenderas </w:t>
      </w:r>
      <w:proofErr w:type="spellStart"/>
      <w:r>
        <w:t>boosterdoser</w:t>
      </w:r>
      <w:proofErr w:type="spellEnd"/>
      <w:r>
        <w:t xml:space="preserve"> enligt personens ålder. Dessa </w:t>
      </w:r>
      <w:proofErr w:type="spellStart"/>
      <w:r>
        <w:t>boosterdoser</w:t>
      </w:r>
      <w:proofErr w:type="spellEnd"/>
      <w:r>
        <w:t xml:space="preserve"> är inte avgiftsfria. </w:t>
      </w:r>
      <w:r>
        <w:rPr>
          <w:lang w:val="sv-FI"/>
        </w:rPr>
        <w:t>Institutet för hälsa och välfärd</w:t>
      </w:r>
      <w:r>
        <w:rPr>
          <w:szCs w:val="22"/>
        </w:rPr>
        <w:t xml:space="preserve"> rekommenderar att den första </w:t>
      </w:r>
      <w:proofErr w:type="spellStart"/>
      <w:r>
        <w:rPr>
          <w:szCs w:val="22"/>
        </w:rPr>
        <w:t>boosterdosen</w:t>
      </w:r>
      <w:proofErr w:type="spellEnd"/>
      <w:r>
        <w:rPr>
          <w:szCs w:val="22"/>
        </w:rPr>
        <w:t xml:space="preserve"> ges efter tre år. Om personen fortfarande exponeras för TBE-virus efter detta, rekommenderas </w:t>
      </w:r>
      <w:proofErr w:type="spellStart"/>
      <w:r>
        <w:rPr>
          <w:szCs w:val="22"/>
        </w:rPr>
        <w:t>boosterdoser</w:t>
      </w:r>
      <w:proofErr w:type="spellEnd"/>
      <w:r>
        <w:rPr>
          <w:szCs w:val="22"/>
        </w:rPr>
        <w:t xml:space="preserve"> enligt följande:</w:t>
      </w:r>
    </w:p>
    <w:p w14:paraId="4804EC5E" w14:textId="77777777" w:rsidR="00956E7F" w:rsidRDefault="00956E7F" w:rsidP="00956E7F">
      <w:pPr>
        <w:pStyle w:val="ANormal"/>
        <w:numPr>
          <w:ilvl w:val="0"/>
          <w:numId w:val="6"/>
        </w:numPr>
        <w:suppressAutoHyphens/>
        <w:autoSpaceDN w:val="0"/>
        <w:textAlignment w:val="baseline"/>
        <w:rPr>
          <w:szCs w:val="22"/>
        </w:rPr>
      </w:pPr>
      <w:proofErr w:type="spellStart"/>
      <w:r>
        <w:rPr>
          <w:szCs w:val="22"/>
        </w:rPr>
        <w:t>booster</w:t>
      </w:r>
      <w:proofErr w:type="spellEnd"/>
      <w:r>
        <w:rPr>
          <w:szCs w:val="22"/>
        </w:rPr>
        <w:t xml:space="preserve"> efter 10 år om man fått föregående </w:t>
      </w:r>
      <w:proofErr w:type="spellStart"/>
      <w:r>
        <w:rPr>
          <w:szCs w:val="22"/>
        </w:rPr>
        <w:t>booster</w:t>
      </w:r>
      <w:proofErr w:type="spellEnd"/>
      <w:r>
        <w:rPr>
          <w:szCs w:val="22"/>
        </w:rPr>
        <w:t xml:space="preserve"> då man var under 50 år</w:t>
      </w:r>
    </w:p>
    <w:p w14:paraId="7FECBDD1" w14:textId="77777777" w:rsidR="00956E7F" w:rsidRDefault="00956E7F" w:rsidP="00956E7F">
      <w:pPr>
        <w:pStyle w:val="ANormal"/>
        <w:numPr>
          <w:ilvl w:val="0"/>
          <w:numId w:val="7"/>
        </w:numPr>
        <w:suppressAutoHyphens/>
        <w:autoSpaceDN w:val="0"/>
        <w:textAlignment w:val="baseline"/>
        <w:rPr>
          <w:szCs w:val="22"/>
        </w:rPr>
      </w:pPr>
      <w:proofErr w:type="spellStart"/>
      <w:r>
        <w:rPr>
          <w:szCs w:val="22"/>
        </w:rPr>
        <w:t>booster</w:t>
      </w:r>
      <w:proofErr w:type="spellEnd"/>
      <w:r>
        <w:rPr>
          <w:szCs w:val="22"/>
        </w:rPr>
        <w:t xml:space="preserve"> med 5 års intervall om man fått föregående </w:t>
      </w:r>
      <w:proofErr w:type="spellStart"/>
      <w:r>
        <w:rPr>
          <w:szCs w:val="22"/>
        </w:rPr>
        <w:t>booster</w:t>
      </w:r>
      <w:proofErr w:type="spellEnd"/>
      <w:r>
        <w:rPr>
          <w:szCs w:val="22"/>
        </w:rPr>
        <w:t xml:space="preserve"> vid 50–60 års ålder</w:t>
      </w:r>
    </w:p>
    <w:p w14:paraId="383AFBCE" w14:textId="77777777" w:rsidR="00956E7F" w:rsidRDefault="00956E7F" w:rsidP="00956E7F">
      <w:pPr>
        <w:pStyle w:val="ANormal"/>
        <w:numPr>
          <w:ilvl w:val="0"/>
          <w:numId w:val="8"/>
        </w:numPr>
        <w:suppressAutoHyphens/>
        <w:autoSpaceDN w:val="0"/>
        <w:textAlignment w:val="baseline"/>
        <w:rPr>
          <w:szCs w:val="22"/>
        </w:rPr>
      </w:pPr>
      <w:proofErr w:type="spellStart"/>
      <w:r>
        <w:rPr>
          <w:szCs w:val="22"/>
        </w:rPr>
        <w:t>booster</w:t>
      </w:r>
      <w:proofErr w:type="spellEnd"/>
      <w:r>
        <w:rPr>
          <w:szCs w:val="22"/>
        </w:rPr>
        <w:t xml:space="preserve"> med 3 års intervall om man fått föregående </w:t>
      </w:r>
      <w:proofErr w:type="spellStart"/>
      <w:r>
        <w:rPr>
          <w:szCs w:val="22"/>
        </w:rPr>
        <w:t>booster</w:t>
      </w:r>
      <w:proofErr w:type="spellEnd"/>
      <w:r>
        <w:rPr>
          <w:szCs w:val="22"/>
        </w:rPr>
        <w:t xml:space="preserve"> då man var över 60 år</w:t>
      </w:r>
    </w:p>
    <w:p w14:paraId="49DAD17F" w14:textId="77777777" w:rsidR="00956E7F" w:rsidRDefault="00956E7F" w:rsidP="00956E7F">
      <w:pPr>
        <w:pStyle w:val="ANormal"/>
        <w:numPr>
          <w:ilvl w:val="0"/>
          <w:numId w:val="9"/>
        </w:numPr>
        <w:suppressAutoHyphens/>
        <w:autoSpaceDN w:val="0"/>
        <w:textAlignment w:val="baseline"/>
        <w:rPr>
          <w:szCs w:val="22"/>
        </w:rPr>
      </w:pPr>
      <w:proofErr w:type="spellStart"/>
      <w:r>
        <w:rPr>
          <w:szCs w:val="22"/>
        </w:rPr>
        <w:t>booster</w:t>
      </w:r>
      <w:proofErr w:type="spellEnd"/>
      <w:r>
        <w:rPr>
          <w:szCs w:val="22"/>
        </w:rPr>
        <w:t xml:space="preserve"> med 3 års intervall om man har nedsatt immunsystem på grund av en behandling eller en sjukdom.</w:t>
      </w:r>
    </w:p>
    <w:p w14:paraId="6AA3CFCC" w14:textId="77777777" w:rsidR="00956E7F" w:rsidRDefault="00956E7F" w:rsidP="00956E7F">
      <w:pPr>
        <w:pStyle w:val="ANormal"/>
        <w:ind w:firstLine="283"/>
      </w:pPr>
      <w:r>
        <w:lastRenderedPageBreak/>
        <w:t xml:space="preserve">En åländsk studie omfattande perioden 2006–2023 (145 patienter) visar att sjukdomen ofta medför betydande vårdbehov och samhällskonsekvenser. Drygt 80 procent av patienterna behövde sjukhusvård, med en medianvårdtid på åtta dagar och i vissa fall mycket långvariga vårdperioder. </w:t>
      </w:r>
      <w:r>
        <w:rPr>
          <w:lang w:val="sv-FI"/>
        </w:rPr>
        <w:t>Sjukskrivningarna är ofta omfattande. Av patienter i arbetsför ålder behövde 87 procent sjukskrivning, där en betydande andel var frånvarande från arbetet i flera månader och i vissa fall över ett år. Utskottet noterar att TBE inte enbart är en medicinsk fråga utan även en fråga med betydande samhällsekonomiska konsekvenser.</w:t>
      </w:r>
    </w:p>
    <w:p w14:paraId="2967BD12" w14:textId="77777777" w:rsidR="00956E7F" w:rsidRDefault="00956E7F" w:rsidP="00956E7F">
      <w:pPr>
        <w:pStyle w:val="ANormal"/>
      </w:pPr>
      <w:r>
        <w:rPr>
          <w:lang w:val="sv-FI"/>
        </w:rPr>
        <w:tab/>
        <w:t xml:space="preserve">Utskottet konstaterar mot denna bakgrund att förebyggande åtgärder, såsom vaccination, har en central betydelse. </w:t>
      </w:r>
      <w:r>
        <w:t xml:space="preserve">Utskottet konstaterar vidare att en central utmaning är att många inte tar sina </w:t>
      </w:r>
      <w:proofErr w:type="spellStart"/>
      <w:r>
        <w:t>boosterdoser</w:t>
      </w:r>
      <w:proofErr w:type="spellEnd"/>
      <w:r>
        <w:t xml:space="preserve">, vilket riskerar att försvaga det skydd som vaccinationsprogrammet byggt upp. </w:t>
      </w:r>
      <w:r>
        <w:rPr>
          <w:lang w:val="sv-FI"/>
        </w:rPr>
        <w:t xml:space="preserve">Mot bakgrund av de kostnader som TBE medför i form av sjukvård, sjukskrivningar och produktionsbortfall anser utskottet att det finns skäl att närmare analysera nyttan av att på Åland subventionera även påfyllnadsdoser, särskilt den fjärde dosen. Utskottet har erfarit att områden i Finland där TBE förekommer verkar öka och att nya områden omfattas av det nationella vaccinationsprogrammet, varför nationell subventionering av </w:t>
      </w:r>
      <w:proofErr w:type="spellStart"/>
      <w:r>
        <w:rPr>
          <w:lang w:val="sv-FI"/>
        </w:rPr>
        <w:t>boosterdoser</w:t>
      </w:r>
      <w:proofErr w:type="spellEnd"/>
      <w:r>
        <w:rPr>
          <w:lang w:val="sv-FI"/>
        </w:rPr>
        <w:t xml:space="preserve"> i områden med befintligt vaccinationsprogram inte är aktuellt.  Utskottet framhåller att en åländsk analys bör göras ur ett brett samhällsekonomiskt perspektiv och bör inkludera kostnader för sjukhusvård, kostnader för rehabilitering, samt kostnader för sjukskrivningar. Utskottet bedömer att en sådan helhetsanalys är nödvändig för att kunna ta ställning till om en åländsk subventionering av </w:t>
      </w:r>
      <w:proofErr w:type="spellStart"/>
      <w:r>
        <w:rPr>
          <w:lang w:val="sv-FI"/>
        </w:rPr>
        <w:t>boosterdoser</w:t>
      </w:r>
      <w:proofErr w:type="spellEnd"/>
      <w:r>
        <w:rPr>
          <w:lang w:val="sv-FI"/>
        </w:rPr>
        <w:t xml:space="preserve"> är motiverat, särskilt den fjärde dosen. </w:t>
      </w:r>
    </w:p>
    <w:p w14:paraId="0BCD2DF7" w14:textId="77777777" w:rsidR="00956E7F" w:rsidRDefault="00956E7F" w:rsidP="00956E7F">
      <w:pPr>
        <w:pStyle w:val="ANormal"/>
        <w:rPr>
          <w:lang w:val="sv-FI"/>
        </w:rPr>
      </w:pPr>
    </w:p>
    <w:p w14:paraId="596908B6" w14:textId="77777777" w:rsidR="00956E7F" w:rsidRDefault="00956E7F" w:rsidP="00956E7F">
      <w:pPr>
        <w:pStyle w:val="ANormal"/>
      </w:pPr>
    </w:p>
    <w:p w14:paraId="2D801FDC" w14:textId="77777777" w:rsidR="00956E7F" w:rsidRDefault="00956E7F" w:rsidP="00956E7F">
      <w:pPr>
        <w:pStyle w:val="RubrikA"/>
        <w:jc w:val="both"/>
      </w:pPr>
      <w:bookmarkStart w:id="9" w:name="_Toc226731381"/>
      <w:r>
        <w:t>Ärendets behandling</w:t>
      </w:r>
      <w:bookmarkEnd w:id="8"/>
      <w:bookmarkEnd w:id="9"/>
    </w:p>
    <w:p w14:paraId="27530A6C" w14:textId="77777777" w:rsidR="00956E7F" w:rsidRDefault="00956E7F" w:rsidP="00956E7F">
      <w:pPr>
        <w:pStyle w:val="Rubrikmellanrum"/>
      </w:pPr>
    </w:p>
    <w:p w14:paraId="37C3A05C" w14:textId="77777777" w:rsidR="00956E7F" w:rsidRDefault="00956E7F" w:rsidP="00956E7F">
      <w:pPr>
        <w:pStyle w:val="ANormal"/>
      </w:pPr>
      <w:r>
        <w:t xml:space="preserve">Lagtinget har den 17 september 2025 </w:t>
      </w:r>
      <w:proofErr w:type="spellStart"/>
      <w:r>
        <w:t>inbegärt</w:t>
      </w:r>
      <w:proofErr w:type="spellEnd"/>
      <w:r>
        <w:t xml:space="preserve"> social- och miljöutskottets yttrande för bägge åtgärdsmotioner.</w:t>
      </w:r>
    </w:p>
    <w:p w14:paraId="66EBBC11" w14:textId="77777777" w:rsidR="00956E7F" w:rsidRDefault="00956E7F" w:rsidP="00956E7F">
      <w:pPr>
        <w:pStyle w:val="ANormal"/>
      </w:pPr>
      <w:r>
        <w:tab/>
        <w:t xml:space="preserve">Utskottet har i ärendet hört landskapsläkaren Knut Lönnroth, byråchefen vid social- och miljöavdelningen Ylva Lindström, infektionsläkaren vid ÅHS Marika Nordberg, experten Camilla Jordman samt överläkaren Tuula </w:t>
      </w:r>
      <w:proofErr w:type="spellStart"/>
      <w:r>
        <w:t>Hannila-Handelberg</w:t>
      </w:r>
      <w:proofErr w:type="spellEnd"/>
      <w:r>
        <w:t xml:space="preserve"> vid </w:t>
      </w:r>
      <w:r>
        <w:rPr>
          <w:lang w:val="sv-FI"/>
        </w:rPr>
        <w:t>Institutet för hälsa och välfärd</w:t>
      </w:r>
      <w:r>
        <w:t xml:space="preserve">. </w:t>
      </w:r>
    </w:p>
    <w:p w14:paraId="7C9ABF6C" w14:textId="77777777" w:rsidR="00956E7F" w:rsidRDefault="00956E7F" w:rsidP="00956E7F">
      <w:pPr>
        <w:pStyle w:val="ANormal"/>
      </w:pPr>
      <w:r>
        <w:tab/>
      </w:r>
      <w:r>
        <w:rPr>
          <w:color w:val="000000"/>
        </w:rPr>
        <w:t>I ärendets avgörande behandling deltog ordföranden Christian Wikström, viceordföranden Pernilla Söderlund, ledamöterna Annette Holmberg-Jansson, Mogens Lindén, Liz Mattsson, Robert Mansén och Benny Pettersson.</w:t>
      </w:r>
    </w:p>
    <w:p w14:paraId="57AE9DF9" w14:textId="77777777" w:rsidR="00956E7F" w:rsidRDefault="00956E7F" w:rsidP="00956E7F">
      <w:pPr>
        <w:pStyle w:val="ANormal"/>
      </w:pPr>
    </w:p>
    <w:p w14:paraId="60EF5084" w14:textId="77777777" w:rsidR="00956E7F" w:rsidRDefault="00956E7F" w:rsidP="00956E7F">
      <w:pPr>
        <w:pStyle w:val="ANormal"/>
      </w:pPr>
    </w:p>
    <w:p w14:paraId="57F0C9D8" w14:textId="77777777" w:rsidR="00956E7F" w:rsidRDefault="00956E7F" w:rsidP="00956E7F">
      <w:pPr>
        <w:pStyle w:val="RubrikA"/>
        <w:jc w:val="both"/>
      </w:pPr>
      <w:bookmarkStart w:id="10" w:name="_Toc529800937"/>
      <w:bookmarkStart w:id="11" w:name="_Toc226731382"/>
      <w:r>
        <w:t>Utskottets förslag</w:t>
      </w:r>
      <w:bookmarkEnd w:id="10"/>
      <w:bookmarkEnd w:id="11"/>
    </w:p>
    <w:p w14:paraId="4B7C40E7" w14:textId="77777777" w:rsidR="00956E7F" w:rsidRDefault="00956E7F" w:rsidP="00956E7F">
      <w:pPr>
        <w:pStyle w:val="Rubrikmellanrum"/>
      </w:pPr>
    </w:p>
    <w:p w14:paraId="78D2CB29" w14:textId="77777777" w:rsidR="00956E7F" w:rsidRDefault="00956E7F" w:rsidP="00956E7F">
      <w:pPr>
        <w:pStyle w:val="ANormal"/>
      </w:pPr>
      <w:r>
        <w:t>Med hänvisning till det anförda föreslår utskottet</w:t>
      </w:r>
    </w:p>
    <w:p w14:paraId="49C8DDA7" w14:textId="77777777" w:rsidR="00956E7F" w:rsidRDefault="00956E7F" w:rsidP="00956E7F">
      <w:pPr>
        <w:pStyle w:val="ANormal"/>
      </w:pPr>
    </w:p>
    <w:p w14:paraId="39EC2FF4" w14:textId="77777777" w:rsidR="00956E7F" w:rsidRDefault="00956E7F" w:rsidP="00956E7F">
      <w:pPr>
        <w:pStyle w:val="Klam"/>
      </w:pPr>
      <w:r>
        <w:t>att lagtinget förkastar åtgärdsmotionerna nr 14/2024-2025 och nr 15/2024-2025 men bringar betänkandets motivering till landskapsregeringens kännedom.</w:t>
      </w:r>
    </w:p>
    <w:p w14:paraId="34F866C7" w14:textId="77777777" w:rsidR="00956E7F" w:rsidRDefault="00956E7F" w:rsidP="00956E7F">
      <w:pPr>
        <w:pStyle w:val="ANormal"/>
      </w:pPr>
    </w:p>
    <w:p w14:paraId="388BB08B" w14:textId="77777777" w:rsidR="00956E7F" w:rsidRDefault="00956E7F" w:rsidP="00956E7F">
      <w:pPr>
        <w:pStyle w:val="ANormal"/>
      </w:pPr>
    </w:p>
    <w:tbl>
      <w:tblPr>
        <w:tblW w:w="7931" w:type="dxa"/>
        <w:tblCellMar>
          <w:left w:w="10" w:type="dxa"/>
          <w:right w:w="10" w:type="dxa"/>
        </w:tblCellMar>
        <w:tblLook w:val="0000" w:firstRow="0" w:lastRow="0" w:firstColumn="0" w:lastColumn="0" w:noHBand="0" w:noVBand="0"/>
      </w:tblPr>
      <w:tblGrid>
        <w:gridCol w:w="4454"/>
        <w:gridCol w:w="3477"/>
      </w:tblGrid>
      <w:tr w:rsidR="00956E7F" w14:paraId="4A1DD990" w14:textId="77777777" w:rsidTr="002368E9">
        <w:trPr>
          <w:cantSplit/>
        </w:trPr>
        <w:tc>
          <w:tcPr>
            <w:tcW w:w="7931" w:type="dxa"/>
            <w:gridSpan w:val="2"/>
            <w:tcMar>
              <w:top w:w="0" w:type="dxa"/>
              <w:left w:w="0" w:type="dxa"/>
              <w:bottom w:w="0" w:type="dxa"/>
              <w:right w:w="0" w:type="dxa"/>
            </w:tcMar>
          </w:tcPr>
          <w:p w14:paraId="62008C93" w14:textId="77777777" w:rsidR="00956E7F" w:rsidRDefault="00956E7F" w:rsidP="002368E9">
            <w:pPr>
              <w:pStyle w:val="ANormal"/>
              <w:keepNext/>
            </w:pPr>
            <w:r>
              <w:lastRenderedPageBreak/>
              <w:t>Mariehamn den 21 april 2026</w:t>
            </w:r>
          </w:p>
        </w:tc>
      </w:tr>
      <w:tr w:rsidR="00956E7F" w14:paraId="048FE1AB" w14:textId="77777777" w:rsidTr="002368E9">
        <w:tc>
          <w:tcPr>
            <w:tcW w:w="4454" w:type="dxa"/>
            <w:tcMar>
              <w:top w:w="0" w:type="dxa"/>
              <w:left w:w="0" w:type="dxa"/>
              <w:bottom w:w="0" w:type="dxa"/>
              <w:right w:w="0" w:type="dxa"/>
            </w:tcMar>
            <w:vAlign w:val="bottom"/>
          </w:tcPr>
          <w:p w14:paraId="7630544F" w14:textId="77777777" w:rsidR="00956E7F" w:rsidRDefault="00956E7F" w:rsidP="002368E9">
            <w:pPr>
              <w:pStyle w:val="ANormal"/>
              <w:keepNext/>
            </w:pPr>
          </w:p>
          <w:p w14:paraId="371F433A" w14:textId="77777777" w:rsidR="00956E7F" w:rsidRDefault="00956E7F" w:rsidP="002368E9">
            <w:pPr>
              <w:pStyle w:val="ANormal"/>
              <w:keepNext/>
            </w:pPr>
          </w:p>
          <w:p w14:paraId="4562CA88" w14:textId="77777777" w:rsidR="00956E7F" w:rsidRDefault="00956E7F" w:rsidP="002368E9">
            <w:pPr>
              <w:pStyle w:val="ANormal"/>
              <w:keepNext/>
            </w:pPr>
            <w:r>
              <w:t>Ordförande</w:t>
            </w:r>
          </w:p>
        </w:tc>
        <w:tc>
          <w:tcPr>
            <w:tcW w:w="3477" w:type="dxa"/>
            <w:tcMar>
              <w:top w:w="0" w:type="dxa"/>
              <w:left w:w="0" w:type="dxa"/>
              <w:bottom w:w="0" w:type="dxa"/>
              <w:right w:w="0" w:type="dxa"/>
            </w:tcMar>
            <w:vAlign w:val="bottom"/>
          </w:tcPr>
          <w:p w14:paraId="7A00A1AA" w14:textId="77777777" w:rsidR="00956E7F" w:rsidRDefault="00956E7F" w:rsidP="002368E9">
            <w:pPr>
              <w:pStyle w:val="ANormal"/>
              <w:keepNext/>
            </w:pPr>
          </w:p>
          <w:p w14:paraId="0546E3EF" w14:textId="77777777" w:rsidR="00956E7F" w:rsidRDefault="00956E7F" w:rsidP="002368E9">
            <w:pPr>
              <w:pStyle w:val="ANormal"/>
              <w:keepNext/>
            </w:pPr>
          </w:p>
          <w:p w14:paraId="0BA2EDF7" w14:textId="77777777" w:rsidR="00956E7F" w:rsidRDefault="00956E7F" w:rsidP="002368E9">
            <w:pPr>
              <w:pStyle w:val="ANormal"/>
              <w:keepNext/>
            </w:pPr>
            <w:r>
              <w:t>Christian Wikström</w:t>
            </w:r>
          </w:p>
        </w:tc>
      </w:tr>
      <w:tr w:rsidR="00956E7F" w14:paraId="03C0FFD7" w14:textId="77777777" w:rsidTr="002368E9">
        <w:tc>
          <w:tcPr>
            <w:tcW w:w="4454" w:type="dxa"/>
            <w:tcMar>
              <w:top w:w="0" w:type="dxa"/>
              <w:left w:w="0" w:type="dxa"/>
              <w:bottom w:w="0" w:type="dxa"/>
              <w:right w:w="0" w:type="dxa"/>
            </w:tcMar>
            <w:vAlign w:val="bottom"/>
          </w:tcPr>
          <w:p w14:paraId="1ED114CC" w14:textId="77777777" w:rsidR="00956E7F" w:rsidRDefault="00956E7F" w:rsidP="002368E9">
            <w:pPr>
              <w:pStyle w:val="ANormal"/>
              <w:keepNext/>
            </w:pPr>
          </w:p>
          <w:p w14:paraId="56178803" w14:textId="77777777" w:rsidR="00956E7F" w:rsidRDefault="00956E7F" w:rsidP="002368E9">
            <w:pPr>
              <w:pStyle w:val="ANormal"/>
              <w:keepNext/>
            </w:pPr>
          </w:p>
          <w:p w14:paraId="5FC9B3E1" w14:textId="77777777" w:rsidR="00956E7F" w:rsidRDefault="00956E7F" w:rsidP="002368E9">
            <w:pPr>
              <w:pStyle w:val="ANormal"/>
              <w:keepNext/>
            </w:pPr>
            <w:r>
              <w:t>Sekreterare</w:t>
            </w:r>
          </w:p>
        </w:tc>
        <w:tc>
          <w:tcPr>
            <w:tcW w:w="3477" w:type="dxa"/>
            <w:tcMar>
              <w:top w:w="0" w:type="dxa"/>
              <w:left w:w="0" w:type="dxa"/>
              <w:bottom w:w="0" w:type="dxa"/>
              <w:right w:w="0" w:type="dxa"/>
            </w:tcMar>
            <w:vAlign w:val="bottom"/>
          </w:tcPr>
          <w:p w14:paraId="5806A1F1" w14:textId="77777777" w:rsidR="00956E7F" w:rsidRDefault="00956E7F" w:rsidP="002368E9">
            <w:pPr>
              <w:pStyle w:val="ANormal"/>
              <w:keepNext/>
            </w:pPr>
          </w:p>
          <w:p w14:paraId="117F8746" w14:textId="77777777" w:rsidR="00956E7F" w:rsidRDefault="00956E7F" w:rsidP="002368E9">
            <w:pPr>
              <w:pStyle w:val="ANormal"/>
              <w:keepNext/>
            </w:pPr>
          </w:p>
          <w:p w14:paraId="64755168" w14:textId="77777777" w:rsidR="00956E7F" w:rsidRDefault="00956E7F" w:rsidP="002368E9">
            <w:pPr>
              <w:pStyle w:val="ANormal"/>
              <w:keepNext/>
            </w:pPr>
            <w:r>
              <w:t>Julia Lindholm</w:t>
            </w:r>
          </w:p>
        </w:tc>
      </w:tr>
    </w:tbl>
    <w:p w14:paraId="1E2394A7" w14:textId="77777777" w:rsidR="00956E7F" w:rsidRDefault="00956E7F" w:rsidP="00956E7F">
      <w:pPr>
        <w:pStyle w:val="ANormal"/>
      </w:pPr>
    </w:p>
    <w:p w14:paraId="560A9153" w14:textId="77777777" w:rsidR="00956E7F" w:rsidRDefault="00956E7F" w:rsidP="00956E7F">
      <w:pPr>
        <w:jc w:val="both"/>
      </w:pPr>
    </w:p>
    <w:p w14:paraId="7E961C73" w14:textId="77777777" w:rsidR="008A5D6D" w:rsidRDefault="008A5D6D" w:rsidP="00956E7F">
      <w:pPr>
        <w:pStyle w:val="RubrikA"/>
        <w:jc w:val="both"/>
      </w:pPr>
    </w:p>
    <w:sectPr w:rsidR="008A5D6D" w:rsidSect="00CD0E38">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5336" w14:textId="77777777" w:rsidR="00C77667" w:rsidRDefault="00C77667">
      <w:r>
        <w:separator/>
      </w:r>
    </w:p>
  </w:endnote>
  <w:endnote w:type="continuationSeparator" w:id="0">
    <w:p w14:paraId="52628E12" w14:textId="77777777" w:rsidR="00C77667" w:rsidRDefault="00C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898" w14:textId="77777777" w:rsidR="00CD0E38" w:rsidRDefault="00CD0E38">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DDBC" w14:textId="77777777" w:rsidR="00CD0E38" w:rsidRDefault="00CD0E38">
    <w:pPr>
      <w:pStyle w:val="Sidfot"/>
      <w:rPr>
        <w:lang w:val="fi-FI"/>
      </w:rPr>
    </w:pPr>
    <w:r>
      <w:fldChar w:fldCharType="begin"/>
    </w:r>
    <w:r>
      <w:rPr>
        <w:lang w:val="fi-FI"/>
      </w:rPr>
      <w:instrText xml:space="preserve"> FILENAME  \* MERGEFORMAT </w:instrText>
    </w:r>
    <w:r>
      <w:fldChar w:fldCharType="separate"/>
    </w:r>
    <w:r>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542F" w14:textId="77777777" w:rsidR="00CD0E38" w:rsidRDefault="00CD0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A668" w14:textId="77777777" w:rsidR="00C77667" w:rsidRDefault="00C77667">
      <w:r>
        <w:separator/>
      </w:r>
    </w:p>
  </w:footnote>
  <w:footnote w:type="continuationSeparator" w:id="0">
    <w:p w14:paraId="1B6BEE24" w14:textId="77777777" w:rsidR="00C77667" w:rsidRDefault="00C7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79B4" w14:textId="77777777" w:rsidR="00CD0E38" w:rsidRDefault="00CD0E38">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5CCC6C" w14:textId="77777777" w:rsidR="00CD0E38" w:rsidRDefault="00CD0E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7C3A" w14:textId="77777777" w:rsidR="00CD0E38" w:rsidRDefault="00CD0E38">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49A"/>
    <w:multiLevelType w:val="multilevel"/>
    <w:tmpl w:val="66D0A63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3752C39"/>
    <w:multiLevelType w:val="multilevel"/>
    <w:tmpl w:val="72A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75C81"/>
    <w:multiLevelType w:val="multilevel"/>
    <w:tmpl w:val="159426E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3ED66FA"/>
    <w:multiLevelType w:val="multilevel"/>
    <w:tmpl w:val="A33A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A6900"/>
    <w:multiLevelType w:val="multilevel"/>
    <w:tmpl w:val="C2DC0B7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97E4326"/>
    <w:multiLevelType w:val="multilevel"/>
    <w:tmpl w:val="92C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93CE3"/>
    <w:multiLevelType w:val="multilevel"/>
    <w:tmpl w:val="1066926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621CD6"/>
    <w:multiLevelType w:val="multilevel"/>
    <w:tmpl w:val="EA2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471038">
    <w:abstractNumId w:val="7"/>
  </w:num>
  <w:num w:numId="2" w16cid:durableId="1579900287">
    <w:abstractNumId w:val="1"/>
  </w:num>
  <w:num w:numId="3" w16cid:durableId="217253699">
    <w:abstractNumId w:val="5"/>
  </w:num>
  <w:num w:numId="4" w16cid:durableId="1451899642">
    <w:abstractNumId w:val="8"/>
  </w:num>
  <w:num w:numId="5" w16cid:durableId="2027556839">
    <w:abstractNumId w:val="3"/>
  </w:num>
  <w:num w:numId="6" w16cid:durableId="1507551026">
    <w:abstractNumId w:val="4"/>
  </w:num>
  <w:num w:numId="7" w16cid:durableId="928195896">
    <w:abstractNumId w:val="6"/>
  </w:num>
  <w:num w:numId="8" w16cid:durableId="616181209">
    <w:abstractNumId w:val="0"/>
  </w:num>
  <w:num w:numId="9" w16cid:durableId="1216506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6D"/>
    <w:rsid w:val="00047279"/>
    <w:rsid w:val="00075404"/>
    <w:rsid w:val="000908E3"/>
    <w:rsid w:val="00090C6F"/>
    <w:rsid w:val="00195037"/>
    <w:rsid w:val="001B284A"/>
    <w:rsid w:val="00212ABF"/>
    <w:rsid w:val="002C3362"/>
    <w:rsid w:val="002C5D6C"/>
    <w:rsid w:val="002F5DBE"/>
    <w:rsid w:val="003266A1"/>
    <w:rsid w:val="00365B3C"/>
    <w:rsid w:val="00376464"/>
    <w:rsid w:val="00417E0A"/>
    <w:rsid w:val="00455596"/>
    <w:rsid w:val="00477EAC"/>
    <w:rsid w:val="004A508F"/>
    <w:rsid w:val="005B73A1"/>
    <w:rsid w:val="00641AE2"/>
    <w:rsid w:val="006814D1"/>
    <w:rsid w:val="007071D5"/>
    <w:rsid w:val="00776B72"/>
    <w:rsid w:val="00780501"/>
    <w:rsid w:val="007946DB"/>
    <w:rsid w:val="007B021E"/>
    <w:rsid w:val="008A1090"/>
    <w:rsid w:val="008A5D6D"/>
    <w:rsid w:val="00956261"/>
    <w:rsid w:val="00956E7F"/>
    <w:rsid w:val="009A49B9"/>
    <w:rsid w:val="00B27859"/>
    <w:rsid w:val="00B3376D"/>
    <w:rsid w:val="00B944A6"/>
    <w:rsid w:val="00BA443A"/>
    <w:rsid w:val="00BE1B47"/>
    <w:rsid w:val="00C6143D"/>
    <w:rsid w:val="00C663D3"/>
    <w:rsid w:val="00C77667"/>
    <w:rsid w:val="00CD0E38"/>
    <w:rsid w:val="00D0734F"/>
    <w:rsid w:val="00D121AE"/>
    <w:rsid w:val="00D140A8"/>
    <w:rsid w:val="00D17ECE"/>
    <w:rsid w:val="00D9786D"/>
    <w:rsid w:val="00DB4789"/>
    <w:rsid w:val="00DD0EF8"/>
    <w:rsid w:val="00F63F1C"/>
    <w:rsid w:val="00FC389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B146"/>
  <w15:chartTrackingRefBased/>
  <w15:docId w15:val="{5892C0CA-1B71-4308-AB9C-018D0C95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38"/>
    <w:pPr>
      <w:spacing w:after="0" w:line="240" w:lineRule="auto"/>
    </w:pPr>
    <w:rPr>
      <w:rFonts w:ascii="Times New Roman" w:eastAsia="Times New Roman" w:hAnsi="Times New Roman" w:cs="Times New Roman"/>
      <w:kern w:val="0"/>
      <w:lang w:val="sv-SE" w:eastAsia="sv-SE"/>
      <w14:ligatures w14:val="none"/>
    </w:rPr>
  </w:style>
  <w:style w:type="paragraph" w:styleId="Rubrik1">
    <w:name w:val="heading 1"/>
    <w:basedOn w:val="Normal"/>
    <w:next w:val="Normal"/>
    <w:link w:val="Rubrik1Char"/>
    <w:uiPriority w:val="9"/>
    <w:qFormat/>
    <w:rsid w:val="008A5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A5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A5D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A5D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A5D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A5D6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5D6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5D6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5D6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5D6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A5D6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A5D6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A5D6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A5D6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A5D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5D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5D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5D6D"/>
    <w:rPr>
      <w:rFonts w:eastAsiaTheme="majorEastAsia" w:cstheme="majorBidi"/>
      <w:color w:val="272727" w:themeColor="text1" w:themeTint="D8"/>
    </w:rPr>
  </w:style>
  <w:style w:type="paragraph" w:styleId="Rubrik">
    <w:name w:val="Title"/>
    <w:basedOn w:val="Normal"/>
    <w:next w:val="Normal"/>
    <w:link w:val="RubrikChar"/>
    <w:uiPriority w:val="10"/>
    <w:qFormat/>
    <w:rsid w:val="008A5D6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5D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5D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5D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5D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5D6D"/>
    <w:rPr>
      <w:i/>
      <w:iCs/>
      <w:color w:val="404040" w:themeColor="text1" w:themeTint="BF"/>
    </w:rPr>
  </w:style>
  <w:style w:type="paragraph" w:styleId="Liststycke">
    <w:name w:val="List Paragraph"/>
    <w:basedOn w:val="Normal"/>
    <w:uiPriority w:val="34"/>
    <w:qFormat/>
    <w:rsid w:val="008A5D6D"/>
    <w:pPr>
      <w:ind w:left="720"/>
      <w:contextualSpacing/>
    </w:pPr>
  </w:style>
  <w:style w:type="character" w:styleId="Starkbetoning">
    <w:name w:val="Intense Emphasis"/>
    <w:basedOn w:val="Standardstycketeckensnitt"/>
    <w:uiPriority w:val="21"/>
    <w:qFormat/>
    <w:rsid w:val="008A5D6D"/>
    <w:rPr>
      <w:i/>
      <w:iCs/>
      <w:color w:val="0F4761" w:themeColor="accent1" w:themeShade="BF"/>
    </w:rPr>
  </w:style>
  <w:style w:type="paragraph" w:styleId="Starktcitat">
    <w:name w:val="Intense Quote"/>
    <w:basedOn w:val="Normal"/>
    <w:next w:val="Normal"/>
    <w:link w:val="StarktcitatChar"/>
    <w:uiPriority w:val="30"/>
    <w:qFormat/>
    <w:rsid w:val="008A5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A5D6D"/>
    <w:rPr>
      <w:i/>
      <w:iCs/>
      <w:color w:val="0F4761" w:themeColor="accent1" w:themeShade="BF"/>
    </w:rPr>
  </w:style>
  <w:style w:type="character" w:styleId="Starkreferens">
    <w:name w:val="Intense Reference"/>
    <w:basedOn w:val="Standardstycketeckensnitt"/>
    <w:uiPriority w:val="32"/>
    <w:qFormat/>
    <w:rsid w:val="008A5D6D"/>
    <w:rPr>
      <w:b/>
      <w:bCs/>
      <w:smallCaps/>
      <w:color w:val="0F4761" w:themeColor="accent1" w:themeShade="BF"/>
      <w:spacing w:val="5"/>
    </w:rPr>
  </w:style>
  <w:style w:type="character" w:styleId="Hyperlnk">
    <w:name w:val="Hyperlink"/>
    <w:uiPriority w:val="99"/>
    <w:rsid w:val="00CD0E38"/>
    <w:rPr>
      <w:dstrike w:val="0"/>
      <w:color w:val="0000FF"/>
      <w:u w:val="none"/>
      <w:effect w:val="none"/>
    </w:rPr>
  </w:style>
  <w:style w:type="paragraph" w:styleId="Sidhuvud">
    <w:name w:val="header"/>
    <w:basedOn w:val="Normal"/>
    <w:link w:val="SidhuvudChar"/>
    <w:rsid w:val="00CD0E38"/>
    <w:pPr>
      <w:tabs>
        <w:tab w:val="right" w:pos="8732"/>
      </w:tabs>
    </w:pPr>
    <w:rPr>
      <w:rFonts w:ascii="Arial" w:hAnsi="Arial" w:cs="Arial"/>
      <w:sz w:val="16"/>
    </w:rPr>
  </w:style>
  <w:style w:type="character" w:customStyle="1" w:styleId="SidhuvudChar">
    <w:name w:val="Sidhuvud Char"/>
    <w:basedOn w:val="Standardstycketeckensnitt"/>
    <w:link w:val="Sidhuvud"/>
    <w:rsid w:val="00CD0E38"/>
    <w:rPr>
      <w:rFonts w:ascii="Arial" w:eastAsia="Times New Roman" w:hAnsi="Arial" w:cs="Arial"/>
      <w:kern w:val="0"/>
      <w:sz w:val="16"/>
      <w:lang w:val="sv-SE" w:eastAsia="sv-SE"/>
      <w14:ligatures w14:val="none"/>
    </w:rPr>
  </w:style>
  <w:style w:type="paragraph" w:styleId="Sidfot">
    <w:name w:val="footer"/>
    <w:basedOn w:val="Normal"/>
    <w:link w:val="SidfotChar"/>
    <w:rsid w:val="00CD0E38"/>
    <w:pPr>
      <w:tabs>
        <w:tab w:val="right" w:pos="8165"/>
      </w:tabs>
    </w:pPr>
    <w:rPr>
      <w:rFonts w:ascii="Verdana" w:hAnsi="Verdana" w:cs="Arial"/>
      <w:sz w:val="14"/>
    </w:rPr>
  </w:style>
  <w:style w:type="character" w:customStyle="1" w:styleId="SidfotChar">
    <w:name w:val="Sidfot Char"/>
    <w:basedOn w:val="Standardstycketeckensnitt"/>
    <w:link w:val="Sidfot"/>
    <w:rsid w:val="00CD0E38"/>
    <w:rPr>
      <w:rFonts w:ascii="Verdana" w:eastAsia="Times New Roman" w:hAnsi="Verdana" w:cs="Arial"/>
      <w:kern w:val="0"/>
      <w:sz w:val="14"/>
      <w:lang w:val="sv-SE" w:eastAsia="sv-SE"/>
      <w14:ligatures w14:val="none"/>
    </w:rPr>
  </w:style>
  <w:style w:type="paragraph" w:customStyle="1" w:styleId="Klam">
    <w:name w:val="Klam"/>
    <w:basedOn w:val="ANormal"/>
    <w:next w:val="ANormal"/>
    <w:rsid w:val="00CD0E38"/>
    <w:pPr>
      <w:tabs>
        <w:tab w:val="clear" w:pos="283"/>
      </w:tabs>
      <w:ind w:left="851"/>
    </w:pPr>
  </w:style>
  <w:style w:type="paragraph" w:customStyle="1" w:styleId="ANormal">
    <w:name w:val="ANormal"/>
    <w:link w:val="ANormalChar"/>
    <w:qFormat/>
    <w:rsid w:val="00CD0E38"/>
    <w:pPr>
      <w:tabs>
        <w:tab w:val="left" w:pos="283"/>
      </w:tabs>
      <w:spacing w:after="0" w:line="240" w:lineRule="auto"/>
      <w:jc w:val="both"/>
    </w:pPr>
    <w:rPr>
      <w:rFonts w:ascii="Times New Roman" w:eastAsia="Times New Roman" w:hAnsi="Times New Roman" w:cs="Times New Roman"/>
      <w:kern w:val="0"/>
      <w:sz w:val="22"/>
      <w:szCs w:val="20"/>
      <w:lang w:val="sv-SE" w:eastAsia="sv-SE"/>
      <w14:ligatures w14:val="none"/>
    </w:rPr>
  </w:style>
  <w:style w:type="paragraph" w:customStyle="1" w:styleId="xLedtext">
    <w:name w:val="xLedtext"/>
    <w:rsid w:val="00CD0E38"/>
    <w:pPr>
      <w:spacing w:after="0" w:line="240" w:lineRule="auto"/>
    </w:pPr>
    <w:rPr>
      <w:rFonts w:ascii="Verdana" w:eastAsia="Times New Roman" w:hAnsi="Verdana" w:cs="Arial"/>
      <w:kern w:val="0"/>
      <w:sz w:val="14"/>
      <w:szCs w:val="15"/>
      <w:lang w:val="sv-SE" w:eastAsia="sv-SE"/>
      <w14:ligatures w14:val="none"/>
    </w:rPr>
  </w:style>
  <w:style w:type="paragraph" w:customStyle="1" w:styleId="xDatum1">
    <w:name w:val="xDatum1"/>
    <w:basedOn w:val="xCelltext"/>
    <w:rsid w:val="00CD0E38"/>
  </w:style>
  <w:style w:type="paragraph" w:customStyle="1" w:styleId="xCelltext">
    <w:name w:val="xCelltext"/>
    <w:rsid w:val="00CD0E38"/>
    <w:pPr>
      <w:spacing w:after="0" w:line="240" w:lineRule="auto"/>
    </w:pPr>
    <w:rPr>
      <w:rFonts w:ascii="Arial" w:eastAsia="Times New Roman" w:hAnsi="Arial" w:cs="Times New Roman"/>
      <w:kern w:val="0"/>
      <w:sz w:val="18"/>
      <w:szCs w:val="20"/>
      <w:lang w:val="sv-SE" w:eastAsia="sv-SE"/>
      <w14:ligatures w14:val="none"/>
    </w:rPr>
  </w:style>
  <w:style w:type="paragraph" w:customStyle="1" w:styleId="xBeteckning2">
    <w:name w:val="xBeteckning2"/>
    <w:basedOn w:val="xCelltext"/>
    <w:rsid w:val="00CD0E38"/>
  </w:style>
  <w:style w:type="paragraph" w:customStyle="1" w:styleId="xDatum2">
    <w:name w:val="xDatum2"/>
    <w:basedOn w:val="xCelltext"/>
    <w:rsid w:val="00CD0E38"/>
  </w:style>
  <w:style w:type="paragraph" w:customStyle="1" w:styleId="xAvsandare2">
    <w:name w:val="xAvsandare2"/>
    <w:basedOn w:val="xCelltext"/>
    <w:next w:val="xCelltext"/>
    <w:rsid w:val="00CD0E38"/>
    <w:rPr>
      <w:rFonts w:cs="Arial"/>
      <w:b/>
      <w:bCs/>
      <w:sz w:val="20"/>
    </w:rPr>
  </w:style>
  <w:style w:type="paragraph" w:customStyle="1" w:styleId="xAvsandare1">
    <w:name w:val="xAvsandare1"/>
    <w:basedOn w:val="xCelltext"/>
    <w:next w:val="xAvsandare2"/>
    <w:rsid w:val="00CD0E38"/>
    <w:pPr>
      <w:spacing w:before="100" w:beforeAutospacing="1" w:after="100" w:afterAutospacing="1"/>
    </w:pPr>
    <w:rPr>
      <w:rFonts w:cs="Arial"/>
      <w:b/>
      <w:bCs/>
      <w:sz w:val="26"/>
      <w:szCs w:val="22"/>
    </w:rPr>
  </w:style>
  <w:style w:type="paragraph" w:customStyle="1" w:styleId="xAvsandare3">
    <w:name w:val="xAvsandare3"/>
    <w:basedOn w:val="xCelltext"/>
    <w:next w:val="xCelltext"/>
    <w:rsid w:val="00CD0E38"/>
  </w:style>
  <w:style w:type="paragraph" w:customStyle="1" w:styleId="xDokTypNr">
    <w:name w:val="xDokTypNr"/>
    <w:basedOn w:val="xCelltext"/>
    <w:rsid w:val="00CD0E38"/>
    <w:rPr>
      <w:b/>
      <w:sz w:val="20"/>
    </w:rPr>
  </w:style>
  <w:style w:type="paragraph" w:customStyle="1" w:styleId="xBeteckning1">
    <w:name w:val="xBeteckning1"/>
    <w:basedOn w:val="xCelltext"/>
    <w:rsid w:val="00CD0E38"/>
  </w:style>
  <w:style w:type="paragraph" w:styleId="Innehll1">
    <w:name w:val="toc 1"/>
    <w:next w:val="Normal"/>
    <w:autoRedefine/>
    <w:uiPriority w:val="39"/>
    <w:rsid w:val="00CD0E38"/>
    <w:pPr>
      <w:widowControl w:val="0"/>
      <w:tabs>
        <w:tab w:val="right" w:leader="dot" w:pos="6691"/>
      </w:tabs>
      <w:spacing w:after="0" w:line="240" w:lineRule="auto"/>
      <w:ind w:right="284"/>
    </w:pPr>
    <w:rPr>
      <w:rFonts w:ascii="Verdana" w:eastAsia="Times New Roman" w:hAnsi="Verdana" w:cs="Times New Roman"/>
      <w:noProof/>
      <w:kern w:val="0"/>
      <w:sz w:val="16"/>
      <w:szCs w:val="36"/>
      <w:lang w:val="sv-SE" w:eastAsia="sv-SE"/>
      <w14:ligatures w14:val="none"/>
    </w:rPr>
  </w:style>
  <w:style w:type="paragraph" w:styleId="Innehll2">
    <w:name w:val="toc 2"/>
    <w:basedOn w:val="Innehll1"/>
    <w:next w:val="Normal"/>
    <w:autoRedefine/>
    <w:uiPriority w:val="39"/>
    <w:rsid w:val="00CD0E38"/>
    <w:pPr>
      <w:ind w:left="187"/>
    </w:pPr>
  </w:style>
  <w:style w:type="paragraph" w:customStyle="1" w:styleId="RubrikB">
    <w:name w:val="RubrikB"/>
    <w:basedOn w:val="RubrikA"/>
    <w:next w:val="Rubrikmellanrum"/>
    <w:rsid w:val="00CD0E38"/>
    <w:pPr>
      <w:outlineLvl w:val="1"/>
    </w:pPr>
    <w:rPr>
      <w:sz w:val="26"/>
    </w:rPr>
  </w:style>
  <w:style w:type="paragraph" w:customStyle="1" w:styleId="RubrikA">
    <w:name w:val="RubrikA"/>
    <w:next w:val="Rubrikmellanrum"/>
    <w:rsid w:val="00CD0E38"/>
    <w:pPr>
      <w:keepNext/>
      <w:keepLines/>
      <w:suppressAutoHyphens/>
      <w:spacing w:after="0" w:line="240" w:lineRule="auto"/>
      <w:outlineLvl w:val="0"/>
    </w:pPr>
    <w:rPr>
      <w:rFonts w:ascii="Times New Roman" w:eastAsia="Times New Roman" w:hAnsi="Times New Roman" w:cs="Times New Roman"/>
      <w:kern w:val="0"/>
      <w:sz w:val="30"/>
      <w:szCs w:val="20"/>
      <w:lang w:val="sv-SE" w:eastAsia="sv-SE"/>
      <w14:ligatures w14:val="none"/>
    </w:rPr>
  </w:style>
  <w:style w:type="character" w:styleId="Sidnummer">
    <w:name w:val="page number"/>
    <w:rsid w:val="00CD0E38"/>
    <w:rPr>
      <w:rFonts w:ascii="Verdana" w:hAnsi="Verdana"/>
    </w:rPr>
  </w:style>
  <w:style w:type="paragraph" w:customStyle="1" w:styleId="xMottagare1">
    <w:name w:val="xMottagare1"/>
    <w:basedOn w:val="xCelltext"/>
    <w:next w:val="Normal"/>
    <w:rsid w:val="00CD0E38"/>
    <w:rPr>
      <w:rFonts w:cs="Arial"/>
      <w:b/>
      <w:bCs/>
      <w:sz w:val="20"/>
    </w:rPr>
  </w:style>
  <w:style w:type="paragraph" w:customStyle="1" w:styleId="ArendeOverRubrik">
    <w:name w:val="ArendeOverRubrik"/>
    <w:next w:val="Normal"/>
    <w:rsid w:val="00CD0E38"/>
    <w:pPr>
      <w:suppressAutoHyphens/>
      <w:spacing w:after="0" w:line="240" w:lineRule="auto"/>
    </w:pPr>
    <w:rPr>
      <w:rFonts w:ascii="Arial" w:eastAsia="Times New Roman" w:hAnsi="Arial" w:cs="Times New Roman"/>
      <w:bCs/>
      <w:kern w:val="0"/>
      <w:sz w:val="22"/>
      <w:szCs w:val="20"/>
      <w:lang w:val="sv-SE" w:eastAsia="sv-SE"/>
      <w14:ligatures w14:val="none"/>
    </w:rPr>
  </w:style>
  <w:style w:type="paragraph" w:customStyle="1" w:styleId="ArendeRubrik">
    <w:name w:val="ArendeRubrik"/>
    <w:next w:val="ArendeUnderRubrik"/>
    <w:rsid w:val="00CD0E38"/>
    <w:pPr>
      <w:suppressAutoHyphens/>
      <w:spacing w:after="0" w:line="240" w:lineRule="auto"/>
    </w:pPr>
    <w:rPr>
      <w:rFonts w:ascii="Arial" w:eastAsia="Times New Roman" w:hAnsi="Arial" w:cs="Arial"/>
      <w:b/>
      <w:bCs/>
      <w:kern w:val="0"/>
      <w:sz w:val="26"/>
      <w:szCs w:val="20"/>
      <w:lang w:val="sv-SE" w:eastAsia="sv-SE"/>
      <w14:ligatures w14:val="none"/>
    </w:rPr>
  </w:style>
  <w:style w:type="paragraph" w:customStyle="1" w:styleId="ArendeUnderRubrik">
    <w:name w:val="ArendeUnderRubrik"/>
    <w:rsid w:val="00CD0E38"/>
    <w:pPr>
      <w:numPr>
        <w:numId w:val="1"/>
      </w:numPr>
      <w:suppressAutoHyphens/>
      <w:spacing w:after="0" w:line="240" w:lineRule="auto"/>
    </w:pPr>
    <w:rPr>
      <w:rFonts w:ascii="Verdana" w:eastAsia="Times New Roman" w:hAnsi="Verdana" w:cs="Arial"/>
      <w:kern w:val="0"/>
      <w:sz w:val="16"/>
      <w:szCs w:val="20"/>
      <w:lang w:val="sv-SE" w:eastAsia="sv-SE"/>
      <w14:ligatures w14:val="none"/>
    </w:rPr>
  </w:style>
  <w:style w:type="paragraph" w:customStyle="1" w:styleId="Rubrikmellanrum">
    <w:name w:val="Rubrikmellanrum"/>
    <w:basedOn w:val="ANormal"/>
    <w:next w:val="ANormal"/>
    <w:rsid w:val="00CD0E38"/>
    <w:pPr>
      <w:keepNext/>
    </w:pPr>
    <w:rPr>
      <w:sz w:val="10"/>
    </w:rPr>
  </w:style>
  <w:style w:type="paragraph" w:customStyle="1" w:styleId="xMellanrum">
    <w:name w:val="xMellanrum"/>
    <w:basedOn w:val="xCelltext"/>
    <w:rsid w:val="00CD0E38"/>
    <w:rPr>
      <w:sz w:val="4"/>
    </w:rPr>
  </w:style>
  <w:style w:type="character" w:customStyle="1" w:styleId="ANormalChar">
    <w:name w:val="ANormal Char"/>
    <w:link w:val="ANormal"/>
    <w:locked/>
    <w:rsid w:val="00CD0E38"/>
    <w:rPr>
      <w:rFonts w:ascii="Times New Roman" w:eastAsia="Times New Roman" w:hAnsi="Times New Roman" w:cs="Times New Roman"/>
      <w:kern w:val="0"/>
      <w:sz w:val="22"/>
      <w:szCs w:val="20"/>
      <w:lang w:val="sv-SE" w:eastAsia="sv-SE"/>
      <w14:ligatures w14:val="none"/>
    </w:rPr>
  </w:style>
  <w:style w:type="paragraph" w:styleId="Normalwebb">
    <w:name w:val="Normal (Web)"/>
    <w:basedOn w:val="Normal"/>
    <w:uiPriority w:val="99"/>
    <w:semiHidden/>
    <w:unhideWhenUsed/>
    <w:rsid w:val="00C6143D"/>
  </w:style>
  <w:style w:type="paragraph" w:styleId="Beskrivning">
    <w:name w:val="caption"/>
    <w:basedOn w:val="Normal"/>
    <w:next w:val="Normal"/>
    <w:unhideWhenUsed/>
    <w:qFormat/>
    <w:rsid w:val="00956261"/>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30A8-D01E-4C43-A89F-EBC05922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7926</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Lindholm</dc:creator>
  <cp:keywords/>
  <dc:description/>
  <cp:lastModifiedBy>Jessica Laaksonen</cp:lastModifiedBy>
  <cp:revision>2</cp:revision>
  <dcterms:created xsi:type="dcterms:W3CDTF">2026-04-22T12:19:00Z</dcterms:created>
  <dcterms:modified xsi:type="dcterms:W3CDTF">2026-04-22T12:19:00Z</dcterms:modified>
</cp:coreProperties>
</file>