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DF2935" w14:paraId="55457272" w14:textId="77777777" w:rsidTr="04A159EF">
        <w:trPr>
          <w:cantSplit/>
          <w:trHeight w:val="20"/>
        </w:trPr>
        <w:tc>
          <w:tcPr>
            <w:tcW w:w="861" w:type="dxa"/>
            <w:vMerge w:val="restart"/>
          </w:tcPr>
          <w:p w14:paraId="7E2979E0" w14:textId="77777777" w:rsidR="002401D0" w:rsidRPr="00DF2935" w:rsidRDefault="00825B19">
            <w:pPr>
              <w:pStyle w:val="xLedtext"/>
              <w:rPr>
                <w:noProof/>
              </w:rPr>
            </w:pPr>
            <w:r w:rsidRPr="00DF2935">
              <w:rPr>
                <w:noProof/>
              </w:rPr>
              <w:drawing>
                <wp:inline distT="0" distB="0" distL="0" distR="0" wp14:anchorId="1E082271" wp14:editId="471D4AA2">
                  <wp:extent cx="478155" cy="685800"/>
                  <wp:effectExtent l="0" t="0" r="0" b="0"/>
                  <wp:docPr id="1" name="Bild 1" descr="LSvapen">
                    <a:extLst xmlns:a="http://schemas.openxmlformats.org/drawingml/2006/main">
                      <a:ext uri="{FF2B5EF4-FFF2-40B4-BE49-F238E27FC236}">
                        <a16:creationId xmlns:a16="http://schemas.microsoft.com/office/drawing/2014/main" id="{043EFE18-0D6C-41C2-B51B-BC43C63F4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vap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1835713A" w14:textId="77777777" w:rsidR="002401D0" w:rsidRPr="00DF2935" w:rsidRDefault="00825B19">
            <w:pPr>
              <w:pStyle w:val="xMellanrum"/>
            </w:pPr>
            <w:r w:rsidRPr="00DF2935">
              <w:rPr>
                <w:noProof/>
                <w:lang w:val="sv-FI" w:eastAsia="sv-FI"/>
              </w:rPr>
              <w:drawing>
                <wp:inline distT="0" distB="0" distL="0" distR="0" wp14:anchorId="531F22A8" wp14:editId="6C81642A">
                  <wp:extent cx="46355" cy="46355"/>
                  <wp:effectExtent l="0" t="0" r="0" b="0"/>
                  <wp:docPr id="2" name="Bild 2" descr="5x5px">
                    <a:extLst xmlns:a="http://schemas.openxmlformats.org/drawingml/2006/main">
                      <a:ext uri="{FF2B5EF4-FFF2-40B4-BE49-F238E27FC236}">
                        <a16:creationId xmlns:a16="http://schemas.microsoft.com/office/drawing/2014/main" id="{8EEADB5E-2B5A-4DA2-8BB0-D8979DC87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rsidRPr="00DF2935" w14:paraId="15BF6E6D" w14:textId="77777777" w:rsidTr="04A159EF">
        <w:trPr>
          <w:cantSplit/>
          <w:trHeight w:val="299"/>
        </w:trPr>
        <w:tc>
          <w:tcPr>
            <w:tcW w:w="861" w:type="dxa"/>
            <w:vMerge/>
          </w:tcPr>
          <w:p w14:paraId="644457FA" w14:textId="77777777" w:rsidR="002401D0" w:rsidRPr="00DF2935" w:rsidRDefault="002401D0">
            <w:pPr>
              <w:pStyle w:val="xLedtext"/>
            </w:pPr>
          </w:p>
        </w:tc>
        <w:tc>
          <w:tcPr>
            <w:tcW w:w="4448" w:type="dxa"/>
            <w:vAlign w:val="bottom"/>
          </w:tcPr>
          <w:p w14:paraId="2CF0067C" w14:textId="77777777" w:rsidR="002401D0" w:rsidRPr="00DF2935" w:rsidRDefault="002401D0">
            <w:pPr>
              <w:pStyle w:val="xAvsandare1"/>
            </w:pPr>
            <w:r w:rsidRPr="00DF2935">
              <w:t>Ålands lagting</w:t>
            </w:r>
          </w:p>
        </w:tc>
        <w:tc>
          <w:tcPr>
            <w:tcW w:w="4288" w:type="dxa"/>
            <w:gridSpan w:val="2"/>
            <w:vAlign w:val="bottom"/>
          </w:tcPr>
          <w:p w14:paraId="0F3595C5" w14:textId="55C0350B" w:rsidR="002401D0" w:rsidRPr="00DF2935" w:rsidRDefault="6805B214" w:rsidP="00825B19">
            <w:pPr>
              <w:pStyle w:val="xDokTypNr"/>
            </w:pPr>
            <w:r>
              <w:t xml:space="preserve">BETÄNKANDE nr </w:t>
            </w:r>
            <w:r w:rsidR="2C1B760B">
              <w:t>10</w:t>
            </w:r>
            <w:r>
              <w:t>/20</w:t>
            </w:r>
            <w:r w:rsidR="608EA8FE">
              <w:t>2</w:t>
            </w:r>
            <w:r w:rsidR="7B5D3926">
              <w:t>5</w:t>
            </w:r>
            <w:r w:rsidR="1DB70BCF">
              <w:t>-20</w:t>
            </w:r>
            <w:r w:rsidR="608EA8FE">
              <w:t>2</w:t>
            </w:r>
            <w:r w:rsidR="7B5D3926">
              <w:t>6</w:t>
            </w:r>
          </w:p>
        </w:tc>
      </w:tr>
      <w:tr w:rsidR="002401D0" w:rsidRPr="00DF2935" w14:paraId="5F09E5A1" w14:textId="77777777" w:rsidTr="04A159EF">
        <w:trPr>
          <w:cantSplit/>
          <w:trHeight w:val="238"/>
        </w:trPr>
        <w:tc>
          <w:tcPr>
            <w:tcW w:w="861" w:type="dxa"/>
            <w:vMerge/>
          </w:tcPr>
          <w:p w14:paraId="6BFC067D" w14:textId="77777777" w:rsidR="002401D0" w:rsidRPr="00DF2935" w:rsidRDefault="002401D0">
            <w:pPr>
              <w:pStyle w:val="xLedtext"/>
            </w:pPr>
          </w:p>
        </w:tc>
        <w:tc>
          <w:tcPr>
            <w:tcW w:w="4448" w:type="dxa"/>
            <w:vAlign w:val="bottom"/>
          </w:tcPr>
          <w:p w14:paraId="3E91E0C5" w14:textId="77777777" w:rsidR="002401D0" w:rsidRPr="00DF2935" w:rsidRDefault="002401D0">
            <w:pPr>
              <w:pStyle w:val="xLedtext"/>
            </w:pPr>
          </w:p>
        </w:tc>
        <w:tc>
          <w:tcPr>
            <w:tcW w:w="1725" w:type="dxa"/>
            <w:vAlign w:val="bottom"/>
          </w:tcPr>
          <w:p w14:paraId="7D68CD0A" w14:textId="77777777" w:rsidR="002401D0" w:rsidRPr="00DF2935" w:rsidRDefault="002401D0">
            <w:pPr>
              <w:pStyle w:val="xLedtext"/>
            </w:pPr>
            <w:r w:rsidRPr="00DF2935">
              <w:t>Datum</w:t>
            </w:r>
          </w:p>
        </w:tc>
        <w:tc>
          <w:tcPr>
            <w:tcW w:w="2563" w:type="dxa"/>
            <w:vAlign w:val="bottom"/>
          </w:tcPr>
          <w:p w14:paraId="388EF2EB" w14:textId="77777777" w:rsidR="002401D0" w:rsidRPr="00DF2935" w:rsidRDefault="002401D0">
            <w:pPr>
              <w:pStyle w:val="xLedtext"/>
            </w:pPr>
          </w:p>
        </w:tc>
      </w:tr>
      <w:tr w:rsidR="002401D0" w:rsidRPr="00DF2935" w14:paraId="2FBDE8F1" w14:textId="77777777" w:rsidTr="04A159EF">
        <w:trPr>
          <w:cantSplit/>
          <w:trHeight w:val="238"/>
        </w:trPr>
        <w:tc>
          <w:tcPr>
            <w:tcW w:w="861" w:type="dxa"/>
            <w:vMerge/>
          </w:tcPr>
          <w:p w14:paraId="19BB3D8A" w14:textId="77777777" w:rsidR="002401D0" w:rsidRPr="00DF2935" w:rsidRDefault="002401D0">
            <w:pPr>
              <w:pStyle w:val="xAvsandare2"/>
            </w:pPr>
          </w:p>
        </w:tc>
        <w:tc>
          <w:tcPr>
            <w:tcW w:w="4448" w:type="dxa"/>
            <w:vAlign w:val="center"/>
          </w:tcPr>
          <w:p w14:paraId="3F3487C3" w14:textId="77777777" w:rsidR="002401D0" w:rsidRPr="00DF2935" w:rsidRDefault="00015441">
            <w:pPr>
              <w:pStyle w:val="xAvsandare2"/>
            </w:pPr>
            <w:r w:rsidRPr="00DF2935">
              <w:t>Finans- och närings</w:t>
            </w:r>
            <w:r w:rsidR="002401D0" w:rsidRPr="00DF2935">
              <w:t>utskottet</w:t>
            </w:r>
          </w:p>
        </w:tc>
        <w:tc>
          <w:tcPr>
            <w:tcW w:w="1725" w:type="dxa"/>
            <w:vAlign w:val="center"/>
          </w:tcPr>
          <w:p w14:paraId="5D491942" w14:textId="55D34471" w:rsidR="002401D0" w:rsidRPr="00DF2935" w:rsidRDefault="002401D0" w:rsidP="00926521">
            <w:pPr>
              <w:pStyle w:val="xDatum1"/>
            </w:pPr>
            <w:r w:rsidRPr="00DF2935">
              <w:t>20</w:t>
            </w:r>
            <w:r w:rsidR="005A2408" w:rsidRPr="00DF2935">
              <w:t>2</w:t>
            </w:r>
            <w:r w:rsidR="00466790" w:rsidRPr="00DF2935">
              <w:t>6</w:t>
            </w:r>
            <w:r w:rsidR="00015441" w:rsidRPr="00DF2935">
              <w:t>-0</w:t>
            </w:r>
            <w:r w:rsidR="00AE0F34">
              <w:t>3</w:t>
            </w:r>
            <w:r w:rsidR="00015441" w:rsidRPr="00DF2935">
              <w:t>-</w:t>
            </w:r>
            <w:r w:rsidR="00BA30B0">
              <w:t>10</w:t>
            </w:r>
          </w:p>
        </w:tc>
        <w:tc>
          <w:tcPr>
            <w:tcW w:w="2563" w:type="dxa"/>
            <w:vAlign w:val="center"/>
          </w:tcPr>
          <w:p w14:paraId="585AD583" w14:textId="77777777" w:rsidR="002401D0" w:rsidRPr="00DF2935" w:rsidRDefault="002401D0">
            <w:pPr>
              <w:pStyle w:val="xBeteckning1"/>
            </w:pPr>
          </w:p>
        </w:tc>
      </w:tr>
      <w:tr w:rsidR="002401D0" w:rsidRPr="00DF2935" w14:paraId="797B7437" w14:textId="77777777" w:rsidTr="04A159EF">
        <w:trPr>
          <w:cantSplit/>
          <w:trHeight w:val="238"/>
        </w:trPr>
        <w:tc>
          <w:tcPr>
            <w:tcW w:w="861" w:type="dxa"/>
            <w:vMerge/>
          </w:tcPr>
          <w:p w14:paraId="239E440A" w14:textId="77777777" w:rsidR="002401D0" w:rsidRPr="00DF2935" w:rsidRDefault="002401D0">
            <w:pPr>
              <w:pStyle w:val="xLedtext"/>
            </w:pPr>
          </w:p>
        </w:tc>
        <w:tc>
          <w:tcPr>
            <w:tcW w:w="4448" w:type="dxa"/>
            <w:vAlign w:val="bottom"/>
          </w:tcPr>
          <w:p w14:paraId="09A4E8FC" w14:textId="77777777" w:rsidR="002401D0" w:rsidRPr="00DF2935" w:rsidRDefault="002401D0">
            <w:pPr>
              <w:pStyle w:val="xLedtext"/>
            </w:pPr>
          </w:p>
        </w:tc>
        <w:tc>
          <w:tcPr>
            <w:tcW w:w="1725" w:type="dxa"/>
            <w:vAlign w:val="bottom"/>
          </w:tcPr>
          <w:p w14:paraId="168ACB9D" w14:textId="77777777" w:rsidR="002401D0" w:rsidRPr="00DF2935" w:rsidRDefault="002401D0">
            <w:pPr>
              <w:pStyle w:val="xLedtext"/>
            </w:pPr>
          </w:p>
        </w:tc>
        <w:tc>
          <w:tcPr>
            <w:tcW w:w="2563" w:type="dxa"/>
            <w:vAlign w:val="bottom"/>
          </w:tcPr>
          <w:p w14:paraId="65B2051F" w14:textId="77777777" w:rsidR="002401D0" w:rsidRPr="00DF2935" w:rsidRDefault="002401D0">
            <w:pPr>
              <w:pStyle w:val="xLedtext"/>
            </w:pPr>
          </w:p>
        </w:tc>
      </w:tr>
      <w:tr w:rsidR="002401D0" w:rsidRPr="00DF2935" w14:paraId="3F8E2E0E" w14:textId="77777777" w:rsidTr="04A159EF">
        <w:trPr>
          <w:cantSplit/>
          <w:trHeight w:val="238"/>
        </w:trPr>
        <w:tc>
          <w:tcPr>
            <w:tcW w:w="861" w:type="dxa"/>
            <w:vMerge/>
          </w:tcPr>
          <w:p w14:paraId="102648C9" w14:textId="77777777" w:rsidR="002401D0" w:rsidRPr="00DF2935" w:rsidRDefault="002401D0">
            <w:pPr>
              <w:pStyle w:val="xAvsandare3"/>
            </w:pPr>
          </w:p>
        </w:tc>
        <w:tc>
          <w:tcPr>
            <w:tcW w:w="4448" w:type="dxa"/>
            <w:tcBorders>
              <w:bottom w:val="single" w:sz="4" w:space="0" w:color="auto"/>
            </w:tcBorders>
            <w:vAlign w:val="center"/>
          </w:tcPr>
          <w:p w14:paraId="27C30297" w14:textId="77777777" w:rsidR="002401D0" w:rsidRPr="00DF2935" w:rsidRDefault="002401D0">
            <w:pPr>
              <w:pStyle w:val="xAvsandare3"/>
            </w:pPr>
          </w:p>
        </w:tc>
        <w:tc>
          <w:tcPr>
            <w:tcW w:w="1725" w:type="dxa"/>
            <w:tcBorders>
              <w:bottom w:val="single" w:sz="4" w:space="0" w:color="auto"/>
            </w:tcBorders>
            <w:vAlign w:val="center"/>
          </w:tcPr>
          <w:p w14:paraId="7F471DD6" w14:textId="77777777" w:rsidR="002401D0" w:rsidRPr="00DF2935" w:rsidRDefault="002401D0">
            <w:pPr>
              <w:pStyle w:val="xDatum2"/>
            </w:pPr>
          </w:p>
        </w:tc>
        <w:tc>
          <w:tcPr>
            <w:tcW w:w="2563" w:type="dxa"/>
            <w:tcBorders>
              <w:bottom w:val="single" w:sz="4" w:space="0" w:color="auto"/>
            </w:tcBorders>
            <w:vAlign w:val="center"/>
          </w:tcPr>
          <w:p w14:paraId="6650A9C7" w14:textId="77777777" w:rsidR="002401D0" w:rsidRPr="00DF2935" w:rsidRDefault="002401D0">
            <w:pPr>
              <w:pStyle w:val="xBeteckning2"/>
            </w:pPr>
          </w:p>
        </w:tc>
      </w:tr>
      <w:tr w:rsidR="002401D0" w:rsidRPr="00DF2935" w14:paraId="0FF9B5E4" w14:textId="77777777" w:rsidTr="04A159EF">
        <w:trPr>
          <w:cantSplit/>
          <w:trHeight w:val="238"/>
        </w:trPr>
        <w:tc>
          <w:tcPr>
            <w:tcW w:w="861" w:type="dxa"/>
            <w:tcBorders>
              <w:top w:val="single" w:sz="4" w:space="0" w:color="auto"/>
            </w:tcBorders>
            <w:vAlign w:val="bottom"/>
          </w:tcPr>
          <w:p w14:paraId="4C89A51A" w14:textId="77777777" w:rsidR="002401D0" w:rsidRPr="00DF2935" w:rsidRDefault="002401D0">
            <w:pPr>
              <w:pStyle w:val="xLedtext"/>
            </w:pPr>
          </w:p>
        </w:tc>
        <w:tc>
          <w:tcPr>
            <w:tcW w:w="4448" w:type="dxa"/>
            <w:tcBorders>
              <w:top w:val="single" w:sz="4" w:space="0" w:color="auto"/>
            </w:tcBorders>
            <w:vAlign w:val="bottom"/>
          </w:tcPr>
          <w:p w14:paraId="578FC45D" w14:textId="77777777" w:rsidR="002401D0" w:rsidRPr="00DF2935" w:rsidRDefault="002401D0">
            <w:pPr>
              <w:pStyle w:val="xLedtext"/>
            </w:pPr>
          </w:p>
        </w:tc>
        <w:tc>
          <w:tcPr>
            <w:tcW w:w="4288" w:type="dxa"/>
            <w:gridSpan w:val="2"/>
            <w:tcBorders>
              <w:top w:val="single" w:sz="4" w:space="0" w:color="auto"/>
            </w:tcBorders>
            <w:vAlign w:val="bottom"/>
          </w:tcPr>
          <w:p w14:paraId="416D0F88" w14:textId="77777777" w:rsidR="002401D0" w:rsidRPr="00DF2935" w:rsidRDefault="002401D0">
            <w:pPr>
              <w:pStyle w:val="xLedtext"/>
            </w:pPr>
          </w:p>
        </w:tc>
      </w:tr>
      <w:tr w:rsidR="002401D0" w:rsidRPr="00DF2935" w14:paraId="13BF98A5" w14:textId="77777777" w:rsidTr="04A159EF">
        <w:trPr>
          <w:cantSplit/>
          <w:trHeight w:val="238"/>
        </w:trPr>
        <w:tc>
          <w:tcPr>
            <w:tcW w:w="861" w:type="dxa"/>
          </w:tcPr>
          <w:p w14:paraId="79C3AB5D" w14:textId="77777777" w:rsidR="002401D0" w:rsidRPr="00DF2935" w:rsidRDefault="002401D0">
            <w:pPr>
              <w:pStyle w:val="xCelltext"/>
            </w:pPr>
          </w:p>
        </w:tc>
        <w:tc>
          <w:tcPr>
            <w:tcW w:w="4448" w:type="dxa"/>
          </w:tcPr>
          <w:p w14:paraId="6292102F" w14:textId="77777777" w:rsidR="002401D0" w:rsidRPr="00DF2935" w:rsidRDefault="002401D0">
            <w:pPr>
              <w:pStyle w:val="xMottagare1"/>
            </w:pPr>
            <w:r w:rsidRPr="00DF2935">
              <w:t>Till Ålands lagting</w:t>
            </w:r>
          </w:p>
        </w:tc>
        <w:tc>
          <w:tcPr>
            <w:tcW w:w="4288" w:type="dxa"/>
            <w:gridSpan w:val="2"/>
            <w:vMerge w:val="restart"/>
          </w:tcPr>
          <w:p w14:paraId="1883CF97" w14:textId="77777777" w:rsidR="002401D0" w:rsidRPr="00DF2935" w:rsidRDefault="002401D0">
            <w:pPr>
              <w:pStyle w:val="xMottagare1"/>
              <w:tabs>
                <w:tab w:val="left" w:pos="2349"/>
              </w:tabs>
            </w:pPr>
          </w:p>
        </w:tc>
      </w:tr>
      <w:tr w:rsidR="002401D0" w:rsidRPr="00DF2935" w14:paraId="57675454" w14:textId="77777777" w:rsidTr="04A159EF">
        <w:trPr>
          <w:cantSplit/>
          <w:trHeight w:val="238"/>
        </w:trPr>
        <w:tc>
          <w:tcPr>
            <w:tcW w:w="861" w:type="dxa"/>
          </w:tcPr>
          <w:p w14:paraId="384F9BAD" w14:textId="77777777" w:rsidR="002401D0" w:rsidRPr="00DF2935" w:rsidRDefault="002401D0">
            <w:pPr>
              <w:pStyle w:val="xCelltext"/>
            </w:pPr>
          </w:p>
        </w:tc>
        <w:tc>
          <w:tcPr>
            <w:tcW w:w="4448" w:type="dxa"/>
            <w:vAlign w:val="center"/>
          </w:tcPr>
          <w:p w14:paraId="61141C5B" w14:textId="77777777" w:rsidR="002401D0" w:rsidRPr="00DF2935" w:rsidRDefault="002401D0">
            <w:pPr>
              <w:pStyle w:val="xCelltext"/>
            </w:pPr>
          </w:p>
        </w:tc>
        <w:tc>
          <w:tcPr>
            <w:tcW w:w="4288" w:type="dxa"/>
            <w:gridSpan w:val="2"/>
            <w:vMerge/>
            <w:vAlign w:val="center"/>
          </w:tcPr>
          <w:p w14:paraId="5B90A719" w14:textId="77777777" w:rsidR="002401D0" w:rsidRPr="00DF2935" w:rsidRDefault="002401D0">
            <w:pPr>
              <w:pStyle w:val="xCelltext"/>
            </w:pPr>
          </w:p>
        </w:tc>
      </w:tr>
      <w:tr w:rsidR="002401D0" w:rsidRPr="00DF2935" w14:paraId="470EF42E" w14:textId="77777777" w:rsidTr="04A159EF">
        <w:trPr>
          <w:cantSplit/>
          <w:trHeight w:val="238"/>
        </w:trPr>
        <w:tc>
          <w:tcPr>
            <w:tcW w:w="861" w:type="dxa"/>
          </w:tcPr>
          <w:p w14:paraId="321B0A16" w14:textId="77777777" w:rsidR="002401D0" w:rsidRPr="00DF2935" w:rsidRDefault="002401D0">
            <w:pPr>
              <w:pStyle w:val="xCelltext"/>
            </w:pPr>
          </w:p>
        </w:tc>
        <w:tc>
          <w:tcPr>
            <w:tcW w:w="4448" w:type="dxa"/>
            <w:vAlign w:val="center"/>
          </w:tcPr>
          <w:p w14:paraId="525EB33A" w14:textId="77777777" w:rsidR="002401D0" w:rsidRPr="00DF2935" w:rsidRDefault="002401D0">
            <w:pPr>
              <w:pStyle w:val="xCelltext"/>
            </w:pPr>
          </w:p>
        </w:tc>
        <w:tc>
          <w:tcPr>
            <w:tcW w:w="4288" w:type="dxa"/>
            <w:gridSpan w:val="2"/>
            <w:vMerge/>
            <w:vAlign w:val="center"/>
          </w:tcPr>
          <w:p w14:paraId="160E8B9E" w14:textId="77777777" w:rsidR="002401D0" w:rsidRPr="00DF2935" w:rsidRDefault="002401D0">
            <w:pPr>
              <w:pStyle w:val="xCelltext"/>
            </w:pPr>
          </w:p>
        </w:tc>
      </w:tr>
      <w:tr w:rsidR="002401D0" w:rsidRPr="00DF2935" w14:paraId="0FD03193" w14:textId="77777777" w:rsidTr="04A159EF">
        <w:trPr>
          <w:cantSplit/>
          <w:trHeight w:val="238"/>
        </w:trPr>
        <w:tc>
          <w:tcPr>
            <w:tcW w:w="861" w:type="dxa"/>
          </w:tcPr>
          <w:p w14:paraId="23BA6300" w14:textId="77777777" w:rsidR="002401D0" w:rsidRPr="00DF2935" w:rsidRDefault="002401D0">
            <w:pPr>
              <w:pStyle w:val="xCelltext"/>
            </w:pPr>
          </w:p>
        </w:tc>
        <w:tc>
          <w:tcPr>
            <w:tcW w:w="4448" w:type="dxa"/>
            <w:vAlign w:val="center"/>
          </w:tcPr>
          <w:p w14:paraId="4074CC1E" w14:textId="77777777" w:rsidR="002401D0" w:rsidRPr="00DF2935" w:rsidRDefault="002401D0">
            <w:pPr>
              <w:pStyle w:val="xCelltext"/>
            </w:pPr>
          </w:p>
        </w:tc>
        <w:tc>
          <w:tcPr>
            <w:tcW w:w="4288" w:type="dxa"/>
            <w:gridSpan w:val="2"/>
            <w:vMerge/>
            <w:vAlign w:val="center"/>
          </w:tcPr>
          <w:p w14:paraId="5BC781EC" w14:textId="77777777" w:rsidR="002401D0" w:rsidRPr="00DF2935" w:rsidRDefault="002401D0">
            <w:pPr>
              <w:pStyle w:val="xCelltext"/>
            </w:pPr>
          </w:p>
        </w:tc>
      </w:tr>
      <w:tr w:rsidR="002401D0" w:rsidRPr="00DF2935" w14:paraId="6A81D382" w14:textId="77777777" w:rsidTr="04A159EF">
        <w:trPr>
          <w:cantSplit/>
          <w:trHeight w:val="238"/>
        </w:trPr>
        <w:tc>
          <w:tcPr>
            <w:tcW w:w="861" w:type="dxa"/>
          </w:tcPr>
          <w:p w14:paraId="410A8B06" w14:textId="77777777" w:rsidR="002401D0" w:rsidRPr="00DF2935" w:rsidRDefault="002401D0">
            <w:pPr>
              <w:pStyle w:val="xCelltext"/>
            </w:pPr>
          </w:p>
        </w:tc>
        <w:tc>
          <w:tcPr>
            <w:tcW w:w="4448" w:type="dxa"/>
            <w:vAlign w:val="center"/>
          </w:tcPr>
          <w:p w14:paraId="4C844EFA" w14:textId="77777777" w:rsidR="002401D0" w:rsidRPr="00DF2935" w:rsidRDefault="002401D0">
            <w:pPr>
              <w:pStyle w:val="xCelltext"/>
            </w:pPr>
          </w:p>
        </w:tc>
        <w:tc>
          <w:tcPr>
            <w:tcW w:w="4288" w:type="dxa"/>
            <w:gridSpan w:val="2"/>
            <w:vMerge/>
            <w:vAlign w:val="center"/>
          </w:tcPr>
          <w:p w14:paraId="0AD6B8F2" w14:textId="77777777" w:rsidR="002401D0" w:rsidRPr="00DF2935" w:rsidRDefault="002401D0">
            <w:pPr>
              <w:pStyle w:val="xCelltext"/>
            </w:pPr>
          </w:p>
        </w:tc>
      </w:tr>
    </w:tbl>
    <w:p w14:paraId="119C19E4" w14:textId="77777777" w:rsidR="002401D0" w:rsidRPr="00DF2935" w:rsidRDefault="002401D0">
      <w:pPr>
        <w:rPr>
          <w:b/>
          <w:bCs/>
        </w:rPr>
        <w:sectPr w:rsidR="002401D0" w:rsidRPr="00DF2935">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191" w:header="624" w:footer="737" w:gutter="0"/>
          <w:cols w:space="708"/>
          <w:docGrid w:linePitch="360"/>
        </w:sectPr>
      </w:pPr>
    </w:p>
    <w:p w14:paraId="2C99F661" w14:textId="77777777" w:rsidR="002401D0" w:rsidRPr="00DF2935" w:rsidRDefault="00015441">
      <w:pPr>
        <w:pStyle w:val="ArendeOverRubrik"/>
      </w:pPr>
      <w:r w:rsidRPr="00DF2935">
        <w:t>Finans- och närings</w:t>
      </w:r>
      <w:r w:rsidR="002401D0" w:rsidRPr="00DF2935">
        <w:t>utskottets betänkande</w:t>
      </w:r>
    </w:p>
    <w:p w14:paraId="780475CD" w14:textId="77777777" w:rsidR="00466790" w:rsidRPr="00DF2935" w:rsidRDefault="00466790">
      <w:pPr>
        <w:pStyle w:val="ArendeUnderRubrik"/>
      </w:pPr>
      <w:r w:rsidRPr="00DF2935">
        <w:rPr>
          <w:rFonts w:ascii="Arial" w:hAnsi="Arial"/>
          <w:b/>
          <w:bCs/>
          <w:sz w:val="26"/>
        </w:rPr>
        <w:t>Motverka storskaligt, industriellt trålfiske på åländskt territorialvatten</w:t>
      </w:r>
    </w:p>
    <w:p w14:paraId="39CE20A2" w14:textId="5B632F58" w:rsidR="002401D0" w:rsidRPr="00DF2935" w:rsidRDefault="00015441">
      <w:pPr>
        <w:pStyle w:val="ArendeUnderRubrik"/>
      </w:pPr>
      <w:r w:rsidRPr="00DF2935">
        <w:t xml:space="preserve">Åtgärdsmotion nr </w:t>
      </w:r>
      <w:r w:rsidR="00466790" w:rsidRPr="00DF2935">
        <w:t>10</w:t>
      </w:r>
      <w:r w:rsidRPr="00DF2935">
        <w:t>/20</w:t>
      </w:r>
      <w:r w:rsidR="005A2408" w:rsidRPr="00DF2935">
        <w:t>2</w:t>
      </w:r>
      <w:r w:rsidR="00466790" w:rsidRPr="00DF2935">
        <w:t>4</w:t>
      </w:r>
      <w:r w:rsidRPr="00DF2935">
        <w:t>-20</w:t>
      </w:r>
      <w:r w:rsidR="005A2408" w:rsidRPr="00DF2935">
        <w:t>2</w:t>
      </w:r>
      <w:r w:rsidR="00466790" w:rsidRPr="00DF2935">
        <w:t>5</w:t>
      </w:r>
    </w:p>
    <w:p w14:paraId="33C6C470" w14:textId="77777777" w:rsidR="002401D0" w:rsidRPr="00DF2935" w:rsidRDefault="002401D0">
      <w:pPr>
        <w:pStyle w:val="ANormal"/>
      </w:pPr>
    </w:p>
    <w:p w14:paraId="6B6AD181" w14:textId="77777777" w:rsidR="002401D0" w:rsidRPr="00DF2935" w:rsidRDefault="002401D0">
      <w:pPr>
        <w:pStyle w:val="Innehll1"/>
      </w:pPr>
      <w:r w:rsidRPr="00DF2935">
        <w:t>INNEHÅLL</w:t>
      </w:r>
    </w:p>
    <w:p w14:paraId="14263F35" w14:textId="19433FC8" w:rsidR="00E44FAE" w:rsidRDefault="002401D0">
      <w:pPr>
        <w:pStyle w:val="Innehll1"/>
        <w:rPr>
          <w:rFonts w:asciiTheme="minorHAnsi" w:eastAsiaTheme="minorEastAsia" w:hAnsiTheme="minorHAnsi" w:cstheme="minorBidi"/>
          <w:kern w:val="2"/>
          <w:sz w:val="24"/>
          <w:szCs w:val="24"/>
          <w:lang w:val="sv-FI" w:eastAsia="sv-FI"/>
          <w14:ligatures w14:val="standardContextual"/>
        </w:rPr>
      </w:pPr>
      <w:r w:rsidRPr="00DF2935">
        <w:fldChar w:fldCharType="begin"/>
      </w:r>
      <w:r w:rsidRPr="00DF2935">
        <w:instrText xml:space="preserve"> TOC \o "1-1" \h \z \t "Rubrik 2;2;Rubrik 3;3;RubrikB;2;RubrikC;3" </w:instrText>
      </w:r>
      <w:r w:rsidRPr="00DF2935">
        <w:fldChar w:fldCharType="separate"/>
      </w:r>
      <w:hyperlink w:anchor="_Toc224033580" w:history="1">
        <w:r w:rsidR="00E44FAE" w:rsidRPr="001E4B15">
          <w:rPr>
            <w:rStyle w:val="Hyperlnk"/>
          </w:rPr>
          <w:t>Sammanfattning</w:t>
        </w:r>
        <w:r w:rsidR="00E44FAE">
          <w:rPr>
            <w:webHidden/>
          </w:rPr>
          <w:tab/>
        </w:r>
        <w:r w:rsidR="00E44FAE">
          <w:rPr>
            <w:webHidden/>
          </w:rPr>
          <w:fldChar w:fldCharType="begin"/>
        </w:r>
        <w:r w:rsidR="00E44FAE">
          <w:rPr>
            <w:webHidden/>
          </w:rPr>
          <w:instrText xml:space="preserve"> PAGEREF _Toc224033580 \h </w:instrText>
        </w:r>
        <w:r w:rsidR="00E44FAE">
          <w:rPr>
            <w:webHidden/>
          </w:rPr>
        </w:r>
        <w:r w:rsidR="00E44FAE">
          <w:rPr>
            <w:webHidden/>
          </w:rPr>
          <w:fldChar w:fldCharType="separate"/>
        </w:r>
        <w:r w:rsidR="00E44FAE">
          <w:rPr>
            <w:webHidden/>
          </w:rPr>
          <w:t>1</w:t>
        </w:r>
        <w:r w:rsidR="00E44FAE">
          <w:rPr>
            <w:webHidden/>
          </w:rPr>
          <w:fldChar w:fldCharType="end"/>
        </w:r>
      </w:hyperlink>
    </w:p>
    <w:p w14:paraId="1A53A1A8" w14:textId="4A55E970" w:rsidR="00E44FAE" w:rsidRDefault="00E44FAE">
      <w:pPr>
        <w:pStyle w:val="Innehll2"/>
        <w:rPr>
          <w:rFonts w:asciiTheme="minorHAnsi" w:eastAsiaTheme="minorEastAsia" w:hAnsiTheme="minorHAnsi" w:cstheme="minorBidi"/>
          <w:kern w:val="2"/>
          <w:sz w:val="24"/>
          <w:szCs w:val="24"/>
          <w:lang w:val="sv-FI" w:eastAsia="sv-FI"/>
          <w14:ligatures w14:val="standardContextual"/>
        </w:rPr>
      </w:pPr>
      <w:hyperlink w:anchor="_Toc224033581" w:history="1">
        <w:r w:rsidRPr="001E4B15">
          <w:rPr>
            <w:rStyle w:val="Hyperlnk"/>
          </w:rPr>
          <w:t>Motionärernas förslag</w:t>
        </w:r>
        <w:r>
          <w:rPr>
            <w:webHidden/>
          </w:rPr>
          <w:tab/>
        </w:r>
        <w:r>
          <w:rPr>
            <w:webHidden/>
          </w:rPr>
          <w:fldChar w:fldCharType="begin"/>
        </w:r>
        <w:r>
          <w:rPr>
            <w:webHidden/>
          </w:rPr>
          <w:instrText xml:space="preserve"> PAGEREF _Toc224033581 \h </w:instrText>
        </w:r>
        <w:r>
          <w:rPr>
            <w:webHidden/>
          </w:rPr>
        </w:r>
        <w:r>
          <w:rPr>
            <w:webHidden/>
          </w:rPr>
          <w:fldChar w:fldCharType="separate"/>
        </w:r>
        <w:r>
          <w:rPr>
            <w:webHidden/>
          </w:rPr>
          <w:t>1</w:t>
        </w:r>
        <w:r>
          <w:rPr>
            <w:webHidden/>
          </w:rPr>
          <w:fldChar w:fldCharType="end"/>
        </w:r>
      </w:hyperlink>
    </w:p>
    <w:p w14:paraId="156D75DD" w14:textId="7E2483CC" w:rsidR="00E44FAE" w:rsidRDefault="00E44FAE">
      <w:pPr>
        <w:pStyle w:val="Innehll2"/>
        <w:rPr>
          <w:rFonts w:asciiTheme="minorHAnsi" w:eastAsiaTheme="minorEastAsia" w:hAnsiTheme="minorHAnsi" w:cstheme="minorBidi"/>
          <w:kern w:val="2"/>
          <w:sz w:val="24"/>
          <w:szCs w:val="24"/>
          <w:lang w:val="sv-FI" w:eastAsia="sv-FI"/>
          <w14:ligatures w14:val="standardContextual"/>
        </w:rPr>
      </w:pPr>
      <w:hyperlink w:anchor="_Toc224033582" w:history="1">
        <w:r w:rsidRPr="001E4B15">
          <w:rPr>
            <w:rStyle w:val="Hyperlnk"/>
          </w:rPr>
          <w:t>Utskottets förslag</w:t>
        </w:r>
        <w:r>
          <w:rPr>
            <w:webHidden/>
          </w:rPr>
          <w:tab/>
        </w:r>
        <w:r>
          <w:rPr>
            <w:webHidden/>
          </w:rPr>
          <w:fldChar w:fldCharType="begin"/>
        </w:r>
        <w:r>
          <w:rPr>
            <w:webHidden/>
          </w:rPr>
          <w:instrText xml:space="preserve"> PAGEREF _Toc224033582 \h </w:instrText>
        </w:r>
        <w:r>
          <w:rPr>
            <w:webHidden/>
          </w:rPr>
        </w:r>
        <w:r>
          <w:rPr>
            <w:webHidden/>
          </w:rPr>
          <w:fldChar w:fldCharType="separate"/>
        </w:r>
        <w:r>
          <w:rPr>
            <w:webHidden/>
          </w:rPr>
          <w:t>1</w:t>
        </w:r>
        <w:r>
          <w:rPr>
            <w:webHidden/>
          </w:rPr>
          <w:fldChar w:fldCharType="end"/>
        </w:r>
      </w:hyperlink>
    </w:p>
    <w:p w14:paraId="234F4BDF" w14:textId="2ACA588A" w:rsidR="00E44FAE" w:rsidRDefault="00E44FAE">
      <w:pPr>
        <w:pStyle w:val="Innehll1"/>
        <w:rPr>
          <w:rFonts w:asciiTheme="minorHAnsi" w:eastAsiaTheme="minorEastAsia" w:hAnsiTheme="minorHAnsi" w:cstheme="minorBidi"/>
          <w:kern w:val="2"/>
          <w:sz w:val="24"/>
          <w:szCs w:val="24"/>
          <w:lang w:val="sv-FI" w:eastAsia="sv-FI"/>
          <w14:ligatures w14:val="standardContextual"/>
        </w:rPr>
      </w:pPr>
      <w:hyperlink w:anchor="_Toc224033583" w:history="1">
        <w:r w:rsidRPr="001E4B15">
          <w:rPr>
            <w:rStyle w:val="Hyperlnk"/>
          </w:rPr>
          <w:t>Utskottets synpunkter</w:t>
        </w:r>
        <w:r>
          <w:rPr>
            <w:webHidden/>
          </w:rPr>
          <w:tab/>
        </w:r>
        <w:r>
          <w:rPr>
            <w:webHidden/>
          </w:rPr>
          <w:fldChar w:fldCharType="begin"/>
        </w:r>
        <w:r>
          <w:rPr>
            <w:webHidden/>
          </w:rPr>
          <w:instrText xml:space="preserve"> PAGEREF _Toc224033583 \h </w:instrText>
        </w:r>
        <w:r>
          <w:rPr>
            <w:webHidden/>
          </w:rPr>
        </w:r>
        <w:r>
          <w:rPr>
            <w:webHidden/>
          </w:rPr>
          <w:fldChar w:fldCharType="separate"/>
        </w:r>
        <w:r>
          <w:rPr>
            <w:webHidden/>
          </w:rPr>
          <w:t>1</w:t>
        </w:r>
        <w:r>
          <w:rPr>
            <w:webHidden/>
          </w:rPr>
          <w:fldChar w:fldCharType="end"/>
        </w:r>
      </w:hyperlink>
    </w:p>
    <w:p w14:paraId="341E6069" w14:textId="1266FA79" w:rsidR="00E44FAE" w:rsidRDefault="00E44FAE">
      <w:pPr>
        <w:pStyle w:val="Innehll1"/>
        <w:rPr>
          <w:rFonts w:asciiTheme="minorHAnsi" w:eastAsiaTheme="minorEastAsia" w:hAnsiTheme="minorHAnsi" w:cstheme="minorBidi"/>
          <w:kern w:val="2"/>
          <w:sz w:val="24"/>
          <w:szCs w:val="24"/>
          <w:lang w:val="sv-FI" w:eastAsia="sv-FI"/>
          <w14:ligatures w14:val="standardContextual"/>
        </w:rPr>
      </w:pPr>
      <w:hyperlink w:anchor="_Toc224033584" w:history="1">
        <w:r w:rsidRPr="001E4B15">
          <w:rPr>
            <w:rStyle w:val="Hyperlnk"/>
          </w:rPr>
          <w:t>Ärendets behandling</w:t>
        </w:r>
        <w:r>
          <w:rPr>
            <w:webHidden/>
          </w:rPr>
          <w:tab/>
        </w:r>
        <w:r>
          <w:rPr>
            <w:webHidden/>
          </w:rPr>
          <w:fldChar w:fldCharType="begin"/>
        </w:r>
        <w:r>
          <w:rPr>
            <w:webHidden/>
          </w:rPr>
          <w:instrText xml:space="preserve"> PAGEREF _Toc224033584 \h </w:instrText>
        </w:r>
        <w:r>
          <w:rPr>
            <w:webHidden/>
          </w:rPr>
        </w:r>
        <w:r>
          <w:rPr>
            <w:webHidden/>
          </w:rPr>
          <w:fldChar w:fldCharType="separate"/>
        </w:r>
        <w:r>
          <w:rPr>
            <w:webHidden/>
          </w:rPr>
          <w:t>4</w:t>
        </w:r>
        <w:r>
          <w:rPr>
            <w:webHidden/>
          </w:rPr>
          <w:fldChar w:fldCharType="end"/>
        </w:r>
      </w:hyperlink>
    </w:p>
    <w:p w14:paraId="0C65710B" w14:textId="06B49203" w:rsidR="00E44FAE" w:rsidRDefault="00E44FAE">
      <w:pPr>
        <w:pStyle w:val="Innehll2"/>
        <w:rPr>
          <w:rFonts w:asciiTheme="minorHAnsi" w:eastAsiaTheme="minorEastAsia" w:hAnsiTheme="minorHAnsi" w:cstheme="minorBidi"/>
          <w:kern w:val="2"/>
          <w:sz w:val="24"/>
          <w:szCs w:val="24"/>
          <w:lang w:val="sv-FI" w:eastAsia="sv-FI"/>
          <w14:ligatures w14:val="standardContextual"/>
        </w:rPr>
      </w:pPr>
      <w:hyperlink w:anchor="_Toc224033585" w:history="1">
        <w:r w:rsidRPr="001E4B15">
          <w:rPr>
            <w:rStyle w:val="Hyperlnk"/>
          </w:rPr>
          <w:t>Närvarande</w:t>
        </w:r>
        <w:r>
          <w:rPr>
            <w:webHidden/>
          </w:rPr>
          <w:tab/>
        </w:r>
        <w:r>
          <w:rPr>
            <w:webHidden/>
          </w:rPr>
          <w:fldChar w:fldCharType="begin"/>
        </w:r>
        <w:r>
          <w:rPr>
            <w:webHidden/>
          </w:rPr>
          <w:instrText xml:space="preserve"> PAGEREF _Toc224033585 \h </w:instrText>
        </w:r>
        <w:r>
          <w:rPr>
            <w:webHidden/>
          </w:rPr>
        </w:r>
        <w:r>
          <w:rPr>
            <w:webHidden/>
          </w:rPr>
          <w:fldChar w:fldCharType="separate"/>
        </w:r>
        <w:r>
          <w:rPr>
            <w:webHidden/>
          </w:rPr>
          <w:t>4</w:t>
        </w:r>
        <w:r>
          <w:rPr>
            <w:webHidden/>
          </w:rPr>
          <w:fldChar w:fldCharType="end"/>
        </w:r>
      </w:hyperlink>
    </w:p>
    <w:p w14:paraId="2AAE5EC1" w14:textId="62D92AF6" w:rsidR="00E44FAE" w:rsidRDefault="00E44FAE">
      <w:pPr>
        <w:pStyle w:val="Innehll1"/>
        <w:rPr>
          <w:rFonts w:asciiTheme="minorHAnsi" w:eastAsiaTheme="minorEastAsia" w:hAnsiTheme="minorHAnsi" w:cstheme="minorBidi"/>
          <w:kern w:val="2"/>
          <w:sz w:val="24"/>
          <w:szCs w:val="24"/>
          <w:lang w:val="sv-FI" w:eastAsia="sv-FI"/>
          <w14:ligatures w14:val="standardContextual"/>
        </w:rPr>
      </w:pPr>
      <w:hyperlink w:anchor="_Toc224033586" w:history="1">
        <w:r w:rsidRPr="001E4B15">
          <w:rPr>
            <w:rStyle w:val="Hyperlnk"/>
          </w:rPr>
          <w:t>Utskottets förslag</w:t>
        </w:r>
        <w:r>
          <w:rPr>
            <w:webHidden/>
          </w:rPr>
          <w:tab/>
        </w:r>
        <w:r>
          <w:rPr>
            <w:webHidden/>
          </w:rPr>
          <w:fldChar w:fldCharType="begin"/>
        </w:r>
        <w:r>
          <w:rPr>
            <w:webHidden/>
          </w:rPr>
          <w:instrText xml:space="preserve"> PAGEREF _Toc224033586 \h </w:instrText>
        </w:r>
        <w:r>
          <w:rPr>
            <w:webHidden/>
          </w:rPr>
        </w:r>
        <w:r>
          <w:rPr>
            <w:webHidden/>
          </w:rPr>
          <w:fldChar w:fldCharType="separate"/>
        </w:r>
        <w:r>
          <w:rPr>
            <w:webHidden/>
          </w:rPr>
          <w:t>4</w:t>
        </w:r>
        <w:r>
          <w:rPr>
            <w:webHidden/>
          </w:rPr>
          <w:fldChar w:fldCharType="end"/>
        </w:r>
      </w:hyperlink>
    </w:p>
    <w:p w14:paraId="2E5447E9" w14:textId="7E75EEF2" w:rsidR="002401D0" w:rsidRPr="00DF2935" w:rsidRDefault="002401D0">
      <w:pPr>
        <w:pStyle w:val="ANormal"/>
        <w:rPr>
          <w:noProof/>
        </w:rPr>
      </w:pPr>
      <w:r w:rsidRPr="00DF2935">
        <w:rPr>
          <w:rFonts w:ascii="Verdana" w:hAnsi="Verdana"/>
          <w:noProof/>
          <w:sz w:val="16"/>
          <w:szCs w:val="36"/>
        </w:rPr>
        <w:fldChar w:fldCharType="end"/>
      </w:r>
    </w:p>
    <w:p w14:paraId="725775EE" w14:textId="77777777" w:rsidR="002401D0" w:rsidRPr="00DF2935" w:rsidRDefault="002401D0">
      <w:pPr>
        <w:pStyle w:val="ANormal"/>
      </w:pPr>
    </w:p>
    <w:p w14:paraId="205425D2" w14:textId="77777777" w:rsidR="002401D0" w:rsidRPr="00DF2935" w:rsidRDefault="002401D0">
      <w:pPr>
        <w:pStyle w:val="RubrikA"/>
      </w:pPr>
      <w:bookmarkStart w:id="0" w:name="_Toc529800932"/>
      <w:bookmarkStart w:id="1" w:name="_Toc224033580"/>
      <w:r w:rsidRPr="00DF2935">
        <w:t>Sammanfattning</w:t>
      </w:r>
      <w:bookmarkEnd w:id="0"/>
      <w:bookmarkEnd w:id="1"/>
    </w:p>
    <w:p w14:paraId="573BB497" w14:textId="77777777" w:rsidR="002401D0" w:rsidRPr="00DF2935" w:rsidRDefault="002401D0">
      <w:pPr>
        <w:pStyle w:val="Rubrikmellanrum"/>
      </w:pPr>
    </w:p>
    <w:p w14:paraId="7C2BEAA2" w14:textId="77777777" w:rsidR="00466790" w:rsidRPr="00DF2935" w:rsidRDefault="00015441" w:rsidP="00466790">
      <w:pPr>
        <w:pStyle w:val="RubrikB"/>
      </w:pPr>
      <w:bookmarkStart w:id="2" w:name="_Toc224033581"/>
      <w:r w:rsidRPr="00DF2935">
        <w:t>Motionärernas förslag</w:t>
      </w:r>
      <w:bookmarkEnd w:id="2"/>
    </w:p>
    <w:p w14:paraId="7CDF982E" w14:textId="77777777" w:rsidR="00466790" w:rsidRPr="00DF2935" w:rsidRDefault="00466790" w:rsidP="00466790">
      <w:pPr>
        <w:pStyle w:val="RubrikB"/>
      </w:pPr>
    </w:p>
    <w:p w14:paraId="13E2FD7E" w14:textId="40D59D62" w:rsidR="005A2408" w:rsidRPr="00DF2935" w:rsidRDefault="00466790" w:rsidP="00466790">
      <w:pPr>
        <w:pStyle w:val="Klam"/>
        <w:ind w:left="0"/>
      </w:pPr>
      <w:r w:rsidRPr="00DF2935">
        <w:t>Ltl Alfons Röblom m.fl. föreslår att lagtinget uppmanar landskapsregeringen att vidta åtgärder för att förhindra storskaligt, industriellt trålfiske inom Ålands territorialvatten, det vill säga inom tolv nautiska mil från baslinjen i enlighet med FN:s havsrättskonvention</w:t>
      </w:r>
      <w:r w:rsidR="00AF0B96">
        <w:t>.</w:t>
      </w:r>
      <w:r w:rsidRPr="00DF2935">
        <w:t xml:space="preserve"> </w:t>
      </w:r>
    </w:p>
    <w:p w14:paraId="06239302" w14:textId="77777777" w:rsidR="005A2408" w:rsidRPr="00DF2935" w:rsidRDefault="005A2408" w:rsidP="005A2408">
      <w:pPr>
        <w:pStyle w:val="Klam"/>
      </w:pPr>
    </w:p>
    <w:p w14:paraId="259F4881" w14:textId="77777777" w:rsidR="002401D0" w:rsidRPr="00DF2935" w:rsidRDefault="002401D0">
      <w:pPr>
        <w:pStyle w:val="RubrikB"/>
      </w:pPr>
      <w:bookmarkStart w:id="3" w:name="_Toc529800934"/>
      <w:bookmarkStart w:id="4" w:name="_Toc224033582"/>
      <w:r w:rsidRPr="00DF2935">
        <w:t>Utskottets förslag</w:t>
      </w:r>
      <w:bookmarkEnd w:id="3"/>
      <w:bookmarkEnd w:id="4"/>
    </w:p>
    <w:p w14:paraId="6AAD5307" w14:textId="77777777" w:rsidR="002401D0" w:rsidRPr="00DF2935" w:rsidRDefault="002401D0">
      <w:pPr>
        <w:pStyle w:val="Rubrikmellanrum"/>
      </w:pPr>
    </w:p>
    <w:p w14:paraId="16572F67" w14:textId="77777777" w:rsidR="002401D0" w:rsidRPr="00DF2935" w:rsidRDefault="009145EF">
      <w:pPr>
        <w:pStyle w:val="ANormal"/>
      </w:pPr>
      <w:r w:rsidRPr="00DF2935">
        <w:t>Utskottet föreslår att motionen förkastas med hänvisning till utskottets synpunkter i frågan.</w:t>
      </w:r>
    </w:p>
    <w:p w14:paraId="29C23F90" w14:textId="77777777" w:rsidR="002401D0" w:rsidRPr="00DF2935" w:rsidRDefault="002401D0">
      <w:pPr>
        <w:pStyle w:val="ANormal"/>
      </w:pPr>
    </w:p>
    <w:p w14:paraId="1C0D332F" w14:textId="77777777" w:rsidR="002401D0" w:rsidRPr="00DF2935" w:rsidRDefault="002401D0">
      <w:pPr>
        <w:pStyle w:val="RubrikA"/>
      </w:pPr>
      <w:bookmarkStart w:id="5" w:name="_Toc529800935"/>
      <w:bookmarkStart w:id="6" w:name="_Toc224033583"/>
      <w:r w:rsidRPr="00DF2935">
        <w:t>Utskottets synpunkter</w:t>
      </w:r>
      <w:bookmarkEnd w:id="5"/>
      <w:bookmarkEnd w:id="6"/>
    </w:p>
    <w:p w14:paraId="41714A92" w14:textId="77777777" w:rsidR="002401D0" w:rsidRPr="00DF2935" w:rsidRDefault="002401D0">
      <w:pPr>
        <w:pStyle w:val="Rubrikmellanrum"/>
      </w:pPr>
    </w:p>
    <w:p w14:paraId="5BCED1A6" w14:textId="77777777" w:rsidR="00EF1D84" w:rsidRPr="00DF2935" w:rsidRDefault="00EF1D84">
      <w:pPr>
        <w:pStyle w:val="ANormal"/>
      </w:pPr>
    </w:p>
    <w:p w14:paraId="1FC94E7D" w14:textId="77777777" w:rsidR="0022457A" w:rsidRPr="00DF2935" w:rsidRDefault="0022457A" w:rsidP="0022457A">
      <w:pPr>
        <w:pStyle w:val="ANormal"/>
      </w:pPr>
      <w:r w:rsidRPr="00DF2935">
        <w:t>Utskottet konstaterar att frågan om strömmingsbeståndens tillstånd och förvaltning i Ålands hav och Östersjön inte är ny, utan tidigare har behandlats av utskottet (åtgärdsmotion nr 4/2020–2021, betänkande nr 14/2022–2023), och att det alltjämt råder skilda uppfattningar i frågan.</w:t>
      </w:r>
    </w:p>
    <w:p w14:paraId="29D07434" w14:textId="42B034AB" w:rsidR="0022457A" w:rsidRPr="00DF2935" w:rsidRDefault="0022457A" w:rsidP="0022457A">
      <w:pPr>
        <w:pStyle w:val="ANormal"/>
      </w:pPr>
      <w:r w:rsidRPr="00DF2935">
        <w:tab/>
        <w:t>Utskottet</w:t>
      </w:r>
      <w:r w:rsidR="00961FCC" w:rsidRPr="00DF2935">
        <w:t xml:space="preserve"> konstaterar</w:t>
      </w:r>
      <w:r w:rsidRPr="00DF2935">
        <w:t xml:space="preserve"> att Internationella havsforskningsrådet (ICES, International Council for the Exploration of the Sea) är en mellanstatlig vetenskaplig organisation som samordnar och tillhandahåller oberoende vetenskaplig rådgivning om tillståndet i havsmiljön och nyttjandet av marina resurser i Nordatlanten och Östersjön. ICES sammanställer och analyserar data om bland annat fiskbestånd, ekosystem och fisketryck samt lämnar årliga rekommendationer om hållbara fångstnivåer. Dessa vetenskapliga råd utgör ett centralt beslutsunderlag för Europeiska unionen och kuststaterna vid fastställandet av kvoter och andra fiskeriförvaltningsåtgärder. Utskottet konstaterar vidare att Europeiska unionens gemensamma fiskeripolitik formellt ska bygga på bästa tillgängliga vetenskapliga rådgivning. Detta följer av grundförordningen för den gemensamma fiskeripolitiken (förordning </w:t>
      </w:r>
      <w:r w:rsidRPr="00DF2935">
        <w:lastRenderedPageBreak/>
        <w:t>(EU) nr 1380/2013), där det anges att förvaltningen ska tillämpa försiktighetsansatsen och säkerställa att nyttjandet av levande marina resurser återställer och upprätthåller bestånd över nivåer som kan ge maximal hållbar avkastning.</w:t>
      </w:r>
    </w:p>
    <w:p w14:paraId="02969A5A" w14:textId="532D2E81" w:rsidR="0022457A" w:rsidRPr="00DF2935" w:rsidRDefault="0022457A" w:rsidP="0022457A">
      <w:pPr>
        <w:pStyle w:val="ANormal"/>
      </w:pPr>
      <w:r w:rsidRPr="00DF2935">
        <w:tab/>
      </w:r>
      <w:r w:rsidR="00EF4EE3">
        <w:t>Utskottet noter</w:t>
      </w:r>
      <w:r w:rsidR="001015F5">
        <w:t>ar</w:t>
      </w:r>
      <w:r w:rsidR="00EF4EE3">
        <w:t xml:space="preserve"> att</w:t>
      </w:r>
      <w:r w:rsidR="003A1952">
        <w:t xml:space="preserve"> det</w:t>
      </w:r>
      <w:r w:rsidR="00EF4EE3">
        <w:t xml:space="preserve"> </w:t>
      </w:r>
      <w:r w:rsidR="00CF167E">
        <w:t>i</w:t>
      </w:r>
      <w:r w:rsidRPr="00DF2935">
        <w:t>nför 2026</w:t>
      </w:r>
      <w:r w:rsidR="00EF4EE3">
        <w:t xml:space="preserve"> har</w:t>
      </w:r>
      <w:r w:rsidR="00145A22">
        <w:t xml:space="preserve"> </w:t>
      </w:r>
      <w:r w:rsidR="00EF4EE3">
        <w:t>förekommit</w:t>
      </w:r>
      <w:r w:rsidRPr="00DF2935">
        <w:t xml:space="preserve"> oenighet kring </w:t>
      </w:r>
      <w:r w:rsidR="00EF4EE3">
        <w:t>fiske</w:t>
      </w:r>
      <w:r w:rsidRPr="00DF2935">
        <w:t>beståndens status och kvoternas nivåer. Sverige har intagit en mer restriktiv hållning och motsatt sig den kompromiss om fiskemöjligheter som antogs inom Rådet för jordbruk och fiske för år 2026, med hänvisning till vetenskapliga råd från ICES och behovet av långsiktig beståndsåterhämtning. Detta skiljer sig från flera andra Östersjöstater, däribland Finland, som i större utsträckning accepterade kompromissen.</w:t>
      </w:r>
      <w:r w:rsidR="00CB78CB">
        <w:t xml:space="preserve"> </w:t>
      </w:r>
    </w:p>
    <w:p w14:paraId="78F14E63" w14:textId="23D8FB58" w:rsidR="00C77885" w:rsidRPr="00DF2935" w:rsidRDefault="00C77885" w:rsidP="0022457A">
      <w:pPr>
        <w:pStyle w:val="ANormal"/>
      </w:pPr>
      <w:r w:rsidRPr="00DF2935">
        <w:tab/>
      </w:r>
      <w:r w:rsidR="006F0242" w:rsidRPr="00DF2935">
        <w:t xml:space="preserve">Utskottet konstaterar </w:t>
      </w:r>
      <w:r w:rsidR="00560709" w:rsidRPr="00DF2935">
        <w:t xml:space="preserve">att </w:t>
      </w:r>
      <w:r w:rsidR="00443F94" w:rsidRPr="00443F94">
        <w:t>Sverige har från och med den 1 februari 2025 beslutat att flytta ut trålgränsen</w:t>
      </w:r>
      <w:r w:rsidR="00E433E5" w:rsidRPr="00E433E5">
        <w:t xml:space="preserve"> för pelagiskt trålfiske efter sill/strömming till 12 nautiska mil från baslinjen</w:t>
      </w:r>
      <w:r w:rsidR="00047911">
        <w:t>. Åtgärden</w:t>
      </w:r>
      <w:r w:rsidR="00323A28">
        <w:t xml:space="preserve"> gäller</w:t>
      </w:r>
      <w:r w:rsidR="00407212" w:rsidRPr="00DF2935">
        <w:t xml:space="preserve"> till den 30</w:t>
      </w:r>
      <w:r w:rsidR="00732E0F">
        <w:t xml:space="preserve"> april </w:t>
      </w:r>
      <w:r w:rsidR="00407212" w:rsidRPr="00DF2935">
        <w:t>2027</w:t>
      </w:r>
      <w:r w:rsidR="002F6C8F">
        <w:t xml:space="preserve"> och omfattar </w:t>
      </w:r>
      <w:r w:rsidR="00CB3FF4">
        <w:t>delar</w:t>
      </w:r>
      <w:r w:rsidR="00407212" w:rsidRPr="00DF2935">
        <w:t xml:space="preserve"> av centrala Östersjön </w:t>
      </w:r>
      <w:r w:rsidR="00BE3280" w:rsidRPr="00DF2935">
        <w:t>som ett tidsbegränsat försök</w:t>
      </w:r>
      <w:r w:rsidR="000A4698" w:rsidRPr="00DF2935">
        <w:t xml:space="preserve"> i syfte</w:t>
      </w:r>
      <w:r w:rsidR="00BE3280" w:rsidRPr="00DF2935">
        <w:t xml:space="preserve"> att undersöka effekterna för sill- och strömmingsbeståndet</w:t>
      </w:r>
      <w:r w:rsidR="00560709" w:rsidRPr="00DF2935">
        <w:t xml:space="preserve">. </w:t>
      </w:r>
      <w:r w:rsidRPr="00DF2935">
        <w:t>Utskottet erfar att det i dagsläget finns begränsad evidens för att en ensidig utflyttning av trålgränsen till 12 nautiska mil</w:t>
      </w:r>
      <w:r w:rsidR="007D4E01" w:rsidRPr="00DF2935">
        <w:t xml:space="preserve"> från baslinjen</w:t>
      </w:r>
      <w:r w:rsidRPr="00DF2935">
        <w:t xml:space="preserve"> i sig ger en mätbar positiv effekt på beståndet, eftersom åtgärden i Sverige </w:t>
      </w:r>
      <w:r w:rsidR="00071886" w:rsidRPr="00DF2935">
        <w:t xml:space="preserve">inte </w:t>
      </w:r>
      <w:r w:rsidRPr="00DF2935">
        <w:t xml:space="preserve">ännu har utvärderats. </w:t>
      </w:r>
      <w:r w:rsidR="00E5731E">
        <w:t>Samtidigt</w:t>
      </w:r>
      <w:r w:rsidR="009B3C5A">
        <w:t xml:space="preserve"> </w:t>
      </w:r>
      <w:r w:rsidR="001B43F2">
        <w:t>indikerar</w:t>
      </w:r>
      <w:r w:rsidR="00E5731E">
        <w:t xml:space="preserve"> forskningen på att </w:t>
      </w:r>
      <w:r w:rsidRPr="00DF2935">
        <w:t xml:space="preserve">en 12-milsgräns kan vara gynnsam, särskilt om den minskar trålning på kustnära ansamlingar inför lek och därmed skyddar lokala delbestånd. </w:t>
      </w:r>
      <w:r w:rsidR="001A0FCA" w:rsidRPr="001A0FCA">
        <w:t>Vidare</w:t>
      </w:r>
      <w:r w:rsidR="00FC39D2">
        <w:t xml:space="preserve"> pekar forskningen på</w:t>
      </w:r>
      <w:r w:rsidR="00604B67">
        <w:t xml:space="preserve"> </w:t>
      </w:r>
      <w:r w:rsidR="001A0FCA" w:rsidRPr="001A0FCA">
        <w:t>att minskad total fiskedödlighet genom lägre kvoter kan vara en mer effektiv åtgärd för beståndsåterhämtning</w:t>
      </w:r>
      <w:r w:rsidR="002605B1" w:rsidRPr="00DF2935">
        <w:t>.</w:t>
      </w:r>
      <w:r w:rsidR="00EF6163" w:rsidRPr="00DF2935">
        <w:t xml:space="preserve"> </w:t>
      </w:r>
      <w:r w:rsidR="00D33286">
        <w:t xml:space="preserve"> </w:t>
      </w:r>
    </w:p>
    <w:p w14:paraId="64CFA79F" w14:textId="06AE6BB6" w:rsidR="00E03BA0" w:rsidRDefault="0022457A" w:rsidP="0022457A">
      <w:pPr>
        <w:pStyle w:val="ANormal"/>
      </w:pPr>
      <w:r w:rsidRPr="00DF2935">
        <w:tab/>
      </w:r>
      <w:r w:rsidR="00E03BA0" w:rsidRPr="00E03BA0">
        <w:t>Utskottet konstaterar att fiskeriförvaltningen i Rigabukten kännetecknas av kvotreglering, kapacitetsbegränsningar, områdesregler och säsongsvisa stängningar</w:t>
      </w:r>
      <w:r w:rsidR="001B65FC">
        <w:t>. Utskottet erfar att</w:t>
      </w:r>
      <w:r w:rsidR="00725EB4">
        <w:t xml:space="preserve"> detta</w:t>
      </w:r>
      <w:r w:rsidR="001B65FC">
        <w:t xml:space="preserve"> lyfts fram</w:t>
      </w:r>
      <w:r w:rsidR="00E03BA0" w:rsidRPr="00E03BA0">
        <w:t xml:space="preserve"> i den vetenskapliga och förvaltningsmässiga diskussionen som ett exempel på strukturerad beståndsförvaltning. Antalet trålfartyg är begränsat och deras motorkapacitet</w:t>
      </w:r>
      <w:r w:rsidR="003F5AD3">
        <w:t xml:space="preserve"> är</w:t>
      </w:r>
      <w:r w:rsidR="00E03BA0" w:rsidRPr="00E03BA0">
        <w:t xml:space="preserve"> reglerad, samtidigt som trålfisket är tidsmässigt begränsat genom stopp under lekperioden och ytterligare säsongsstängningar. Trålfiske tillåts huvudsakligen i djupare vatten, medan kustnära områden i huvudsak är förbehållna passiva redskap.</w:t>
      </w:r>
      <w:r w:rsidR="009D5993" w:rsidRPr="009D5993">
        <w:rPr>
          <w:rFonts w:ascii="Segoe UI" w:hAnsi="Segoe UI" w:cs="Segoe UI"/>
          <w:sz w:val="18"/>
          <w:szCs w:val="18"/>
        </w:rPr>
        <w:t xml:space="preserve"> </w:t>
      </w:r>
      <w:r w:rsidR="009D5993" w:rsidRPr="009D5993">
        <w:t>Rigabukten förvaltas gemensamt av Estland och Lettland, och en motsvarande tvåstatsförvaltning är i princip möjlig även i Bottniska viken mellan Sverige och Finland.</w:t>
      </w:r>
    </w:p>
    <w:p w14:paraId="00DB6B26" w14:textId="12AF85FA" w:rsidR="0022457A" w:rsidRPr="00DF2935" w:rsidRDefault="00E03BA0" w:rsidP="0022457A">
      <w:pPr>
        <w:pStyle w:val="ANormal"/>
      </w:pPr>
      <w:r>
        <w:tab/>
      </w:r>
      <w:r w:rsidR="0022457A" w:rsidRPr="00DF2935">
        <w:t>Mot denna bakgrund anser utskottet att landskapsregeringen bör verka för ökad transparens och tydlighet inom EU:s gemensamma fiskeripolitik, särskilt i frågor som rör kvoter och fiskemöjligheter. Detta gäller i synnerhet den vetenskapliga rådgivningen från Internationella havsforskningsrådet (ICES), där underlag och uppdrag i högre grad bör vara öppna och lättbegripliga</w:t>
      </w:r>
      <w:r w:rsidR="009457D6">
        <w:t>.</w:t>
      </w:r>
      <w:r w:rsidR="009457D6">
        <w:rPr>
          <w:rFonts w:ascii="Segoe UI" w:hAnsi="Segoe UI" w:cs="Segoe UI"/>
          <w:sz w:val="18"/>
          <w:szCs w:val="18"/>
        </w:rPr>
        <w:t xml:space="preserve"> </w:t>
      </w:r>
      <w:r w:rsidR="00721A2C" w:rsidRPr="00721A2C">
        <w:t xml:space="preserve">Utskottet framhåller vidare att förhandlingarna om kvoter och fiskemöjligheter </w:t>
      </w:r>
      <w:r w:rsidR="009457D6">
        <w:t>mellan</w:t>
      </w:r>
      <w:r w:rsidR="00721A2C" w:rsidRPr="00721A2C">
        <w:t xml:space="preserve"> Europeiska unionens råd</w:t>
      </w:r>
      <w:r w:rsidR="009457D6">
        <w:t xml:space="preserve"> och kommissionen</w:t>
      </w:r>
      <w:r w:rsidR="00721A2C" w:rsidRPr="00721A2C">
        <w:t xml:space="preserve"> bör präglas av större transparens, bland annat vad gäller hur vetenskapliga råd vägs mot andra överväganden</w:t>
      </w:r>
      <w:r w:rsidR="0022457A" w:rsidRPr="00DF2935">
        <w:t>. Utskottet anser vidare att detta bör framföras som en del av Ålands linje i samband med den pågående utvärderingen och möjliga revideringen av den gemensamma fiskeripolitiken.</w:t>
      </w:r>
    </w:p>
    <w:p w14:paraId="4F20A279" w14:textId="41DEA931" w:rsidR="0022457A" w:rsidRDefault="0022457A" w:rsidP="0022457A">
      <w:pPr>
        <w:pStyle w:val="ANormal"/>
      </w:pPr>
      <w:r w:rsidRPr="00DF2935">
        <w:tab/>
        <w:t>Utskottet erfar att Åland inte ensidigt kan besluta om att flytta ut nautiska gränser för fiskeskydd, utan att detta kräver samråd med Finland och måste vara förenligt med Europeiska unionens gemensamma fiskeripolitik. Frågan bedöms fortsatt vara relevant och viktig för Åland, och landskapsregeringen bör därför vara aktiv i dialogen såväl mellan Finland och Sverige som på EU-nivå. Utskottet anser att Åland, genom sitt självstyre och sin geografiska position i Östersjön, har särskilda förutsättningar att fungera som en brygga mellan Finlands och Sveriges fiskeripolitik, då Åland delar havsområden, bestånd och näringsstruktur med båda länderna och direkt påverkas av deras beslut.</w:t>
      </w:r>
    </w:p>
    <w:p w14:paraId="53FF69C1" w14:textId="2EB4D17B" w:rsidR="0037200C" w:rsidRPr="00185D29" w:rsidRDefault="00684318" w:rsidP="00684318">
      <w:pPr>
        <w:pStyle w:val="ANormal"/>
      </w:pPr>
      <w:r>
        <w:lastRenderedPageBreak/>
        <w:tab/>
      </w:r>
      <w:r w:rsidRPr="00185D29">
        <w:t xml:space="preserve">Utskottet konstaterar att landskapsregeringen inom det åländska vattenområdet har möjlighet att vidta regleringsåtgärder för fisket med stöd av landskapslagstiftning och EU-förordningar. Genom </w:t>
      </w:r>
      <w:r w:rsidR="009012F3" w:rsidRPr="00185D29">
        <w:t xml:space="preserve">Landskapslag (1956:39) om fiske i landskapet Åland </w:t>
      </w:r>
      <w:r w:rsidRPr="00185D29">
        <w:t>kan landskapsregeringen besluta om åtgärder för att bevara fiskbestånden, såsom begränsningar av fiskeredskap, fredningstider eller ändrade minimimått. Samtidigt regleras tillträdet till vattenområden och förvaltningen av kvoterade fiskbestånd i stor utsträckning genom EU:s gemensamma fiskeripolitik. För Ålands del fördelas vissa kvoter, bland annat för lax, strömming och vassbuk, mellan landskapet och Finland.</w:t>
      </w:r>
    </w:p>
    <w:p w14:paraId="39D69E4F" w14:textId="77777777" w:rsidR="00E74E72" w:rsidRPr="00185D29" w:rsidRDefault="0037200C" w:rsidP="00684318">
      <w:pPr>
        <w:pStyle w:val="ANormal"/>
      </w:pPr>
      <w:r w:rsidRPr="00185D29">
        <w:tab/>
      </w:r>
      <w:r w:rsidR="00684318" w:rsidRPr="00185D29">
        <w:t>Utskottet</w:t>
      </w:r>
      <w:r w:rsidR="0055231F" w:rsidRPr="00185D29">
        <w:t xml:space="preserve"> konstaterar</w:t>
      </w:r>
      <w:r w:rsidR="00684318" w:rsidRPr="00185D29">
        <w:t xml:space="preserve"> vidare att de åländska kvoterna endast får fiskas av kommersiella fiskare och fartyg som är registrerade i landskapets register och som har en</w:t>
      </w:r>
      <w:r w:rsidR="00F84E2E" w:rsidRPr="00185D29">
        <w:t xml:space="preserve"> tillräcklig</w:t>
      </w:r>
      <w:r w:rsidR="00684318" w:rsidRPr="00185D29">
        <w:t xml:space="preserve"> ekonomisk anknytning till</w:t>
      </w:r>
      <w:r w:rsidR="00B54F64" w:rsidRPr="00185D29">
        <w:t xml:space="preserve"> Ålands fiskerinäring</w:t>
      </w:r>
      <w:r w:rsidR="00684318" w:rsidRPr="00185D29">
        <w:t xml:space="preserve">. Landskapsregeringen ansvarar även för beviljandet av nödvändiga fisketillstånd. </w:t>
      </w:r>
    </w:p>
    <w:p w14:paraId="2FA8D302" w14:textId="5C15F48C" w:rsidR="00684318" w:rsidRPr="00185D29" w:rsidRDefault="00E74E72" w:rsidP="00684318">
      <w:pPr>
        <w:pStyle w:val="ANormal"/>
      </w:pPr>
      <w:r w:rsidRPr="00185D29">
        <w:tab/>
        <w:t>Utskottet noterar att någon entydig definition av småskaligt respektive storskaligt fiske inte finns, men att trålfiske i regel betraktas som en mer storskalig form av fiske eftersom det bedrivs med aktiva redskap och ofta större fartyg. Storleken och kapaciteten varierar mellan olika flottor, där svenska och danska trålare generellt är större än de finska.</w:t>
      </w:r>
      <w:r w:rsidR="001A3870" w:rsidRPr="00185D29">
        <w:t xml:space="preserve"> </w:t>
      </w:r>
      <w:r w:rsidR="00684318" w:rsidRPr="00185D29">
        <w:t xml:space="preserve">När det gäller trålfisket framgår att verksamheten i huvudsak bedrivs av finska fiskefartyg i områden nordost om fasta Åland, medan svenska och danska fartyg i regel fiskar utanför 12-sjömilsgränsen. </w:t>
      </w:r>
      <w:r w:rsidR="002D2323" w:rsidRPr="00185D29">
        <w:t xml:space="preserve">Utskottet erfar att majoriteten av trålfisket i Östersjön </w:t>
      </w:r>
      <w:r w:rsidR="009C0711" w:rsidRPr="00185D29">
        <w:t>sker genom flyttrålning.</w:t>
      </w:r>
    </w:p>
    <w:p w14:paraId="05D5ECCF" w14:textId="082DF4AC" w:rsidR="0055231F" w:rsidRDefault="0055231F" w:rsidP="00684318">
      <w:pPr>
        <w:pStyle w:val="ANormal"/>
      </w:pPr>
      <w:r w:rsidRPr="00185D29">
        <w:tab/>
        <w:t>Utskottet</w:t>
      </w:r>
      <w:r w:rsidR="004439E0" w:rsidRPr="00185D29">
        <w:t xml:space="preserve"> noterar</w:t>
      </w:r>
      <w:r w:rsidRPr="00185D29">
        <w:t xml:space="preserve"> att landskapsregeringen deltar i flera projekt och forum med syfte att förbättra kunskapsunderlaget och utreda möjliga förvaltningsåtgärder, såsom tids- och områdesmässiga begränsningar av fisket. Utskottet</w:t>
      </w:r>
      <w:r w:rsidR="00991749" w:rsidRPr="00185D29">
        <w:t xml:space="preserve"> erfar</w:t>
      </w:r>
      <w:r w:rsidRPr="00185D29">
        <w:t xml:space="preserve"> att landskapsregeringen avser att fortsätta detta samarbete för att klarlägga vilka ytterligare åtgärder som kan vara ändamålsenliga för en hållbar förvaltning av strömmingsbestånden.</w:t>
      </w:r>
    </w:p>
    <w:p w14:paraId="0D5C7F3E" w14:textId="7EEDC561" w:rsidR="00B725A9" w:rsidRPr="00DF2935" w:rsidRDefault="00B725A9" w:rsidP="00684318">
      <w:pPr>
        <w:pStyle w:val="ANormal"/>
      </w:pPr>
      <w:r>
        <w:tab/>
      </w:r>
      <w:r w:rsidRPr="00B725A9">
        <w:t xml:space="preserve">Utskottet konstaterar att en stor del av den strömming och vassbuk som fångas genom storskaligt pelagiskt trålfiske i Östersjön inte används för direkt humankonsumtion utan i stället går till industriberedning. I första hand används den trålade fisken till produktion av fiskmjöl och fiskolja för foder till bland annat fiskodling. Denna hantering ifrågasätts av </w:t>
      </w:r>
      <w:r>
        <w:t>viss forskning.</w:t>
      </w:r>
    </w:p>
    <w:p w14:paraId="197D06F7" w14:textId="18357F51" w:rsidR="00C77885" w:rsidRPr="00DF2935" w:rsidRDefault="0022457A" w:rsidP="0022457A">
      <w:pPr>
        <w:pStyle w:val="ANormal"/>
      </w:pPr>
      <w:r w:rsidRPr="00DF2935">
        <w:tab/>
      </w:r>
      <w:r w:rsidR="009E3D5B" w:rsidRPr="00DF2935">
        <w:t>Utskottet konstaterar</w:t>
      </w:r>
      <w:r w:rsidR="00737CAA">
        <w:t xml:space="preserve"> samtidigt</w:t>
      </w:r>
      <w:r w:rsidR="009E3D5B" w:rsidRPr="00DF2935">
        <w:t xml:space="preserve"> att användningen av foder baserat på råvara från Östersjön inom fiskodlingen kan bidra till ett cirkulärt näringsflöde. Genom att strömming och vassbuk omvandlas till fiskmjöl och fiskolja för foderproduktion tas fosfor och kväve upp ur havet och binds i den odlade fisken. Den faktiska nettoeffekten på näringsbelastningen är dock beroende av bland annat uttagsnivåer, foderomvandlingsgrad och hur den producerade fisken används. </w:t>
      </w:r>
      <w:r w:rsidR="009D42F2" w:rsidRPr="00DF2935">
        <w:t>Under förutsättning att uttaget sker inom hållbara beståndsnivåer och att näringsämnena genom konsumtion eller export i praktiken inte återförs till Östersjön, kan modellen bidra till minskad näringsbelastning och därmed stödja en mer hållbar utveckling i Östersjöområdet</w:t>
      </w:r>
      <w:r w:rsidR="00DF2935" w:rsidRPr="00DF2935">
        <w:t>.</w:t>
      </w:r>
    </w:p>
    <w:p w14:paraId="45BD1FC6" w14:textId="1480797F" w:rsidR="00E86252" w:rsidRPr="00DF2935" w:rsidRDefault="00C77885" w:rsidP="0022457A">
      <w:pPr>
        <w:pStyle w:val="ANormal"/>
      </w:pPr>
      <w:r w:rsidRPr="00DF2935">
        <w:tab/>
      </w:r>
      <w:r w:rsidR="00991749">
        <w:t>U</w:t>
      </w:r>
      <w:r w:rsidR="0022457A" w:rsidRPr="00DF2935">
        <w:t>tskottet</w:t>
      </w:r>
      <w:r w:rsidR="00991749">
        <w:t xml:space="preserve"> erfar</w:t>
      </w:r>
      <w:r w:rsidR="0022457A" w:rsidRPr="00DF2935">
        <w:t xml:space="preserve"> att det småskaliga fisket på Åland i dagsläget inte är särdeles lönsamt ur ett marknadsperspektiv. Begränsade volymer, prispress på råvara samt ökade kostnader för bränsle och utrustning påverkar lönsamheten negativt. Utskottet framhåller därför att förvaltningen av fiskbestånden behöver beakta såväl ekologisk hållbarhet som rimliga förutsättningar för ett livskraftigt småskaligt kustfiske</w:t>
      </w:r>
      <w:r w:rsidR="00E86252" w:rsidRPr="00DF2935">
        <w:t>.</w:t>
      </w:r>
      <w:r w:rsidR="00285139">
        <w:t xml:space="preserve"> Utskottet erfar att den </w:t>
      </w:r>
      <w:r w:rsidR="00285139" w:rsidRPr="00285139">
        <w:t xml:space="preserve">inhemska efterfrågan på förädlad </w:t>
      </w:r>
      <w:r w:rsidR="00285139">
        <w:t>mat</w:t>
      </w:r>
      <w:r w:rsidR="00285139" w:rsidRPr="00285139">
        <w:t>strömming har minskat och vägs delvis upp av export.</w:t>
      </w:r>
    </w:p>
    <w:p w14:paraId="32E60DED" w14:textId="44F96FBB" w:rsidR="0059214F" w:rsidRPr="0059214F" w:rsidRDefault="00E86252" w:rsidP="00E86252">
      <w:pPr>
        <w:pStyle w:val="ANormal"/>
        <w:jc w:val="left"/>
      </w:pPr>
      <w:r w:rsidRPr="00DF2935">
        <w:tab/>
      </w:r>
      <w:r w:rsidR="0022457A" w:rsidRPr="00DF2935">
        <w:t>Utskottet bedömer avslutningsvis att de intentioner som framförs i motionen ryms inom pågående arbete inom landskapsregeringen, varför motionen</w:t>
      </w:r>
      <w:r w:rsidRPr="00DF2935">
        <w:t xml:space="preserve"> </w:t>
      </w:r>
      <w:r w:rsidR="0022457A" w:rsidRPr="00DF2935">
        <w:t>förkastas.</w:t>
      </w:r>
    </w:p>
    <w:p w14:paraId="007CCDEF" w14:textId="3EB118E3" w:rsidR="0031494E" w:rsidRPr="00DF2935" w:rsidRDefault="0031494E" w:rsidP="00EF1D84">
      <w:pPr>
        <w:pStyle w:val="ANormal"/>
      </w:pPr>
    </w:p>
    <w:p w14:paraId="27E66746" w14:textId="77777777" w:rsidR="002401D0" w:rsidRPr="00DF2935" w:rsidRDefault="002401D0">
      <w:pPr>
        <w:pStyle w:val="RubrikA"/>
      </w:pPr>
      <w:bookmarkStart w:id="7" w:name="_Toc529800936"/>
      <w:bookmarkStart w:id="8" w:name="_Toc224033584"/>
      <w:r w:rsidRPr="00DF2935">
        <w:t>Ärendets behandling</w:t>
      </w:r>
      <w:bookmarkEnd w:id="7"/>
      <w:bookmarkEnd w:id="8"/>
    </w:p>
    <w:p w14:paraId="4D14AD5D" w14:textId="77777777" w:rsidR="002401D0" w:rsidRPr="00DF2935" w:rsidRDefault="002401D0">
      <w:pPr>
        <w:pStyle w:val="Rubrikmellanrum"/>
      </w:pPr>
    </w:p>
    <w:p w14:paraId="2D4BA6D2" w14:textId="3C800AEC" w:rsidR="00015441" w:rsidRPr="00DF2935" w:rsidRDefault="00015441" w:rsidP="00015441">
      <w:pPr>
        <w:pStyle w:val="ANormal"/>
      </w:pPr>
      <w:r w:rsidRPr="00DF2935">
        <w:rPr>
          <w:szCs w:val="22"/>
        </w:rPr>
        <w:t xml:space="preserve">Lagtinget har den </w:t>
      </w:r>
      <w:r w:rsidR="007E75E9" w:rsidRPr="00DF2935">
        <w:rPr>
          <w:szCs w:val="22"/>
        </w:rPr>
        <w:t>26 mars</w:t>
      </w:r>
      <w:r w:rsidRPr="00DF2935">
        <w:rPr>
          <w:szCs w:val="22"/>
        </w:rPr>
        <w:t xml:space="preserve"> 20</w:t>
      </w:r>
      <w:r w:rsidR="003D77FE" w:rsidRPr="00DF2935">
        <w:rPr>
          <w:szCs w:val="22"/>
        </w:rPr>
        <w:t>2</w:t>
      </w:r>
      <w:r w:rsidR="007E75E9" w:rsidRPr="00DF2935">
        <w:rPr>
          <w:szCs w:val="22"/>
        </w:rPr>
        <w:t>5</w:t>
      </w:r>
      <w:r w:rsidRPr="00DF2935">
        <w:rPr>
          <w:szCs w:val="22"/>
        </w:rPr>
        <w:t xml:space="preserve"> inbegärt finans- och näringsutskottets yttrande över åtgärdsmotionen.</w:t>
      </w:r>
    </w:p>
    <w:p w14:paraId="00223A7F" w14:textId="4365BC2E" w:rsidR="0031494E" w:rsidRPr="00DF2935" w:rsidRDefault="00015441" w:rsidP="00015441">
      <w:pPr>
        <w:pStyle w:val="ANormal"/>
      </w:pPr>
      <w:r w:rsidRPr="00DF2935">
        <w:tab/>
        <w:t>Utskottet har i ärendet hört</w:t>
      </w:r>
      <w:r w:rsidR="009145EF" w:rsidRPr="00DF2935">
        <w:t xml:space="preserve"> ministern </w:t>
      </w:r>
      <w:r w:rsidR="007E75E9" w:rsidRPr="00DF2935">
        <w:t>Jesper Josefsson</w:t>
      </w:r>
      <w:r w:rsidR="003D77FE" w:rsidRPr="00DF2935">
        <w:t>,</w:t>
      </w:r>
      <w:r w:rsidR="007E75E9" w:rsidRPr="00DF2935">
        <w:t xml:space="preserve"> ministerrådet Anton Nilsson, byråchefen Jenny Eklund-Melander, sakkunnig inom fiskeri Tom Karlsson, utredaren Fredrik Palm </w:t>
      </w:r>
      <w:r w:rsidR="000A394F">
        <w:t>vid</w:t>
      </w:r>
      <w:r w:rsidR="007E75E9" w:rsidRPr="00DF2935">
        <w:t xml:space="preserve"> Havs- och fiskemyndigheten, </w:t>
      </w:r>
      <w:r w:rsidR="00B7722F" w:rsidRPr="00DF2935">
        <w:t xml:space="preserve">verksamhetsledaren Rosita Broström </w:t>
      </w:r>
      <w:r w:rsidR="000A394F">
        <w:t>vid</w:t>
      </w:r>
      <w:r w:rsidR="00B7722F" w:rsidRPr="00DF2935">
        <w:t xml:space="preserve"> Ålands fiskodlarförening, ordförande Mikael Lindholm </w:t>
      </w:r>
      <w:r w:rsidR="000A394F">
        <w:t>vid</w:t>
      </w:r>
      <w:r w:rsidR="00B7722F" w:rsidRPr="00DF2935">
        <w:t xml:space="preserve"> Ålands fiskare r.f.</w:t>
      </w:r>
      <w:r w:rsidR="00EE5E4E">
        <w:t xml:space="preserve">, verkställande direktör </w:t>
      </w:r>
      <w:r w:rsidR="005D2DD2">
        <w:t>Wilhelm Liljeqvist vid Ab Kasnäsudden</w:t>
      </w:r>
      <w:r w:rsidR="00B7722F" w:rsidRPr="00DF2935">
        <w:t xml:space="preserve"> samt </w:t>
      </w:r>
      <w:r w:rsidR="007E75E9" w:rsidRPr="00DF2935">
        <w:t xml:space="preserve">forskaren Sara Söderström </w:t>
      </w:r>
      <w:r w:rsidR="000A394F">
        <w:t>vid</w:t>
      </w:r>
      <w:r w:rsidR="007E75E9" w:rsidRPr="00DF2935">
        <w:t xml:space="preserve"> Östersjöcentrum vid </w:t>
      </w:r>
      <w:r w:rsidR="00B33B20" w:rsidRPr="00DF2935">
        <w:t>Stockholms universitet</w:t>
      </w:r>
      <w:r w:rsidR="007E75E9" w:rsidRPr="00DF2935">
        <w:t>.</w:t>
      </w:r>
    </w:p>
    <w:p w14:paraId="34DC7D5A" w14:textId="77777777" w:rsidR="003D77FE" w:rsidRPr="00DF2935" w:rsidRDefault="003D77FE" w:rsidP="00015441">
      <w:pPr>
        <w:pStyle w:val="ANormal"/>
        <w:rPr>
          <w:color w:val="FF0000"/>
        </w:rPr>
      </w:pPr>
    </w:p>
    <w:p w14:paraId="3C2AC3F3" w14:textId="77777777" w:rsidR="0031494E" w:rsidRPr="00DF2935" w:rsidRDefault="0031494E" w:rsidP="0031494E">
      <w:pPr>
        <w:pStyle w:val="RubrikB"/>
      </w:pPr>
      <w:bookmarkStart w:id="9" w:name="_Toc124955285"/>
      <w:bookmarkStart w:id="10" w:name="_Toc130454534"/>
      <w:bookmarkStart w:id="11" w:name="_Toc224033585"/>
      <w:r w:rsidRPr="00DF2935">
        <w:t>Närvarande</w:t>
      </w:r>
      <w:bookmarkEnd w:id="9"/>
      <w:bookmarkEnd w:id="10"/>
      <w:bookmarkEnd w:id="11"/>
    </w:p>
    <w:p w14:paraId="4FAC0264" w14:textId="77777777" w:rsidR="0031494E" w:rsidRPr="00DF2935" w:rsidRDefault="0031494E" w:rsidP="0031494E">
      <w:pPr>
        <w:pStyle w:val="Rubrikmellanrum"/>
        <w:rPr>
          <w:szCs w:val="10"/>
        </w:rPr>
      </w:pPr>
    </w:p>
    <w:p w14:paraId="2F86F8E6" w14:textId="77777777" w:rsidR="002169B4" w:rsidRPr="00DF2935" w:rsidRDefault="002169B4">
      <w:pPr>
        <w:pStyle w:val="ANormal"/>
      </w:pPr>
    </w:p>
    <w:p w14:paraId="37CC2F0B" w14:textId="3C2AA8D9" w:rsidR="0031494E" w:rsidRPr="00DF2935" w:rsidRDefault="002169B4">
      <w:pPr>
        <w:pStyle w:val="ANormal"/>
      </w:pPr>
      <w:r w:rsidRPr="00DF2935">
        <w:t>I ärendets avgörande behandling deltog ordföranden John Holmberg, vice ordföranden Nina Fellman, ledamöterna Anders Ekström, Roger Höglund, Jörgen Gustafsson,</w:t>
      </w:r>
      <w:r w:rsidR="001C731D">
        <w:t xml:space="preserve"> Alfons Röblom</w:t>
      </w:r>
      <w:r w:rsidRPr="00DF2935">
        <w:t xml:space="preserve"> och Wille Valve.</w:t>
      </w:r>
    </w:p>
    <w:p w14:paraId="10AC1F51" w14:textId="77777777" w:rsidR="002169B4" w:rsidRPr="00DF2935" w:rsidRDefault="002169B4">
      <w:pPr>
        <w:pStyle w:val="ANormal"/>
      </w:pPr>
    </w:p>
    <w:p w14:paraId="71701D03" w14:textId="77777777" w:rsidR="002169B4" w:rsidRPr="00DF2935" w:rsidRDefault="002169B4">
      <w:pPr>
        <w:pStyle w:val="ANormal"/>
      </w:pPr>
    </w:p>
    <w:p w14:paraId="56EDA5E4" w14:textId="77777777" w:rsidR="002401D0" w:rsidRPr="00DF2935" w:rsidRDefault="002401D0">
      <w:pPr>
        <w:pStyle w:val="RubrikA"/>
      </w:pPr>
      <w:bookmarkStart w:id="12" w:name="_Toc529800937"/>
      <w:bookmarkStart w:id="13" w:name="_Toc224033586"/>
      <w:r w:rsidRPr="00DF2935">
        <w:t>Utskottets förslag</w:t>
      </w:r>
      <w:bookmarkEnd w:id="12"/>
      <w:bookmarkEnd w:id="13"/>
    </w:p>
    <w:p w14:paraId="7601F284" w14:textId="77777777" w:rsidR="002401D0" w:rsidRPr="00DF2935" w:rsidRDefault="002401D0">
      <w:pPr>
        <w:pStyle w:val="Rubrikmellanrum"/>
      </w:pPr>
    </w:p>
    <w:p w14:paraId="43C1B83A" w14:textId="77777777" w:rsidR="002401D0" w:rsidRPr="00DF2935" w:rsidRDefault="002401D0">
      <w:pPr>
        <w:pStyle w:val="ANormal"/>
      </w:pPr>
      <w:r w:rsidRPr="00DF2935">
        <w:t>Med hänvisning till det anförda föreslår utskottet</w:t>
      </w:r>
    </w:p>
    <w:p w14:paraId="79C54FB9" w14:textId="77777777" w:rsidR="002401D0" w:rsidRPr="00DF2935" w:rsidRDefault="002401D0">
      <w:pPr>
        <w:pStyle w:val="ANormal"/>
      </w:pPr>
    </w:p>
    <w:p w14:paraId="2190776D" w14:textId="77777777" w:rsidR="002401D0" w:rsidRPr="00DF2935" w:rsidRDefault="002401D0">
      <w:pPr>
        <w:pStyle w:val="Klam"/>
      </w:pPr>
      <w:r w:rsidRPr="00DF2935">
        <w:t>att lagtinget</w:t>
      </w:r>
      <w:r w:rsidR="009145EF" w:rsidRPr="00DF2935">
        <w:t xml:space="preserve"> förkastar motionen.</w:t>
      </w:r>
    </w:p>
    <w:p w14:paraId="3E4256F5" w14:textId="77777777" w:rsidR="002401D0" w:rsidRPr="00DF2935" w:rsidRDefault="002401D0">
      <w:pPr>
        <w:pStyle w:val="ANormal"/>
        <w:jc w:val="center"/>
      </w:pPr>
      <w:hyperlink w:anchor="_top" w:tooltip="Klicka för att gå till toppen av dokumentet" w:history="1">
        <w:r w:rsidRPr="00DF2935">
          <w:rPr>
            <w:rStyle w:val="Hyperlnk"/>
          </w:rPr>
          <w:t>__________________</w:t>
        </w:r>
      </w:hyperlink>
    </w:p>
    <w:p w14:paraId="120EBDFD" w14:textId="77777777" w:rsidR="002401D0" w:rsidRPr="00DF2935" w:rsidRDefault="002401D0">
      <w:pPr>
        <w:pStyle w:val="ANormal"/>
      </w:pPr>
    </w:p>
    <w:p w14:paraId="5A9B433D" w14:textId="77777777" w:rsidR="002401D0" w:rsidRPr="00DF2935"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593EF0" w:rsidRPr="00DF2935" w14:paraId="78058831" w14:textId="77777777">
        <w:trPr>
          <w:cantSplit/>
        </w:trPr>
        <w:tc>
          <w:tcPr>
            <w:tcW w:w="7931" w:type="dxa"/>
            <w:gridSpan w:val="2"/>
          </w:tcPr>
          <w:p w14:paraId="116F5B12" w14:textId="42681FB3" w:rsidR="002401D0" w:rsidRPr="00DF2935" w:rsidRDefault="002401D0" w:rsidP="00926521">
            <w:pPr>
              <w:pStyle w:val="ANormal"/>
              <w:keepNext/>
            </w:pPr>
            <w:r w:rsidRPr="00DF2935">
              <w:t xml:space="preserve">Mariehamn den </w:t>
            </w:r>
            <w:r w:rsidR="00896BD8">
              <w:t>10</w:t>
            </w:r>
            <w:r w:rsidR="00015441" w:rsidRPr="00DF2935">
              <w:t xml:space="preserve"> </w:t>
            </w:r>
            <w:r w:rsidR="006826B8">
              <w:t>mars</w:t>
            </w:r>
            <w:r w:rsidR="00015441" w:rsidRPr="00DF2935">
              <w:t xml:space="preserve"> 20</w:t>
            </w:r>
            <w:r w:rsidR="003D77FE" w:rsidRPr="00DF2935">
              <w:t>2</w:t>
            </w:r>
            <w:r w:rsidR="00466790" w:rsidRPr="00DF2935">
              <w:t>6</w:t>
            </w:r>
          </w:p>
        </w:tc>
      </w:tr>
      <w:tr w:rsidR="00EE6A11" w:rsidRPr="00DF2935" w14:paraId="27F874F0" w14:textId="77777777">
        <w:tc>
          <w:tcPr>
            <w:tcW w:w="4454" w:type="dxa"/>
            <w:vAlign w:val="bottom"/>
          </w:tcPr>
          <w:p w14:paraId="0746CB05" w14:textId="2240288E" w:rsidR="002401D0" w:rsidRPr="00DF2935" w:rsidRDefault="002401D0">
            <w:pPr>
              <w:pStyle w:val="ANormal"/>
              <w:keepNext/>
            </w:pPr>
          </w:p>
          <w:p w14:paraId="1260A77B" w14:textId="77777777" w:rsidR="00DB510C" w:rsidRPr="00DF2935" w:rsidRDefault="00DB510C">
            <w:pPr>
              <w:pStyle w:val="ANormal"/>
              <w:keepNext/>
            </w:pPr>
          </w:p>
          <w:p w14:paraId="41E7452D" w14:textId="77777777" w:rsidR="002401D0" w:rsidRPr="00DF2935" w:rsidRDefault="002401D0">
            <w:pPr>
              <w:pStyle w:val="ANormal"/>
              <w:keepNext/>
            </w:pPr>
          </w:p>
          <w:p w14:paraId="60559853" w14:textId="77777777" w:rsidR="002401D0" w:rsidRPr="00DF2935" w:rsidRDefault="002401D0">
            <w:pPr>
              <w:pStyle w:val="ANormal"/>
              <w:keepNext/>
            </w:pPr>
            <w:r w:rsidRPr="00DF2935">
              <w:t>Ordförande</w:t>
            </w:r>
          </w:p>
        </w:tc>
        <w:tc>
          <w:tcPr>
            <w:tcW w:w="3477" w:type="dxa"/>
            <w:vAlign w:val="bottom"/>
          </w:tcPr>
          <w:p w14:paraId="70848BEA" w14:textId="6258FF94" w:rsidR="002401D0" w:rsidRPr="00DF2935" w:rsidRDefault="00E42D03" w:rsidP="009145EF">
            <w:pPr>
              <w:pStyle w:val="ANormal"/>
              <w:keepNext/>
            </w:pPr>
            <w:r w:rsidRPr="00DF2935">
              <w:t>John Holmberg</w:t>
            </w:r>
          </w:p>
        </w:tc>
      </w:tr>
      <w:tr w:rsidR="00EE6A11" w14:paraId="3A6A241F" w14:textId="77777777">
        <w:tc>
          <w:tcPr>
            <w:tcW w:w="4454" w:type="dxa"/>
            <w:vAlign w:val="bottom"/>
          </w:tcPr>
          <w:p w14:paraId="01AAE871" w14:textId="77777777" w:rsidR="002401D0" w:rsidRPr="00DF2935" w:rsidRDefault="002401D0">
            <w:pPr>
              <w:pStyle w:val="ANormal"/>
              <w:keepNext/>
            </w:pPr>
          </w:p>
          <w:p w14:paraId="14A3F4F2" w14:textId="2105CFA2" w:rsidR="002401D0" w:rsidRPr="00DF2935" w:rsidRDefault="002401D0">
            <w:pPr>
              <w:pStyle w:val="ANormal"/>
              <w:keepNext/>
            </w:pPr>
          </w:p>
          <w:p w14:paraId="76FB4B4C" w14:textId="77777777" w:rsidR="00DB510C" w:rsidRPr="00DF2935" w:rsidRDefault="00DB510C">
            <w:pPr>
              <w:pStyle w:val="ANormal"/>
              <w:keepNext/>
            </w:pPr>
          </w:p>
          <w:p w14:paraId="70F89CBD" w14:textId="77777777" w:rsidR="002401D0" w:rsidRPr="00DF2935" w:rsidRDefault="002401D0">
            <w:pPr>
              <w:pStyle w:val="ANormal"/>
              <w:keepNext/>
            </w:pPr>
            <w:r w:rsidRPr="00DF2935">
              <w:t>Sekreterare</w:t>
            </w:r>
          </w:p>
        </w:tc>
        <w:tc>
          <w:tcPr>
            <w:tcW w:w="3477" w:type="dxa"/>
            <w:vAlign w:val="bottom"/>
          </w:tcPr>
          <w:p w14:paraId="01ABE483" w14:textId="099B1773" w:rsidR="002401D0" w:rsidRDefault="00E42D03">
            <w:pPr>
              <w:pStyle w:val="ANormal"/>
              <w:keepNext/>
            </w:pPr>
            <w:r w:rsidRPr="00DF2935">
              <w:t>Benjamin Sidorov</w:t>
            </w:r>
          </w:p>
        </w:tc>
      </w:tr>
    </w:tbl>
    <w:p w14:paraId="14F88B63" w14:textId="77777777" w:rsidR="002401D0" w:rsidRDefault="002401D0">
      <w:pPr>
        <w:pStyle w:val="ANormal"/>
      </w:pPr>
    </w:p>
    <w:sectPr w:rsidR="002401D0">
      <w:headerReference w:type="even" r:id="rId18"/>
      <w:headerReference w:type="default" r:id="rId19"/>
      <w:footerReference w:type="default" r:id="rId20"/>
      <w:headerReference w:type="first" r:id="rId21"/>
      <w:footerReference w:type="first" r:id="rId22"/>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C49B" w14:textId="77777777" w:rsidR="00811371" w:rsidRDefault="00811371">
      <w:r>
        <w:separator/>
      </w:r>
    </w:p>
  </w:endnote>
  <w:endnote w:type="continuationSeparator" w:id="0">
    <w:p w14:paraId="28E26F5C" w14:textId="77777777" w:rsidR="00811371" w:rsidRDefault="008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854"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37E" w14:textId="69D881B5" w:rsidR="002401D0" w:rsidRPr="007D6A8D" w:rsidRDefault="007D6A8D" w:rsidP="007D6A8D">
    <w:pPr>
      <w:pStyle w:val="Sidfot"/>
    </w:pPr>
    <w:r>
      <w:rPr>
        <w:noProof/>
        <w:lang w:val="fi-FI"/>
      </w:rPr>
      <w:t>FNU1020252026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0737CAA" w14:paraId="3E2E7E0D" w14:textId="77777777" w:rsidTr="04A159EF">
      <w:trPr>
        <w:trHeight w:val="300"/>
      </w:trPr>
      <w:tc>
        <w:tcPr>
          <w:tcW w:w="3190" w:type="dxa"/>
        </w:tcPr>
        <w:p w14:paraId="7C515D44" w14:textId="1A964935" w:rsidR="04A159EF" w:rsidRDefault="04A159EF" w:rsidP="04A159EF">
          <w:pPr>
            <w:pStyle w:val="Sidhuvud"/>
            <w:ind w:left="-115"/>
          </w:pPr>
        </w:p>
      </w:tc>
      <w:tc>
        <w:tcPr>
          <w:tcW w:w="3190" w:type="dxa"/>
        </w:tcPr>
        <w:p w14:paraId="0A3C286D" w14:textId="55A5DF6A" w:rsidR="04A159EF" w:rsidRDefault="04A159EF" w:rsidP="04A159EF">
          <w:pPr>
            <w:pStyle w:val="Sidhuvud"/>
            <w:jc w:val="center"/>
          </w:pPr>
        </w:p>
      </w:tc>
      <w:tc>
        <w:tcPr>
          <w:tcW w:w="3190" w:type="dxa"/>
        </w:tcPr>
        <w:p w14:paraId="5622BD22" w14:textId="71DE5273" w:rsidR="04A159EF" w:rsidRDefault="04A159EF" w:rsidP="04A159EF">
          <w:pPr>
            <w:pStyle w:val="Sidhuvud"/>
            <w:ind w:right="-115"/>
            <w:jc w:val="right"/>
          </w:pPr>
        </w:p>
      </w:tc>
    </w:tr>
  </w:tbl>
  <w:p w14:paraId="2123F84D" w14:textId="040DE136" w:rsidR="04A159EF" w:rsidRDefault="04A159EF" w:rsidP="04A159E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811C" w14:textId="77777777" w:rsidR="002401D0" w:rsidRDefault="002401D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230"/>
      <w:gridCol w:w="2230"/>
      <w:gridCol w:w="2230"/>
    </w:tblGrid>
    <w:tr w:rsidR="00737CAA" w14:paraId="6C8B878C" w14:textId="77777777" w:rsidTr="04A159EF">
      <w:trPr>
        <w:trHeight w:val="300"/>
      </w:trPr>
      <w:tc>
        <w:tcPr>
          <w:tcW w:w="2230" w:type="dxa"/>
        </w:tcPr>
        <w:p w14:paraId="7EE30C6B" w14:textId="50BC838D" w:rsidR="04A159EF" w:rsidRDefault="04A159EF" w:rsidP="04A159EF">
          <w:pPr>
            <w:pStyle w:val="Sidhuvud"/>
            <w:ind w:left="-115"/>
          </w:pPr>
        </w:p>
      </w:tc>
      <w:tc>
        <w:tcPr>
          <w:tcW w:w="2230" w:type="dxa"/>
        </w:tcPr>
        <w:p w14:paraId="7CF16CC4" w14:textId="3D486E1F" w:rsidR="04A159EF" w:rsidRDefault="04A159EF" w:rsidP="04A159EF">
          <w:pPr>
            <w:pStyle w:val="Sidhuvud"/>
            <w:jc w:val="center"/>
          </w:pPr>
        </w:p>
      </w:tc>
      <w:tc>
        <w:tcPr>
          <w:tcW w:w="2230" w:type="dxa"/>
        </w:tcPr>
        <w:p w14:paraId="1798131A" w14:textId="22798057" w:rsidR="04A159EF" w:rsidRDefault="04A159EF" w:rsidP="04A159EF">
          <w:pPr>
            <w:pStyle w:val="Sidhuvud"/>
            <w:ind w:right="-115"/>
            <w:jc w:val="right"/>
          </w:pPr>
        </w:p>
      </w:tc>
    </w:tr>
  </w:tbl>
  <w:p w14:paraId="4B5658AE" w14:textId="478E6B1F" w:rsidR="04A159EF" w:rsidRDefault="04A159EF" w:rsidP="04A15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FC16" w14:textId="77777777" w:rsidR="00811371" w:rsidRDefault="00811371">
      <w:r>
        <w:separator/>
      </w:r>
    </w:p>
  </w:footnote>
  <w:footnote w:type="continuationSeparator" w:id="0">
    <w:p w14:paraId="5495CE1E" w14:textId="77777777" w:rsidR="00811371" w:rsidRDefault="0081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0737CAA" w14:paraId="2EE563AB" w14:textId="77777777" w:rsidTr="04A159EF">
      <w:trPr>
        <w:trHeight w:val="300"/>
      </w:trPr>
      <w:tc>
        <w:tcPr>
          <w:tcW w:w="3190" w:type="dxa"/>
        </w:tcPr>
        <w:p w14:paraId="4292275D" w14:textId="73D7D43F" w:rsidR="04A159EF" w:rsidRDefault="04A159EF" w:rsidP="04A159EF">
          <w:pPr>
            <w:pStyle w:val="Sidhuvud"/>
            <w:ind w:left="-115"/>
          </w:pPr>
        </w:p>
      </w:tc>
      <w:tc>
        <w:tcPr>
          <w:tcW w:w="3190" w:type="dxa"/>
        </w:tcPr>
        <w:p w14:paraId="7234D855" w14:textId="0F04119E" w:rsidR="04A159EF" w:rsidRDefault="04A159EF" w:rsidP="04A159EF">
          <w:pPr>
            <w:pStyle w:val="Sidhuvud"/>
            <w:jc w:val="center"/>
          </w:pPr>
        </w:p>
      </w:tc>
      <w:tc>
        <w:tcPr>
          <w:tcW w:w="3190" w:type="dxa"/>
        </w:tcPr>
        <w:p w14:paraId="7C9D78BC" w14:textId="0C21EEB3" w:rsidR="04A159EF" w:rsidRDefault="04A159EF" w:rsidP="04A159EF">
          <w:pPr>
            <w:pStyle w:val="Sidhuvud"/>
            <w:ind w:right="-115"/>
            <w:jc w:val="right"/>
          </w:pPr>
        </w:p>
      </w:tc>
    </w:tr>
  </w:tbl>
  <w:p w14:paraId="2D4C9779" w14:textId="70327281" w:rsidR="04A159EF" w:rsidRDefault="04A159EF" w:rsidP="04A159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0285139" w14:paraId="4FBE4B15" w14:textId="77777777" w:rsidTr="04A159EF">
      <w:trPr>
        <w:trHeight w:val="300"/>
      </w:trPr>
      <w:tc>
        <w:tcPr>
          <w:tcW w:w="3190" w:type="dxa"/>
        </w:tcPr>
        <w:p w14:paraId="3676AE28" w14:textId="47D19AB4" w:rsidR="04A159EF" w:rsidRDefault="04A159EF" w:rsidP="04A159EF">
          <w:pPr>
            <w:pStyle w:val="Sidhuvud"/>
            <w:ind w:left="-115"/>
          </w:pPr>
        </w:p>
      </w:tc>
      <w:tc>
        <w:tcPr>
          <w:tcW w:w="3190" w:type="dxa"/>
        </w:tcPr>
        <w:p w14:paraId="0D683C52" w14:textId="6514308C" w:rsidR="04A159EF" w:rsidRDefault="04A159EF" w:rsidP="04A159EF">
          <w:pPr>
            <w:pStyle w:val="Sidhuvud"/>
            <w:jc w:val="center"/>
          </w:pPr>
        </w:p>
      </w:tc>
      <w:tc>
        <w:tcPr>
          <w:tcW w:w="3190" w:type="dxa"/>
        </w:tcPr>
        <w:p w14:paraId="1E8AE8DF" w14:textId="24FA2843" w:rsidR="04A159EF" w:rsidRDefault="04A159EF" w:rsidP="04A159EF">
          <w:pPr>
            <w:pStyle w:val="Sidhuvud"/>
            <w:ind w:right="-115"/>
            <w:jc w:val="right"/>
          </w:pPr>
        </w:p>
      </w:tc>
    </w:tr>
  </w:tbl>
  <w:p w14:paraId="708EFE0F" w14:textId="07CB5893" w:rsidR="04A159EF" w:rsidRDefault="04A159EF" w:rsidP="04A159E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00737CAA" w14:paraId="418F9F31" w14:textId="77777777" w:rsidTr="04A159EF">
      <w:trPr>
        <w:trHeight w:val="300"/>
      </w:trPr>
      <w:tc>
        <w:tcPr>
          <w:tcW w:w="3190" w:type="dxa"/>
        </w:tcPr>
        <w:p w14:paraId="6AF80F4F" w14:textId="3AB61EC2" w:rsidR="04A159EF" w:rsidRDefault="04A159EF" w:rsidP="04A159EF">
          <w:pPr>
            <w:pStyle w:val="Sidhuvud"/>
            <w:ind w:left="-115"/>
          </w:pPr>
        </w:p>
      </w:tc>
      <w:tc>
        <w:tcPr>
          <w:tcW w:w="3190" w:type="dxa"/>
        </w:tcPr>
        <w:p w14:paraId="7CF56687" w14:textId="30675BAB" w:rsidR="04A159EF" w:rsidRDefault="04A159EF" w:rsidP="04A159EF">
          <w:pPr>
            <w:pStyle w:val="Sidhuvud"/>
            <w:jc w:val="center"/>
          </w:pPr>
        </w:p>
      </w:tc>
      <w:tc>
        <w:tcPr>
          <w:tcW w:w="3190" w:type="dxa"/>
        </w:tcPr>
        <w:p w14:paraId="6B087E2D" w14:textId="47D531FA" w:rsidR="04A159EF" w:rsidRDefault="04A159EF" w:rsidP="04A159EF">
          <w:pPr>
            <w:pStyle w:val="Sidhuvud"/>
            <w:ind w:right="-115"/>
            <w:jc w:val="right"/>
          </w:pPr>
        </w:p>
      </w:tc>
    </w:tr>
  </w:tbl>
  <w:p w14:paraId="7B757DE0" w14:textId="67766F02" w:rsidR="04A159EF" w:rsidRDefault="04A159EF" w:rsidP="04A159E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69B1"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8827A9">
      <w:rPr>
        <w:rStyle w:val="Sidnummer"/>
        <w:noProof/>
      </w:rPr>
      <w:t>2</w:t>
    </w:r>
    <w:r>
      <w:rPr>
        <w:rStyle w:val="Sidnummer"/>
      </w:rPr>
      <w:fldChar w:fldCharType="end"/>
    </w:r>
  </w:p>
  <w:p w14:paraId="24B97D0D" w14:textId="77777777" w:rsidR="002401D0" w:rsidRDefault="002401D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FDF3"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230"/>
      <w:gridCol w:w="2230"/>
      <w:gridCol w:w="2230"/>
    </w:tblGrid>
    <w:tr w:rsidR="00737CAA" w14:paraId="1BE46456" w14:textId="77777777" w:rsidTr="04A159EF">
      <w:trPr>
        <w:trHeight w:val="300"/>
      </w:trPr>
      <w:tc>
        <w:tcPr>
          <w:tcW w:w="2230" w:type="dxa"/>
        </w:tcPr>
        <w:p w14:paraId="737808F7" w14:textId="74E71243" w:rsidR="04A159EF" w:rsidRDefault="04A159EF" w:rsidP="04A159EF">
          <w:pPr>
            <w:pStyle w:val="Sidhuvud"/>
            <w:ind w:left="-115"/>
          </w:pPr>
        </w:p>
      </w:tc>
      <w:tc>
        <w:tcPr>
          <w:tcW w:w="2230" w:type="dxa"/>
        </w:tcPr>
        <w:p w14:paraId="6CDEA6BF" w14:textId="7E256D85" w:rsidR="04A159EF" w:rsidRDefault="04A159EF" w:rsidP="04A159EF">
          <w:pPr>
            <w:pStyle w:val="Sidhuvud"/>
            <w:jc w:val="center"/>
          </w:pPr>
        </w:p>
      </w:tc>
      <w:tc>
        <w:tcPr>
          <w:tcW w:w="2230" w:type="dxa"/>
        </w:tcPr>
        <w:p w14:paraId="4593C341" w14:textId="01551141" w:rsidR="04A159EF" w:rsidRDefault="04A159EF" w:rsidP="04A159EF">
          <w:pPr>
            <w:pStyle w:val="Sidhuvud"/>
            <w:ind w:right="-115"/>
            <w:jc w:val="right"/>
          </w:pPr>
        </w:p>
      </w:tc>
    </w:tr>
  </w:tbl>
  <w:p w14:paraId="6C8F36B0" w14:textId="2D2D4811" w:rsidR="04A159EF" w:rsidRDefault="04A159EF" w:rsidP="04A159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94011950">
    <w:abstractNumId w:val="6"/>
  </w:num>
  <w:num w:numId="2" w16cid:durableId="584992885">
    <w:abstractNumId w:val="3"/>
  </w:num>
  <w:num w:numId="3" w16cid:durableId="75980201">
    <w:abstractNumId w:val="2"/>
  </w:num>
  <w:num w:numId="4" w16cid:durableId="634680856">
    <w:abstractNumId w:val="1"/>
  </w:num>
  <w:num w:numId="5" w16cid:durableId="573202401">
    <w:abstractNumId w:val="0"/>
  </w:num>
  <w:num w:numId="6" w16cid:durableId="646007501">
    <w:abstractNumId w:val="7"/>
  </w:num>
  <w:num w:numId="7" w16cid:durableId="1507864255">
    <w:abstractNumId w:val="5"/>
  </w:num>
  <w:num w:numId="8" w16cid:durableId="1795441761">
    <w:abstractNumId w:val="4"/>
  </w:num>
  <w:num w:numId="9" w16cid:durableId="675306262">
    <w:abstractNumId w:val="10"/>
  </w:num>
  <w:num w:numId="10" w16cid:durableId="1589656392">
    <w:abstractNumId w:val="13"/>
  </w:num>
  <w:num w:numId="11" w16cid:durableId="1719470943">
    <w:abstractNumId w:val="12"/>
  </w:num>
  <w:num w:numId="12" w16cid:durableId="1380010239">
    <w:abstractNumId w:val="16"/>
  </w:num>
  <w:num w:numId="13" w16cid:durableId="1352102723">
    <w:abstractNumId w:val="11"/>
  </w:num>
  <w:num w:numId="14" w16cid:durableId="2045792419">
    <w:abstractNumId w:val="15"/>
  </w:num>
  <w:num w:numId="15" w16cid:durableId="1952777593">
    <w:abstractNumId w:val="9"/>
  </w:num>
  <w:num w:numId="16" w16cid:durableId="1954049557">
    <w:abstractNumId w:val="21"/>
  </w:num>
  <w:num w:numId="17" w16cid:durableId="2063826936">
    <w:abstractNumId w:val="8"/>
  </w:num>
  <w:num w:numId="18" w16cid:durableId="932858311">
    <w:abstractNumId w:val="17"/>
  </w:num>
  <w:num w:numId="19" w16cid:durableId="1744256360">
    <w:abstractNumId w:val="20"/>
  </w:num>
  <w:num w:numId="20" w16cid:durableId="728265754">
    <w:abstractNumId w:val="23"/>
  </w:num>
  <w:num w:numId="21" w16cid:durableId="1704482522">
    <w:abstractNumId w:val="22"/>
  </w:num>
  <w:num w:numId="22" w16cid:durableId="1419323274">
    <w:abstractNumId w:val="14"/>
  </w:num>
  <w:num w:numId="23" w16cid:durableId="1422676362">
    <w:abstractNumId w:val="18"/>
  </w:num>
  <w:num w:numId="24" w16cid:durableId="89856278">
    <w:abstractNumId w:val="18"/>
  </w:num>
  <w:num w:numId="25" w16cid:durableId="1829900318">
    <w:abstractNumId w:val="19"/>
  </w:num>
  <w:num w:numId="26" w16cid:durableId="1688632762">
    <w:abstractNumId w:val="14"/>
  </w:num>
  <w:num w:numId="27" w16cid:durableId="500900772">
    <w:abstractNumId w:val="14"/>
  </w:num>
  <w:num w:numId="28" w16cid:durableId="485172870">
    <w:abstractNumId w:val="14"/>
  </w:num>
  <w:num w:numId="29" w16cid:durableId="1163475855">
    <w:abstractNumId w:val="14"/>
  </w:num>
  <w:num w:numId="30" w16cid:durableId="1298729286">
    <w:abstractNumId w:val="14"/>
  </w:num>
  <w:num w:numId="31" w16cid:durableId="1561861212">
    <w:abstractNumId w:val="14"/>
  </w:num>
  <w:num w:numId="32" w16cid:durableId="1894122156">
    <w:abstractNumId w:val="14"/>
  </w:num>
  <w:num w:numId="33" w16cid:durableId="1282104295">
    <w:abstractNumId w:val="14"/>
  </w:num>
  <w:num w:numId="34" w16cid:durableId="559052026">
    <w:abstractNumId w:val="14"/>
  </w:num>
  <w:num w:numId="35" w16cid:durableId="265961737">
    <w:abstractNumId w:val="18"/>
  </w:num>
  <w:num w:numId="36" w16cid:durableId="277762143">
    <w:abstractNumId w:val="19"/>
  </w:num>
  <w:num w:numId="37" w16cid:durableId="1519468297">
    <w:abstractNumId w:val="14"/>
  </w:num>
  <w:num w:numId="38" w16cid:durableId="1519856691">
    <w:abstractNumId w:val="14"/>
  </w:num>
  <w:num w:numId="39" w16cid:durableId="1303972462">
    <w:abstractNumId w:val="14"/>
  </w:num>
  <w:num w:numId="40" w16cid:durableId="1660577922">
    <w:abstractNumId w:val="14"/>
  </w:num>
  <w:num w:numId="41" w16cid:durableId="2123835353">
    <w:abstractNumId w:val="14"/>
  </w:num>
  <w:num w:numId="42" w16cid:durableId="714501639">
    <w:abstractNumId w:val="14"/>
  </w:num>
  <w:num w:numId="43" w16cid:durableId="590970634">
    <w:abstractNumId w:val="14"/>
  </w:num>
  <w:num w:numId="44" w16cid:durableId="932325410">
    <w:abstractNumId w:val="14"/>
  </w:num>
  <w:num w:numId="45" w16cid:durableId="1133139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41"/>
    <w:rsid w:val="00015441"/>
    <w:rsid w:val="00015E9C"/>
    <w:rsid w:val="000254A6"/>
    <w:rsid w:val="00027769"/>
    <w:rsid w:val="00047911"/>
    <w:rsid w:val="00051556"/>
    <w:rsid w:val="0005777B"/>
    <w:rsid w:val="00070473"/>
    <w:rsid w:val="00071886"/>
    <w:rsid w:val="00094109"/>
    <w:rsid w:val="000A394F"/>
    <w:rsid w:val="000A4698"/>
    <w:rsid w:val="000A66CF"/>
    <w:rsid w:val="000B2DC9"/>
    <w:rsid w:val="000B686F"/>
    <w:rsid w:val="000C6C70"/>
    <w:rsid w:val="000E3CE5"/>
    <w:rsid w:val="000F11C1"/>
    <w:rsid w:val="000F3092"/>
    <w:rsid w:val="000F7417"/>
    <w:rsid w:val="000F7C11"/>
    <w:rsid w:val="001015F5"/>
    <w:rsid w:val="001065FE"/>
    <w:rsid w:val="00107D99"/>
    <w:rsid w:val="0012216E"/>
    <w:rsid w:val="0012724F"/>
    <w:rsid w:val="00137E8C"/>
    <w:rsid w:val="00145A22"/>
    <w:rsid w:val="0015337C"/>
    <w:rsid w:val="00183F76"/>
    <w:rsid w:val="00185D29"/>
    <w:rsid w:val="001A0FCA"/>
    <w:rsid w:val="001A3870"/>
    <w:rsid w:val="001B1BC3"/>
    <w:rsid w:val="001B22A0"/>
    <w:rsid w:val="001B43F2"/>
    <w:rsid w:val="001B65FC"/>
    <w:rsid w:val="001C731D"/>
    <w:rsid w:val="001D1BD2"/>
    <w:rsid w:val="001D40EF"/>
    <w:rsid w:val="001E1C79"/>
    <w:rsid w:val="001E52E6"/>
    <w:rsid w:val="001F4075"/>
    <w:rsid w:val="0020421E"/>
    <w:rsid w:val="002103CB"/>
    <w:rsid w:val="002169B4"/>
    <w:rsid w:val="00220C92"/>
    <w:rsid w:val="0022457A"/>
    <w:rsid w:val="00224622"/>
    <w:rsid w:val="0022538D"/>
    <w:rsid w:val="002401D0"/>
    <w:rsid w:val="00244C4F"/>
    <w:rsid w:val="002605B1"/>
    <w:rsid w:val="00265C5B"/>
    <w:rsid w:val="00270F49"/>
    <w:rsid w:val="00275235"/>
    <w:rsid w:val="00280915"/>
    <w:rsid w:val="00284BBE"/>
    <w:rsid w:val="00285139"/>
    <w:rsid w:val="002A707B"/>
    <w:rsid w:val="002B54A6"/>
    <w:rsid w:val="002C08F9"/>
    <w:rsid w:val="002C3009"/>
    <w:rsid w:val="002D2323"/>
    <w:rsid w:val="002E2858"/>
    <w:rsid w:val="002E6C63"/>
    <w:rsid w:val="002F31A0"/>
    <w:rsid w:val="002F6C8F"/>
    <w:rsid w:val="00307CB7"/>
    <w:rsid w:val="0031415E"/>
    <w:rsid w:val="0031494E"/>
    <w:rsid w:val="00323A28"/>
    <w:rsid w:val="00350E1D"/>
    <w:rsid w:val="0035171E"/>
    <w:rsid w:val="003543D5"/>
    <w:rsid w:val="003613C4"/>
    <w:rsid w:val="0036359C"/>
    <w:rsid w:val="00364B82"/>
    <w:rsid w:val="0037200C"/>
    <w:rsid w:val="0038019A"/>
    <w:rsid w:val="0038265D"/>
    <w:rsid w:val="00392AAF"/>
    <w:rsid w:val="0039674B"/>
    <w:rsid w:val="003976B1"/>
    <w:rsid w:val="003A1952"/>
    <w:rsid w:val="003A6B5B"/>
    <w:rsid w:val="003C5E3E"/>
    <w:rsid w:val="003D77FE"/>
    <w:rsid w:val="003E684D"/>
    <w:rsid w:val="003F2A15"/>
    <w:rsid w:val="003F5AD3"/>
    <w:rsid w:val="00407212"/>
    <w:rsid w:val="004324B8"/>
    <w:rsid w:val="00432DE0"/>
    <w:rsid w:val="00434B38"/>
    <w:rsid w:val="004439E0"/>
    <w:rsid w:val="00443F94"/>
    <w:rsid w:val="00466790"/>
    <w:rsid w:val="00467BBC"/>
    <w:rsid w:val="00471BFC"/>
    <w:rsid w:val="00487304"/>
    <w:rsid w:val="00494B59"/>
    <w:rsid w:val="004A29D2"/>
    <w:rsid w:val="004E14ED"/>
    <w:rsid w:val="004F2CAD"/>
    <w:rsid w:val="00504A4C"/>
    <w:rsid w:val="00506FC4"/>
    <w:rsid w:val="00514713"/>
    <w:rsid w:val="005214BD"/>
    <w:rsid w:val="0052355C"/>
    <w:rsid w:val="00543709"/>
    <w:rsid w:val="00550702"/>
    <w:rsid w:val="0055231F"/>
    <w:rsid w:val="00560709"/>
    <w:rsid w:val="0057583A"/>
    <w:rsid w:val="0059214F"/>
    <w:rsid w:val="00593EF0"/>
    <w:rsid w:val="005A2408"/>
    <w:rsid w:val="005B51D5"/>
    <w:rsid w:val="005D2DD2"/>
    <w:rsid w:val="005D6494"/>
    <w:rsid w:val="005F58A5"/>
    <w:rsid w:val="005F7BE9"/>
    <w:rsid w:val="00601940"/>
    <w:rsid w:val="00604B67"/>
    <w:rsid w:val="0061188A"/>
    <w:rsid w:val="00622FF5"/>
    <w:rsid w:val="006562D9"/>
    <w:rsid w:val="006627EA"/>
    <w:rsid w:val="0066413C"/>
    <w:rsid w:val="00671128"/>
    <w:rsid w:val="006826B8"/>
    <w:rsid w:val="00684318"/>
    <w:rsid w:val="00691724"/>
    <w:rsid w:val="006970B7"/>
    <w:rsid w:val="0069762E"/>
    <w:rsid w:val="00697A6A"/>
    <w:rsid w:val="006A5099"/>
    <w:rsid w:val="006B2E9E"/>
    <w:rsid w:val="006C65FD"/>
    <w:rsid w:val="006C6FC1"/>
    <w:rsid w:val="006D053A"/>
    <w:rsid w:val="006E00E5"/>
    <w:rsid w:val="006E44A4"/>
    <w:rsid w:val="006F0242"/>
    <w:rsid w:val="00721A2C"/>
    <w:rsid w:val="00723078"/>
    <w:rsid w:val="007234AA"/>
    <w:rsid w:val="00723B93"/>
    <w:rsid w:val="00725EB4"/>
    <w:rsid w:val="00732E0F"/>
    <w:rsid w:val="0073524A"/>
    <w:rsid w:val="00737CAA"/>
    <w:rsid w:val="0075700B"/>
    <w:rsid w:val="007603F1"/>
    <w:rsid w:val="0076404D"/>
    <w:rsid w:val="007704B0"/>
    <w:rsid w:val="00774F39"/>
    <w:rsid w:val="007835A8"/>
    <w:rsid w:val="007854FA"/>
    <w:rsid w:val="00790001"/>
    <w:rsid w:val="00796FED"/>
    <w:rsid w:val="007A5065"/>
    <w:rsid w:val="007A792B"/>
    <w:rsid w:val="007B5EF5"/>
    <w:rsid w:val="007C2B05"/>
    <w:rsid w:val="007C4288"/>
    <w:rsid w:val="007C4BE6"/>
    <w:rsid w:val="007D4E01"/>
    <w:rsid w:val="007D6A8D"/>
    <w:rsid w:val="007E4E59"/>
    <w:rsid w:val="007E75E9"/>
    <w:rsid w:val="007E7605"/>
    <w:rsid w:val="007F3C73"/>
    <w:rsid w:val="0080483E"/>
    <w:rsid w:val="008054A9"/>
    <w:rsid w:val="00811371"/>
    <w:rsid w:val="00811D50"/>
    <w:rsid w:val="00813E4F"/>
    <w:rsid w:val="00817B04"/>
    <w:rsid w:val="00821078"/>
    <w:rsid w:val="00825B19"/>
    <w:rsid w:val="008338F9"/>
    <w:rsid w:val="00836904"/>
    <w:rsid w:val="00837274"/>
    <w:rsid w:val="00846CCE"/>
    <w:rsid w:val="008646D0"/>
    <w:rsid w:val="00864C20"/>
    <w:rsid w:val="008827A9"/>
    <w:rsid w:val="00891885"/>
    <w:rsid w:val="00896BD8"/>
    <w:rsid w:val="008C070D"/>
    <w:rsid w:val="008D3BF4"/>
    <w:rsid w:val="008D4159"/>
    <w:rsid w:val="008E233D"/>
    <w:rsid w:val="008E3C2D"/>
    <w:rsid w:val="008F099C"/>
    <w:rsid w:val="008F75CB"/>
    <w:rsid w:val="009012F3"/>
    <w:rsid w:val="009145EF"/>
    <w:rsid w:val="009217D1"/>
    <w:rsid w:val="00926521"/>
    <w:rsid w:val="009360D2"/>
    <w:rsid w:val="00937142"/>
    <w:rsid w:val="009457D6"/>
    <w:rsid w:val="009534A4"/>
    <w:rsid w:val="0095771A"/>
    <w:rsid w:val="00957C36"/>
    <w:rsid w:val="00961FCC"/>
    <w:rsid w:val="009666B3"/>
    <w:rsid w:val="00976424"/>
    <w:rsid w:val="00991749"/>
    <w:rsid w:val="009B3C5A"/>
    <w:rsid w:val="009C0711"/>
    <w:rsid w:val="009C4CE0"/>
    <w:rsid w:val="009D0F95"/>
    <w:rsid w:val="009D42F2"/>
    <w:rsid w:val="009D5993"/>
    <w:rsid w:val="009D73A3"/>
    <w:rsid w:val="009D73B2"/>
    <w:rsid w:val="009E3D5B"/>
    <w:rsid w:val="009F7CE2"/>
    <w:rsid w:val="00A050A8"/>
    <w:rsid w:val="00A1598E"/>
    <w:rsid w:val="00A16026"/>
    <w:rsid w:val="00A251E7"/>
    <w:rsid w:val="00A273F8"/>
    <w:rsid w:val="00A371F2"/>
    <w:rsid w:val="00A447EE"/>
    <w:rsid w:val="00A5331F"/>
    <w:rsid w:val="00A61C5B"/>
    <w:rsid w:val="00A6470A"/>
    <w:rsid w:val="00A80F28"/>
    <w:rsid w:val="00A8579F"/>
    <w:rsid w:val="00AA2645"/>
    <w:rsid w:val="00AA57E3"/>
    <w:rsid w:val="00AA5DA1"/>
    <w:rsid w:val="00AB3598"/>
    <w:rsid w:val="00AD64F3"/>
    <w:rsid w:val="00AD6B59"/>
    <w:rsid w:val="00AE0F34"/>
    <w:rsid w:val="00AF0B96"/>
    <w:rsid w:val="00AF122E"/>
    <w:rsid w:val="00B066D6"/>
    <w:rsid w:val="00B12DCF"/>
    <w:rsid w:val="00B204B2"/>
    <w:rsid w:val="00B32E91"/>
    <w:rsid w:val="00B33B20"/>
    <w:rsid w:val="00B36A8F"/>
    <w:rsid w:val="00B43528"/>
    <w:rsid w:val="00B446D2"/>
    <w:rsid w:val="00B54482"/>
    <w:rsid w:val="00B54F64"/>
    <w:rsid w:val="00B725A9"/>
    <w:rsid w:val="00B73224"/>
    <w:rsid w:val="00B7722F"/>
    <w:rsid w:val="00B83F2C"/>
    <w:rsid w:val="00B907C4"/>
    <w:rsid w:val="00B90DEC"/>
    <w:rsid w:val="00B93067"/>
    <w:rsid w:val="00BA30B0"/>
    <w:rsid w:val="00BD2F28"/>
    <w:rsid w:val="00BD4A8D"/>
    <w:rsid w:val="00BE3280"/>
    <w:rsid w:val="00BF71C5"/>
    <w:rsid w:val="00C064F3"/>
    <w:rsid w:val="00C2015B"/>
    <w:rsid w:val="00C3070E"/>
    <w:rsid w:val="00C3174F"/>
    <w:rsid w:val="00C458A1"/>
    <w:rsid w:val="00C505A4"/>
    <w:rsid w:val="00C53D8E"/>
    <w:rsid w:val="00C62131"/>
    <w:rsid w:val="00C65EED"/>
    <w:rsid w:val="00C77885"/>
    <w:rsid w:val="00C85B37"/>
    <w:rsid w:val="00CA3AC2"/>
    <w:rsid w:val="00CB087E"/>
    <w:rsid w:val="00CB37B8"/>
    <w:rsid w:val="00CB3FF4"/>
    <w:rsid w:val="00CB78CB"/>
    <w:rsid w:val="00CC4A00"/>
    <w:rsid w:val="00CD7641"/>
    <w:rsid w:val="00CE6A0E"/>
    <w:rsid w:val="00CE709E"/>
    <w:rsid w:val="00CF167E"/>
    <w:rsid w:val="00CF700E"/>
    <w:rsid w:val="00D030D8"/>
    <w:rsid w:val="00D0632F"/>
    <w:rsid w:val="00D33286"/>
    <w:rsid w:val="00D47007"/>
    <w:rsid w:val="00D62C01"/>
    <w:rsid w:val="00D63AA1"/>
    <w:rsid w:val="00D90280"/>
    <w:rsid w:val="00D92CC6"/>
    <w:rsid w:val="00DA1495"/>
    <w:rsid w:val="00DB0EB7"/>
    <w:rsid w:val="00DB510C"/>
    <w:rsid w:val="00DB6837"/>
    <w:rsid w:val="00DC09EE"/>
    <w:rsid w:val="00DC45B2"/>
    <w:rsid w:val="00DF2843"/>
    <w:rsid w:val="00DF2935"/>
    <w:rsid w:val="00E01540"/>
    <w:rsid w:val="00E03BA0"/>
    <w:rsid w:val="00E1242D"/>
    <w:rsid w:val="00E15D7E"/>
    <w:rsid w:val="00E15F9C"/>
    <w:rsid w:val="00E325B0"/>
    <w:rsid w:val="00E419BE"/>
    <w:rsid w:val="00E42D03"/>
    <w:rsid w:val="00E433E5"/>
    <w:rsid w:val="00E44FAE"/>
    <w:rsid w:val="00E5731E"/>
    <w:rsid w:val="00E5742C"/>
    <w:rsid w:val="00E720F5"/>
    <w:rsid w:val="00E74E72"/>
    <w:rsid w:val="00E7749C"/>
    <w:rsid w:val="00E85EFA"/>
    <w:rsid w:val="00E86252"/>
    <w:rsid w:val="00E8672F"/>
    <w:rsid w:val="00E9084F"/>
    <w:rsid w:val="00EB12DE"/>
    <w:rsid w:val="00EB2E53"/>
    <w:rsid w:val="00EB3097"/>
    <w:rsid w:val="00EB309F"/>
    <w:rsid w:val="00EC3D86"/>
    <w:rsid w:val="00EC6311"/>
    <w:rsid w:val="00EC7BFB"/>
    <w:rsid w:val="00ED188F"/>
    <w:rsid w:val="00EE5BA3"/>
    <w:rsid w:val="00EE5E4E"/>
    <w:rsid w:val="00EE64CC"/>
    <w:rsid w:val="00EE6A11"/>
    <w:rsid w:val="00EF1D84"/>
    <w:rsid w:val="00EF4EE3"/>
    <w:rsid w:val="00EF6163"/>
    <w:rsid w:val="00EF7A3A"/>
    <w:rsid w:val="00F1231D"/>
    <w:rsid w:val="00F14C61"/>
    <w:rsid w:val="00F21C5F"/>
    <w:rsid w:val="00F23721"/>
    <w:rsid w:val="00F3331A"/>
    <w:rsid w:val="00F41C51"/>
    <w:rsid w:val="00F57060"/>
    <w:rsid w:val="00F64111"/>
    <w:rsid w:val="00F7106A"/>
    <w:rsid w:val="00F75394"/>
    <w:rsid w:val="00F84E2E"/>
    <w:rsid w:val="00F97411"/>
    <w:rsid w:val="00FB02E9"/>
    <w:rsid w:val="00FB037B"/>
    <w:rsid w:val="00FB5617"/>
    <w:rsid w:val="00FB6A11"/>
    <w:rsid w:val="00FC39D2"/>
    <w:rsid w:val="00FC435A"/>
    <w:rsid w:val="00FC5F8A"/>
    <w:rsid w:val="00FC6A52"/>
    <w:rsid w:val="00FF2383"/>
    <w:rsid w:val="00FF686F"/>
    <w:rsid w:val="04A159EF"/>
    <w:rsid w:val="10500CF7"/>
    <w:rsid w:val="1A155B0C"/>
    <w:rsid w:val="1DB70BCF"/>
    <w:rsid w:val="22EE8B48"/>
    <w:rsid w:val="27350873"/>
    <w:rsid w:val="2C1B760B"/>
    <w:rsid w:val="32DA04AB"/>
    <w:rsid w:val="4517A65F"/>
    <w:rsid w:val="54DF1BE5"/>
    <w:rsid w:val="608EA8FE"/>
    <w:rsid w:val="6805B214"/>
    <w:rsid w:val="6B796C14"/>
    <w:rsid w:val="70AC2522"/>
    <w:rsid w:val="76F2883D"/>
    <w:rsid w:val="7B5D39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730E2"/>
  <w15:docId w15:val="{189E565D-9E31-4132-A41D-5639658B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015441"/>
    <w:rPr>
      <w:sz w:val="22"/>
      <w:lang w:val="sv-SE" w:eastAsia="sv-SE"/>
    </w:rPr>
  </w:style>
  <w:style w:type="paragraph" w:styleId="Ballongtext">
    <w:name w:val="Balloon Text"/>
    <w:basedOn w:val="Normal"/>
    <w:link w:val="BallongtextChar"/>
    <w:rsid w:val="009145EF"/>
    <w:rPr>
      <w:rFonts w:ascii="Tahoma" w:hAnsi="Tahoma" w:cs="Tahoma"/>
      <w:sz w:val="16"/>
      <w:szCs w:val="16"/>
    </w:rPr>
  </w:style>
  <w:style w:type="character" w:customStyle="1" w:styleId="BallongtextChar">
    <w:name w:val="Ballongtext Char"/>
    <w:basedOn w:val="Standardstycketeckensnitt"/>
    <w:link w:val="Ballongtext"/>
    <w:rsid w:val="009145EF"/>
    <w:rPr>
      <w:rFonts w:ascii="Tahoma" w:hAnsi="Tahoma" w:cs="Tahoma"/>
      <w:sz w:val="16"/>
      <w:szCs w:val="16"/>
      <w:lang w:val="sv-SE" w:eastAsia="sv-SE"/>
    </w:r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eckensnitt"/>
    <w:link w:val="Kommentarer"/>
    <w:semiHidden/>
    <w:rPr>
      <w:lang w:val="sv-SE" w:eastAsia="sv-SE"/>
    </w:rPr>
  </w:style>
  <w:style w:type="character" w:styleId="Kommentarsreferens">
    <w:name w:val="annotation reference"/>
    <w:basedOn w:val="Standardstycketeckensnitt"/>
    <w:semiHidden/>
    <w:unhideWhenUsed/>
    <w:rPr>
      <w:sz w:val="16"/>
      <w:szCs w:val="16"/>
    </w:rPr>
  </w:style>
  <w:style w:type="paragraph" w:styleId="Normalwebb">
    <w:name w:val="Normal (Web)"/>
    <w:basedOn w:val="Normal"/>
    <w:semiHidden/>
    <w:unhideWhenUsed/>
    <w:rsid w:val="00723078"/>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4382B-0574-4242-8818-5C3517C8E4AB}">
  <ds:schemaRefs>
    <ds:schemaRef ds:uri="http://schemas.microsoft.com/sharepoint/v3/contenttype/forms"/>
  </ds:schemaRefs>
</ds:datastoreItem>
</file>

<file path=customXml/itemProps2.xml><?xml version="1.0" encoding="utf-8"?>
<ds:datastoreItem xmlns:ds="http://schemas.openxmlformats.org/officeDocument/2006/customXml" ds:itemID="{3542C201-DD95-4A39-A317-ABC69855A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9D14A-DDD7-4381-82A3-309B23187358}">
  <ds:schemaRefs>
    <ds:schemaRef ds:uri="79f1457e-84a0-4a17-958f-49c4aa45e2c0"/>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78fc1783-4737-442c-84c0-5028c5a7db7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1807</Words>
  <Characters>9582</Characters>
  <Application>Microsoft Office Word</Application>
  <DocSecurity>4</DocSecurity>
  <Lines>79</Lines>
  <Paragraphs>22</Paragraphs>
  <ScaleCrop>false</ScaleCrop>
  <Company>Ålands lagting</Company>
  <LinksUpToDate>false</LinksUpToDate>
  <CharactersWithSpaces>11367</CharactersWithSpaces>
  <SharedDoc>false</SharedDoc>
  <HLinks>
    <vt:vector size="48" baseType="variant">
      <vt:variant>
        <vt:i4>262192</vt:i4>
      </vt:variant>
      <vt:variant>
        <vt:i4>45</vt:i4>
      </vt:variant>
      <vt:variant>
        <vt:i4>0</vt:i4>
      </vt:variant>
      <vt:variant>
        <vt:i4>5</vt:i4>
      </vt:variant>
      <vt:variant>
        <vt:lpwstr/>
      </vt:variant>
      <vt:variant>
        <vt:lpwstr>_top</vt:lpwstr>
      </vt:variant>
      <vt:variant>
        <vt:i4>1966128</vt:i4>
      </vt:variant>
      <vt:variant>
        <vt:i4>38</vt:i4>
      </vt:variant>
      <vt:variant>
        <vt:i4>0</vt:i4>
      </vt:variant>
      <vt:variant>
        <vt:i4>5</vt:i4>
      </vt:variant>
      <vt:variant>
        <vt:lpwstr/>
      </vt:variant>
      <vt:variant>
        <vt:lpwstr>_Toc224033586</vt:lpwstr>
      </vt:variant>
      <vt:variant>
        <vt:i4>1966128</vt:i4>
      </vt:variant>
      <vt:variant>
        <vt:i4>32</vt:i4>
      </vt:variant>
      <vt:variant>
        <vt:i4>0</vt:i4>
      </vt:variant>
      <vt:variant>
        <vt:i4>5</vt:i4>
      </vt:variant>
      <vt:variant>
        <vt:lpwstr/>
      </vt:variant>
      <vt:variant>
        <vt:lpwstr>_Toc224033585</vt:lpwstr>
      </vt:variant>
      <vt:variant>
        <vt:i4>1966128</vt:i4>
      </vt:variant>
      <vt:variant>
        <vt:i4>26</vt:i4>
      </vt:variant>
      <vt:variant>
        <vt:i4>0</vt:i4>
      </vt:variant>
      <vt:variant>
        <vt:i4>5</vt:i4>
      </vt:variant>
      <vt:variant>
        <vt:lpwstr/>
      </vt:variant>
      <vt:variant>
        <vt:lpwstr>_Toc224033584</vt:lpwstr>
      </vt:variant>
      <vt:variant>
        <vt:i4>1966128</vt:i4>
      </vt:variant>
      <vt:variant>
        <vt:i4>20</vt:i4>
      </vt:variant>
      <vt:variant>
        <vt:i4>0</vt:i4>
      </vt:variant>
      <vt:variant>
        <vt:i4>5</vt:i4>
      </vt:variant>
      <vt:variant>
        <vt:lpwstr/>
      </vt:variant>
      <vt:variant>
        <vt:lpwstr>_Toc224033583</vt:lpwstr>
      </vt:variant>
      <vt:variant>
        <vt:i4>1966128</vt:i4>
      </vt:variant>
      <vt:variant>
        <vt:i4>14</vt:i4>
      </vt:variant>
      <vt:variant>
        <vt:i4>0</vt:i4>
      </vt:variant>
      <vt:variant>
        <vt:i4>5</vt:i4>
      </vt:variant>
      <vt:variant>
        <vt:lpwstr/>
      </vt:variant>
      <vt:variant>
        <vt:lpwstr>_Toc224033582</vt:lpwstr>
      </vt:variant>
      <vt:variant>
        <vt:i4>1966128</vt:i4>
      </vt:variant>
      <vt:variant>
        <vt:i4>8</vt:i4>
      </vt:variant>
      <vt:variant>
        <vt:i4>0</vt:i4>
      </vt:variant>
      <vt:variant>
        <vt:i4>5</vt:i4>
      </vt:variant>
      <vt:variant>
        <vt:lpwstr/>
      </vt:variant>
      <vt:variant>
        <vt:lpwstr>_Toc224033581</vt:lpwstr>
      </vt:variant>
      <vt:variant>
        <vt:i4>1966128</vt:i4>
      </vt:variant>
      <vt:variant>
        <vt:i4>2</vt:i4>
      </vt:variant>
      <vt:variant>
        <vt:i4>0</vt:i4>
      </vt:variant>
      <vt:variant>
        <vt:i4>5</vt:i4>
      </vt:variant>
      <vt:variant>
        <vt:lpwstr/>
      </vt:variant>
      <vt:variant>
        <vt:lpwstr>_Toc224033580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10/2025-2026</dc:title>
  <dc:subject/>
  <dc:creator>Jessica Laaksonen</dc:creator>
  <cp:keywords/>
  <cp:lastModifiedBy>Jessica Laaksonen</cp:lastModifiedBy>
  <cp:revision>2</cp:revision>
  <cp:lastPrinted>2023-04-18T06:31:00Z</cp:lastPrinted>
  <dcterms:created xsi:type="dcterms:W3CDTF">2026-03-10T10:25:00Z</dcterms:created>
  <dcterms:modified xsi:type="dcterms:W3CDTF">2026-03-10T10:25:00Z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