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5891D72A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0DA5588" w14:textId="5653DCDE" w:rsidR="002401D0" w:rsidRDefault="00056CA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1CE1104" wp14:editId="6A4D10B4">
                  <wp:extent cx="48006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31004B8" w14:textId="6833952B" w:rsidR="002401D0" w:rsidRDefault="00056CA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96F9C8B" wp14:editId="790C4EAF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2C6E0E86" w14:textId="77777777">
        <w:trPr>
          <w:cantSplit/>
          <w:trHeight w:val="299"/>
        </w:trPr>
        <w:tc>
          <w:tcPr>
            <w:tcW w:w="861" w:type="dxa"/>
            <w:vMerge/>
          </w:tcPr>
          <w:p w14:paraId="6DF85BA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E1A129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F08D6B" w14:textId="59A9D0A8" w:rsidR="002401D0" w:rsidRDefault="002401D0" w:rsidP="00B36A8F">
            <w:pPr>
              <w:pStyle w:val="xDokTypNr"/>
            </w:pPr>
            <w:r>
              <w:t xml:space="preserve">BETÄNKANDE nr </w:t>
            </w:r>
            <w:r w:rsidR="00F95A76">
              <w:t>11</w:t>
            </w:r>
            <w:r>
              <w:t>/</w:t>
            </w:r>
            <w:proofErr w:type="gramStart"/>
            <w:r>
              <w:t>20</w:t>
            </w:r>
            <w:r w:rsidR="00A44D2C">
              <w:t>2</w:t>
            </w:r>
            <w:r w:rsidR="00C34715">
              <w:t>4</w:t>
            </w:r>
            <w:r w:rsidR="0015337C">
              <w:t>-20</w:t>
            </w:r>
            <w:r w:rsidR="00A44D2C">
              <w:t>2</w:t>
            </w:r>
            <w:r w:rsidR="00C34715">
              <w:t>5</w:t>
            </w:r>
            <w:proofErr w:type="gramEnd"/>
          </w:p>
        </w:tc>
      </w:tr>
      <w:tr w:rsidR="002401D0" w14:paraId="210B44F7" w14:textId="77777777">
        <w:trPr>
          <w:cantSplit/>
          <w:trHeight w:val="238"/>
        </w:trPr>
        <w:tc>
          <w:tcPr>
            <w:tcW w:w="861" w:type="dxa"/>
            <w:vMerge/>
          </w:tcPr>
          <w:p w14:paraId="152FFD8E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D1EE003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484D278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68B1758" w14:textId="77777777" w:rsidR="002401D0" w:rsidRDefault="002401D0">
            <w:pPr>
              <w:pStyle w:val="xLedtext"/>
            </w:pPr>
          </w:p>
        </w:tc>
      </w:tr>
      <w:tr w:rsidR="002401D0" w14:paraId="34DD3968" w14:textId="77777777">
        <w:trPr>
          <w:cantSplit/>
          <w:trHeight w:val="238"/>
        </w:trPr>
        <w:tc>
          <w:tcPr>
            <w:tcW w:w="861" w:type="dxa"/>
            <w:vMerge/>
          </w:tcPr>
          <w:p w14:paraId="486181D6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FBEBADE" w14:textId="0127F628" w:rsidR="002401D0" w:rsidRDefault="00A44D2C">
            <w:pPr>
              <w:pStyle w:val="xAvsandare2"/>
            </w:pPr>
            <w:r>
              <w:t>Lag- och kulturu</w:t>
            </w:r>
            <w:r w:rsidR="002401D0">
              <w:t>tskottet</w:t>
            </w:r>
          </w:p>
        </w:tc>
        <w:tc>
          <w:tcPr>
            <w:tcW w:w="1725" w:type="dxa"/>
            <w:vAlign w:val="center"/>
          </w:tcPr>
          <w:p w14:paraId="3313C578" w14:textId="30E7FD8F" w:rsidR="002401D0" w:rsidRDefault="002401D0">
            <w:pPr>
              <w:pStyle w:val="xDatum1"/>
            </w:pPr>
            <w:r>
              <w:t>20</w:t>
            </w:r>
            <w:r w:rsidR="00C7565D">
              <w:t>2</w:t>
            </w:r>
            <w:r w:rsidR="000C061C">
              <w:t>5</w:t>
            </w:r>
            <w:r w:rsidR="00C7565D">
              <w:t>-</w:t>
            </w:r>
            <w:r w:rsidR="000C061C">
              <w:t>03</w:t>
            </w:r>
            <w:r w:rsidR="00C7565D">
              <w:t>-</w:t>
            </w:r>
            <w:r w:rsidR="00F95A76">
              <w:t>2</w:t>
            </w:r>
            <w:r w:rsidR="000119F4">
              <w:t>5</w:t>
            </w:r>
          </w:p>
        </w:tc>
        <w:tc>
          <w:tcPr>
            <w:tcW w:w="2563" w:type="dxa"/>
            <w:vAlign w:val="center"/>
          </w:tcPr>
          <w:p w14:paraId="188B58E0" w14:textId="77777777" w:rsidR="002401D0" w:rsidRDefault="002401D0">
            <w:pPr>
              <w:pStyle w:val="xBeteckning1"/>
            </w:pPr>
          </w:p>
        </w:tc>
      </w:tr>
      <w:tr w:rsidR="002401D0" w14:paraId="7AA95D33" w14:textId="77777777">
        <w:trPr>
          <w:cantSplit/>
          <w:trHeight w:val="238"/>
        </w:trPr>
        <w:tc>
          <w:tcPr>
            <w:tcW w:w="861" w:type="dxa"/>
            <w:vMerge/>
          </w:tcPr>
          <w:p w14:paraId="25F00ED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5753F12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E015287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3C7FFB4" w14:textId="77777777" w:rsidR="002401D0" w:rsidRDefault="002401D0">
            <w:pPr>
              <w:pStyle w:val="xLedtext"/>
            </w:pPr>
          </w:p>
        </w:tc>
      </w:tr>
      <w:tr w:rsidR="002401D0" w14:paraId="40C072E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E69724D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E52C8B8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8EAFF08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A46949F" w14:textId="77777777" w:rsidR="002401D0" w:rsidRDefault="002401D0">
            <w:pPr>
              <w:pStyle w:val="xBeteckning2"/>
            </w:pPr>
          </w:p>
        </w:tc>
      </w:tr>
      <w:tr w:rsidR="002401D0" w14:paraId="4C1450B2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203D06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75F78EE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4AF170F" w14:textId="77777777" w:rsidR="002401D0" w:rsidRDefault="002401D0">
            <w:pPr>
              <w:pStyle w:val="xLedtext"/>
            </w:pPr>
          </w:p>
        </w:tc>
      </w:tr>
      <w:tr w:rsidR="002401D0" w14:paraId="49A168D7" w14:textId="77777777">
        <w:trPr>
          <w:cantSplit/>
          <w:trHeight w:val="238"/>
        </w:trPr>
        <w:tc>
          <w:tcPr>
            <w:tcW w:w="861" w:type="dxa"/>
          </w:tcPr>
          <w:p w14:paraId="4268A9F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44E02E9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FD280BA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3861F4FF" w14:textId="77777777">
        <w:trPr>
          <w:cantSplit/>
          <w:trHeight w:val="238"/>
        </w:trPr>
        <w:tc>
          <w:tcPr>
            <w:tcW w:w="861" w:type="dxa"/>
          </w:tcPr>
          <w:p w14:paraId="503FD0F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B3FFA1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06AB301" w14:textId="77777777" w:rsidR="002401D0" w:rsidRDefault="002401D0">
            <w:pPr>
              <w:pStyle w:val="xCelltext"/>
            </w:pPr>
          </w:p>
        </w:tc>
      </w:tr>
      <w:tr w:rsidR="002401D0" w14:paraId="2F15AD7D" w14:textId="77777777">
        <w:trPr>
          <w:cantSplit/>
          <w:trHeight w:val="238"/>
        </w:trPr>
        <w:tc>
          <w:tcPr>
            <w:tcW w:w="861" w:type="dxa"/>
          </w:tcPr>
          <w:p w14:paraId="2100A6F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1131546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423DE58" w14:textId="77777777" w:rsidR="002401D0" w:rsidRDefault="002401D0">
            <w:pPr>
              <w:pStyle w:val="xCelltext"/>
            </w:pPr>
          </w:p>
        </w:tc>
      </w:tr>
      <w:tr w:rsidR="002401D0" w14:paraId="46B0CAFF" w14:textId="77777777">
        <w:trPr>
          <w:cantSplit/>
          <w:trHeight w:val="238"/>
        </w:trPr>
        <w:tc>
          <w:tcPr>
            <w:tcW w:w="861" w:type="dxa"/>
          </w:tcPr>
          <w:p w14:paraId="6DAD4DE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C9196C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52AC81" w14:textId="77777777" w:rsidR="002401D0" w:rsidRDefault="002401D0">
            <w:pPr>
              <w:pStyle w:val="xCelltext"/>
            </w:pPr>
          </w:p>
        </w:tc>
      </w:tr>
      <w:tr w:rsidR="002401D0" w14:paraId="2488AFB1" w14:textId="77777777">
        <w:trPr>
          <w:cantSplit/>
          <w:trHeight w:val="238"/>
        </w:trPr>
        <w:tc>
          <w:tcPr>
            <w:tcW w:w="861" w:type="dxa"/>
          </w:tcPr>
          <w:p w14:paraId="0768755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D69BF14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CD43881" w14:textId="77777777" w:rsidR="002401D0" w:rsidRDefault="002401D0">
            <w:pPr>
              <w:pStyle w:val="xCelltext"/>
            </w:pPr>
          </w:p>
        </w:tc>
      </w:tr>
    </w:tbl>
    <w:p w14:paraId="2AC8D279" w14:textId="77777777" w:rsidR="002401D0" w:rsidRDefault="002401D0">
      <w:pPr>
        <w:rPr>
          <w:b/>
          <w:bCs/>
        </w:rPr>
        <w:sectPr w:rsidR="002401D0" w:rsidSect="00056CA6">
          <w:footerReference w:type="even" r:id="rId13"/>
          <w:footerReference w:type="defaul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53F3622" w14:textId="123A9D23" w:rsidR="002401D0" w:rsidRDefault="00A44D2C">
      <w:pPr>
        <w:pStyle w:val="ArendeOverRubrik"/>
      </w:pPr>
      <w:r>
        <w:t>Lag- och kultur</w:t>
      </w:r>
      <w:r w:rsidR="002401D0">
        <w:t>utskottets betänkande</w:t>
      </w:r>
    </w:p>
    <w:p w14:paraId="528BD684" w14:textId="7FBD61BE" w:rsidR="00181B73" w:rsidRPr="00181B73" w:rsidRDefault="00181B73" w:rsidP="00181B73">
      <w:pPr>
        <w:rPr>
          <w:rFonts w:ascii="Arial" w:hAnsi="Arial" w:cs="Arial"/>
          <w:b/>
          <w:bCs/>
          <w:sz w:val="26"/>
          <w:szCs w:val="20"/>
        </w:rPr>
      </w:pPr>
      <w:r w:rsidRPr="00181B73">
        <w:rPr>
          <w:rFonts w:ascii="Arial" w:hAnsi="Arial" w:cs="Arial"/>
          <w:b/>
          <w:bCs/>
          <w:sz w:val="26"/>
          <w:szCs w:val="20"/>
        </w:rPr>
        <w:t>Promillegräns för att framföra båtar</w:t>
      </w:r>
    </w:p>
    <w:p w14:paraId="175CDE68" w14:textId="3270983A" w:rsidR="000C061C" w:rsidRDefault="000C061C" w:rsidP="00CA0CA5">
      <w:pPr>
        <w:pStyle w:val="ArendeUnderRubrik"/>
        <w:numPr>
          <w:ilvl w:val="0"/>
          <w:numId w:val="0"/>
        </w:numPr>
        <w:rPr>
          <w:lang w:val="sv-FI"/>
        </w:rPr>
      </w:pPr>
      <w:proofErr w:type="spellStart"/>
      <w:r>
        <w:rPr>
          <w:lang w:val="sv-FI"/>
        </w:rPr>
        <w:t>Ltl</w:t>
      </w:r>
      <w:proofErr w:type="spellEnd"/>
      <w:r>
        <w:rPr>
          <w:lang w:val="sv-FI"/>
        </w:rPr>
        <w:t xml:space="preserve"> Mogens Lindén m.fl. åtgärdsmotion nr 1/</w:t>
      </w:r>
      <w:proofErr w:type="gramStart"/>
      <w:r>
        <w:rPr>
          <w:lang w:val="sv-FI"/>
        </w:rPr>
        <w:t>2024-2025</w:t>
      </w:r>
      <w:proofErr w:type="gramEnd"/>
    </w:p>
    <w:p w14:paraId="59C79025" w14:textId="29BECA1F" w:rsidR="003211E4" w:rsidRDefault="00B82747" w:rsidP="00CA0CA5">
      <w:pPr>
        <w:pStyle w:val="ArendeUnderRubrik"/>
        <w:numPr>
          <w:ilvl w:val="0"/>
          <w:numId w:val="0"/>
        </w:numPr>
        <w:rPr>
          <w:lang w:val="sv-FI"/>
        </w:rPr>
      </w:pPr>
      <w:proofErr w:type="spellStart"/>
      <w:r w:rsidRPr="003211E4">
        <w:rPr>
          <w:lang w:val="sv-FI"/>
        </w:rPr>
        <w:t>Ltl</w:t>
      </w:r>
      <w:proofErr w:type="spellEnd"/>
      <w:r w:rsidRPr="003211E4">
        <w:rPr>
          <w:lang w:val="sv-FI"/>
        </w:rPr>
        <w:t xml:space="preserve"> </w:t>
      </w:r>
      <w:r w:rsidR="00181B73">
        <w:rPr>
          <w:lang w:val="sv-FI"/>
        </w:rPr>
        <w:t xml:space="preserve">Mogens Lindén </w:t>
      </w:r>
      <w:r w:rsidRPr="003211E4">
        <w:rPr>
          <w:lang w:val="sv-FI"/>
        </w:rPr>
        <w:t>m.f</w:t>
      </w:r>
      <w:r>
        <w:rPr>
          <w:lang w:val="sv-FI"/>
        </w:rPr>
        <w:t xml:space="preserve">l. åtgärdsmotion nr </w:t>
      </w:r>
      <w:r w:rsidR="00181B73">
        <w:rPr>
          <w:lang w:val="sv-FI"/>
        </w:rPr>
        <w:t>2</w:t>
      </w:r>
      <w:r>
        <w:rPr>
          <w:lang w:val="sv-FI"/>
        </w:rPr>
        <w:t>/</w:t>
      </w:r>
      <w:proofErr w:type="gramStart"/>
      <w:r>
        <w:rPr>
          <w:lang w:val="sv-FI"/>
        </w:rPr>
        <w:t>202</w:t>
      </w:r>
      <w:r w:rsidR="00181B73">
        <w:rPr>
          <w:lang w:val="sv-FI"/>
        </w:rPr>
        <w:t>4</w:t>
      </w:r>
      <w:r>
        <w:rPr>
          <w:lang w:val="sv-FI"/>
        </w:rPr>
        <w:t>-202</w:t>
      </w:r>
      <w:r w:rsidR="00181B73">
        <w:rPr>
          <w:lang w:val="sv-FI"/>
        </w:rPr>
        <w:t>5</w:t>
      </w:r>
      <w:proofErr w:type="gramEnd"/>
    </w:p>
    <w:p w14:paraId="39DB64DC" w14:textId="46B5D045" w:rsidR="00B568DF" w:rsidRPr="00B568DF" w:rsidRDefault="00B568DF" w:rsidP="00C34715">
      <w:pPr>
        <w:pStyle w:val="ArendeUnderRubrik"/>
        <w:numPr>
          <w:ilvl w:val="0"/>
          <w:numId w:val="0"/>
        </w:numPr>
        <w:ind w:left="283"/>
        <w:rPr>
          <w:lang w:val="sv-FI"/>
        </w:rPr>
      </w:pPr>
    </w:p>
    <w:p w14:paraId="74CA5E13" w14:textId="77777777" w:rsidR="002401D0" w:rsidRPr="00B568DF" w:rsidRDefault="002401D0">
      <w:pPr>
        <w:pStyle w:val="ANormal"/>
        <w:rPr>
          <w:lang w:val="sv-FI"/>
        </w:rPr>
      </w:pPr>
    </w:p>
    <w:p w14:paraId="1287F405" w14:textId="77777777" w:rsidR="002401D0" w:rsidRDefault="002401D0">
      <w:pPr>
        <w:pStyle w:val="Innehll1"/>
      </w:pPr>
      <w:r>
        <w:t>INNEHÅLL</w:t>
      </w:r>
    </w:p>
    <w:p w14:paraId="0470E264" w14:textId="6FFC33A9" w:rsidR="00371D87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93959028" w:history="1">
        <w:r w:rsidR="00371D87" w:rsidRPr="00CA08F2">
          <w:rPr>
            <w:rStyle w:val="Hyperlnk"/>
          </w:rPr>
          <w:t>Sammanfattning</w:t>
        </w:r>
        <w:r w:rsidR="00371D87">
          <w:rPr>
            <w:webHidden/>
          </w:rPr>
          <w:tab/>
        </w:r>
        <w:r w:rsidR="00371D87">
          <w:rPr>
            <w:webHidden/>
          </w:rPr>
          <w:fldChar w:fldCharType="begin"/>
        </w:r>
        <w:r w:rsidR="00371D87">
          <w:rPr>
            <w:webHidden/>
          </w:rPr>
          <w:instrText xml:space="preserve"> PAGEREF _Toc193959028 \h </w:instrText>
        </w:r>
        <w:r w:rsidR="00371D87">
          <w:rPr>
            <w:webHidden/>
          </w:rPr>
        </w:r>
        <w:r w:rsidR="00371D87">
          <w:rPr>
            <w:webHidden/>
          </w:rPr>
          <w:fldChar w:fldCharType="separate"/>
        </w:r>
        <w:r w:rsidR="000119F4">
          <w:rPr>
            <w:webHidden/>
          </w:rPr>
          <w:t>1</w:t>
        </w:r>
        <w:r w:rsidR="00371D87">
          <w:rPr>
            <w:webHidden/>
          </w:rPr>
          <w:fldChar w:fldCharType="end"/>
        </w:r>
      </w:hyperlink>
    </w:p>
    <w:p w14:paraId="79A9DAF6" w14:textId="6501FF5B" w:rsidR="00371D87" w:rsidRDefault="00371D87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3959029" w:history="1">
        <w:r w:rsidRPr="00CA08F2">
          <w:rPr>
            <w:rStyle w:val="Hyperlnk"/>
          </w:rPr>
          <w:t>Motionärernas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_Toc193959029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119F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441F7E5" w14:textId="6D1B746E" w:rsidR="00371D87" w:rsidRDefault="00371D87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3959030" w:history="1">
        <w:r w:rsidRPr="00CA08F2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_Toc193959030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119F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1CFCEA6" w14:textId="4BEB307A" w:rsidR="00371D87" w:rsidRDefault="00371D87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3959031" w:history="1">
        <w:r w:rsidRPr="00CA08F2">
          <w:rPr>
            <w:rStyle w:val="Hyperlnk"/>
          </w:rPr>
          <w:t>Utskottets synpunkter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_Toc193959031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119F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C37BAED" w14:textId="2216E59D" w:rsidR="00371D87" w:rsidRDefault="00371D87">
      <w:pPr>
        <w:pStyle w:val="Innehll3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3959032" w:history="1">
        <w:r w:rsidRPr="00CA08F2">
          <w:rPr>
            <w:rStyle w:val="Hyperlnk"/>
          </w:rPr>
          <w:t>Lagstiftningsbehörighet för sjötrafik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_Toc193959032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119F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10B036C" w14:textId="5EF5E67E" w:rsidR="00371D87" w:rsidRDefault="00371D87">
      <w:pPr>
        <w:pStyle w:val="Innehll3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3959033" w:history="1">
        <w:r w:rsidRPr="00CA08F2">
          <w:rPr>
            <w:rStyle w:val="Hyperlnk"/>
          </w:rPr>
          <w:t>Promillegräns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_Toc193959033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119F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E8EFA3B" w14:textId="60862F9C" w:rsidR="00371D87" w:rsidRDefault="00371D87">
      <w:pPr>
        <w:pStyle w:val="Innehll3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3959034" w:history="1">
        <w:r w:rsidRPr="00CA08F2">
          <w:rPr>
            <w:rStyle w:val="Hyperlnk"/>
          </w:rPr>
          <w:t>Utskottets slutsats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_Toc193959034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119F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E22ABE1" w14:textId="448E79C5" w:rsidR="00371D87" w:rsidRDefault="00371D87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3959035" w:history="1">
        <w:r w:rsidRPr="00CA08F2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_Toc193959035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119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28E016" w14:textId="0BA7E428" w:rsidR="00371D87" w:rsidRDefault="00371D87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3959036" w:history="1">
        <w:r w:rsidRPr="00CA08F2">
          <w:rPr>
            <w:rStyle w:val="Hyperlnk"/>
          </w:rPr>
          <w:t>Reservationer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_Toc193959036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119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2295D86" w14:textId="70524AE6" w:rsidR="00371D87" w:rsidRDefault="00371D87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3959037" w:history="1">
        <w:r w:rsidRPr="00CA08F2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_Toc193959037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119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CF0DEE" w14:textId="27F593A1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4D563728" w14:textId="77777777" w:rsidR="002401D0" w:rsidRDefault="002401D0">
      <w:pPr>
        <w:pStyle w:val="ANormal"/>
      </w:pPr>
    </w:p>
    <w:p w14:paraId="24B19C4C" w14:textId="26632A6B" w:rsidR="002401D0" w:rsidRDefault="002401D0" w:rsidP="00C7565D">
      <w:pPr>
        <w:pStyle w:val="RubrikA"/>
      </w:pPr>
      <w:bookmarkStart w:id="1" w:name="_Toc529800932"/>
      <w:bookmarkStart w:id="2" w:name="_Toc193959028"/>
      <w:r w:rsidRPr="00C7565D">
        <w:t>Sammanfattning</w:t>
      </w:r>
      <w:bookmarkEnd w:id="1"/>
      <w:bookmarkEnd w:id="2"/>
    </w:p>
    <w:p w14:paraId="6C7DC2F0" w14:textId="77777777" w:rsidR="00C7565D" w:rsidRPr="00C7565D" w:rsidRDefault="00C7565D" w:rsidP="00C7565D">
      <w:pPr>
        <w:pStyle w:val="Rubrikmellanrum"/>
      </w:pPr>
    </w:p>
    <w:p w14:paraId="4CC5E58D" w14:textId="6C1D1F1A" w:rsidR="002401D0" w:rsidRPr="00C7565D" w:rsidRDefault="00BD7E82" w:rsidP="00C7565D">
      <w:pPr>
        <w:pStyle w:val="RubrikA"/>
      </w:pPr>
      <w:bookmarkStart w:id="3" w:name="_Toc529800933"/>
      <w:bookmarkStart w:id="4" w:name="_Toc193959029"/>
      <w:r>
        <w:t>Motionärerna</w:t>
      </w:r>
      <w:r w:rsidR="00A60FD7">
        <w:t>s</w:t>
      </w:r>
      <w:r>
        <w:t xml:space="preserve"> förslag</w:t>
      </w:r>
      <w:bookmarkEnd w:id="3"/>
      <w:bookmarkEnd w:id="4"/>
    </w:p>
    <w:p w14:paraId="38DD97F2" w14:textId="77777777" w:rsidR="00BD7E82" w:rsidRDefault="00BD7E82">
      <w:pPr>
        <w:pStyle w:val="ANormal"/>
        <w:rPr>
          <w:sz w:val="10"/>
          <w:szCs w:val="10"/>
        </w:rPr>
      </w:pPr>
    </w:p>
    <w:p w14:paraId="7C83C112" w14:textId="2B6BE156" w:rsidR="002819F5" w:rsidRDefault="003211E4" w:rsidP="00F95A76">
      <w:pPr>
        <w:rPr>
          <w:sz w:val="22"/>
          <w:szCs w:val="22"/>
        </w:rPr>
      </w:pPr>
      <w:r w:rsidRPr="38606E0E">
        <w:rPr>
          <w:sz w:val="22"/>
          <w:szCs w:val="22"/>
          <w:lang w:val="sv-FI"/>
        </w:rPr>
        <w:t xml:space="preserve">I </w:t>
      </w:r>
      <w:proofErr w:type="spellStart"/>
      <w:r w:rsidRPr="38606E0E">
        <w:rPr>
          <w:sz w:val="22"/>
          <w:szCs w:val="22"/>
          <w:lang w:val="sv-FI"/>
        </w:rPr>
        <w:t>ltl</w:t>
      </w:r>
      <w:proofErr w:type="spellEnd"/>
      <w:r w:rsidRPr="38606E0E">
        <w:rPr>
          <w:sz w:val="22"/>
          <w:szCs w:val="22"/>
          <w:lang w:val="sv-FI"/>
        </w:rPr>
        <w:t xml:space="preserve"> </w:t>
      </w:r>
      <w:r w:rsidR="00181B73" w:rsidRPr="38606E0E">
        <w:rPr>
          <w:sz w:val="22"/>
          <w:szCs w:val="22"/>
          <w:lang w:val="sv-FI"/>
        </w:rPr>
        <w:t xml:space="preserve">Mogens Lindén </w:t>
      </w:r>
      <w:r w:rsidRPr="38606E0E">
        <w:rPr>
          <w:sz w:val="22"/>
          <w:szCs w:val="22"/>
          <w:lang w:val="sv-FI"/>
        </w:rPr>
        <w:t>m.fl. åtgärdsmotion</w:t>
      </w:r>
      <w:r w:rsidR="000C061C" w:rsidRPr="38606E0E">
        <w:rPr>
          <w:sz w:val="22"/>
          <w:szCs w:val="22"/>
          <w:lang w:val="sv-FI"/>
        </w:rPr>
        <w:t>er</w:t>
      </w:r>
      <w:r w:rsidRPr="38606E0E">
        <w:rPr>
          <w:sz w:val="22"/>
          <w:szCs w:val="22"/>
          <w:lang w:val="sv-FI"/>
        </w:rPr>
        <w:t xml:space="preserve"> </w:t>
      </w:r>
      <w:r w:rsidR="000C061C" w:rsidRPr="38606E0E">
        <w:rPr>
          <w:sz w:val="22"/>
          <w:szCs w:val="22"/>
          <w:lang w:val="sv-FI"/>
        </w:rPr>
        <w:t>1/</w:t>
      </w:r>
      <w:proofErr w:type="gramStart"/>
      <w:r w:rsidR="000C061C" w:rsidRPr="38606E0E">
        <w:rPr>
          <w:sz w:val="22"/>
          <w:szCs w:val="22"/>
          <w:lang w:val="sv-FI"/>
        </w:rPr>
        <w:t>2024-2025</w:t>
      </w:r>
      <w:proofErr w:type="gramEnd"/>
      <w:r w:rsidR="000C061C" w:rsidRPr="38606E0E">
        <w:rPr>
          <w:sz w:val="22"/>
          <w:szCs w:val="22"/>
          <w:lang w:val="sv-FI"/>
        </w:rPr>
        <w:t xml:space="preserve"> och </w:t>
      </w:r>
      <w:r w:rsidR="00181B73" w:rsidRPr="38606E0E">
        <w:rPr>
          <w:sz w:val="22"/>
          <w:szCs w:val="22"/>
          <w:lang w:val="sv-FI"/>
        </w:rPr>
        <w:t>2</w:t>
      </w:r>
      <w:r w:rsidRPr="38606E0E">
        <w:rPr>
          <w:sz w:val="22"/>
          <w:szCs w:val="22"/>
          <w:lang w:val="sv-FI"/>
        </w:rPr>
        <w:t>/202</w:t>
      </w:r>
      <w:r w:rsidR="00181B73" w:rsidRPr="38606E0E">
        <w:rPr>
          <w:sz w:val="22"/>
          <w:szCs w:val="22"/>
          <w:lang w:val="sv-FI"/>
        </w:rPr>
        <w:t>4</w:t>
      </w:r>
      <w:r w:rsidRPr="38606E0E">
        <w:rPr>
          <w:sz w:val="22"/>
          <w:szCs w:val="22"/>
          <w:lang w:val="sv-FI"/>
        </w:rPr>
        <w:t>-202</w:t>
      </w:r>
      <w:r w:rsidR="00181B73" w:rsidRPr="38606E0E">
        <w:rPr>
          <w:sz w:val="22"/>
          <w:szCs w:val="22"/>
          <w:lang w:val="sv-FI"/>
        </w:rPr>
        <w:t>5</w:t>
      </w:r>
      <w:r w:rsidRPr="38606E0E">
        <w:rPr>
          <w:sz w:val="22"/>
          <w:szCs w:val="22"/>
          <w:lang w:val="sv-FI"/>
        </w:rPr>
        <w:t xml:space="preserve"> föreslås </w:t>
      </w:r>
      <w:r w:rsidR="00181B73" w:rsidRPr="38606E0E">
        <w:rPr>
          <w:sz w:val="22"/>
          <w:szCs w:val="22"/>
        </w:rPr>
        <w:t xml:space="preserve">att landskapsregeringen reviderar promillegränsen för </w:t>
      </w:r>
      <w:r w:rsidR="000C061C" w:rsidRPr="38606E0E">
        <w:rPr>
          <w:sz w:val="22"/>
          <w:szCs w:val="22"/>
        </w:rPr>
        <w:t xml:space="preserve">att framföra </w:t>
      </w:r>
      <w:r w:rsidR="00181B73" w:rsidRPr="38606E0E">
        <w:rPr>
          <w:sz w:val="22"/>
          <w:szCs w:val="22"/>
        </w:rPr>
        <w:t>båtar</w:t>
      </w:r>
      <w:r w:rsidR="000C061C" w:rsidRPr="38606E0E">
        <w:rPr>
          <w:sz w:val="22"/>
          <w:szCs w:val="22"/>
        </w:rPr>
        <w:t>, och specifikt</w:t>
      </w:r>
      <w:r w:rsidR="00181B73" w:rsidRPr="38606E0E">
        <w:rPr>
          <w:sz w:val="22"/>
          <w:szCs w:val="22"/>
        </w:rPr>
        <w:t xml:space="preserve"> </w:t>
      </w:r>
      <w:r w:rsidR="000C061C" w:rsidRPr="38606E0E">
        <w:rPr>
          <w:sz w:val="22"/>
          <w:szCs w:val="22"/>
        </w:rPr>
        <w:t xml:space="preserve">båtar </w:t>
      </w:r>
      <w:r w:rsidR="00181B73" w:rsidRPr="38606E0E">
        <w:rPr>
          <w:sz w:val="22"/>
          <w:szCs w:val="22"/>
        </w:rPr>
        <w:t xml:space="preserve">kortare än 24 meter som används i </w:t>
      </w:r>
      <w:proofErr w:type="spellStart"/>
      <w:r w:rsidR="00181B73" w:rsidRPr="38606E0E">
        <w:rPr>
          <w:sz w:val="22"/>
          <w:szCs w:val="22"/>
        </w:rPr>
        <w:t>närings</w:t>
      </w:r>
      <w:r w:rsidR="594DC134" w:rsidRPr="38606E0E">
        <w:rPr>
          <w:sz w:val="22"/>
          <w:szCs w:val="22"/>
        </w:rPr>
        <w:t>s</w:t>
      </w:r>
      <w:r w:rsidR="00181B73" w:rsidRPr="38606E0E">
        <w:rPr>
          <w:sz w:val="22"/>
          <w:szCs w:val="22"/>
        </w:rPr>
        <w:t>yfte</w:t>
      </w:r>
      <w:proofErr w:type="spellEnd"/>
      <w:r w:rsidR="000C061C" w:rsidRPr="38606E0E">
        <w:rPr>
          <w:sz w:val="22"/>
          <w:szCs w:val="22"/>
        </w:rPr>
        <w:t xml:space="preserve">. </w:t>
      </w:r>
    </w:p>
    <w:p w14:paraId="5FE99914" w14:textId="77777777" w:rsidR="00F95A76" w:rsidRDefault="00F95A76" w:rsidP="00F95A76">
      <w:pPr>
        <w:rPr>
          <w:szCs w:val="22"/>
          <w:lang w:val="sv-FI"/>
        </w:rPr>
      </w:pPr>
    </w:p>
    <w:p w14:paraId="4265C756" w14:textId="4046EB00" w:rsidR="002819F5" w:rsidRPr="00BD7E82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</w:r>
      <w:r>
        <w:rPr>
          <w:szCs w:val="22"/>
          <w:lang w:val="sv-FI"/>
        </w:rPr>
        <w:tab/>
      </w:r>
    </w:p>
    <w:p w14:paraId="46096B66" w14:textId="77777777" w:rsidR="002401D0" w:rsidRDefault="002401D0">
      <w:pPr>
        <w:pStyle w:val="RubrikB"/>
      </w:pPr>
      <w:bookmarkStart w:id="5" w:name="_Toc529800934"/>
      <w:bookmarkStart w:id="6" w:name="_Toc193959030"/>
      <w:r>
        <w:t>Utskottets förslag</w:t>
      </w:r>
      <w:bookmarkEnd w:id="5"/>
      <w:bookmarkEnd w:id="6"/>
    </w:p>
    <w:p w14:paraId="7269F155" w14:textId="77777777" w:rsidR="002401D0" w:rsidRDefault="002401D0">
      <w:pPr>
        <w:pStyle w:val="Rubrikmellanrum"/>
      </w:pPr>
    </w:p>
    <w:p w14:paraId="72D1D641" w14:textId="77777777" w:rsidR="007E7BAF" w:rsidRDefault="00997FBA">
      <w:pPr>
        <w:pStyle w:val="ANormal"/>
      </w:pPr>
      <w:r>
        <w:t>Utskottet för</w:t>
      </w:r>
      <w:r w:rsidR="00576838">
        <w:t>e</w:t>
      </w:r>
      <w:r>
        <w:t xml:space="preserve">slår att </w:t>
      </w:r>
      <w:r w:rsidR="00B82747">
        <w:t xml:space="preserve">åtgärdsmotion </w:t>
      </w:r>
      <w:r w:rsidR="003211E4">
        <w:t xml:space="preserve">nr </w:t>
      </w:r>
      <w:r w:rsidR="000C061C">
        <w:t>1/</w:t>
      </w:r>
      <w:proofErr w:type="gramStart"/>
      <w:r w:rsidR="000C061C">
        <w:t>2024-2025</w:t>
      </w:r>
      <w:proofErr w:type="gramEnd"/>
      <w:r w:rsidR="000C061C">
        <w:t xml:space="preserve"> </w:t>
      </w:r>
      <w:r w:rsidR="00665712">
        <w:t xml:space="preserve">förkastas. </w:t>
      </w:r>
    </w:p>
    <w:p w14:paraId="655C3C71" w14:textId="5BD0C2E6" w:rsidR="002401D0" w:rsidRDefault="00665712">
      <w:pPr>
        <w:pStyle w:val="ANormal"/>
      </w:pPr>
      <w:r>
        <w:t xml:space="preserve">Utskottet föreslår ett så kallat positivt förkastande </w:t>
      </w:r>
      <w:r w:rsidR="007E7BAF">
        <w:t>av</w:t>
      </w:r>
      <w:r>
        <w:t xml:space="preserve"> åtgärdsmotion nr </w:t>
      </w:r>
      <w:r w:rsidR="00181B73">
        <w:t>2</w:t>
      </w:r>
      <w:r w:rsidR="003211E4">
        <w:t>/</w:t>
      </w:r>
      <w:proofErr w:type="gramStart"/>
      <w:r w:rsidR="003211E4">
        <w:t>202</w:t>
      </w:r>
      <w:r w:rsidR="00181B73">
        <w:t>4</w:t>
      </w:r>
      <w:r w:rsidR="003211E4">
        <w:t>-202</w:t>
      </w:r>
      <w:r w:rsidR="00181B73">
        <w:t>5</w:t>
      </w:r>
      <w:proofErr w:type="gramEnd"/>
      <w:r>
        <w:t xml:space="preserve">, med </w:t>
      </w:r>
      <w:r w:rsidR="00F462C8">
        <w:t>beaktande av vad utskottet anför under rubriken Utskottets synpunkter</w:t>
      </w:r>
      <w:r w:rsidR="00576838">
        <w:t xml:space="preserve">. </w:t>
      </w:r>
    </w:p>
    <w:p w14:paraId="1E87B0EA" w14:textId="77777777" w:rsidR="002401D0" w:rsidRDefault="002401D0">
      <w:pPr>
        <w:pStyle w:val="ANormal"/>
      </w:pPr>
    </w:p>
    <w:p w14:paraId="569AD022" w14:textId="77777777" w:rsidR="002401D0" w:rsidRDefault="002401D0">
      <w:pPr>
        <w:pStyle w:val="RubrikA"/>
      </w:pPr>
      <w:bookmarkStart w:id="7" w:name="_Toc529800935"/>
      <w:bookmarkStart w:id="8" w:name="_Toc193959031"/>
      <w:r>
        <w:t>Utskottets synpunkter</w:t>
      </w:r>
      <w:bookmarkEnd w:id="7"/>
      <w:bookmarkEnd w:id="8"/>
    </w:p>
    <w:p w14:paraId="0C2F7B00" w14:textId="77777777" w:rsidR="002401D0" w:rsidRDefault="002401D0">
      <w:pPr>
        <w:pStyle w:val="Rubrikmellanrum"/>
      </w:pPr>
    </w:p>
    <w:p w14:paraId="61CF6DD6" w14:textId="411ECED2" w:rsidR="00F7301C" w:rsidRDefault="00F7301C" w:rsidP="00F7301C">
      <w:pPr>
        <w:pStyle w:val="ANormal"/>
      </w:pPr>
      <w:r>
        <w:t>Ålands lagting har lagstiftningsbehörighet över båttrafiken</w:t>
      </w:r>
      <w:r w:rsidR="007D0C7A">
        <w:t>, samt beläggande med straff och storleken av straff inom rättsområden som hör till landskapets lagstiftningsbehörighet,</w:t>
      </w:r>
      <w:r>
        <w:t xml:space="preserve"> medan Finlands riksdag reglerar handelssjöfarten och allmän straffrätt. </w:t>
      </w:r>
      <w:r w:rsidR="009C41D2">
        <w:t xml:space="preserve">Då frågan om promillehalt för framförande av båtar </w:t>
      </w:r>
      <w:r w:rsidR="73136B4D">
        <w:t xml:space="preserve">i yrkesmässig trafik </w:t>
      </w:r>
      <w:r w:rsidR="009C41D2">
        <w:t xml:space="preserve">på Åland är </w:t>
      </w:r>
      <w:r w:rsidR="000C1855">
        <w:t xml:space="preserve">sporadiskt </w:t>
      </w:r>
      <w:r w:rsidR="009C41D2">
        <w:t>återkommande anser u</w:t>
      </w:r>
      <w:r>
        <w:t xml:space="preserve">tskottet det motiverat att </w:t>
      </w:r>
      <w:r w:rsidR="009C41D2">
        <w:t xml:space="preserve">utförligt anföra sin synpunkt. </w:t>
      </w:r>
    </w:p>
    <w:p w14:paraId="0543EB11" w14:textId="77777777" w:rsidR="00F7301C" w:rsidRDefault="00F7301C" w:rsidP="00F7301C">
      <w:pPr>
        <w:pStyle w:val="ANormal"/>
      </w:pPr>
    </w:p>
    <w:p w14:paraId="059E1929" w14:textId="386B6A2A" w:rsidR="00F7301C" w:rsidRDefault="00F7301C" w:rsidP="00F7301C">
      <w:pPr>
        <w:pStyle w:val="RubrikC"/>
      </w:pPr>
      <w:bookmarkStart w:id="9" w:name="_Toc193959032"/>
      <w:r>
        <w:t>Lagstiftningsbehörighet</w:t>
      </w:r>
      <w:r w:rsidR="009C41D2">
        <w:t xml:space="preserve"> för sjötrafik</w:t>
      </w:r>
      <w:bookmarkEnd w:id="9"/>
    </w:p>
    <w:p w14:paraId="0021E090" w14:textId="77777777" w:rsidR="00F7301C" w:rsidRPr="00F7301C" w:rsidRDefault="00F7301C" w:rsidP="00F7301C">
      <w:pPr>
        <w:pStyle w:val="ANormal"/>
        <w:rPr>
          <w:sz w:val="10"/>
          <w:szCs w:val="10"/>
        </w:rPr>
      </w:pPr>
    </w:p>
    <w:p w14:paraId="5922FE16" w14:textId="2A212C81" w:rsidR="009C41D2" w:rsidRDefault="00665712" w:rsidP="00E060DE">
      <w:pPr>
        <w:pStyle w:val="ANormal"/>
      </w:pPr>
      <w:r>
        <w:t>Inom de områden landskapet har lagstiftningsbehörighet</w:t>
      </w:r>
      <w:r w:rsidR="374F9D0E">
        <w:t xml:space="preserve"> </w:t>
      </w:r>
      <w:r>
        <w:t xml:space="preserve">är behörigheten exklusiv. </w:t>
      </w:r>
      <w:r w:rsidR="00181B73">
        <w:t xml:space="preserve">Beträffande sjötrafik föreskriver 18 § 21 punkten självstyrelselagen (1991:71) att kanaler, båttrafik och farleder för den lokala sjötrafiken faller under </w:t>
      </w:r>
      <w:r w:rsidR="007E7BAF">
        <w:t>landskapets</w:t>
      </w:r>
      <w:r w:rsidR="00181B73">
        <w:t xml:space="preserve"> lagstiftningsbehörighet. </w:t>
      </w:r>
      <w:r w:rsidR="009C41D2">
        <w:t xml:space="preserve">I och med 1991 års självstyrelselag överfördes ansvaret för </w:t>
      </w:r>
      <w:r w:rsidR="009C41D2" w:rsidRPr="38606E0E">
        <w:rPr>
          <w:i/>
          <w:iCs/>
        </w:rPr>
        <w:t>båttrafik</w:t>
      </w:r>
      <w:r w:rsidR="009C41D2">
        <w:t xml:space="preserve"> till landskapet vilket </w:t>
      </w:r>
      <w:r w:rsidR="00181B73">
        <w:t>avser småbåtstrafik och inkluderar fritidsbåtar.</w:t>
      </w:r>
      <w:r w:rsidR="007D0C7A">
        <w:t xml:space="preserve"> </w:t>
      </w:r>
      <w:r w:rsidR="00181B73">
        <w:t xml:space="preserve">Enligt 27 § 13 punkten självstyrelselagen är </w:t>
      </w:r>
      <w:r w:rsidR="00181B73">
        <w:lastRenderedPageBreak/>
        <w:t>handelssjöfart och farleder för handelssjöfarten en</w:t>
      </w:r>
      <w:r>
        <w:t xml:space="preserve"> riksbehörighet</w:t>
      </w:r>
      <w:r w:rsidR="00E62222">
        <w:t>.</w:t>
      </w:r>
      <w:r w:rsidR="00181B73">
        <w:t xml:space="preserve"> Det innebär att lagstiftning som rör yrkestrafik till sjöss</w:t>
      </w:r>
      <w:r>
        <w:t xml:space="preserve"> </w:t>
      </w:r>
      <w:proofErr w:type="gramStart"/>
      <w:r w:rsidR="00181B73">
        <w:t>t.ex.</w:t>
      </w:r>
      <w:proofErr w:type="gramEnd"/>
      <w:r w:rsidR="00181B73">
        <w:t xml:space="preserve"> passagerarfärjor, fraktfartyg och andra kommersiella fartyg gäller i hela landet, inklusive Åland. </w:t>
      </w:r>
    </w:p>
    <w:p w14:paraId="1897134E" w14:textId="74923DD3" w:rsidR="00163990" w:rsidRDefault="009C41D2" w:rsidP="00181B73">
      <w:pPr>
        <w:pStyle w:val="ANormal"/>
      </w:pPr>
      <w:r>
        <w:t>Da</w:t>
      </w:r>
      <w:r w:rsidR="007E7BAF">
        <w:t>ge</w:t>
      </w:r>
      <w:r>
        <w:t>ns oklarhet</w:t>
      </w:r>
      <w:r w:rsidR="000011EB">
        <w:t xml:space="preserve"> uppstod med de ändringar som gjordes i 1991 års självstyrelselag och landskapets övertagande av behörigheten för </w:t>
      </w:r>
      <w:r w:rsidR="000011EB" w:rsidRPr="000011EB">
        <w:rPr>
          <w:i/>
          <w:iCs/>
        </w:rPr>
        <w:t>båttrafik</w:t>
      </w:r>
      <w:r w:rsidR="00905102">
        <w:t xml:space="preserve"> samt beläggande av straff inom området. I enlighet med 71 § självstyrelselagen (1991:71) ska riksbestämmelser</w:t>
      </w:r>
      <w:r>
        <w:t>,</w:t>
      </w:r>
      <w:r w:rsidR="00905102">
        <w:t xml:space="preserve"> som gäller inom ett rättsområde som överförs till landskapet</w:t>
      </w:r>
      <w:r>
        <w:t>, gälla</w:t>
      </w:r>
      <w:r w:rsidR="00905102">
        <w:t xml:space="preserve"> tills de upphävs av landskapslag. Det innebär att </w:t>
      </w:r>
      <w:proofErr w:type="spellStart"/>
      <w:r w:rsidR="00905102">
        <w:t>rikslagen</w:t>
      </w:r>
      <w:proofErr w:type="spellEnd"/>
      <w:r w:rsidR="00905102">
        <w:t xml:space="preserve"> och riksförordningen om båttrafik (FFS 151/1969 och FFS 152/1969) samt 23 kap 6 § om sjöfylleri (FFS 960/1976) som var gällande 31 december 1992 fortsatte gälla på Åland när den nya självstyrelselagen trädde </w:t>
      </w:r>
      <w:r w:rsidR="00CC7071">
        <w:t>i kraft</w:t>
      </w:r>
      <w:r w:rsidR="00905102">
        <w:t xml:space="preserve"> den 1 januari 1993</w:t>
      </w:r>
      <w:r w:rsidR="007E7BAF">
        <w:t>, eftersom ingen landskapslag på området ännu fanns</w:t>
      </w:r>
      <w:r w:rsidR="00905102">
        <w:t xml:space="preserve">. </w:t>
      </w:r>
      <w:r w:rsidR="00163990">
        <w:t xml:space="preserve">Riksbestämmelserna avgränsar båttrafik som motordrivna farkoster som inte </w:t>
      </w:r>
      <w:r w:rsidR="00163990" w:rsidRPr="00163990">
        <w:t>är i försvarsväsendets</w:t>
      </w:r>
      <w:r w:rsidR="00163990">
        <w:t>,</w:t>
      </w:r>
      <w:r w:rsidR="00163990" w:rsidRPr="00163990">
        <w:t xml:space="preserve"> gränsbevakningsväsende</w:t>
      </w:r>
      <w:r w:rsidR="00163990">
        <w:t>ts</w:t>
      </w:r>
      <w:r w:rsidR="00163990" w:rsidRPr="00163990">
        <w:t xml:space="preserve"> eller polisens bruk.</w:t>
      </w:r>
      <w:r w:rsidR="00163990">
        <w:t xml:space="preserve"> </w:t>
      </w:r>
      <w:r w:rsidR="00E060DE">
        <w:t xml:space="preserve">Ålands lagting antog </w:t>
      </w:r>
      <w:r w:rsidR="00163990">
        <w:t xml:space="preserve">senare </w:t>
      </w:r>
      <w:r w:rsidR="00E060DE">
        <w:t xml:space="preserve">landskapslag </w:t>
      </w:r>
      <w:r w:rsidR="00CC7071">
        <w:t xml:space="preserve">(1998:102) </w:t>
      </w:r>
      <w:r w:rsidR="00E060DE">
        <w:t>om fritidsbåtar. Syftet med lagen var att reglera fritidsbåtar</w:t>
      </w:r>
      <w:r w:rsidR="00163990">
        <w:t>s</w:t>
      </w:r>
      <w:r w:rsidR="00E060DE">
        <w:t xml:space="preserve"> säkerhet och miljökrav givet kraven i fritidsbåtsdirektivet 94/25/EG. Lagstiftningen begränsas</w:t>
      </w:r>
      <w:r w:rsidR="007D0C7A">
        <w:t xml:space="preserve"> </w:t>
      </w:r>
      <w:r w:rsidR="00E060DE">
        <w:t xml:space="preserve">till fritidsbåtar vilka i 1 § definieras som </w:t>
      </w:r>
      <w:r w:rsidR="00E060DE" w:rsidRPr="00163990">
        <w:t xml:space="preserve">båtar med en skrovlängd på minst 2,5 och högst 24 meter som är avsedda för sport- eller fritidsändamål </w:t>
      </w:r>
      <w:r w:rsidR="00E060DE" w:rsidRPr="00163990">
        <w:rPr>
          <w:i/>
          <w:iCs/>
        </w:rPr>
        <w:t>(fritidsbåtar)</w:t>
      </w:r>
      <w:r w:rsidR="00E060DE">
        <w:t>.</w:t>
      </w:r>
      <w:r w:rsidR="00163990">
        <w:t xml:space="preserve"> </w:t>
      </w:r>
      <w:r w:rsidR="00CC7071">
        <w:t xml:space="preserve">Genom landskapslagen upphävdes </w:t>
      </w:r>
      <w:proofErr w:type="spellStart"/>
      <w:r w:rsidR="00CC7071">
        <w:t>riks</w:t>
      </w:r>
      <w:r w:rsidR="00CC7071" w:rsidRPr="00CC7071">
        <w:t>lagen</w:t>
      </w:r>
      <w:proofErr w:type="spellEnd"/>
      <w:r w:rsidR="00CC7071" w:rsidRPr="00CC7071">
        <w:t xml:space="preserve"> om båttrafik (FFS 151/1969) och förordningen om båttrafik (FFS 152/1969) till de delar de fortfarande </w:t>
      </w:r>
      <w:r w:rsidR="00CC7071">
        <w:t>var</w:t>
      </w:r>
      <w:r w:rsidR="00CC7071" w:rsidRPr="00CC7071">
        <w:t xml:space="preserve"> i kraft i landskapet.</w:t>
      </w:r>
      <w:r w:rsidR="000779B7">
        <w:t xml:space="preserve"> Definitionen av fritidsbåtar i </w:t>
      </w:r>
      <w:r w:rsidR="00163990">
        <w:t>landskapslagen</w:t>
      </w:r>
      <w:r w:rsidR="000779B7">
        <w:t xml:space="preserve"> är inte densamma som i </w:t>
      </w:r>
      <w:proofErr w:type="spellStart"/>
      <w:r w:rsidR="000779B7">
        <w:t>rikslagen</w:t>
      </w:r>
      <w:proofErr w:type="spellEnd"/>
      <w:r w:rsidR="000779B7">
        <w:t xml:space="preserve"> om båttrafik från 1969 där uppräknade undantag begränsar sig till </w:t>
      </w:r>
      <w:r w:rsidR="000779B7" w:rsidRPr="000779B7">
        <w:t>båt som är i försvarsväsendets, gränsbevakningsväsendets eller polisens bruk</w:t>
      </w:r>
      <w:r w:rsidR="000779B7">
        <w:t>.</w:t>
      </w:r>
      <w:r w:rsidR="007E7BAF">
        <w:t xml:space="preserve"> Båtar som inte definieras som fritidsbåtar är </w:t>
      </w:r>
      <w:r w:rsidR="007D0C7A">
        <w:t>allt</w:t>
      </w:r>
      <w:r w:rsidR="00171A43">
        <w:t>jämt</w:t>
      </w:r>
      <w:r w:rsidR="007E7BAF">
        <w:t xml:space="preserve"> landskapets behörighet, men i avsaknad av landskapslag regleras de genom </w:t>
      </w:r>
      <w:proofErr w:type="spellStart"/>
      <w:r w:rsidR="007E7BAF">
        <w:t>rikslagen</w:t>
      </w:r>
      <w:proofErr w:type="spellEnd"/>
      <w:r w:rsidR="007E7BAF">
        <w:t xml:space="preserve"> från 1969. </w:t>
      </w:r>
      <w:r w:rsidR="004E36FB">
        <w:t xml:space="preserve">Den åländska lagen ändrades ytterligare genom landskapslag (2017:29) om vattenfarkoster, som utökade tillämpningen från fritidsbåtar till vattenskotrar. </w:t>
      </w:r>
      <w:r w:rsidR="007D0C7A">
        <w:t xml:space="preserve">Andra båtar omfattas inte. </w:t>
      </w:r>
      <w:r w:rsidR="004E36FB">
        <w:t xml:space="preserve"> </w:t>
      </w:r>
    </w:p>
    <w:p w14:paraId="2D9BBF68" w14:textId="77777777" w:rsidR="00163990" w:rsidRDefault="00163990" w:rsidP="00181B73">
      <w:pPr>
        <w:pStyle w:val="ANormal"/>
      </w:pPr>
    </w:p>
    <w:p w14:paraId="2766D0AE" w14:textId="7D2DF3BB" w:rsidR="007302C6" w:rsidRDefault="007302C6" w:rsidP="007302C6">
      <w:pPr>
        <w:pStyle w:val="RubrikC"/>
      </w:pPr>
      <w:bookmarkStart w:id="10" w:name="_Toc193959033"/>
      <w:r>
        <w:t>Promillegräns</w:t>
      </w:r>
      <w:bookmarkEnd w:id="10"/>
      <w:r>
        <w:t xml:space="preserve"> </w:t>
      </w:r>
    </w:p>
    <w:p w14:paraId="1F2202A8" w14:textId="12B7FE9C" w:rsidR="004E36FB" w:rsidRDefault="007E7BAF" w:rsidP="38606E0E">
      <w:pPr>
        <w:pStyle w:val="ANormal"/>
        <w:spacing w:line="259" w:lineRule="auto"/>
      </w:pPr>
      <w:r>
        <w:t>Landskapets lag för fritidsbåtar reviderades genom landskapslag (2003:32) om fritidsbåtar som nu omfattar bestämmelser om promillegräns för båtframförande, och definierar sjöfylleri som att framföra en fritidsbåt med en alkoholhalt om minst 1,0 promille i blodet. Bestämmelsen om sjöfylleri gäller fortsättningsvis enbart båtar enligt definition</w:t>
      </w:r>
      <w:r w:rsidR="0BA4CFF7">
        <w:t>en</w:t>
      </w:r>
      <w:r>
        <w:t xml:space="preserve"> i 1998 års lag om fritidsbåtar. Det innebar att båtar som inte föll inom landskapslagen definition av fritidsbåtar inte hade tillämpliga regler om sjöfylleri att efterleva. Gränsen för sjöfylleri sänktes i Finland år 1994 från 1,5 ‰ till 1,0 ‰, medan Åland då ännu tillämpade den äldre gränsen 1,5 ‰ tills egen lagstiftning antogs år 2003, när Ålands lagting införde </w:t>
      </w:r>
      <w:r w:rsidR="007D0C7A">
        <w:t>en ny</w:t>
      </w:r>
      <w:r>
        <w:t xml:space="preserve"> fritidsbåtslag. För båtar på Åland som inte definierades som fritidsbåtar eller för handelssjöfart, och som omfattades av riksförordningen om båttrafik, </w:t>
      </w:r>
      <w:r w:rsidR="00171A43">
        <w:t>är</w:t>
      </w:r>
      <w:r>
        <w:t xml:space="preserve"> tillämplig lag strafflagen 23 kap 6 § om sjöfylleri (FFS 960/1976), som den lydde 31 december 1992 när behörigheten överfördes på landskapet, med en promillegräns på 1,5 ‰. Till denna del ha</w:t>
      </w:r>
      <w:r w:rsidR="007D0C7A">
        <w:t>de</w:t>
      </w:r>
      <w:r>
        <w:t xml:space="preserve"> bestämmelsen inte upphävts av landskapslag i enlighet m</w:t>
      </w:r>
      <w:r w:rsidR="3CD4FBC1">
        <w:t>9</w:t>
      </w:r>
      <w:r>
        <w:t>ed 71 § självstyrelselagen.</w:t>
      </w:r>
      <w:r w:rsidR="00C27443">
        <w:t xml:space="preserve"> </w:t>
      </w:r>
      <w:r>
        <w:t xml:space="preserve">Finland sänkte </w:t>
      </w:r>
      <w:r w:rsidR="004E36FB">
        <w:t xml:space="preserve">2012 </w:t>
      </w:r>
      <w:r>
        <w:t xml:space="preserve">den tillåtna promillehalten till sjöss från 1,0 ‰ till 0,5 ‰ för yrkesmässig trafik med undantag för fiskefartyg. </w:t>
      </w:r>
      <w:r w:rsidR="004E36FB">
        <w:t xml:space="preserve">Promillegränsen 0,5 gäller all yrkesmässig frakt- och persontrafik som rör sig på Finlands territorialvatten.​ Till yrkesmässig trafik räknas frakt av last och passagerartransport, men regelverket berör även tex bogserbåtar, isbrytare, forskningsfartyg och sjöräddningsfarkoster​, trafikerande restaurangbåtar, hyresfarkoster med besättning samt av kommunernas och staten ägda farkoster och yrkesbåtar. </w:t>
      </w:r>
      <w:r w:rsidR="00B07024">
        <w:t xml:space="preserve">Denna nya promilleregel trädde i kraft även på Åland för alla </w:t>
      </w:r>
      <w:r w:rsidR="3BE9C4E9">
        <w:t xml:space="preserve">farkoster </w:t>
      </w:r>
      <w:r w:rsidR="00B07024">
        <w:t>i yrkestrafik</w:t>
      </w:r>
      <w:r w:rsidR="007D0C7A">
        <w:t xml:space="preserve"> som </w:t>
      </w:r>
      <w:r w:rsidR="00B07024">
        <w:t xml:space="preserve">faller under rikets behörighet. </w:t>
      </w:r>
      <w:r w:rsidR="00B07024">
        <w:lastRenderedPageBreak/>
        <w:t>Samtidigt stod Ålands egen lagstiftning kvar på 1,0 ‰ som gräns för sjöfylleri på fritidsbåtar.</w:t>
      </w:r>
    </w:p>
    <w:p w14:paraId="25277E2E" w14:textId="77777777" w:rsidR="004E36FB" w:rsidRDefault="004E36FB" w:rsidP="004E36FB">
      <w:pPr>
        <w:pStyle w:val="ANormal"/>
      </w:pPr>
    </w:p>
    <w:p w14:paraId="7A65D0D1" w14:textId="4E1FDEE1" w:rsidR="00181B73" w:rsidRDefault="000011EB" w:rsidP="00181B73">
      <w:pPr>
        <w:pStyle w:val="ANormal"/>
      </w:pPr>
      <w:r>
        <w:t>Oklarheten som åtgärdsmotionen</w:t>
      </w:r>
      <w:r w:rsidR="00F44137">
        <w:t xml:space="preserve"> nr 2/</w:t>
      </w:r>
      <w:proofErr w:type="gramStart"/>
      <w:r w:rsidR="00F44137">
        <w:t>2024-2025</w:t>
      </w:r>
      <w:proofErr w:type="gramEnd"/>
      <w:r>
        <w:t xml:space="preserve"> lyfter gäller</w:t>
      </w:r>
      <w:r w:rsidR="004E36FB">
        <w:t xml:space="preserve"> </w:t>
      </w:r>
      <w:r w:rsidR="004E36FB" w:rsidRPr="38606E0E">
        <w:rPr>
          <w:lang w:val="sv-FI"/>
        </w:rPr>
        <w:t xml:space="preserve">framförande av </w:t>
      </w:r>
      <w:r w:rsidR="00B07024" w:rsidRPr="38606E0E">
        <w:rPr>
          <w:lang w:val="sv-FI"/>
        </w:rPr>
        <w:t xml:space="preserve">åländska </w:t>
      </w:r>
      <w:r w:rsidR="004E36FB" w:rsidRPr="38606E0E">
        <w:rPr>
          <w:lang w:val="sv-FI"/>
        </w:rPr>
        <w:t>farkoster i yrkesmässig sjöfart.</w:t>
      </w:r>
      <w:r w:rsidR="004E36FB">
        <w:t>​</w:t>
      </w:r>
      <w:r>
        <w:t xml:space="preserve"> </w:t>
      </w:r>
      <w:r w:rsidR="004E36FB">
        <w:t>Lagstiftningshistoriken beskriven här ovan</w:t>
      </w:r>
      <w:r>
        <w:t xml:space="preserve"> har lett till att </w:t>
      </w:r>
      <w:r w:rsidR="00B07024">
        <w:t xml:space="preserve">landskapets </w:t>
      </w:r>
      <w:r w:rsidR="6D04AB7F">
        <w:t>farkoster i yrkesmässig trafik</w:t>
      </w:r>
      <w:r>
        <w:t xml:space="preserve"> hamnat utanför både rikets nya regler och landskapets fritidsbåtslag. </w:t>
      </w:r>
    </w:p>
    <w:p w14:paraId="2F08E8DF" w14:textId="77777777" w:rsidR="00181B73" w:rsidRDefault="00181B73" w:rsidP="00181B73">
      <w:pPr>
        <w:pStyle w:val="ANormal"/>
      </w:pPr>
    </w:p>
    <w:p w14:paraId="4831C72F" w14:textId="2335F18E" w:rsidR="009F2384" w:rsidRDefault="00B07024" w:rsidP="00B07024">
      <w:pPr>
        <w:pStyle w:val="RubrikC"/>
      </w:pPr>
      <w:bookmarkStart w:id="11" w:name="_Toc193959034"/>
      <w:r>
        <w:t>Utskottets slutsats</w:t>
      </w:r>
      <w:bookmarkEnd w:id="11"/>
      <w:r>
        <w:t xml:space="preserve"> </w:t>
      </w:r>
    </w:p>
    <w:p w14:paraId="253282D8" w14:textId="0855DED0" w:rsidR="00DA3B0C" w:rsidRDefault="00364C3B" w:rsidP="00181B73">
      <w:pPr>
        <w:pStyle w:val="ANormal"/>
        <w:rPr>
          <w:lang w:val="sv-FI"/>
        </w:rPr>
      </w:pPr>
      <w:r>
        <w:tab/>
      </w:r>
      <w:r w:rsidR="00B07024">
        <w:t xml:space="preserve">Utskottet konstaterar att den påtalade oklarheten vad gäller </w:t>
      </w:r>
      <w:r w:rsidR="00DA3B0C">
        <w:t xml:space="preserve">framförande </w:t>
      </w:r>
      <w:r w:rsidR="00B07024" w:rsidRPr="00B07024">
        <w:rPr>
          <w:lang w:val="sv-FI"/>
        </w:rPr>
        <w:t>av farkoster i yrkesmässig sjöfart</w:t>
      </w:r>
      <w:r w:rsidR="00DA3B0C">
        <w:rPr>
          <w:lang w:val="sv-FI"/>
        </w:rPr>
        <w:t xml:space="preserve"> </w:t>
      </w:r>
      <w:r w:rsidR="00D14AEB">
        <w:rPr>
          <w:lang w:val="sv-FI"/>
        </w:rPr>
        <w:t>bör klargöras</w:t>
      </w:r>
      <w:r w:rsidR="00DA3B0C">
        <w:rPr>
          <w:lang w:val="sv-FI"/>
        </w:rPr>
        <w:t xml:space="preserve">. </w:t>
      </w:r>
      <w:r w:rsidR="00D14AEB">
        <w:rPr>
          <w:lang w:val="sv-FI"/>
        </w:rPr>
        <w:t>Rättsområdet</w:t>
      </w:r>
      <w:r w:rsidR="00DA3B0C">
        <w:rPr>
          <w:lang w:val="sv-FI"/>
        </w:rPr>
        <w:t xml:space="preserve"> är landskapets behörighet, men </w:t>
      </w:r>
      <w:r w:rsidR="00D14AEB">
        <w:rPr>
          <w:lang w:val="sv-FI"/>
        </w:rPr>
        <w:t>då</w:t>
      </w:r>
      <w:r w:rsidR="00DA3B0C">
        <w:rPr>
          <w:lang w:val="sv-FI"/>
        </w:rPr>
        <w:t xml:space="preserve"> behörigheten i praktiken inte utnyttjats sedan den övertogs </w:t>
      </w:r>
      <w:r w:rsidR="00D14AEB">
        <w:rPr>
          <w:lang w:val="sv-FI"/>
        </w:rPr>
        <w:t xml:space="preserve">har en föråldrad </w:t>
      </w:r>
      <w:proofErr w:type="spellStart"/>
      <w:r w:rsidR="00D14AEB">
        <w:rPr>
          <w:lang w:val="sv-FI"/>
        </w:rPr>
        <w:t>rikslag</w:t>
      </w:r>
      <w:proofErr w:type="spellEnd"/>
      <w:r w:rsidR="00D14AEB">
        <w:rPr>
          <w:lang w:val="sv-FI"/>
        </w:rPr>
        <w:t xml:space="preserve"> skapat osäkerhet i tillämpningen av reglerna. </w:t>
      </w:r>
    </w:p>
    <w:p w14:paraId="7FCBF157" w14:textId="0292CE83" w:rsidR="00D14AEB" w:rsidRDefault="00364C3B" w:rsidP="00181B73">
      <w:pPr>
        <w:pStyle w:val="ANormal"/>
      </w:pPr>
      <w:r>
        <w:rPr>
          <w:lang w:val="sv-FI"/>
        </w:rPr>
        <w:tab/>
      </w:r>
      <w:r w:rsidR="00DA3B0C">
        <w:rPr>
          <w:lang w:val="sv-FI"/>
        </w:rPr>
        <w:t xml:space="preserve">Utskottet understryker att </w:t>
      </w:r>
      <w:r w:rsidR="00181B73">
        <w:t xml:space="preserve">Ålands landskapslagar om sjötrafik och promillegränser genomgått </w:t>
      </w:r>
      <w:r w:rsidR="002031E6">
        <w:t>lagstiftnings</w:t>
      </w:r>
      <w:r w:rsidR="00181B73">
        <w:t xml:space="preserve">kontroll. Högsta domstolen </w:t>
      </w:r>
      <w:r w:rsidR="00E05BD6">
        <w:t xml:space="preserve">(HD) </w:t>
      </w:r>
      <w:r w:rsidR="009F2384">
        <w:t>konstaterade i sitt utlåtande OH</w:t>
      </w:r>
      <w:r w:rsidR="00C830B8">
        <w:t>2003/</w:t>
      </w:r>
      <w:r w:rsidR="00C17FCD">
        <w:t>5</w:t>
      </w:r>
      <w:r w:rsidR="00181B73">
        <w:t xml:space="preserve"> </w:t>
      </w:r>
      <w:r w:rsidR="009F2384">
        <w:t>att</w:t>
      </w:r>
      <w:r w:rsidR="00181B73">
        <w:t xml:space="preserve"> </w:t>
      </w:r>
      <w:r w:rsidR="009F2384">
        <w:t>landskapet</w:t>
      </w:r>
      <w:r w:rsidR="00181B73">
        <w:t xml:space="preserve"> ha</w:t>
      </w:r>
      <w:r w:rsidR="009F2384">
        <w:t xml:space="preserve">r </w:t>
      </w:r>
      <w:r w:rsidR="00181B73">
        <w:t>behörighet att reglera fylleri i sjötrafik med vattenfarkoster. På den grunden stadfästes landskapslagen om fritidsbåtar, inklusive paragrafe</w:t>
      </w:r>
      <w:r w:rsidR="00D14AEB">
        <w:t>n om sjöfylleri</w:t>
      </w:r>
      <w:r w:rsidR="009F2384">
        <w:t>.</w:t>
      </w:r>
      <w:r w:rsidR="00181B73">
        <w:t xml:space="preserve"> </w:t>
      </w:r>
      <w:r w:rsidR="008B0E43">
        <w:t xml:space="preserve">Även i </w:t>
      </w:r>
      <w:r w:rsidR="00593FC3">
        <w:t xml:space="preserve">utlåtande </w:t>
      </w:r>
      <w:r w:rsidR="00C17FCD">
        <w:t xml:space="preserve">OH2017/32 </w:t>
      </w:r>
      <w:r w:rsidR="008B0E43">
        <w:t xml:space="preserve">konstaterade HD att det specifika straffstadgandet om sjöfylleri i den lagen omfattades av Ålands behörighet enligt 18 § 25 p. självstyrelselagen. Punkt 25 i 18 § ger landskapet rätt att föreskriva om beläggande med straff för överträdelser inom dess behörighetsområden. </w:t>
      </w:r>
    </w:p>
    <w:p w14:paraId="60DAA4D3" w14:textId="46FFFFC4" w:rsidR="00D14AEB" w:rsidRDefault="00D14AEB" w:rsidP="00181B73">
      <w:pPr>
        <w:pStyle w:val="ANormal"/>
      </w:pPr>
      <w:r>
        <w:tab/>
      </w:r>
      <w:r w:rsidR="00757DCE">
        <w:t xml:space="preserve">I fallet med </w:t>
      </w:r>
      <w:r w:rsidR="6FB99A71">
        <w:t>farkoster i yrkesmässig trafik</w:t>
      </w:r>
      <w:r w:rsidR="00757DCE">
        <w:t xml:space="preserve"> </w:t>
      </w:r>
      <w:r w:rsidR="00CA79DC">
        <w:t xml:space="preserve">noterar utskottet att </w:t>
      </w:r>
      <w:r w:rsidR="00757DCE">
        <w:t>överenskommels</w:t>
      </w:r>
      <w:r>
        <w:t>eförordning som instrument</w:t>
      </w:r>
      <w:r w:rsidR="00757DCE">
        <w:t xml:space="preserve"> </w:t>
      </w:r>
      <w:r>
        <w:t>att överföra förvaltningsuppgifter v</w:t>
      </w:r>
      <w:r w:rsidR="00757DCE">
        <w:t xml:space="preserve">arit otillräckligt eller outnyttjat; </w:t>
      </w:r>
      <w:r w:rsidR="280894A7">
        <w:t>farkoster i yrkesmässig trafik</w:t>
      </w:r>
      <w:r w:rsidR="00757DCE">
        <w:t xml:space="preserve"> föll under landskapets behörighet men inkluderades inte i landskapslagen 2003</w:t>
      </w:r>
      <w:r>
        <w:t xml:space="preserve">. De </w:t>
      </w:r>
      <w:r w:rsidR="00757DCE">
        <w:t xml:space="preserve">undantogs </w:t>
      </w:r>
      <w:r>
        <w:t xml:space="preserve">även </w:t>
      </w:r>
      <w:r w:rsidR="00757DCE">
        <w:t xml:space="preserve">ur rikets lag 2010. </w:t>
      </w:r>
      <w:r w:rsidR="0074064F">
        <w:t>Om en förare av en mindre båt stoppas berusad i åländska vatten måste myndigheten avgöra om båten förs i egenskap av fritidsbåt eller inom yrkesutövning.</w:t>
      </w:r>
      <w:r w:rsidR="007B1A89">
        <w:t xml:space="preserve"> </w:t>
      </w:r>
      <w:r w:rsidR="0074064F">
        <w:t>Det avgör vilken promillegräns och lag som ska tillämpas.</w:t>
      </w:r>
    </w:p>
    <w:p w14:paraId="45168974" w14:textId="669FE93B" w:rsidR="009F2384" w:rsidRDefault="00D14AEB" w:rsidP="00D14AEB">
      <w:pPr>
        <w:pStyle w:val="ANormal"/>
      </w:pPr>
      <w:r>
        <w:tab/>
      </w:r>
      <w:r w:rsidR="009F2384">
        <w:t>Utskottet har erfarit att otydligheten är av teoretisk karaktär,</w:t>
      </w:r>
      <w:r w:rsidR="00181B73">
        <w:t xml:space="preserve"> enskilda fall </w:t>
      </w:r>
      <w:r w:rsidR="009F2384">
        <w:t>har inte gett upphov</w:t>
      </w:r>
      <w:r w:rsidR="00181B73">
        <w:t xml:space="preserve"> till </w:t>
      </w:r>
      <w:r w:rsidR="0074064F">
        <w:t>domstolsprövning om</w:t>
      </w:r>
      <w:r w:rsidR="00181B73">
        <w:t xml:space="preserve"> </w:t>
      </w:r>
      <w:r w:rsidR="0074064F">
        <w:t xml:space="preserve">vilken lag som </w:t>
      </w:r>
      <w:r w:rsidR="00181B73">
        <w:t>är tillämplig</w:t>
      </w:r>
      <w:r w:rsidR="009F2384">
        <w:t xml:space="preserve">. </w:t>
      </w:r>
      <w:r>
        <w:t>F</w:t>
      </w:r>
      <w:r w:rsidR="002E2E65">
        <w:t>arkostens registreringsuppgifter ger god vägledning</w:t>
      </w:r>
      <w:r w:rsidR="00C00E0D">
        <w:t xml:space="preserve"> om dess användningssyfte. </w:t>
      </w:r>
      <w:r w:rsidR="001A13C1">
        <w:t xml:space="preserve">Landskapsregeringens </w:t>
      </w:r>
      <w:r w:rsidR="002A5B08">
        <w:t xml:space="preserve">fiskefartygsregistret </w:t>
      </w:r>
      <w:r w:rsidR="00180136">
        <w:t xml:space="preserve">samt </w:t>
      </w:r>
      <w:r w:rsidR="001A13C1">
        <w:t>Ålands vattenfarkostregister</w:t>
      </w:r>
      <w:r w:rsidR="00441AC7">
        <w:t xml:space="preserve">, som föreskrivs i </w:t>
      </w:r>
      <w:r w:rsidR="009D29DF">
        <w:t xml:space="preserve">3 kap. </w:t>
      </w:r>
      <w:r w:rsidR="00441AC7">
        <w:t>landskapslag (2017:29) om vattenfa</w:t>
      </w:r>
      <w:r w:rsidR="009D29DF">
        <w:t xml:space="preserve">rkoster </w:t>
      </w:r>
      <w:r w:rsidR="001A13C1">
        <w:t xml:space="preserve">säkerställer att det finns </w:t>
      </w:r>
      <w:r w:rsidR="009D29DF">
        <w:t xml:space="preserve">vägledning om åländska </w:t>
      </w:r>
      <w:r w:rsidR="007C1045">
        <w:t xml:space="preserve">båtar och farkosters användningssyfte. </w:t>
      </w:r>
    </w:p>
    <w:p w14:paraId="1C79EFE5" w14:textId="77777777" w:rsidR="00D14AEB" w:rsidRDefault="007F2417" w:rsidP="002C0BF1">
      <w:pPr>
        <w:pStyle w:val="ANormal"/>
      </w:pPr>
      <w:r>
        <w:tab/>
      </w:r>
      <w:r w:rsidR="000011EB">
        <w:t>Utskottet anser att de</w:t>
      </w:r>
      <w:r w:rsidR="00D14AEB">
        <w:t>n</w:t>
      </w:r>
      <w:r w:rsidR="000011EB">
        <w:t xml:space="preserve"> </w:t>
      </w:r>
      <w:r w:rsidR="00A4276B">
        <w:t xml:space="preserve">osäkerhet </w:t>
      </w:r>
      <w:r w:rsidR="000011EB">
        <w:t xml:space="preserve">som har uppmärksammats </w:t>
      </w:r>
      <w:proofErr w:type="gramStart"/>
      <w:r w:rsidR="000011EB">
        <w:t>bl.a.</w:t>
      </w:r>
      <w:proofErr w:type="gramEnd"/>
      <w:r w:rsidR="000011EB">
        <w:t xml:space="preserve"> genom den föreliggande åtgärdsmotionen bör leda till en lagändring så att även mindre yrkesbåtar omfattas av en lägre promillegräns</w:t>
      </w:r>
      <w:r w:rsidR="0080600E">
        <w:t xml:space="preserve">. </w:t>
      </w:r>
    </w:p>
    <w:p w14:paraId="5AE69ED8" w14:textId="4B2FFB49" w:rsidR="002C0BF1" w:rsidRDefault="00D14AEB" w:rsidP="002C0BF1">
      <w:pPr>
        <w:pStyle w:val="ANormal"/>
      </w:pPr>
      <w:r>
        <w:tab/>
      </w:r>
      <w:r w:rsidR="00E807E1">
        <w:t>Utskottet har erfarit att normkonflikt inte föreligg</w:t>
      </w:r>
      <w:r w:rsidR="715C76DF">
        <w:t>er</w:t>
      </w:r>
      <w:r w:rsidR="00E807E1">
        <w:t xml:space="preserve"> mellan landskapets och rikets syn på gräns för sjöfylleri. </w:t>
      </w:r>
      <w:r w:rsidR="0080600E">
        <w:t xml:space="preserve">Utskottet noterar att ett sätt </w:t>
      </w:r>
      <w:r w:rsidR="733D973E">
        <w:t>att bekräfta</w:t>
      </w:r>
      <w:r w:rsidR="0080600E">
        <w:t xml:space="preserve"> </w:t>
      </w:r>
      <w:r w:rsidR="46B2848A">
        <w:t xml:space="preserve">rättsläget </w:t>
      </w:r>
      <w:r w:rsidR="0080600E">
        <w:t xml:space="preserve">är att landskapslag (2017:29) om vattenfarkoster ändras så </w:t>
      </w:r>
      <w:r w:rsidR="008D5374">
        <w:t xml:space="preserve">samtliga vattenfarkoster som omfattades av riksförfattningen FFS 152/1968, tas in i </w:t>
      </w:r>
      <w:r w:rsidR="00A72E53">
        <w:t>landskapslagens</w:t>
      </w:r>
      <w:r w:rsidR="008D5374">
        <w:t xml:space="preserve"> </w:t>
      </w:r>
      <w:r w:rsidR="00A72E53">
        <w:t>definition</w:t>
      </w:r>
      <w:r w:rsidR="008D5374">
        <w:t>. På så sätt kan riks</w:t>
      </w:r>
      <w:r w:rsidR="00802BE8">
        <w:t>bestämmelsen</w:t>
      </w:r>
      <w:r w:rsidR="008D5374">
        <w:t xml:space="preserve"> från 1969 upphävas i sin helhet</w:t>
      </w:r>
      <w:r w:rsidR="1AC046B0">
        <w:t xml:space="preserve"> och behörighetsfördelningen befästs genom lagstiftningskontrollen</w:t>
      </w:r>
      <w:r w:rsidR="008D5374">
        <w:t>.</w:t>
      </w:r>
    </w:p>
    <w:p w14:paraId="6F4E9DAE" w14:textId="255AE95C" w:rsidR="008D5374" w:rsidRDefault="002C0BF1" w:rsidP="002C0BF1">
      <w:pPr>
        <w:pStyle w:val="ANormal"/>
      </w:pPr>
      <w:r>
        <w:tab/>
      </w:r>
      <w:r w:rsidR="008D5374">
        <w:t xml:space="preserve">Utskottet understryker att </w:t>
      </w:r>
      <w:r w:rsidR="009148B0">
        <w:t xml:space="preserve">självstyrelselagens tydliga avsikt är att </w:t>
      </w:r>
      <w:r w:rsidR="00802BE8">
        <w:t>behörighetsområdet</w:t>
      </w:r>
      <w:r w:rsidR="009148B0">
        <w:t xml:space="preserve"> båttrafik </w:t>
      </w:r>
      <w:r w:rsidR="00802BE8">
        <w:t xml:space="preserve">som </w:t>
      </w:r>
      <w:r w:rsidR="005D24C4">
        <w:t>det gällde</w:t>
      </w:r>
      <w:r w:rsidR="00802BE8">
        <w:t xml:space="preserve"> </w:t>
      </w:r>
      <w:r w:rsidR="008D5374">
        <w:t xml:space="preserve">1991 skulle </w:t>
      </w:r>
      <w:r w:rsidR="00802BE8">
        <w:t>överföras på</w:t>
      </w:r>
      <w:r w:rsidR="77801AFC">
        <w:t xml:space="preserve"> Ålands lagting</w:t>
      </w:r>
      <w:r w:rsidR="00802BE8">
        <w:t xml:space="preserve">. </w:t>
      </w:r>
      <w:r w:rsidR="00661310">
        <w:t xml:space="preserve">En justering av landskapslagen skulle enligt utskottet </w:t>
      </w:r>
      <w:r w:rsidR="00D26EA5">
        <w:t xml:space="preserve">säkerställa att </w:t>
      </w:r>
      <w:r w:rsidR="00FD50B2">
        <w:t>självstyrelselagens</w:t>
      </w:r>
      <w:r w:rsidR="00D26EA5">
        <w:t xml:space="preserve"> grundsats </w:t>
      </w:r>
      <w:r w:rsidR="00DB7D1D">
        <w:t xml:space="preserve">för behörighetsfördelningen </w:t>
      </w:r>
      <w:r w:rsidR="00D26EA5">
        <w:t>på rättsområdet båttrafik</w:t>
      </w:r>
      <w:r w:rsidR="00FD50B2">
        <w:t xml:space="preserve"> fullständigt genomförs.</w:t>
      </w:r>
    </w:p>
    <w:p w14:paraId="4DD8DE82" w14:textId="77777777" w:rsidR="00181B73" w:rsidRDefault="00181B73" w:rsidP="00181B73">
      <w:pPr>
        <w:pStyle w:val="ANormal"/>
      </w:pPr>
    </w:p>
    <w:p w14:paraId="584598DE" w14:textId="77777777" w:rsidR="00371D87" w:rsidRDefault="00371D87">
      <w:pPr>
        <w:rPr>
          <w:sz w:val="30"/>
          <w:szCs w:val="20"/>
        </w:rPr>
      </w:pPr>
      <w:bookmarkStart w:id="12" w:name="_Toc529800936"/>
      <w:bookmarkStart w:id="13" w:name="_Toc193959035"/>
      <w:r>
        <w:br w:type="page"/>
      </w:r>
    </w:p>
    <w:p w14:paraId="0E95FB18" w14:textId="5FD061D2" w:rsidR="002401D0" w:rsidRDefault="002401D0">
      <w:pPr>
        <w:pStyle w:val="RubrikA"/>
      </w:pPr>
      <w:r>
        <w:lastRenderedPageBreak/>
        <w:t>Ärendets behandling</w:t>
      </w:r>
      <w:bookmarkEnd w:id="12"/>
      <w:bookmarkEnd w:id="13"/>
    </w:p>
    <w:p w14:paraId="2ACE8C48" w14:textId="77777777" w:rsidR="002401D0" w:rsidRDefault="002401D0">
      <w:pPr>
        <w:pStyle w:val="Rubrikmellanrum"/>
      </w:pPr>
    </w:p>
    <w:p w14:paraId="71FFC9D2" w14:textId="77777777" w:rsidR="00F95A76" w:rsidRDefault="00C7565D" w:rsidP="00C7565D">
      <w:pPr>
        <w:pStyle w:val="ANormal"/>
      </w:pPr>
      <w:r>
        <w:t xml:space="preserve">Lagtinget har </w:t>
      </w:r>
      <w:r w:rsidR="003211E4">
        <w:t xml:space="preserve">den </w:t>
      </w:r>
      <w:r w:rsidR="00057B85">
        <w:t>20</w:t>
      </w:r>
      <w:r w:rsidR="00576838">
        <w:t xml:space="preserve"> </w:t>
      </w:r>
      <w:r w:rsidR="00057B85">
        <w:t>november</w:t>
      </w:r>
      <w:r w:rsidR="00576838">
        <w:t xml:space="preserve"> 2024</w:t>
      </w:r>
      <w:r>
        <w:t xml:space="preserve"> </w:t>
      </w:r>
      <w:r w:rsidR="00B82747">
        <w:t xml:space="preserve">begärt lag- och kulturutskottets yttrande </w:t>
      </w:r>
      <w:r w:rsidR="00576838">
        <w:t xml:space="preserve">över </w:t>
      </w:r>
      <w:r w:rsidR="003211E4">
        <w:t>åtgärdsmotion</w:t>
      </w:r>
      <w:r w:rsidR="00576838">
        <w:t xml:space="preserve"> </w:t>
      </w:r>
      <w:r w:rsidR="000011EB">
        <w:t>nr 1/</w:t>
      </w:r>
      <w:proofErr w:type="gramStart"/>
      <w:r w:rsidR="000011EB">
        <w:t>2024-2025</w:t>
      </w:r>
      <w:proofErr w:type="gramEnd"/>
      <w:r w:rsidR="000011EB">
        <w:t xml:space="preserve"> och </w:t>
      </w:r>
      <w:r w:rsidR="00576838">
        <w:t xml:space="preserve">nr </w:t>
      </w:r>
      <w:r w:rsidR="00057B85">
        <w:t>2</w:t>
      </w:r>
      <w:r w:rsidR="00576838">
        <w:t>/202</w:t>
      </w:r>
      <w:r w:rsidR="00057B85">
        <w:t>4</w:t>
      </w:r>
      <w:r w:rsidR="00576838">
        <w:t>-202</w:t>
      </w:r>
      <w:r w:rsidR="00057B85">
        <w:t>5</w:t>
      </w:r>
      <w:r w:rsidR="00576838">
        <w:t>.</w:t>
      </w:r>
      <w:r w:rsidR="08210ACB">
        <w:t xml:space="preserve"> </w:t>
      </w:r>
    </w:p>
    <w:p w14:paraId="3701E309" w14:textId="7CEE83DB" w:rsidR="00C7565D" w:rsidRDefault="00F95A76" w:rsidP="00C7565D">
      <w:pPr>
        <w:pStyle w:val="ANormal"/>
      </w:pPr>
      <w:r>
        <w:tab/>
      </w:r>
      <w:r w:rsidR="2C756197">
        <w:t>Utskottet har under ärendet behandling hört lagberedningschefen Hans Selander och</w:t>
      </w:r>
      <w:r w:rsidR="12EF1100">
        <w:t xml:space="preserve"> biträdande chefen vid </w:t>
      </w:r>
      <w:r w:rsidR="2C756197">
        <w:t xml:space="preserve">sjöbevakningsenheten på Åland </w:t>
      </w:r>
      <w:r w:rsidR="6C8E7E8F">
        <w:t xml:space="preserve">Juri </w:t>
      </w:r>
      <w:proofErr w:type="spellStart"/>
      <w:r w:rsidR="6C8E7E8F">
        <w:t>Jalava</w:t>
      </w:r>
      <w:proofErr w:type="spellEnd"/>
      <w:r w:rsidR="6C8E7E8F">
        <w:t xml:space="preserve">. </w:t>
      </w:r>
    </w:p>
    <w:p w14:paraId="35522C0D" w14:textId="65457173" w:rsidR="00C7565D" w:rsidRDefault="00F95A76" w:rsidP="38606E0E">
      <w:pPr>
        <w:pStyle w:val="ANormal"/>
      </w:pPr>
      <w:r>
        <w:tab/>
      </w:r>
      <w:r w:rsidR="00C7565D">
        <w:t>I ärendets avgörande behandling deltog ordföranden Harry Jansson, vice</w:t>
      </w:r>
      <w:r w:rsidR="0047512F">
        <w:t>or</w:t>
      </w:r>
      <w:r w:rsidR="00C7565D">
        <w:t>dförande</w:t>
      </w:r>
      <w:r w:rsidR="00576838">
        <w:t>n</w:t>
      </w:r>
      <w:r w:rsidR="00C7565D">
        <w:t xml:space="preserve"> Sandra </w:t>
      </w:r>
      <w:proofErr w:type="spellStart"/>
      <w:r w:rsidR="00C7565D">
        <w:t>Listherby</w:t>
      </w:r>
      <w:proofErr w:type="spellEnd"/>
      <w:r w:rsidR="00576838">
        <w:t xml:space="preserve"> samt</w:t>
      </w:r>
      <w:r w:rsidR="00C7565D">
        <w:t xml:space="preserve"> ledamöterna Anders Holmberg, Peter Lindbäck, Johan Lindström</w:t>
      </w:r>
      <w:r w:rsidR="00E12CEB">
        <w:t>,</w:t>
      </w:r>
      <w:r w:rsidR="00C7565D">
        <w:t xml:space="preserve"> Henrik </w:t>
      </w:r>
      <w:proofErr w:type="spellStart"/>
      <w:r w:rsidR="00C7565D">
        <w:t>Löthman</w:t>
      </w:r>
      <w:proofErr w:type="spellEnd"/>
      <w:r w:rsidR="00C7565D">
        <w:t xml:space="preserve"> och </w:t>
      </w:r>
      <w:r w:rsidR="64FCAC1C">
        <w:t>Mogens Lindén</w:t>
      </w:r>
      <w:r w:rsidR="00C7565D">
        <w:t>.</w:t>
      </w:r>
    </w:p>
    <w:p w14:paraId="46C95EA7" w14:textId="77777777" w:rsidR="002A67D1" w:rsidRDefault="002A67D1" w:rsidP="38606E0E">
      <w:pPr>
        <w:pStyle w:val="ANormal"/>
      </w:pPr>
    </w:p>
    <w:p w14:paraId="475698F4" w14:textId="63A35FE7" w:rsidR="002A67D1" w:rsidRDefault="002A67D1" w:rsidP="002A67D1">
      <w:pPr>
        <w:pStyle w:val="RubrikB"/>
      </w:pPr>
      <w:bookmarkStart w:id="14" w:name="_Toc193959036"/>
      <w:r>
        <w:t>Reservationer</w:t>
      </w:r>
      <w:bookmarkEnd w:id="14"/>
    </w:p>
    <w:p w14:paraId="77C0399A" w14:textId="77777777" w:rsidR="002A67D1" w:rsidRDefault="002A67D1" w:rsidP="38606E0E">
      <w:pPr>
        <w:pStyle w:val="ANormal"/>
      </w:pPr>
    </w:p>
    <w:p w14:paraId="7FDB5A3D" w14:textId="11954901" w:rsidR="002A67D1" w:rsidRDefault="002A67D1" w:rsidP="38606E0E">
      <w:pPr>
        <w:pStyle w:val="ANormal"/>
      </w:pPr>
      <w:r>
        <w:t xml:space="preserve">Ledamoten Mogens Lindén har fogat en reservation till betänkandet. </w:t>
      </w:r>
    </w:p>
    <w:p w14:paraId="50E86159" w14:textId="26C8E08A" w:rsidR="002401D0" w:rsidRDefault="002401D0">
      <w:pPr>
        <w:pStyle w:val="ANormal"/>
      </w:pPr>
    </w:p>
    <w:p w14:paraId="5611AE48" w14:textId="77777777" w:rsidR="002A67D1" w:rsidRDefault="002A67D1">
      <w:pPr>
        <w:pStyle w:val="ANormal"/>
      </w:pPr>
    </w:p>
    <w:p w14:paraId="4EA221CF" w14:textId="77777777" w:rsidR="002401D0" w:rsidRDefault="002401D0">
      <w:pPr>
        <w:pStyle w:val="RubrikA"/>
      </w:pPr>
      <w:bookmarkStart w:id="15" w:name="_Toc529800937"/>
      <w:bookmarkStart w:id="16" w:name="_Toc193959037"/>
      <w:r>
        <w:t>Utskottets förslag</w:t>
      </w:r>
      <w:bookmarkEnd w:id="15"/>
      <w:bookmarkEnd w:id="16"/>
    </w:p>
    <w:p w14:paraId="3CF7D0A6" w14:textId="77777777" w:rsidR="002401D0" w:rsidRDefault="002401D0">
      <w:pPr>
        <w:pStyle w:val="Rubrikmellanrum"/>
      </w:pPr>
    </w:p>
    <w:p w14:paraId="0A0C50F7" w14:textId="4DDF49F7" w:rsidR="002401D0" w:rsidRDefault="002401D0">
      <w:pPr>
        <w:pStyle w:val="ANormal"/>
      </w:pPr>
      <w:r>
        <w:t>Med hänvisning till det anförda föreslår utskottet</w:t>
      </w:r>
    </w:p>
    <w:p w14:paraId="158AD359" w14:textId="77777777" w:rsidR="002401D0" w:rsidRDefault="002401D0">
      <w:pPr>
        <w:pStyle w:val="ANormal"/>
      </w:pPr>
    </w:p>
    <w:p w14:paraId="572A9622" w14:textId="77777777" w:rsidR="00985F97" w:rsidRDefault="002401D0" w:rsidP="001A4801">
      <w:pPr>
        <w:pStyle w:val="Klam"/>
        <w:numPr>
          <w:ilvl w:val="0"/>
          <w:numId w:val="46"/>
        </w:numPr>
      </w:pPr>
      <w:r>
        <w:t>att lagtinget</w:t>
      </w:r>
      <w:r w:rsidR="00C7565D">
        <w:t xml:space="preserve"> </w:t>
      </w:r>
      <w:r w:rsidR="00576838">
        <w:t xml:space="preserve">förkastar </w:t>
      </w:r>
      <w:r w:rsidR="003211E4">
        <w:t>åtgärdsmotion</w:t>
      </w:r>
      <w:r w:rsidR="00985F97">
        <w:t>erna</w:t>
      </w:r>
      <w:r w:rsidR="003211E4">
        <w:t xml:space="preserve"> nr </w:t>
      </w:r>
      <w:r w:rsidR="000C061C">
        <w:t>1/</w:t>
      </w:r>
      <w:proofErr w:type="gramStart"/>
      <w:r w:rsidR="000C061C">
        <w:t>2024-2025</w:t>
      </w:r>
      <w:proofErr w:type="gramEnd"/>
      <w:r w:rsidR="00985F97">
        <w:t xml:space="preserve"> och nr </w:t>
      </w:r>
      <w:r w:rsidR="00057B85">
        <w:t>2</w:t>
      </w:r>
      <w:r w:rsidR="003211E4">
        <w:t>/202</w:t>
      </w:r>
      <w:r w:rsidR="00057B85">
        <w:t>4</w:t>
      </w:r>
      <w:r w:rsidR="003211E4">
        <w:t>-202</w:t>
      </w:r>
      <w:r w:rsidR="00057B85">
        <w:t>5</w:t>
      </w:r>
    </w:p>
    <w:p w14:paraId="1B68C4B0" w14:textId="77777777" w:rsidR="00774A1E" w:rsidRDefault="000C061C" w:rsidP="001A4801">
      <w:pPr>
        <w:pStyle w:val="Klam"/>
        <w:numPr>
          <w:ilvl w:val="0"/>
          <w:numId w:val="46"/>
        </w:numPr>
      </w:pPr>
      <w:r>
        <w:t xml:space="preserve">att lagtinget </w:t>
      </w:r>
      <w:r w:rsidR="00985F97" w:rsidRPr="00985F97">
        <w:t>bringar utskottets betänkande till landskapsregeringens kännedom</w:t>
      </w:r>
    </w:p>
    <w:p w14:paraId="5EC93FB4" w14:textId="0CB26812" w:rsidR="007D520D" w:rsidRPr="007D520D" w:rsidRDefault="00774A1E" w:rsidP="0079792E">
      <w:pPr>
        <w:pStyle w:val="Klam"/>
        <w:numPr>
          <w:ilvl w:val="0"/>
          <w:numId w:val="46"/>
        </w:numPr>
      </w:pPr>
      <w:r>
        <w:t xml:space="preserve">att lagtinget </w:t>
      </w:r>
      <w:r w:rsidR="000C061C">
        <w:t xml:space="preserve">uppmanar landskapsregeringen att </w:t>
      </w:r>
      <w:r w:rsidR="0079792E">
        <w:t xml:space="preserve">i landskapslag </w:t>
      </w:r>
      <w:r w:rsidR="000C061C">
        <w:t>sänka</w:t>
      </w:r>
      <w:r w:rsidR="00985F97">
        <w:t xml:space="preserve"> gränsen </w:t>
      </w:r>
      <w:r>
        <w:t xml:space="preserve">för </w:t>
      </w:r>
      <w:r w:rsidRPr="25592B7B">
        <w:rPr>
          <w:lang w:val="sv-FI"/>
        </w:rPr>
        <w:t>framförande av farkoster i yrkesmässig sjö</w:t>
      </w:r>
      <w:r w:rsidR="794B16B1" w:rsidRPr="25592B7B">
        <w:rPr>
          <w:lang w:val="sv-FI"/>
        </w:rPr>
        <w:t>trafik</w:t>
      </w:r>
      <w:r w:rsidRPr="25592B7B">
        <w:rPr>
          <w:lang w:val="sv-FI"/>
        </w:rPr>
        <w:t xml:space="preserve"> </w:t>
      </w:r>
      <w:r w:rsidR="00985F97">
        <w:t xml:space="preserve">från 1,5 </w:t>
      </w:r>
      <w:r>
        <w:t xml:space="preserve">promille </w:t>
      </w:r>
      <w:r w:rsidR="00985F97">
        <w:t xml:space="preserve">på lämpligt </w:t>
      </w:r>
      <w:r>
        <w:t xml:space="preserve">lagtekniskt </w:t>
      </w:r>
      <w:r w:rsidR="00985F97">
        <w:t>sätt</w:t>
      </w:r>
    </w:p>
    <w:p w14:paraId="1FF11955" w14:textId="77777777" w:rsidR="00C7565D" w:rsidRDefault="00C7565D" w:rsidP="00C7565D">
      <w:pPr>
        <w:pStyle w:val="ANormal2"/>
      </w:pPr>
    </w:p>
    <w:p w14:paraId="30F2FB39" w14:textId="77777777" w:rsidR="00C7565D" w:rsidRDefault="00C7565D" w:rsidP="00C7565D">
      <w:pPr>
        <w:pStyle w:val="ANormal"/>
        <w:jc w:val="center"/>
      </w:pPr>
    </w:p>
    <w:p w14:paraId="26F718C7" w14:textId="77777777" w:rsidR="002401D0" w:rsidRDefault="002401D0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707E487B" w14:textId="77777777" w:rsidR="002401D0" w:rsidRDefault="002401D0">
      <w:pPr>
        <w:pStyle w:val="ANormal"/>
      </w:pPr>
    </w:p>
    <w:p w14:paraId="37AF8DBF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25E90551" w14:textId="77777777">
        <w:trPr>
          <w:cantSplit/>
        </w:trPr>
        <w:tc>
          <w:tcPr>
            <w:tcW w:w="7931" w:type="dxa"/>
            <w:gridSpan w:val="2"/>
          </w:tcPr>
          <w:p w14:paraId="64DDA3FD" w14:textId="591F33A9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F95A76">
              <w:t>2</w:t>
            </w:r>
            <w:r w:rsidR="000119F4">
              <w:t>5</w:t>
            </w:r>
            <w:r w:rsidR="00C7565D">
              <w:t xml:space="preserve"> </w:t>
            </w:r>
            <w:r w:rsidR="00057B85">
              <w:t>mars</w:t>
            </w:r>
            <w:r w:rsidR="00576838">
              <w:t xml:space="preserve"> </w:t>
            </w:r>
            <w:r w:rsidR="00C7565D">
              <w:t>202</w:t>
            </w:r>
            <w:r w:rsidR="00057B85">
              <w:t>5</w:t>
            </w:r>
          </w:p>
        </w:tc>
      </w:tr>
      <w:tr w:rsidR="002401D0" w14:paraId="6051EC0D" w14:textId="77777777">
        <w:tc>
          <w:tcPr>
            <w:tcW w:w="4454" w:type="dxa"/>
            <w:vAlign w:val="bottom"/>
          </w:tcPr>
          <w:p w14:paraId="777DB72F" w14:textId="77777777" w:rsidR="002401D0" w:rsidRDefault="002401D0">
            <w:pPr>
              <w:pStyle w:val="ANormal"/>
              <w:keepNext/>
            </w:pPr>
          </w:p>
          <w:p w14:paraId="2CE98035" w14:textId="77777777" w:rsidR="002401D0" w:rsidRDefault="002401D0">
            <w:pPr>
              <w:pStyle w:val="ANormal"/>
              <w:keepNext/>
            </w:pPr>
          </w:p>
          <w:p w14:paraId="14E84E18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2F08A438" w14:textId="77777777" w:rsidR="002401D0" w:rsidRDefault="002401D0">
            <w:pPr>
              <w:pStyle w:val="ANormal"/>
              <w:keepNext/>
            </w:pPr>
          </w:p>
          <w:p w14:paraId="7990C657" w14:textId="77777777" w:rsidR="002401D0" w:rsidRDefault="002401D0">
            <w:pPr>
              <w:pStyle w:val="ANormal"/>
              <w:keepNext/>
            </w:pPr>
          </w:p>
          <w:p w14:paraId="4215FB2E" w14:textId="6907DFEB" w:rsidR="002401D0" w:rsidRDefault="00C7565D">
            <w:pPr>
              <w:pStyle w:val="ANormal"/>
              <w:keepNext/>
            </w:pPr>
            <w:r>
              <w:t>Harry Jansson</w:t>
            </w:r>
          </w:p>
        </w:tc>
      </w:tr>
      <w:tr w:rsidR="002401D0" w14:paraId="073DAA84" w14:textId="77777777">
        <w:tc>
          <w:tcPr>
            <w:tcW w:w="4454" w:type="dxa"/>
            <w:vAlign w:val="bottom"/>
          </w:tcPr>
          <w:p w14:paraId="41D98E7B" w14:textId="77777777" w:rsidR="002401D0" w:rsidRDefault="002401D0">
            <w:pPr>
              <w:pStyle w:val="ANormal"/>
              <w:keepNext/>
            </w:pPr>
          </w:p>
          <w:p w14:paraId="523BE3C4" w14:textId="77777777" w:rsidR="002401D0" w:rsidRDefault="002401D0">
            <w:pPr>
              <w:pStyle w:val="ANormal"/>
              <w:keepNext/>
            </w:pPr>
          </w:p>
          <w:p w14:paraId="5E9DC34C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655A266E" w14:textId="77777777" w:rsidR="002401D0" w:rsidRDefault="002401D0">
            <w:pPr>
              <w:pStyle w:val="ANormal"/>
              <w:keepNext/>
            </w:pPr>
          </w:p>
          <w:p w14:paraId="4E813269" w14:textId="77777777" w:rsidR="002401D0" w:rsidRDefault="002401D0">
            <w:pPr>
              <w:pStyle w:val="ANormal"/>
              <w:keepNext/>
            </w:pPr>
          </w:p>
          <w:p w14:paraId="4D77C7ED" w14:textId="4BCCAD0A" w:rsidR="002401D0" w:rsidRDefault="003211E4">
            <w:pPr>
              <w:pStyle w:val="ANormal"/>
              <w:keepNext/>
            </w:pPr>
            <w:r>
              <w:t xml:space="preserve">Julia Lindholm </w:t>
            </w:r>
          </w:p>
        </w:tc>
      </w:tr>
    </w:tbl>
    <w:p w14:paraId="63C32E24" w14:textId="77777777" w:rsidR="002401D0" w:rsidRDefault="002401D0">
      <w:pPr>
        <w:pStyle w:val="ANormal"/>
      </w:pPr>
    </w:p>
    <w:sectPr w:rsidR="002401D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680D" w14:textId="77777777" w:rsidR="00056CA6" w:rsidRDefault="00056CA6">
      <w:r>
        <w:separator/>
      </w:r>
    </w:p>
  </w:endnote>
  <w:endnote w:type="continuationSeparator" w:id="0">
    <w:p w14:paraId="41D23C9C" w14:textId="77777777" w:rsidR="00056CA6" w:rsidRDefault="000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44F4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3C45" w14:textId="25754EC4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119F4">
      <w:rPr>
        <w:noProof/>
        <w:lang w:val="fi-FI"/>
      </w:rPr>
      <w:t>LKU1120242025.docx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A734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5183B" w14:textId="77777777" w:rsidR="00056CA6" w:rsidRDefault="00056CA6">
      <w:r>
        <w:separator/>
      </w:r>
    </w:p>
  </w:footnote>
  <w:footnote w:type="continuationSeparator" w:id="0">
    <w:p w14:paraId="096D285A" w14:textId="77777777" w:rsidR="00056CA6" w:rsidRDefault="0005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77FE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3A6409D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A742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1548"/>
    <w:multiLevelType w:val="hybridMultilevel"/>
    <w:tmpl w:val="9A92400E"/>
    <w:lvl w:ilvl="0" w:tplc="652CA75A">
      <w:start w:val="202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52B13CA"/>
    <w:multiLevelType w:val="hybridMultilevel"/>
    <w:tmpl w:val="1FDA33BE"/>
    <w:lvl w:ilvl="0" w:tplc="D4B6077A">
      <w:start w:val="202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273240">
    <w:abstractNumId w:val="6"/>
  </w:num>
  <w:num w:numId="2" w16cid:durableId="794327247">
    <w:abstractNumId w:val="3"/>
  </w:num>
  <w:num w:numId="3" w16cid:durableId="1718356367">
    <w:abstractNumId w:val="2"/>
  </w:num>
  <w:num w:numId="4" w16cid:durableId="1875925091">
    <w:abstractNumId w:val="1"/>
  </w:num>
  <w:num w:numId="5" w16cid:durableId="546332039">
    <w:abstractNumId w:val="0"/>
  </w:num>
  <w:num w:numId="6" w16cid:durableId="1050763910">
    <w:abstractNumId w:val="7"/>
  </w:num>
  <w:num w:numId="7" w16cid:durableId="2441905">
    <w:abstractNumId w:val="5"/>
  </w:num>
  <w:num w:numId="8" w16cid:durableId="1250000450">
    <w:abstractNumId w:val="4"/>
  </w:num>
  <w:num w:numId="9" w16cid:durableId="255552322">
    <w:abstractNumId w:val="10"/>
  </w:num>
  <w:num w:numId="10" w16cid:durableId="2122139610">
    <w:abstractNumId w:val="15"/>
  </w:num>
  <w:num w:numId="11" w16cid:durableId="1103526397">
    <w:abstractNumId w:val="14"/>
  </w:num>
  <w:num w:numId="12" w16cid:durableId="917253999">
    <w:abstractNumId w:val="18"/>
  </w:num>
  <w:num w:numId="13" w16cid:durableId="1856113553">
    <w:abstractNumId w:val="13"/>
  </w:num>
  <w:num w:numId="14" w16cid:durableId="1809935750">
    <w:abstractNumId w:val="17"/>
  </w:num>
  <w:num w:numId="15" w16cid:durableId="6562667">
    <w:abstractNumId w:val="9"/>
  </w:num>
  <w:num w:numId="16" w16cid:durableId="1759785718">
    <w:abstractNumId w:val="23"/>
  </w:num>
  <w:num w:numId="17" w16cid:durableId="1199320522">
    <w:abstractNumId w:val="8"/>
  </w:num>
  <w:num w:numId="18" w16cid:durableId="1759981664">
    <w:abstractNumId w:val="19"/>
  </w:num>
  <w:num w:numId="19" w16cid:durableId="217977419">
    <w:abstractNumId w:val="22"/>
  </w:num>
  <w:num w:numId="20" w16cid:durableId="2069720872">
    <w:abstractNumId w:val="25"/>
  </w:num>
  <w:num w:numId="21" w16cid:durableId="721178463">
    <w:abstractNumId w:val="24"/>
  </w:num>
  <w:num w:numId="22" w16cid:durableId="1131902628">
    <w:abstractNumId w:val="16"/>
  </w:num>
  <w:num w:numId="23" w16cid:durableId="1359433919">
    <w:abstractNumId w:val="20"/>
  </w:num>
  <w:num w:numId="24" w16cid:durableId="2120249590">
    <w:abstractNumId w:val="20"/>
  </w:num>
  <w:num w:numId="25" w16cid:durableId="1886527155">
    <w:abstractNumId w:val="21"/>
  </w:num>
  <w:num w:numId="26" w16cid:durableId="2012564975">
    <w:abstractNumId w:val="16"/>
  </w:num>
  <w:num w:numId="27" w16cid:durableId="302276877">
    <w:abstractNumId w:val="16"/>
  </w:num>
  <w:num w:numId="28" w16cid:durableId="1870100578">
    <w:abstractNumId w:val="16"/>
  </w:num>
  <w:num w:numId="29" w16cid:durableId="279722656">
    <w:abstractNumId w:val="16"/>
  </w:num>
  <w:num w:numId="30" w16cid:durableId="1463771836">
    <w:abstractNumId w:val="16"/>
  </w:num>
  <w:num w:numId="31" w16cid:durableId="96563859">
    <w:abstractNumId w:val="16"/>
  </w:num>
  <w:num w:numId="32" w16cid:durableId="867379840">
    <w:abstractNumId w:val="16"/>
  </w:num>
  <w:num w:numId="33" w16cid:durableId="682827742">
    <w:abstractNumId w:val="16"/>
  </w:num>
  <w:num w:numId="34" w16cid:durableId="891430817">
    <w:abstractNumId w:val="16"/>
  </w:num>
  <w:num w:numId="35" w16cid:durableId="352269605">
    <w:abstractNumId w:val="20"/>
  </w:num>
  <w:num w:numId="36" w16cid:durableId="2096785636">
    <w:abstractNumId w:val="21"/>
  </w:num>
  <w:num w:numId="37" w16cid:durableId="1287128368">
    <w:abstractNumId w:val="16"/>
  </w:num>
  <w:num w:numId="38" w16cid:durableId="1047219052">
    <w:abstractNumId w:val="16"/>
  </w:num>
  <w:num w:numId="39" w16cid:durableId="615985979">
    <w:abstractNumId w:val="16"/>
  </w:num>
  <w:num w:numId="40" w16cid:durableId="603348467">
    <w:abstractNumId w:val="16"/>
  </w:num>
  <w:num w:numId="41" w16cid:durableId="857404">
    <w:abstractNumId w:val="16"/>
  </w:num>
  <w:num w:numId="42" w16cid:durableId="1667249878">
    <w:abstractNumId w:val="16"/>
  </w:num>
  <w:num w:numId="43" w16cid:durableId="4795248">
    <w:abstractNumId w:val="16"/>
  </w:num>
  <w:num w:numId="44" w16cid:durableId="865944992">
    <w:abstractNumId w:val="16"/>
  </w:num>
  <w:num w:numId="45" w16cid:durableId="1513490224">
    <w:abstractNumId w:val="16"/>
  </w:num>
  <w:num w:numId="46" w16cid:durableId="793601325">
    <w:abstractNumId w:val="11"/>
  </w:num>
  <w:num w:numId="47" w16cid:durableId="807285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6"/>
    <w:rsid w:val="000011EB"/>
    <w:rsid w:val="000119F4"/>
    <w:rsid w:val="00015E9C"/>
    <w:rsid w:val="0004337B"/>
    <w:rsid w:val="00043D4B"/>
    <w:rsid w:val="00046281"/>
    <w:rsid w:val="00051556"/>
    <w:rsid w:val="00056CA6"/>
    <w:rsid w:val="00057B85"/>
    <w:rsid w:val="000708EA"/>
    <w:rsid w:val="000779B7"/>
    <w:rsid w:val="000969D0"/>
    <w:rsid w:val="000A6F0F"/>
    <w:rsid w:val="000B2DC9"/>
    <w:rsid w:val="000B7354"/>
    <w:rsid w:val="000C061C"/>
    <w:rsid w:val="000C1855"/>
    <w:rsid w:val="000C5EA9"/>
    <w:rsid w:val="000D6353"/>
    <w:rsid w:val="000E495D"/>
    <w:rsid w:val="000F7417"/>
    <w:rsid w:val="000F78CC"/>
    <w:rsid w:val="00101AA2"/>
    <w:rsid w:val="0015337C"/>
    <w:rsid w:val="00163990"/>
    <w:rsid w:val="00171A43"/>
    <w:rsid w:val="00180136"/>
    <w:rsid w:val="00181B73"/>
    <w:rsid w:val="00198B2C"/>
    <w:rsid w:val="001A13C1"/>
    <w:rsid w:val="001A4801"/>
    <w:rsid w:val="001D38BC"/>
    <w:rsid w:val="001D4A28"/>
    <w:rsid w:val="001F3E52"/>
    <w:rsid w:val="00201E08"/>
    <w:rsid w:val="002031E6"/>
    <w:rsid w:val="0023603E"/>
    <w:rsid w:val="002401D0"/>
    <w:rsid w:val="002819F5"/>
    <w:rsid w:val="002862D0"/>
    <w:rsid w:val="0029465D"/>
    <w:rsid w:val="002A5B08"/>
    <w:rsid w:val="002A67D1"/>
    <w:rsid w:val="002C0BF1"/>
    <w:rsid w:val="002E2E65"/>
    <w:rsid w:val="00313BA7"/>
    <w:rsid w:val="003211E4"/>
    <w:rsid w:val="0036359C"/>
    <w:rsid w:val="00364C3B"/>
    <w:rsid w:val="00371D87"/>
    <w:rsid w:val="003B727B"/>
    <w:rsid w:val="003C0765"/>
    <w:rsid w:val="003F6049"/>
    <w:rsid w:val="00402404"/>
    <w:rsid w:val="00431AD3"/>
    <w:rsid w:val="00441AC7"/>
    <w:rsid w:val="00474BC2"/>
    <w:rsid w:val="0047512F"/>
    <w:rsid w:val="004E36FB"/>
    <w:rsid w:val="004E6975"/>
    <w:rsid w:val="00560C4B"/>
    <w:rsid w:val="00576838"/>
    <w:rsid w:val="00580C34"/>
    <w:rsid w:val="00593FC3"/>
    <w:rsid w:val="005D24C4"/>
    <w:rsid w:val="0065004A"/>
    <w:rsid w:val="0065029D"/>
    <w:rsid w:val="00661310"/>
    <w:rsid w:val="00665712"/>
    <w:rsid w:val="0067412D"/>
    <w:rsid w:val="006B2E3B"/>
    <w:rsid w:val="006B2E9E"/>
    <w:rsid w:val="006E233B"/>
    <w:rsid w:val="006E67D9"/>
    <w:rsid w:val="00723B93"/>
    <w:rsid w:val="007302C6"/>
    <w:rsid w:val="0074064F"/>
    <w:rsid w:val="00757DCE"/>
    <w:rsid w:val="007619C7"/>
    <w:rsid w:val="00774A1E"/>
    <w:rsid w:val="0077645D"/>
    <w:rsid w:val="00785AF0"/>
    <w:rsid w:val="0079792E"/>
    <w:rsid w:val="007B1A89"/>
    <w:rsid w:val="007C1045"/>
    <w:rsid w:val="007D0C7A"/>
    <w:rsid w:val="007D520D"/>
    <w:rsid w:val="007E7BAF"/>
    <w:rsid w:val="007F1836"/>
    <w:rsid w:val="007F2417"/>
    <w:rsid w:val="007F6818"/>
    <w:rsid w:val="00802BE8"/>
    <w:rsid w:val="0080600E"/>
    <w:rsid w:val="00811D50"/>
    <w:rsid w:val="00817B04"/>
    <w:rsid w:val="008345BB"/>
    <w:rsid w:val="008454A6"/>
    <w:rsid w:val="008650D7"/>
    <w:rsid w:val="008702BB"/>
    <w:rsid w:val="008B0E43"/>
    <w:rsid w:val="008C0DCC"/>
    <w:rsid w:val="008D5374"/>
    <w:rsid w:val="008D655A"/>
    <w:rsid w:val="00905102"/>
    <w:rsid w:val="009131DF"/>
    <w:rsid w:val="009148B0"/>
    <w:rsid w:val="00957C36"/>
    <w:rsid w:val="00964DC5"/>
    <w:rsid w:val="00970806"/>
    <w:rsid w:val="00985F97"/>
    <w:rsid w:val="0099014C"/>
    <w:rsid w:val="00994A0C"/>
    <w:rsid w:val="00997FBA"/>
    <w:rsid w:val="009C41D2"/>
    <w:rsid w:val="009C4953"/>
    <w:rsid w:val="009D19C0"/>
    <w:rsid w:val="009D1B2F"/>
    <w:rsid w:val="009D29DF"/>
    <w:rsid w:val="009D73B2"/>
    <w:rsid w:val="009E6E00"/>
    <w:rsid w:val="009F2384"/>
    <w:rsid w:val="009F6BA9"/>
    <w:rsid w:val="009F7CE2"/>
    <w:rsid w:val="00A17255"/>
    <w:rsid w:val="00A36810"/>
    <w:rsid w:val="00A4276B"/>
    <w:rsid w:val="00A44D2C"/>
    <w:rsid w:val="00A60FD7"/>
    <w:rsid w:val="00A72E53"/>
    <w:rsid w:val="00AD3DFC"/>
    <w:rsid w:val="00AE1696"/>
    <w:rsid w:val="00B07024"/>
    <w:rsid w:val="00B32E91"/>
    <w:rsid w:val="00B36A8F"/>
    <w:rsid w:val="00B568DF"/>
    <w:rsid w:val="00B57116"/>
    <w:rsid w:val="00B64CEE"/>
    <w:rsid w:val="00B82747"/>
    <w:rsid w:val="00B82874"/>
    <w:rsid w:val="00B83705"/>
    <w:rsid w:val="00B90DEC"/>
    <w:rsid w:val="00BD7586"/>
    <w:rsid w:val="00BD7E82"/>
    <w:rsid w:val="00C00E0D"/>
    <w:rsid w:val="00C17C65"/>
    <w:rsid w:val="00C17FCD"/>
    <w:rsid w:val="00C27443"/>
    <w:rsid w:val="00C34715"/>
    <w:rsid w:val="00C7565D"/>
    <w:rsid w:val="00C81214"/>
    <w:rsid w:val="00C830B8"/>
    <w:rsid w:val="00CA0CA5"/>
    <w:rsid w:val="00CA79DC"/>
    <w:rsid w:val="00CB087E"/>
    <w:rsid w:val="00CC7071"/>
    <w:rsid w:val="00CD3A54"/>
    <w:rsid w:val="00CF700E"/>
    <w:rsid w:val="00D14AEB"/>
    <w:rsid w:val="00D26EA5"/>
    <w:rsid w:val="00DA3B0C"/>
    <w:rsid w:val="00DB1FAE"/>
    <w:rsid w:val="00DB7D1D"/>
    <w:rsid w:val="00DC45B2"/>
    <w:rsid w:val="00E05BD6"/>
    <w:rsid w:val="00E060DE"/>
    <w:rsid w:val="00E12CEB"/>
    <w:rsid w:val="00E140B2"/>
    <w:rsid w:val="00E62222"/>
    <w:rsid w:val="00E807E1"/>
    <w:rsid w:val="00E91E94"/>
    <w:rsid w:val="00EC19FA"/>
    <w:rsid w:val="00EC6CEC"/>
    <w:rsid w:val="00EC73B9"/>
    <w:rsid w:val="00ED0DED"/>
    <w:rsid w:val="00ED6BD8"/>
    <w:rsid w:val="00EF7567"/>
    <w:rsid w:val="00F16213"/>
    <w:rsid w:val="00F44137"/>
    <w:rsid w:val="00F462C8"/>
    <w:rsid w:val="00F65A86"/>
    <w:rsid w:val="00F7301C"/>
    <w:rsid w:val="00F95A76"/>
    <w:rsid w:val="00FA6126"/>
    <w:rsid w:val="00FD50B2"/>
    <w:rsid w:val="00FE2E11"/>
    <w:rsid w:val="00FE64BC"/>
    <w:rsid w:val="03CC6E3B"/>
    <w:rsid w:val="0574220A"/>
    <w:rsid w:val="0765F923"/>
    <w:rsid w:val="08210ACB"/>
    <w:rsid w:val="0BA4CFF7"/>
    <w:rsid w:val="0BA5D81E"/>
    <w:rsid w:val="12EF1100"/>
    <w:rsid w:val="12F9DDC7"/>
    <w:rsid w:val="143E3CFC"/>
    <w:rsid w:val="1AC046B0"/>
    <w:rsid w:val="1AC996F0"/>
    <w:rsid w:val="1E3E9E07"/>
    <w:rsid w:val="1F8B17B7"/>
    <w:rsid w:val="25592B7B"/>
    <w:rsid w:val="280894A7"/>
    <w:rsid w:val="2A3BE00E"/>
    <w:rsid w:val="2C3E099D"/>
    <w:rsid w:val="2C756197"/>
    <w:rsid w:val="312275F3"/>
    <w:rsid w:val="35274DB1"/>
    <w:rsid w:val="374F9D0E"/>
    <w:rsid w:val="38606E0E"/>
    <w:rsid w:val="39DE2909"/>
    <w:rsid w:val="3BE9C4E9"/>
    <w:rsid w:val="3C70E55D"/>
    <w:rsid w:val="3CD4FBC1"/>
    <w:rsid w:val="3F7F77AC"/>
    <w:rsid w:val="46B2848A"/>
    <w:rsid w:val="502235E5"/>
    <w:rsid w:val="5256C70E"/>
    <w:rsid w:val="55F58518"/>
    <w:rsid w:val="594DC134"/>
    <w:rsid w:val="5A58A733"/>
    <w:rsid w:val="5ECAF0DA"/>
    <w:rsid w:val="64FCAC1C"/>
    <w:rsid w:val="6B96F8A7"/>
    <w:rsid w:val="6C8E7E8F"/>
    <w:rsid w:val="6D04AB7F"/>
    <w:rsid w:val="6D35AD1B"/>
    <w:rsid w:val="6FB99A71"/>
    <w:rsid w:val="7044B99B"/>
    <w:rsid w:val="715C76DF"/>
    <w:rsid w:val="73136B4D"/>
    <w:rsid w:val="733D973E"/>
    <w:rsid w:val="77801AFC"/>
    <w:rsid w:val="7810C5D5"/>
    <w:rsid w:val="794B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5D4F"/>
  <w15:chartTrackingRefBased/>
  <w15:docId w15:val="{FEB0EB6C-C142-401C-A7CA-197E627E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uiPriority w:val="39"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A44D2C"/>
    <w:rPr>
      <w:sz w:val="22"/>
      <w:lang w:val="sv-SE" w:eastAsia="sv-SE"/>
    </w:rPr>
  </w:style>
  <w:style w:type="paragraph" w:customStyle="1" w:styleId="ANormal2">
    <w:name w:val="ANormal2"/>
    <w:basedOn w:val="ANormal"/>
    <w:rsid w:val="00C7565D"/>
    <w:pPr>
      <w:ind w:firstLine="28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D5025D3F34F140AC6919E5F7605C52" ma:contentTypeVersion="4" ma:contentTypeDescription="Skapa ett nytt dokument." ma:contentTypeScope="" ma:versionID="fc1ed42a13212bc8f8acfcdf6a04392f">
  <xsd:schema xmlns:xsd="http://www.w3.org/2001/XMLSchema" xmlns:xs="http://www.w3.org/2001/XMLSchema" xmlns:p="http://schemas.microsoft.com/office/2006/metadata/properties" xmlns:ns2="9635287a-7337-4355-b8ab-76ee5cc73b84" targetNamespace="http://schemas.microsoft.com/office/2006/metadata/properties" ma:root="true" ma:fieldsID="7cb23a4e2d7a45258bb9bd86cd0406b1" ns2:_="">
    <xsd:import namespace="9635287a-7337-4355-b8ab-76ee5cc73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287a-7337-4355-b8ab-76ee5cc7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77C75-030E-424C-96FC-9F2A80477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A4F78-3872-4DCB-BFFD-C52553562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C6C606-73F8-4815-9F75-63DDD377C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5287a-7337-4355-b8ab-76ee5cc73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42545-DDDE-4775-87B9-048AFB10B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4</Pages>
  <Words>1362</Words>
  <Characters>9892</Characters>
  <Application>Microsoft Office Word</Application>
  <DocSecurity>0</DocSecurity>
  <Lines>82</Lines>
  <Paragraphs>22</Paragraphs>
  <ScaleCrop>false</ScaleCrop>
  <Company>Ålands lagting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 kulturutskottets betänkande nr 9/2023-2024</dc:title>
  <dc:subject/>
  <dc:creator>Jessica Laaksonen</dc:creator>
  <cp:keywords/>
  <cp:lastModifiedBy>Jessica Laaksonen</cp:lastModifiedBy>
  <cp:revision>2</cp:revision>
  <cp:lastPrinted>2025-03-27T07:12:00Z</cp:lastPrinted>
  <dcterms:created xsi:type="dcterms:W3CDTF">2025-03-27T14:11:00Z</dcterms:created>
  <dcterms:modified xsi:type="dcterms:W3CDTF">2025-03-27T14:11:00Z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0x01010031D5025D3F34F140AC6919E5F7605C52</vt:lpwstr>
  </property>
</Properties>
</file>