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2401D0" w:rsidRPr="003230CC" w14:paraId="294AEB4A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7E1792F3" w14:textId="77777777" w:rsidR="002401D0" w:rsidRPr="003230CC" w:rsidRDefault="00CE38A8">
            <w:pPr>
              <w:pStyle w:val="xLedtext"/>
              <w:rPr>
                <w:noProof/>
                <w:highlight w:val="yellow"/>
              </w:rPr>
            </w:pPr>
            <w:bookmarkStart w:id="0" w:name="_top"/>
            <w:bookmarkEnd w:id="0"/>
            <w:r w:rsidRPr="003230CC">
              <w:rPr>
                <w:noProof/>
                <w:highlight w:val="yellow"/>
                <w:lang w:val="sv-FI" w:eastAsia="sv-FI"/>
              </w:rPr>
              <w:drawing>
                <wp:inline distT="0" distB="0" distL="0" distR="0" wp14:anchorId="1A287643" wp14:editId="1D4D9B5E">
                  <wp:extent cx="476250" cy="687070"/>
                  <wp:effectExtent l="0" t="0" r="0" b="0"/>
                  <wp:docPr id="1" name="Bild 1" descr="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696D8317" w14:textId="77777777" w:rsidR="002401D0" w:rsidRPr="003230CC" w:rsidRDefault="00CE38A8">
            <w:pPr>
              <w:pStyle w:val="xMellanrum"/>
            </w:pPr>
            <w:r w:rsidRPr="003230CC">
              <w:rPr>
                <w:noProof/>
                <w:lang w:val="sv-FI" w:eastAsia="sv-FI"/>
              </w:rPr>
              <w:drawing>
                <wp:inline distT="0" distB="0" distL="0" distR="0" wp14:anchorId="454E3360" wp14:editId="6415B5A0">
                  <wp:extent cx="46355" cy="46355"/>
                  <wp:effectExtent l="0" t="0" r="0" b="0"/>
                  <wp:docPr id="2" name="Bild 2" descr="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1D0" w:rsidRPr="003230CC" w14:paraId="72FBC45E" w14:textId="77777777">
        <w:trPr>
          <w:cantSplit/>
          <w:trHeight w:val="299"/>
        </w:trPr>
        <w:tc>
          <w:tcPr>
            <w:tcW w:w="861" w:type="dxa"/>
            <w:vMerge/>
          </w:tcPr>
          <w:p w14:paraId="3A3138DF" w14:textId="77777777" w:rsidR="002401D0" w:rsidRPr="003230CC" w:rsidRDefault="002401D0">
            <w:pPr>
              <w:pStyle w:val="xLedtext"/>
              <w:rPr>
                <w:highlight w:val="yellow"/>
              </w:rPr>
            </w:pPr>
          </w:p>
        </w:tc>
        <w:tc>
          <w:tcPr>
            <w:tcW w:w="4448" w:type="dxa"/>
            <w:vAlign w:val="bottom"/>
          </w:tcPr>
          <w:p w14:paraId="0D5F8554" w14:textId="77777777" w:rsidR="002401D0" w:rsidRPr="003230CC" w:rsidRDefault="002401D0">
            <w:pPr>
              <w:pStyle w:val="xAvsandare1"/>
            </w:pPr>
            <w:r w:rsidRPr="003230CC"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248A917A" w14:textId="033B88E6" w:rsidR="002401D0" w:rsidRPr="003230CC" w:rsidRDefault="00E55EBC" w:rsidP="002B1442">
            <w:pPr>
              <w:pStyle w:val="xDokTypNr"/>
            </w:pPr>
            <w:r w:rsidRPr="003230CC">
              <w:t xml:space="preserve">BETÄNKANDE nr </w:t>
            </w:r>
            <w:r w:rsidR="00E54827">
              <w:t>2</w:t>
            </w:r>
            <w:r w:rsidR="00642937" w:rsidRPr="003230CC">
              <w:t>/</w:t>
            </w:r>
            <w:r w:rsidR="002401D0" w:rsidRPr="003230CC">
              <w:t>20</w:t>
            </w:r>
            <w:r w:rsidR="00A70C7B" w:rsidRPr="003230CC">
              <w:t>2</w:t>
            </w:r>
            <w:r w:rsidR="003230CC" w:rsidRPr="003230CC">
              <w:t>5</w:t>
            </w:r>
            <w:r w:rsidR="0015337C" w:rsidRPr="003230CC">
              <w:t>-20</w:t>
            </w:r>
            <w:r w:rsidR="00A70C7B" w:rsidRPr="003230CC">
              <w:t>2</w:t>
            </w:r>
            <w:r w:rsidR="003230CC" w:rsidRPr="003230CC">
              <w:t>6</w:t>
            </w:r>
          </w:p>
        </w:tc>
      </w:tr>
      <w:tr w:rsidR="002401D0" w:rsidRPr="003230CC" w14:paraId="408DD7D7" w14:textId="77777777">
        <w:trPr>
          <w:cantSplit/>
          <w:trHeight w:val="238"/>
        </w:trPr>
        <w:tc>
          <w:tcPr>
            <w:tcW w:w="861" w:type="dxa"/>
            <w:vMerge/>
          </w:tcPr>
          <w:p w14:paraId="3FA93C31" w14:textId="77777777" w:rsidR="002401D0" w:rsidRPr="003230CC" w:rsidRDefault="002401D0">
            <w:pPr>
              <w:pStyle w:val="xLedtext"/>
              <w:rPr>
                <w:highlight w:val="yellow"/>
              </w:rPr>
            </w:pPr>
          </w:p>
        </w:tc>
        <w:tc>
          <w:tcPr>
            <w:tcW w:w="4448" w:type="dxa"/>
            <w:vAlign w:val="bottom"/>
          </w:tcPr>
          <w:p w14:paraId="5A76E8F5" w14:textId="77777777" w:rsidR="002401D0" w:rsidRPr="003230CC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1ED3F1F2" w14:textId="77777777" w:rsidR="002401D0" w:rsidRPr="003230CC" w:rsidRDefault="002401D0">
            <w:pPr>
              <w:pStyle w:val="xLedtext"/>
            </w:pPr>
            <w:r w:rsidRPr="003230CC">
              <w:t>Datum</w:t>
            </w:r>
          </w:p>
        </w:tc>
        <w:tc>
          <w:tcPr>
            <w:tcW w:w="2563" w:type="dxa"/>
            <w:vAlign w:val="bottom"/>
          </w:tcPr>
          <w:p w14:paraId="43F59CD1" w14:textId="77777777" w:rsidR="002401D0" w:rsidRPr="003230CC" w:rsidRDefault="002401D0">
            <w:pPr>
              <w:pStyle w:val="xLedtext"/>
              <w:rPr>
                <w:highlight w:val="yellow"/>
              </w:rPr>
            </w:pPr>
          </w:p>
        </w:tc>
      </w:tr>
      <w:tr w:rsidR="002401D0" w:rsidRPr="003230CC" w14:paraId="7EC1C84E" w14:textId="77777777">
        <w:trPr>
          <w:cantSplit/>
          <w:trHeight w:val="238"/>
        </w:trPr>
        <w:tc>
          <w:tcPr>
            <w:tcW w:w="861" w:type="dxa"/>
            <w:vMerge/>
          </w:tcPr>
          <w:p w14:paraId="1C9E2BC0" w14:textId="77777777" w:rsidR="002401D0" w:rsidRPr="003230CC" w:rsidRDefault="002401D0">
            <w:pPr>
              <w:pStyle w:val="xAvsandare2"/>
              <w:rPr>
                <w:highlight w:val="yellow"/>
              </w:rPr>
            </w:pPr>
          </w:p>
        </w:tc>
        <w:tc>
          <w:tcPr>
            <w:tcW w:w="4448" w:type="dxa"/>
            <w:vAlign w:val="center"/>
          </w:tcPr>
          <w:p w14:paraId="7B0113A7" w14:textId="77777777" w:rsidR="002401D0" w:rsidRPr="003230CC" w:rsidRDefault="00137496">
            <w:pPr>
              <w:pStyle w:val="xAvsandare2"/>
            </w:pPr>
            <w:r w:rsidRPr="003230CC">
              <w:t>Självstyrelsepolitiska nämnden</w:t>
            </w:r>
          </w:p>
        </w:tc>
        <w:tc>
          <w:tcPr>
            <w:tcW w:w="1725" w:type="dxa"/>
            <w:vAlign w:val="center"/>
          </w:tcPr>
          <w:p w14:paraId="735BE2A1" w14:textId="5D391F77" w:rsidR="002401D0" w:rsidRPr="00EA7592" w:rsidRDefault="002401D0" w:rsidP="002B1442">
            <w:pPr>
              <w:pStyle w:val="xDatum1"/>
            </w:pPr>
            <w:r w:rsidRPr="00EA7592">
              <w:t>20</w:t>
            </w:r>
            <w:r w:rsidR="00DD57CF" w:rsidRPr="00EA7592">
              <w:t>2</w:t>
            </w:r>
            <w:r w:rsidR="003230CC" w:rsidRPr="00EA7592">
              <w:t>5</w:t>
            </w:r>
            <w:r w:rsidR="004B5A1C" w:rsidRPr="00EA7592">
              <w:t>-</w:t>
            </w:r>
            <w:r w:rsidR="00EA7592" w:rsidRPr="00EA7592">
              <w:t>11</w:t>
            </w:r>
            <w:r w:rsidR="00A70C7B" w:rsidRPr="00EA7592">
              <w:t>-</w:t>
            </w:r>
            <w:r w:rsidR="00AA0157" w:rsidRPr="00EA7592">
              <w:t>1</w:t>
            </w:r>
            <w:r w:rsidR="00EA7592" w:rsidRPr="00EA7592">
              <w:t>3</w:t>
            </w:r>
          </w:p>
        </w:tc>
        <w:tc>
          <w:tcPr>
            <w:tcW w:w="2563" w:type="dxa"/>
            <w:vAlign w:val="center"/>
          </w:tcPr>
          <w:p w14:paraId="27122929" w14:textId="77777777" w:rsidR="002401D0" w:rsidRPr="003230CC" w:rsidRDefault="002401D0">
            <w:pPr>
              <w:pStyle w:val="xBeteckning1"/>
              <w:rPr>
                <w:highlight w:val="yellow"/>
              </w:rPr>
            </w:pPr>
          </w:p>
        </w:tc>
      </w:tr>
      <w:tr w:rsidR="002401D0" w:rsidRPr="003230CC" w14:paraId="0BF77C0F" w14:textId="77777777">
        <w:trPr>
          <w:cantSplit/>
          <w:trHeight w:val="238"/>
        </w:trPr>
        <w:tc>
          <w:tcPr>
            <w:tcW w:w="861" w:type="dxa"/>
            <w:vMerge/>
          </w:tcPr>
          <w:p w14:paraId="6B2E644D" w14:textId="77777777" w:rsidR="002401D0" w:rsidRPr="003230CC" w:rsidRDefault="002401D0">
            <w:pPr>
              <w:pStyle w:val="xLedtext"/>
              <w:rPr>
                <w:highlight w:val="yellow"/>
              </w:rPr>
            </w:pPr>
          </w:p>
        </w:tc>
        <w:tc>
          <w:tcPr>
            <w:tcW w:w="4448" w:type="dxa"/>
            <w:vAlign w:val="bottom"/>
          </w:tcPr>
          <w:p w14:paraId="6DCAC37F" w14:textId="77777777" w:rsidR="002401D0" w:rsidRPr="003230CC" w:rsidRDefault="002401D0">
            <w:pPr>
              <w:pStyle w:val="xLedtext"/>
              <w:rPr>
                <w:highlight w:val="yellow"/>
              </w:rPr>
            </w:pPr>
          </w:p>
        </w:tc>
        <w:tc>
          <w:tcPr>
            <w:tcW w:w="1725" w:type="dxa"/>
            <w:vAlign w:val="bottom"/>
          </w:tcPr>
          <w:p w14:paraId="16BAE423" w14:textId="77777777" w:rsidR="002401D0" w:rsidRPr="003230CC" w:rsidRDefault="002401D0">
            <w:pPr>
              <w:pStyle w:val="xLedtext"/>
              <w:rPr>
                <w:highlight w:val="yellow"/>
              </w:rPr>
            </w:pPr>
          </w:p>
        </w:tc>
        <w:tc>
          <w:tcPr>
            <w:tcW w:w="2563" w:type="dxa"/>
            <w:vAlign w:val="bottom"/>
          </w:tcPr>
          <w:p w14:paraId="1ACED614" w14:textId="77777777" w:rsidR="002401D0" w:rsidRPr="003230CC" w:rsidRDefault="002401D0">
            <w:pPr>
              <w:pStyle w:val="xLedtext"/>
              <w:rPr>
                <w:highlight w:val="yellow"/>
              </w:rPr>
            </w:pPr>
          </w:p>
        </w:tc>
      </w:tr>
      <w:tr w:rsidR="002401D0" w:rsidRPr="003230CC" w14:paraId="3BB053C7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305F072B" w14:textId="77777777" w:rsidR="002401D0" w:rsidRPr="003230CC" w:rsidRDefault="002401D0">
            <w:pPr>
              <w:pStyle w:val="xAvsandare3"/>
              <w:rPr>
                <w:highlight w:val="yellow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48A2CD8B" w14:textId="77777777" w:rsidR="002401D0" w:rsidRPr="003230CC" w:rsidRDefault="002401D0">
            <w:pPr>
              <w:pStyle w:val="xAvsandare3"/>
              <w:rPr>
                <w:highlight w:val="yellow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8B42DEE" w14:textId="77777777" w:rsidR="002401D0" w:rsidRPr="003230CC" w:rsidRDefault="002401D0">
            <w:pPr>
              <w:pStyle w:val="xDatum2"/>
              <w:rPr>
                <w:highlight w:val="yellow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2352D489" w14:textId="77777777" w:rsidR="002401D0" w:rsidRPr="003230CC" w:rsidRDefault="002401D0">
            <w:pPr>
              <w:pStyle w:val="xBeteckning2"/>
              <w:rPr>
                <w:highlight w:val="yellow"/>
              </w:rPr>
            </w:pPr>
          </w:p>
        </w:tc>
      </w:tr>
      <w:tr w:rsidR="002401D0" w:rsidRPr="003230CC" w14:paraId="4C33AD1B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768AC21F" w14:textId="77777777" w:rsidR="002401D0" w:rsidRPr="003230CC" w:rsidRDefault="002401D0">
            <w:pPr>
              <w:pStyle w:val="xLedtext"/>
              <w:rPr>
                <w:highlight w:val="yellow"/>
              </w:rPr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44460E61" w14:textId="77777777" w:rsidR="002401D0" w:rsidRPr="003230CC" w:rsidRDefault="002401D0">
            <w:pPr>
              <w:pStyle w:val="xLedtext"/>
              <w:rPr>
                <w:highlight w:val="yellow"/>
              </w:rPr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EA28777" w14:textId="77777777" w:rsidR="002401D0" w:rsidRPr="003230CC" w:rsidRDefault="002401D0">
            <w:pPr>
              <w:pStyle w:val="xLedtext"/>
              <w:rPr>
                <w:highlight w:val="yellow"/>
              </w:rPr>
            </w:pPr>
          </w:p>
        </w:tc>
      </w:tr>
      <w:tr w:rsidR="002401D0" w:rsidRPr="003230CC" w14:paraId="26FAEA90" w14:textId="77777777">
        <w:trPr>
          <w:cantSplit/>
          <w:trHeight w:val="238"/>
        </w:trPr>
        <w:tc>
          <w:tcPr>
            <w:tcW w:w="861" w:type="dxa"/>
          </w:tcPr>
          <w:p w14:paraId="7584CC95" w14:textId="77777777" w:rsidR="002401D0" w:rsidRPr="003230CC" w:rsidRDefault="002401D0">
            <w:pPr>
              <w:pStyle w:val="xCelltext"/>
              <w:rPr>
                <w:highlight w:val="yellow"/>
              </w:rPr>
            </w:pPr>
          </w:p>
        </w:tc>
        <w:tc>
          <w:tcPr>
            <w:tcW w:w="4448" w:type="dxa"/>
            <w:vMerge w:val="restart"/>
          </w:tcPr>
          <w:p w14:paraId="02A95FED" w14:textId="77777777" w:rsidR="002401D0" w:rsidRPr="003230CC" w:rsidRDefault="002401D0">
            <w:pPr>
              <w:pStyle w:val="xMottagare1"/>
            </w:pPr>
            <w:r w:rsidRPr="003230CC"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36D1BAE0" w14:textId="77777777" w:rsidR="002401D0" w:rsidRPr="003230CC" w:rsidRDefault="002401D0">
            <w:pPr>
              <w:pStyle w:val="xMottagare1"/>
              <w:tabs>
                <w:tab w:val="left" w:pos="2349"/>
              </w:tabs>
              <w:rPr>
                <w:highlight w:val="yellow"/>
              </w:rPr>
            </w:pPr>
          </w:p>
        </w:tc>
      </w:tr>
      <w:tr w:rsidR="002401D0" w:rsidRPr="003230CC" w14:paraId="5B90F40C" w14:textId="77777777">
        <w:trPr>
          <w:cantSplit/>
          <w:trHeight w:val="238"/>
        </w:trPr>
        <w:tc>
          <w:tcPr>
            <w:tcW w:w="861" w:type="dxa"/>
          </w:tcPr>
          <w:p w14:paraId="03054FDD" w14:textId="77777777" w:rsidR="002401D0" w:rsidRPr="003230CC" w:rsidRDefault="002401D0">
            <w:pPr>
              <w:pStyle w:val="xCelltext"/>
              <w:rPr>
                <w:highlight w:val="yellow"/>
              </w:rPr>
            </w:pPr>
          </w:p>
        </w:tc>
        <w:tc>
          <w:tcPr>
            <w:tcW w:w="4448" w:type="dxa"/>
            <w:vMerge/>
            <w:vAlign w:val="center"/>
          </w:tcPr>
          <w:p w14:paraId="7DD57193" w14:textId="77777777" w:rsidR="002401D0" w:rsidRPr="003230CC" w:rsidRDefault="002401D0">
            <w:pPr>
              <w:pStyle w:val="xCelltext"/>
              <w:rPr>
                <w:highlight w:val="yellow"/>
              </w:rPr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00731FA0" w14:textId="77777777" w:rsidR="002401D0" w:rsidRPr="003230CC" w:rsidRDefault="002401D0">
            <w:pPr>
              <w:pStyle w:val="xCelltext"/>
              <w:rPr>
                <w:highlight w:val="yellow"/>
              </w:rPr>
            </w:pPr>
          </w:p>
        </w:tc>
      </w:tr>
      <w:tr w:rsidR="002401D0" w:rsidRPr="003230CC" w14:paraId="1BB2AEAC" w14:textId="77777777">
        <w:trPr>
          <w:cantSplit/>
          <w:trHeight w:val="238"/>
        </w:trPr>
        <w:tc>
          <w:tcPr>
            <w:tcW w:w="861" w:type="dxa"/>
          </w:tcPr>
          <w:p w14:paraId="62EF4FAB" w14:textId="77777777" w:rsidR="002401D0" w:rsidRPr="003230CC" w:rsidRDefault="002401D0">
            <w:pPr>
              <w:pStyle w:val="xCelltext"/>
              <w:rPr>
                <w:highlight w:val="yellow"/>
              </w:rPr>
            </w:pPr>
          </w:p>
        </w:tc>
        <w:tc>
          <w:tcPr>
            <w:tcW w:w="4448" w:type="dxa"/>
            <w:vMerge/>
            <w:vAlign w:val="center"/>
          </w:tcPr>
          <w:p w14:paraId="11D03A3A" w14:textId="77777777" w:rsidR="002401D0" w:rsidRPr="003230CC" w:rsidRDefault="002401D0">
            <w:pPr>
              <w:pStyle w:val="xCelltext"/>
              <w:rPr>
                <w:highlight w:val="yellow"/>
              </w:rPr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7C567425" w14:textId="77777777" w:rsidR="002401D0" w:rsidRPr="003230CC" w:rsidRDefault="002401D0">
            <w:pPr>
              <w:pStyle w:val="xCelltext"/>
              <w:rPr>
                <w:highlight w:val="yellow"/>
              </w:rPr>
            </w:pPr>
          </w:p>
        </w:tc>
      </w:tr>
      <w:tr w:rsidR="002401D0" w:rsidRPr="003230CC" w14:paraId="116EC804" w14:textId="77777777">
        <w:trPr>
          <w:cantSplit/>
          <w:trHeight w:val="238"/>
        </w:trPr>
        <w:tc>
          <w:tcPr>
            <w:tcW w:w="861" w:type="dxa"/>
          </w:tcPr>
          <w:p w14:paraId="30E3C072" w14:textId="77777777" w:rsidR="002401D0" w:rsidRPr="003230CC" w:rsidRDefault="002401D0">
            <w:pPr>
              <w:pStyle w:val="xCelltext"/>
              <w:rPr>
                <w:highlight w:val="yellow"/>
              </w:rPr>
            </w:pPr>
          </w:p>
        </w:tc>
        <w:tc>
          <w:tcPr>
            <w:tcW w:w="4448" w:type="dxa"/>
            <w:vMerge/>
            <w:vAlign w:val="center"/>
          </w:tcPr>
          <w:p w14:paraId="2C5AA597" w14:textId="77777777" w:rsidR="002401D0" w:rsidRPr="003230CC" w:rsidRDefault="002401D0">
            <w:pPr>
              <w:pStyle w:val="xCelltext"/>
              <w:rPr>
                <w:highlight w:val="yellow"/>
              </w:rPr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C8F52F8" w14:textId="77777777" w:rsidR="002401D0" w:rsidRPr="003230CC" w:rsidRDefault="002401D0">
            <w:pPr>
              <w:pStyle w:val="xCelltext"/>
              <w:rPr>
                <w:highlight w:val="yellow"/>
              </w:rPr>
            </w:pPr>
          </w:p>
        </w:tc>
      </w:tr>
      <w:tr w:rsidR="002401D0" w:rsidRPr="003230CC" w14:paraId="026321AC" w14:textId="77777777">
        <w:trPr>
          <w:cantSplit/>
          <w:trHeight w:val="238"/>
        </w:trPr>
        <w:tc>
          <w:tcPr>
            <w:tcW w:w="861" w:type="dxa"/>
          </w:tcPr>
          <w:p w14:paraId="61FC05B6" w14:textId="77777777" w:rsidR="002401D0" w:rsidRPr="003230CC" w:rsidRDefault="002401D0">
            <w:pPr>
              <w:pStyle w:val="xCelltext"/>
              <w:rPr>
                <w:highlight w:val="yellow"/>
              </w:rPr>
            </w:pPr>
          </w:p>
        </w:tc>
        <w:tc>
          <w:tcPr>
            <w:tcW w:w="4448" w:type="dxa"/>
            <w:vMerge/>
            <w:vAlign w:val="center"/>
          </w:tcPr>
          <w:p w14:paraId="1C74032B" w14:textId="77777777" w:rsidR="002401D0" w:rsidRPr="003230CC" w:rsidRDefault="002401D0">
            <w:pPr>
              <w:pStyle w:val="xCelltext"/>
              <w:rPr>
                <w:highlight w:val="yellow"/>
              </w:rPr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9AA3940" w14:textId="77777777" w:rsidR="002401D0" w:rsidRPr="003230CC" w:rsidRDefault="002401D0">
            <w:pPr>
              <w:pStyle w:val="xCelltext"/>
              <w:rPr>
                <w:highlight w:val="yellow"/>
              </w:rPr>
            </w:pPr>
          </w:p>
        </w:tc>
      </w:tr>
    </w:tbl>
    <w:p w14:paraId="300F79A9" w14:textId="77777777" w:rsidR="002401D0" w:rsidRPr="003230CC" w:rsidRDefault="002401D0">
      <w:pPr>
        <w:rPr>
          <w:b/>
          <w:bCs/>
        </w:rPr>
        <w:sectPr w:rsidR="002401D0" w:rsidRPr="003230CC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5CBB0862" w14:textId="77777777" w:rsidR="002401D0" w:rsidRPr="003230CC" w:rsidRDefault="00137496">
      <w:pPr>
        <w:pStyle w:val="ArendeOverRubrik"/>
      </w:pPr>
      <w:r w:rsidRPr="003230CC">
        <w:t>Självstyrelsepolitiska nämndens</w:t>
      </w:r>
      <w:r w:rsidR="002401D0" w:rsidRPr="003230CC">
        <w:t xml:space="preserve"> betänkande</w:t>
      </w:r>
    </w:p>
    <w:p w14:paraId="2C1E0527" w14:textId="374D9DD5" w:rsidR="00CC27F4" w:rsidRPr="003230CC" w:rsidRDefault="00CC27F4" w:rsidP="00CC27F4">
      <w:pPr>
        <w:pStyle w:val="ArendeRubrik"/>
      </w:pPr>
      <w:r w:rsidRPr="003230CC">
        <w:t>Landskapsregeringens externpolitik</w:t>
      </w:r>
    </w:p>
    <w:p w14:paraId="6A5A7E00" w14:textId="46FC9DDE" w:rsidR="002401D0" w:rsidRPr="003230CC" w:rsidRDefault="00DD57CF">
      <w:pPr>
        <w:pStyle w:val="ArendeUnderRubrik"/>
      </w:pPr>
      <w:r w:rsidRPr="003230CC">
        <w:t xml:space="preserve">Landskapsregeringens </w:t>
      </w:r>
      <w:r w:rsidR="00CC27F4" w:rsidRPr="003230CC">
        <w:t>meddelande</w:t>
      </w:r>
      <w:r w:rsidRPr="003230CC">
        <w:t xml:space="preserve"> </w:t>
      </w:r>
      <w:r w:rsidR="00AD21F9" w:rsidRPr="003230CC">
        <w:t xml:space="preserve">nr </w:t>
      </w:r>
      <w:r w:rsidR="003230CC" w:rsidRPr="003230CC">
        <w:t>4</w:t>
      </w:r>
      <w:r w:rsidRPr="003230CC">
        <w:t>/202</w:t>
      </w:r>
      <w:r w:rsidR="003230CC" w:rsidRPr="003230CC">
        <w:t>4</w:t>
      </w:r>
      <w:r w:rsidRPr="003230CC">
        <w:t>-202</w:t>
      </w:r>
      <w:r w:rsidR="003230CC" w:rsidRPr="003230CC">
        <w:t>5</w:t>
      </w:r>
    </w:p>
    <w:p w14:paraId="2CA0AD41" w14:textId="7329BC16" w:rsidR="002B1442" w:rsidRPr="003230CC" w:rsidRDefault="002B1442" w:rsidP="00DD57CF">
      <w:pPr>
        <w:pStyle w:val="ArendeUnderRubrik"/>
        <w:numPr>
          <w:ilvl w:val="0"/>
          <w:numId w:val="0"/>
        </w:numPr>
        <w:ind w:left="283"/>
        <w:rPr>
          <w:highlight w:val="yellow"/>
        </w:rPr>
      </w:pPr>
    </w:p>
    <w:p w14:paraId="2B2355A1" w14:textId="77777777" w:rsidR="002401D0" w:rsidRPr="009A0E06" w:rsidRDefault="002401D0">
      <w:pPr>
        <w:pStyle w:val="ANormal"/>
      </w:pPr>
    </w:p>
    <w:p w14:paraId="0598D21D" w14:textId="77777777" w:rsidR="002401D0" w:rsidRPr="009A0E06" w:rsidRDefault="002401D0">
      <w:pPr>
        <w:pStyle w:val="Innehll1"/>
      </w:pPr>
      <w:r w:rsidRPr="009A0E06">
        <w:t>INNEHÅLL</w:t>
      </w:r>
    </w:p>
    <w:p w14:paraId="04A4FFC4" w14:textId="29EA4A6B" w:rsidR="00E5085B" w:rsidRDefault="002401D0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r w:rsidRPr="009A0E06">
        <w:fldChar w:fldCharType="begin"/>
      </w:r>
      <w:r w:rsidRPr="009A0E06">
        <w:instrText xml:space="preserve"> TOC \o "1-1" \h \z \t "Rubrik 2;2;Rubrik 3;3;RubrikB;2;RubrikC;3" </w:instrText>
      </w:r>
      <w:r w:rsidRPr="009A0E06">
        <w:fldChar w:fldCharType="separate"/>
      </w:r>
      <w:hyperlink w:anchor="_Toc213871224" w:history="1">
        <w:r w:rsidR="00E5085B" w:rsidRPr="00D406F8">
          <w:rPr>
            <w:rStyle w:val="Hyperlnk"/>
          </w:rPr>
          <w:t>Sammanfattning</w:t>
        </w:r>
        <w:r w:rsidR="00E5085B">
          <w:rPr>
            <w:webHidden/>
          </w:rPr>
          <w:tab/>
        </w:r>
        <w:r w:rsidR="00E5085B">
          <w:rPr>
            <w:webHidden/>
          </w:rPr>
          <w:fldChar w:fldCharType="begin"/>
        </w:r>
        <w:r w:rsidR="00E5085B">
          <w:rPr>
            <w:webHidden/>
          </w:rPr>
          <w:instrText xml:space="preserve"> PAGEREF _Toc213871224 \h </w:instrText>
        </w:r>
        <w:r w:rsidR="00E5085B">
          <w:rPr>
            <w:webHidden/>
          </w:rPr>
        </w:r>
        <w:r w:rsidR="00E5085B">
          <w:rPr>
            <w:webHidden/>
          </w:rPr>
          <w:fldChar w:fldCharType="separate"/>
        </w:r>
        <w:r w:rsidR="00E5085B">
          <w:rPr>
            <w:webHidden/>
          </w:rPr>
          <w:t>1</w:t>
        </w:r>
        <w:r w:rsidR="00E5085B">
          <w:rPr>
            <w:webHidden/>
          </w:rPr>
          <w:fldChar w:fldCharType="end"/>
        </w:r>
      </w:hyperlink>
    </w:p>
    <w:p w14:paraId="48F4C6C3" w14:textId="55105F91" w:rsidR="00E5085B" w:rsidRDefault="00E5085B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3871225" w:history="1">
        <w:r w:rsidRPr="00D406F8">
          <w:rPr>
            <w:rStyle w:val="Hyperlnk"/>
          </w:rPr>
          <w:t>Landskapsregeringens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_Toc213871225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17A0865" w14:textId="5B0EB46E" w:rsidR="00E5085B" w:rsidRDefault="00E5085B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3871226" w:history="1">
        <w:r w:rsidRPr="00D406F8">
          <w:rPr>
            <w:rStyle w:val="Hyperlnk"/>
          </w:rPr>
          <w:t>Självstyrelsepolitiska nämndens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_Toc213871226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1A0F78F" w14:textId="7856174F" w:rsidR="00E5085B" w:rsidRDefault="00E5085B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3871227" w:history="1">
        <w:r w:rsidRPr="00D406F8">
          <w:rPr>
            <w:rStyle w:val="Hyperlnk"/>
          </w:rPr>
          <w:t>Nämndens synpunkter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_Toc213871227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746264E" w14:textId="55FC8321" w:rsidR="00E5085B" w:rsidRDefault="00E5085B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3871228" w:history="1">
        <w:r w:rsidRPr="00D406F8">
          <w:rPr>
            <w:rStyle w:val="Hyperlnk"/>
          </w:rPr>
          <w:t>Åland och EU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_Toc213871228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93853D4" w14:textId="44DB6CDD" w:rsidR="00E5085B" w:rsidRDefault="00E5085B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3871229" w:history="1">
        <w:r w:rsidRPr="00D406F8">
          <w:rPr>
            <w:rStyle w:val="Hyperlnk"/>
          </w:rPr>
          <w:t>Vårjakten på sjöfågel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_Toc213871229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0F4CF86" w14:textId="71EE91E8" w:rsidR="00E5085B" w:rsidRDefault="00E5085B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3871230" w:history="1">
        <w:r w:rsidRPr="00D406F8">
          <w:rPr>
            <w:rStyle w:val="Hyperlnk"/>
          </w:rPr>
          <w:t>Nordiska rådet och Nordiska ministerrådet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_Toc213871230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ACA038C" w14:textId="525C885B" w:rsidR="00E5085B" w:rsidRDefault="00E5085B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3871231" w:history="1">
        <w:r w:rsidRPr="00D406F8">
          <w:rPr>
            <w:rStyle w:val="Hyperlnk"/>
          </w:rPr>
          <w:t>Ålands demilitarisering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_Toc213871231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2F6F0B7" w14:textId="5398D07F" w:rsidR="00E5085B" w:rsidRDefault="00E5085B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3871232" w:history="1">
        <w:r w:rsidRPr="00D406F8">
          <w:rPr>
            <w:rStyle w:val="Hyperlnk"/>
          </w:rPr>
          <w:t>Ärendets behandling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_Toc213871232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7D9B0A" w14:textId="55AFB5E1" w:rsidR="00E5085B" w:rsidRDefault="00E5085B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3871233" w:history="1">
        <w:r w:rsidRPr="00D406F8">
          <w:rPr>
            <w:rStyle w:val="Hyperlnk"/>
          </w:rPr>
          <w:t>Nämndens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_Toc213871233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A06087" w14:textId="1BB17A2B" w:rsidR="002401D0" w:rsidRPr="003230CC" w:rsidRDefault="002401D0">
      <w:pPr>
        <w:pStyle w:val="ANormal"/>
        <w:rPr>
          <w:noProof/>
          <w:highlight w:val="yellow"/>
        </w:rPr>
      </w:pPr>
      <w:r w:rsidRPr="009A0E06">
        <w:rPr>
          <w:rFonts w:ascii="Verdana" w:hAnsi="Verdana"/>
          <w:noProof/>
          <w:sz w:val="16"/>
          <w:szCs w:val="36"/>
        </w:rPr>
        <w:fldChar w:fldCharType="end"/>
      </w:r>
    </w:p>
    <w:p w14:paraId="08A3E1B4" w14:textId="77777777" w:rsidR="002401D0" w:rsidRPr="003230CC" w:rsidRDefault="002401D0">
      <w:pPr>
        <w:pStyle w:val="Rubrikmellanrum"/>
        <w:rPr>
          <w:highlight w:val="yellow"/>
        </w:rPr>
      </w:pPr>
    </w:p>
    <w:p w14:paraId="74FFED78" w14:textId="5C223619" w:rsidR="00682709" w:rsidRPr="003230CC" w:rsidRDefault="00682709" w:rsidP="00682709">
      <w:pPr>
        <w:pStyle w:val="RubrikA"/>
      </w:pPr>
      <w:bookmarkStart w:id="1" w:name="_Toc213871224"/>
      <w:bookmarkStart w:id="2" w:name="_Toc529800933"/>
      <w:r w:rsidRPr="003230CC">
        <w:t>Sammanfattning</w:t>
      </w:r>
      <w:bookmarkEnd w:id="1"/>
    </w:p>
    <w:p w14:paraId="27824D8D" w14:textId="77777777" w:rsidR="00682709" w:rsidRPr="003230CC" w:rsidRDefault="00682709" w:rsidP="00682709">
      <w:pPr>
        <w:pStyle w:val="Rubrikmellanrum"/>
      </w:pPr>
    </w:p>
    <w:p w14:paraId="121674E2" w14:textId="3D8D68F2" w:rsidR="002401D0" w:rsidRPr="003230CC" w:rsidRDefault="00137496">
      <w:pPr>
        <w:pStyle w:val="RubrikB"/>
      </w:pPr>
      <w:bookmarkStart w:id="3" w:name="_Toc213871225"/>
      <w:r w:rsidRPr="003230CC">
        <w:t xml:space="preserve">Landskapsregeringens </w:t>
      </w:r>
      <w:r w:rsidR="002401D0" w:rsidRPr="003230CC">
        <w:t>förslag</w:t>
      </w:r>
      <w:bookmarkEnd w:id="2"/>
      <w:bookmarkEnd w:id="3"/>
    </w:p>
    <w:p w14:paraId="028EC850" w14:textId="77777777" w:rsidR="00137496" w:rsidRPr="003230CC" w:rsidRDefault="00137496" w:rsidP="00137496">
      <w:pPr>
        <w:pStyle w:val="ANormal"/>
        <w:rPr>
          <w:sz w:val="10"/>
          <w:szCs w:val="10"/>
        </w:rPr>
      </w:pPr>
    </w:p>
    <w:p w14:paraId="00CAB12A" w14:textId="735327C6" w:rsidR="00CC27F4" w:rsidRPr="003230CC" w:rsidRDefault="0094308D">
      <w:pPr>
        <w:pStyle w:val="ANormal"/>
      </w:pPr>
      <w:r w:rsidRPr="003230CC">
        <w:t>Meddelandet innehåller en redogörelse av landskapsregeringens externpolitiska prioriteringar inför år 202</w:t>
      </w:r>
      <w:r w:rsidR="003230CC" w:rsidRPr="003230CC">
        <w:t>5</w:t>
      </w:r>
      <w:r w:rsidRPr="003230CC">
        <w:t xml:space="preserve"> samt verksamhet under år 202</w:t>
      </w:r>
      <w:r w:rsidR="003230CC" w:rsidRPr="003230CC">
        <w:t>4</w:t>
      </w:r>
      <w:r w:rsidRPr="003230CC">
        <w:t xml:space="preserve"> i förhållande till Nordiska ministerrådet, till dagordningen inom Europeiska unionen samt till övriga externa samarbeten. Dessutom innehåller meddelandet en statistikbilaga över EU-ärenden under år 202</w:t>
      </w:r>
      <w:r w:rsidR="003230CC" w:rsidRPr="003230CC">
        <w:t>4</w:t>
      </w:r>
      <w:r w:rsidRPr="003230CC">
        <w:t>.</w:t>
      </w:r>
    </w:p>
    <w:p w14:paraId="7E919BD0" w14:textId="77777777" w:rsidR="0094308D" w:rsidRPr="003230CC" w:rsidRDefault="0094308D">
      <w:pPr>
        <w:pStyle w:val="ANormal"/>
        <w:rPr>
          <w:highlight w:val="yellow"/>
        </w:rPr>
      </w:pPr>
    </w:p>
    <w:p w14:paraId="3254D130" w14:textId="67E2153A" w:rsidR="002401D0" w:rsidRPr="003230CC" w:rsidRDefault="00AE52B3" w:rsidP="00AE52B3">
      <w:pPr>
        <w:pStyle w:val="RubrikA"/>
      </w:pPr>
      <w:bookmarkStart w:id="4" w:name="_Toc529800934"/>
      <w:bookmarkStart w:id="5" w:name="_Toc213871226"/>
      <w:r w:rsidRPr="003230CC">
        <w:t>Självstyrelsepolitiska n</w:t>
      </w:r>
      <w:r w:rsidR="002741BE" w:rsidRPr="003230CC">
        <w:t>ämndens</w:t>
      </w:r>
      <w:r w:rsidR="002401D0" w:rsidRPr="003230CC">
        <w:t xml:space="preserve"> förslag</w:t>
      </w:r>
      <w:bookmarkEnd w:id="4"/>
      <w:bookmarkEnd w:id="5"/>
    </w:p>
    <w:p w14:paraId="7AE9E312" w14:textId="77777777" w:rsidR="002401D0" w:rsidRPr="003230CC" w:rsidRDefault="002401D0">
      <w:pPr>
        <w:pStyle w:val="Rubrikmellanrum"/>
      </w:pPr>
    </w:p>
    <w:p w14:paraId="79B91210" w14:textId="1F25E831" w:rsidR="002401D0" w:rsidRPr="003230CC" w:rsidRDefault="005F2EC2">
      <w:pPr>
        <w:pStyle w:val="ANormal"/>
      </w:pPr>
      <w:r w:rsidRPr="003230CC">
        <w:t xml:space="preserve">Självstyrelsepolitiska nämnden föreslår att lagtinget antecknar sig </w:t>
      </w:r>
      <w:r w:rsidR="00CC27F4" w:rsidRPr="003230CC">
        <w:t>meddelandet</w:t>
      </w:r>
      <w:r w:rsidRPr="003230CC">
        <w:t xml:space="preserve"> för kännedom</w:t>
      </w:r>
      <w:r w:rsidR="00F27A17" w:rsidRPr="003230CC">
        <w:t xml:space="preserve"> och bringar betänkandets motivering till landskapsregeringens kännedom</w:t>
      </w:r>
      <w:r w:rsidRPr="003230CC">
        <w:t>.</w:t>
      </w:r>
    </w:p>
    <w:p w14:paraId="4BF6D8A3" w14:textId="77777777" w:rsidR="002401D0" w:rsidRPr="003230CC" w:rsidRDefault="002401D0">
      <w:pPr>
        <w:pStyle w:val="ANormal"/>
        <w:rPr>
          <w:highlight w:val="yellow"/>
        </w:rPr>
      </w:pPr>
    </w:p>
    <w:p w14:paraId="57E1C38C" w14:textId="6DF365BC" w:rsidR="002401D0" w:rsidRPr="003230CC" w:rsidRDefault="002741BE" w:rsidP="00AE52B3">
      <w:pPr>
        <w:pStyle w:val="RubrikA"/>
        <w:tabs>
          <w:tab w:val="center" w:pos="3345"/>
        </w:tabs>
      </w:pPr>
      <w:bookmarkStart w:id="6" w:name="_Toc529800935"/>
      <w:bookmarkStart w:id="7" w:name="_Toc213871227"/>
      <w:r w:rsidRPr="003230CC">
        <w:t>Nämndens</w:t>
      </w:r>
      <w:r w:rsidR="002401D0" w:rsidRPr="003230CC">
        <w:t xml:space="preserve"> synpunkter</w:t>
      </w:r>
      <w:bookmarkEnd w:id="6"/>
      <w:bookmarkEnd w:id="7"/>
      <w:r w:rsidR="00AE52B3" w:rsidRPr="003230CC">
        <w:tab/>
      </w:r>
    </w:p>
    <w:p w14:paraId="58AE31FA" w14:textId="77777777" w:rsidR="00BF7D0D" w:rsidRPr="003230CC" w:rsidRDefault="00BF7D0D" w:rsidP="00BF7D0D">
      <w:pPr>
        <w:pStyle w:val="Rubrikmellanrum"/>
        <w:rPr>
          <w:highlight w:val="yellow"/>
        </w:rPr>
      </w:pPr>
    </w:p>
    <w:p w14:paraId="1B135CE5" w14:textId="14319677" w:rsidR="008D1027" w:rsidRDefault="00E34B15" w:rsidP="00BF7D0D">
      <w:pPr>
        <w:pStyle w:val="RubrikB"/>
      </w:pPr>
      <w:bookmarkStart w:id="8" w:name="_Toc213871228"/>
      <w:r>
        <w:t>Åland och EU</w:t>
      </w:r>
      <w:bookmarkEnd w:id="8"/>
    </w:p>
    <w:p w14:paraId="1CFCB093" w14:textId="77777777" w:rsidR="00E34B15" w:rsidRDefault="00E34B15" w:rsidP="00E34B15">
      <w:pPr>
        <w:pStyle w:val="Rubrikmellanrum"/>
      </w:pPr>
    </w:p>
    <w:p w14:paraId="5F585133" w14:textId="77777777" w:rsidR="007742AF" w:rsidRDefault="007742AF" w:rsidP="00E34B15">
      <w:pPr>
        <w:pStyle w:val="ANormal"/>
      </w:pPr>
    </w:p>
    <w:p w14:paraId="712B90EB" w14:textId="3199621F" w:rsidR="00BC20F2" w:rsidRDefault="007742AF" w:rsidP="00E34B15">
      <w:pPr>
        <w:pStyle w:val="ANormal"/>
      </w:pPr>
      <w:r>
        <w:t>Nämnden konstatera</w:t>
      </w:r>
      <w:r w:rsidR="00357A19">
        <w:t>r</w:t>
      </w:r>
      <w:r>
        <w:t xml:space="preserve"> att Ålands medlemskap i EU inneburit flera förändringar på Åland. Medlemskapet har bland annat möjliggjort finansiering för olika </w:t>
      </w:r>
      <w:r w:rsidR="00F05CE1">
        <w:t>utvecklings</w:t>
      </w:r>
      <w:r>
        <w:t>projekt</w:t>
      </w:r>
      <w:r w:rsidR="00BC20F2">
        <w:t xml:space="preserve">. </w:t>
      </w:r>
      <w:r w:rsidR="00BC20F2" w:rsidRPr="00BC20F2">
        <w:rPr>
          <w:lang w:val="sv-FI"/>
        </w:rPr>
        <w:t>Genom olika program</w:t>
      </w:r>
      <w:r w:rsidR="00BC20F2">
        <w:rPr>
          <w:lang w:val="sv-FI"/>
        </w:rPr>
        <w:t>,</w:t>
      </w:r>
      <w:r w:rsidR="00BC20F2" w:rsidRPr="00BC20F2">
        <w:rPr>
          <w:lang w:val="sv-FI"/>
        </w:rPr>
        <w:t xml:space="preserve"> bl</w:t>
      </w:r>
      <w:r w:rsidR="00BC20F2">
        <w:rPr>
          <w:lang w:val="sv-FI"/>
        </w:rPr>
        <w:t>and annat</w:t>
      </w:r>
      <w:r w:rsidR="00BC20F2" w:rsidRPr="00BC20F2">
        <w:rPr>
          <w:lang w:val="sv-FI"/>
        </w:rPr>
        <w:t xml:space="preserve"> strukturfonderna, landsbygdsfonden, havs- och fiskerifonden, forsknings- och innovationsprogram samt direktstöd till näringslivet</w:t>
      </w:r>
      <w:r w:rsidR="00216EBB">
        <w:rPr>
          <w:lang w:val="sv-FI"/>
        </w:rPr>
        <w:t xml:space="preserve">, </w:t>
      </w:r>
      <w:r w:rsidR="00BC20F2" w:rsidRPr="00BC20F2">
        <w:rPr>
          <w:lang w:val="sv-FI"/>
        </w:rPr>
        <w:t>infrastruktur</w:t>
      </w:r>
      <w:r w:rsidR="00216EBB">
        <w:rPr>
          <w:lang w:val="sv-FI"/>
        </w:rPr>
        <w:t xml:space="preserve"> och civilsamhället</w:t>
      </w:r>
      <w:r w:rsidR="00BC20F2">
        <w:rPr>
          <w:lang w:val="sv-FI"/>
        </w:rPr>
        <w:t>,</w:t>
      </w:r>
      <w:r w:rsidR="00BC20F2" w:rsidRPr="00BC20F2">
        <w:rPr>
          <w:lang w:val="sv-FI"/>
        </w:rPr>
        <w:t xml:space="preserve"> har EU-medel under lång tid möjliggjort investeringar </w:t>
      </w:r>
      <w:r w:rsidR="00BC20F2">
        <w:rPr>
          <w:lang w:val="sv-FI"/>
        </w:rPr>
        <w:t xml:space="preserve">på Åland. </w:t>
      </w:r>
      <w:r w:rsidR="00BC20F2" w:rsidRPr="00BC20F2">
        <w:rPr>
          <w:lang w:val="sv-FI"/>
        </w:rPr>
        <w:t>Nämnden framhåller att EU-programmen utgör en central del i Ålands utvecklingskapacitet.</w:t>
      </w:r>
      <w:r>
        <w:t xml:space="preserve"> </w:t>
      </w:r>
    </w:p>
    <w:p w14:paraId="53B75C5B" w14:textId="77777777" w:rsidR="00DB6524" w:rsidRDefault="00BC20F2" w:rsidP="00216EBB">
      <w:pPr>
        <w:pStyle w:val="ANormal"/>
      </w:pPr>
      <w:r>
        <w:tab/>
      </w:r>
      <w:r w:rsidR="00DB6524">
        <w:t xml:space="preserve">Nämnden konstaterar att EU-medlemskapet även inneburit ett </w:t>
      </w:r>
      <w:r w:rsidR="00F05CE1">
        <w:t>kontinuerligt behov</w:t>
      </w:r>
      <w:r w:rsidR="00DB6524">
        <w:t xml:space="preserve"> för Åland</w:t>
      </w:r>
      <w:r w:rsidR="00F05CE1">
        <w:t xml:space="preserve"> att anpassa </w:t>
      </w:r>
      <w:r w:rsidR="007742AF">
        <w:t>lagstiftning</w:t>
      </w:r>
      <w:r w:rsidR="00F05CE1">
        <w:t>en</w:t>
      </w:r>
      <w:r w:rsidR="007742AF">
        <w:t xml:space="preserve"> </w:t>
      </w:r>
      <w:r w:rsidR="00F05CE1">
        <w:t xml:space="preserve">i syfte </w:t>
      </w:r>
      <w:r w:rsidR="007742AF">
        <w:t>att efterfölja EU</w:t>
      </w:r>
      <w:r w:rsidR="00F05CE1">
        <w:t>-direktiv och förordningar</w:t>
      </w:r>
      <w:r>
        <w:t xml:space="preserve">, vilket även skapat ett utökat behov av lagstiftning och </w:t>
      </w:r>
      <w:r>
        <w:lastRenderedPageBreak/>
        <w:t>regleringar som inte alltid har varit välanpassat till Ålands lokala behov, förutsättningar och omständigheter</w:t>
      </w:r>
      <w:r w:rsidR="007742AF">
        <w:t>.</w:t>
      </w:r>
    </w:p>
    <w:p w14:paraId="04343F91" w14:textId="3C5EEAEC" w:rsidR="00BC20F2" w:rsidRDefault="00DB6524" w:rsidP="00216EBB">
      <w:pPr>
        <w:pStyle w:val="ANormal"/>
      </w:pPr>
      <w:r>
        <w:tab/>
      </w:r>
      <w:r w:rsidR="007742AF">
        <w:t xml:space="preserve">I landskapsregeringens meddelande framkommer </w:t>
      </w:r>
      <w:r w:rsidR="00216EBB">
        <w:t xml:space="preserve">det </w:t>
      </w:r>
      <w:r w:rsidR="007742AF">
        <w:t>att</w:t>
      </w:r>
      <w:r w:rsidR="00805D98">
        <w:t xml:space="preserve"> EU år 2025 ska arbeta fram en flerårig budgetram. Landskapsregeringen betonar att det är centralt att EU:s framtida budgetram tar hänsyn till att stödprogram anpassas så att medel kan användas effektivt i autonomier som Åland och att beslutsfattandet i anknyt</w:t>
      </w:r>
      <w:r w:rsidR="00BC20F2">
        <w:t>ning</w:t>
      </w:r>
      <w:r w:rsidR="00805D98">
        <w:t xml:space="preserve"> till EU-medel inte centraliseras.</w:t>
      </w:r>
    </w:p>
    <w:p w14:paraId="330E42E8" w14:textId="43158AFE" w:rsidR="0039639D" w:rsidRDefault="00BC20F2" w:rsidP="00E34B15">
      <w:pPr>
        <w:pStyle w:val="ANormal"/>
      </w:pPr>
      <w:r>
        <w:tab/>
      </w:r>
      <w:r w:rsidR="00805D98">
        <w:t xml:space="preserve">Nämnden konstaterar att EU den 16.07.2025 publicerade sitt förslag på flerårig budgetram år 2028 – 2034. I förslaget framgår bland annat införandet av nationella </w:t>
      </w:r>
      <w:r w:rsidR="00B64C66">
        <w:t xml:space="preserve">och regionala partnerskapsplaner. Detta innebär bland annat att medlemsstaterna inom EU själva utformar planer för hur EU-fonder ska användas. </w:t>
      </w:r>
      <w:r w:rsidR="00B64C66">
        <w:br/>
      </w:r>
      <w:r w:rsidR="00B64C66">
        <w:tab/>
        <w:t xml:space="preserve">Nämnden ser </w:t>
      </w:r>
      <w:r w:rsidR="003D5910">
        <w:t xml:space="preserve">med oro </w:t>
      </w:r>
      <w:r w:rsidR="00B64C66">
        <w:t>på</w:t>
      </w:r>
      <w:r w:rsidR="00750EB2">
        <w:t xml:space="preserve"> EU-kommissionens förslag</w:t>
      </w:r>
      <w:r w:rsidR="00B64C66">
        <w:t xml:space="preserve"> i och med </w:t>
      </w:r>
      <w:r w:rsidR="003D5910">
        <w:t xml:space="preserve">den överhängande </w:t>
      </w:r>
      <w:r w:rsidR="00B64C66">
        <w:t>risk</w:t>
      </w:r>
      <w:r w:rsidR="00750EB2">
        <w:t>en</w:t>
      </w:r>
      <w:r w:rsidR="00B64C66">
        <w:t xml:space="preserve"> att Finland</w:t>
      </w:r>
      <w:r w:rsidR="003D5910">
        <w:t xml:space="preserve"> i samband med de nationella planernas framställning</w:t>
      </w:r>
      <w:r w:rsidR="00B64C66">
        <w:t xml:space="preserve"> kan besluta om fördelning av medel </w:t>
      </w:r>
      <w:r>
        <w:t>som angår</w:t>
      </w:r>
      <w:r w:rsidR="003D5910">
        <w:t xml:space="preserve"> Åland, trots att</w:t>
      </w:r>
      <w:r w:rsidR="00216EBB">
        <w:t xml:space="preserve"> det </w:t>
      </w:r>
      <w:r w:rsidR="00B64C66">
        <w:t>fall</w:t>
      </w:r>
      <w:r w:rsidR="00216EBB">
        <w:t>er</w:t>
      </w:r>
      <w:r w:rsidR="00B64C66">
        <w:t xml:space="preserve"> in</w:t>
      </w:r>
      <w:r w:rsidR="003D5910">
        <w:t>om</w:t>
      </w:r>
      <w:r w:rsidR="00B64C66">
        <w:t xml:space="preserve"> åländsk behörighet</w:t>
      </w:r>
      <w:r w:rsidR="003D5910">
        <w:t xml:space="preserve"> att </w:t>
      </w:r>
      <w:r w:rsidR="00216EBB">
        <w:t>besluta om</w:t>
      </w:r>
      <w:r w:rsidR="00B64C66">
        <w:t>. Nämnden anser att detta skapar en uppenbar konflikt med Föredraget om Europeiska unionen artikel</w:t>
      </w:r>
      <w:r w:rsidR="0039639D">
        <w:t xml:space="preserve"> 4.2, där det bland annat framkommer att det lokala och regionala självstyret ska respekteras. </w:t>
      </w:r>
    </w:p>
    <w:p w14:paraId="15D54D55" w14:textId="2C81FF14" w:rsidR="00407A66" w:rsidRDefault="00407A66" w:rsidP="00E34B15">
      <w:pPr>
        <w:pStyle w:val="ANormal"/>
      </w:pPr>
      <w:r>
        <w:tab/>
        <w:t>Nämnden noterar att landskapsregeringen i juni 2025 framställt en skrivelse som berör situationen</w:t>
      </w:r>
      <w:r w:rsidR="00BC20F2">
        <w:t>. Skrivelsen innehåller bland annat</w:t>
      </w:r>
      <w:r>
        <w:t xml:space="preserve"> en uppmaning om att kommissionen måste se till at</w:t>
      </w:r>
      <w:r w:rsidR="00750EB2">
        <w:t>t</w:t>
      </w:r>
      <w:r>
        <w:t xml:space="preserve"> den framtida fleråriga budgetramen utformas på ett sätt som respekterar medlemsstaternas konstitutionella ordning och är förenlig med självstyrande strukturer.  </w:t>
      </w:r>
    </w:p>
    <w:p w14:paraId="5E5EEC57" w14:textId="75E0BDDF" w:rsidR="00717A60" w:rsidRDefault="00717A60" w:rsidP="00E34B15">
      <w:pPr>
        <w:pStyle w:val="ANormal"/>
      </w:pPr>
      <w:r>
        <w:tab/>
        <w:t xml:space="preserve">Nämnden understryker att landskapsregeringens arbete i syfte att trygga Ålands position och ställning i den framtida </w:t>
      </w:r>
      <w:r w:rsidR="009D2CE6">
        <w:t>rambudgeten för EU bör prioriteras. Nämnden anser att det är av yttersta vikt</w:t>
      </w:r>
      <w:r w:rsidR="00FA006E">
        <w:t xml:space="preserve"> att landskapsregeringen arbetar för</w:t>
      </w:r>
      <w:r w:rsidR="009D2CE6">
        <w:t xml:space="preserve"> att Finland tydligt markerar problematiken med en nationell plan</w:t>
      </w:r>
      <w:r w:rsidR="00BC20F2">
        <w:t xml:space="preserve"> </w:t>
      </w:r>
      <w:r w:rsidR="00FA006E">
        <w:t xml:space="preserve">i förhållande till </w:t>
      </w:r>
      <w:r w:rsidR="00BC20F2">
        <w:t>självstyrande autonomier</w:t>
      </w:r>
      <w:r w:rsidR="009D2CE6">
        <w:t xml:space="preserve"> i fortsatta förhandlingar om rambudgetens</w:t>
      </w:r>
      <w:r w:rsidR="00FA006E">
        <w:t xml:space="preserve"> slutgiltiga framställning.</w:t>
      </w:r>
      <w:r w:rsidR="009D2CE6">
        <w:t xml:space="preserve"> </w:t>
      </w:r>
      <w:r w:rsidR="00FA006E">
        <w:t>D</w:t>
      </w:r>
      <w:r w:rsidR="009D2CE6">
        <w:t>etta</w:t>
      </w:r>
      <w:r w:rsidR="00FA006E">
        <w:t xml:space="preserve"> arbete bör</w:t>
      </w:r>
      <w:r w:rsidR="00750EB2">
        <w:t xml:space="preserve"> ske</w:t>
      </w:r>
      <w:r w:rsidR="009D2CE6">
        <w:t xml:space="preserve"> i samråd med Åland. </w:t>
      </w:r>
      <w:r w:rsidR="00B57032">
        <w:t>Nämnden anser att det både är i Ålands och Finlands intresse att autonomier</w:t>
      </w:r>
      <w:r w:rsidR="00BC20F2">
        <w:t>s</w:t>
      </w:r>
      <w:r w:rsidR="00B57032">
        <w:t xml:space="preserve"> konstitutionella rättigheter tryggas i samband med EU:s rambudget för 2028 – 2034</w:t>
      </w:r>
      <w:r w:rsidR="00216EBB">
        <w:t xml:space="preserve">. </w:t>
      </w:r>
    </w:p>
    <w:p w14:paraId="64CC90D1" w14:textId="77777777" w:rsidR="0039639D" w:rsidRDefault="0039639D" w:rsidP="00E34B15">
      <w:pPr>
        <w:pStyle w:val="ANormal"/>
      </w:pPr>
    </w:p>
    <w:p w14:paraId="64A50640" w14:textId="20DB2C5E" w:rsidR="000C30F1" w:rsidRPr="00351A65" w:rsidRDefault="00B64C66" w:rsidP="00013EF8">
      <w:pPr>
        <w:pStyle w:val="ANormal"/>
      </w:pPr>
      <w:r>
        <w:t xml:space="preserve"> </w:t>
      </w:r>
      <w:r w:rsidR="00C36C62">
        <w:tab/>
      </w:r>
    </w:p>
    <w:p w14:paraId="09E1B6C6" w14:textId="77777777" w:rsidR="0017159A" w:rsidRPr="003230CC" w:rsidRDefault="0017159A" w:rsidP="0017159A">
      <w:pPr>
        <w:pStyle w:val="Rubrikmellanrum"/>
        <w:rPr>
          <w:sz w:val="22"/>
          <w:szCs w:val="22"/>
          <w:highlight w:val="yellow"/>
        </w:rPr>
      </w:pPr>
    </w:p>
    <w:p w14:paraId="2B41B861" w14:textId="59E5AD8B" w:rsidR="00327DE6" w:rsidRDefault="00484B51" w:rsidP="00327DE6">
      <w:pPr>
        <w:pStyle w:val="RubrikB"/>
      </w:pPr>
      <w:bookmarkStart w:id="9" w:name="_Toc213871229"/>
      <w:r>
        <w:t>Vårjakten på sjöfågel</w:t>
      </w:r>
      <w:bookmarkEnd w:id="9"/>
    </w:p>
    <w:p w14:paraId="3C30EF04" w14:textId="77777777" w:rsidR="00327DE6" w:rsidRDefault="00327DE6" w:rsidP="00327DE6">
      <w:pPr>
        <w:pStyle w:val="Rubrikmellanrum"/>
      </w:pPr>
    </w:p>
    <w:p w14:paraId="21E5BD2E" w14:textId="77777777" w:rsidR="00327DE6" w:rsidRDefault="00327DE6" w:rsidP="00327DE6">
      <w:pPr>
        <w:pStyle w:val="ANormal"/>
      </w:pPr>
    </w:p>
    <w:p w14:paraId="570AA1B5" w14:textId="177D727A" w:rsidR="00484B51" w:rsidRDefault="00484B51" w:rsidP="00327DE6">
      <w:pPr>
        <w:pStyle w:val="ANormal"/>
      </w:pPr>
      <w:r>
        <w:t>Nämnden noterar att det i landskapsregeringens meddelande bland annat betonas att landskapsregeringen anser att frågor angående jakt och viltvård så långt som möjligt ska hanteras på lokal nivå. Vidare framkommer det i meddelandet att framtida arbete med den gröna given och vad som ska betraktas som skyddade områden inte per automatik ska utesluta ansvarsfull jakt och viktiga viltvårdsinsatser.</w:t>
      </w:r>
    </w:p>
    <w:p w14:paraId="0012FD3D" w14:textId="7E0179A4" w:rsidR="00A71280" w:rsidRDefault="00484B51" w:rsidP="00327DE6">
      <w:pPr>
        <w:pStyle w:val="ANormal"/>
      </w:pPr>
      <w:r>
        <w:tab/>
      </w:r>
      <w:r w:rsidR="00A71280">
        <w:t xml:space="preserve">Nämnden konstaterar att </w:t>
      </w:r>
      <w:r>
        <w:t>vårjakten på sjöfågel (vårfåg</w:t>
      </w:r>
      <w:r w:rsidR="00A916A2">
        <w:t>eljakten)</w:t>
      </w:r>
      <w:r w:rsidR="00A71280">
        <w:t xml:space="preserve"> har en historiskt lång kontinuitet, bred acceptans och en identitetsskapande betydelse</w:t>
      </w:r>
      <w:r w:rsidR="00FD339A">
        <w:t xml:space="preserve"> på Åland</w:t>
      </w:r>
      <w:r w:rsidR="00A71280">
        <w:t xml:space="preserve">.  </w:t>
      </w:r>
      <w:r w:rsidR="00FD339A">
        <w:t>Samtidigt har v</w:t>
      </w:r>
      <w:r w:rsidR="00327DE6">
        <w:t>årfågeljakten</w:t>
      </w:r>
      <w:r w:rsidR="00AF4DB0">
        <w:t xml:space="preserve"> </w:t>
      </w:r>
      <w:r w:rsidR="00327DE6">
        <w:t xml:space="preserve">varit föremål för EU-domstolens granskning vid två tillfällen, år 2005 samt år 2020. Orsaken till detta är att EU-kommissionen ansett att vårfågeljakten stått i strid med </w:t>
      </w:r>
      <w:r w:rsidR="00AF4DB0" w:rsidRPr="00AF4DB0">
        <w:t>Europaparlamentets och rådets direktiv 2009/147/EG av den 30 november 2009 om bevarande av vilda fågla</w:t>
      </w:r>
      <w:r w:rsidR="00AF4DB0">
        <w:t xml:space="preserve">r </w:t>
      </w:r>
      <w:r w:rsidR="00FD339A">
        <w:t>(</w:t>
      </w:r>
      <w:r w:rsidR="00AF4DB0">
        <w:t>fågeldirektivet</w:t>
      </w:r>
      <w:r w:rsidR="00FD339A">
        <w:t>)</w:t>
      </w:r>
      <w:r w:rsidR="00327DE6">
        <w:t>.</w:t>
      </w:r>
      <w:r w:rsidR="00AF4DB0">
        <w:t xml:space="preserve"> Den 23.05.2020 beslöt EU-domstolen att Finland har underlåtit sig att uppfylla sina skyldigheter enligt artikel 7.4 och 9.1 c i fågeldirektivet. Detta i och med att</w:t>
      </w:r>
      <w:r w:rsidR="00646B82">
        <w:t xml:space="preserve"> Ålands landskapsregering</w:t>
      </w:r>
      <w:r w:rsidR="00AF4DB0">
        <w:t xml:space="preserve"> regelbundet ha</w:t>
      </w:r>
      <w:r w:rsidR="005119AF">
        <w:t>r</w:t>
      </w:r>
      <w:r w:rsidR="00AF4DB0">
        <w:t xml:space="preserve"> beviljat tillstånd för jakt på </w:t>
      </w:r>
      <w:r w:rsidR="00646B82">
        <w:t xml:space="preserve">gudingar </w:t>
      </w:r>
      <w:r w:rsidR="00AF4DB0">
        <w:t xml:space="preserve">år 2011 </w:t>
      </w:r>
      <w:r w:rsidR="00646B82">
        <w:t>–</w:t>
      </w:r>
      <w:r w:rsidR="00AF4DB0">
        <w:t xml:space="preserve"> 2019</w:t>
      </w:r>
      <w:r w:rsidR="00646B82">
        <w:t xml:space="preserve"> på Åland</w:t>
      </w:r>
      <w:r w:rsidR="00AF4DB0">
        <w:t>.</w:t>
      </w:r>
    </w:p>
    <w:p w14:paraId="167AE038" w14:textId="06F9A0EC" w:rsidR="00327DE6" w:rsidRDefault="00646B82" w:rsidP="00327DE6">
      <w:pPr>
        <w:pStyle w:val="ANormal"/>
      </w:pPr>
      <w:r>
        <w:tab/>
      </w:r>
      <w:r w:rsidR="00AC2369">
        <w:t>Från år 20</w:t>
      </w:r>
      <w:r w:rsidR="00107565">
        <w:t>20</w:t>
      </w:r>
      <w:r w:rsidR="00AC2369">
        <w:t xml:space="preserve"> och framåt har inte något tillstånd beviljats för vårfågeljakten på Åland.</w:t>
      </w:r>
      <w:r w:rsidR="00A71280">
        <w:t xml:space="preserve"> Nämnden erfar att ejderpopulationen behöver växa för att </w:t>
      </w:r>
      <w:r w:rsidR="00A71280">
        <w:lastRenderedPageBreak/>
        <w:t>undantag som möjliggör jakt på ejdern åter ska kunna</w:t>
      </w:r>
      <w:r w:rsidR="00C23504">
        <w:t xml:space="preserve"> övervägas</w:t>
      </w:r>
      <w:r w:rsidR="00A71280">
        <w:t xml:space="preserve">. </w:t>
      </w:r>
      <w:r w:rsidR="00FD339A">
        <w:t>Nämnden uppmuntrar landskapsregeringen att forts</w:t>
      </w:r>
      <w:r w:rsidR="00357A19">
        <w:t>ättningsvis</w:t>
      </w:r>
      <w:r w:rsidR="00FD339A">
        <w:t xml:space="preserve"> bevaka</w:t>
      </w:r>
      <w:r w:rsidR="005119AF">
        <w:t xml:space="preserve"> olika</w:t>
      </w:r>
      <w:r w:rsidR="00FD339A">
        <w:t xml:space="preserve"> möjlighete</w:t>
      </w:r>
      <w:r w:rsidR="005119AF">
        <w:t>r</w:t>
      </w:r>
      <w:r w:rsidR="00FD339A">
        <w:t xml:space="preserve"> till att återinföra vårfågeljakten</w:t>
      </w:r>
      <w:r w:rsidR="005119AF">
        <w:t xml:space="preserve"> och </w:t>
      </w:r>
      <w:r w:rsidR="00532972">
        <w:t xml:space="preserve">därmed främja en </w:t>
      </w:r>
      <w:r w:rsidR="00236134">
        <w:t xml:space="preserve">aktiv </w:t>
      </w:r>
      <w:r w:rsidR="005119AF">
        <w:t>viltvård.</w:t>
      </w:r>
      <w:r w:rsidR="00FD339A">
        <w:t xml:space="preserve"> </w:t>
      </w:r>
    </w:p>
    <w:p w14:paraId="344434AB" w14:textId="61C2F2CA" w:rsidR="00320A8C" w:rsidRPr="00013EF8" w:rsidRDefault="00AF4DB0" w:rsidP="00320A8C">
      <w:pPr>
        <w:pStyle w:val="ANormal"/>
      </w:pPr>
      <w:r>
        <w:tab/>
      </w:r>
    </w:p>
    <w:p w14:paraId="76CEBE94" w14:textId="34845719" w:rsidR="00A51C73" w:rsidRPr="00320A8C" w:rsidRDefault="00EF1F5A" w:rsidP="00720B8B">
      <w:pPr>
        <w:pStyle w:val="ANormal"/>
        <w:rPr>
          <w:lang w:val="sv-FI"/>
        </w:rPr>
      </w:pPr>
      <w:r w:rsidRPr="00320A8C">
        <w:rPr>
          <w:lang w:val="sv-FI"/>
        </w:rPr>
        <w:tab/>
      </w:r>
    </w:p>
    <w:p w14:paraId="201FCE5A" w14:textId="12B4153D" w:rsidR="00964D0E" w:rsidRPr="00320A8C" w:rsidRDefault="006171F1" w:rsidP="00964D0E">
      <w:pPr>
        <w:pStyle w:val="RubrikB"/>
      </w:pPr>
      <w:bookmarkStart w:id="10" w:name="_Toc213871230"/>
      <w:r>
        <w:t>Nordiska rådet och Nordiska ministerrådet</w:t>
      </w:r>
      <w:bookmarkEnd w:id="10"/>
      <w:r w:rsidR="00964D0E" w:rsidRPr="00320A8C">
        <w:t xml:space="preserve"> </w:t>
      </w:r>
    </w:p>
    <w:p w14:paraId="7F3C25F0" w14:textId="77777777" w:rsidR="00964D0E" w:rsidRPr="003230CC" w:rsidRDefault="00964D0E" w:rsidP="00964D0E">
      <w:pPr>
        <w:pStyle w:val="Rubrikmellanrum"/>
        <w:rPr>
          <w:rFonts w:eastAsia="Calibri"/>
          <w:highlight w:val="yellow"/>
        </w:rPr>
      </w:pPr>
    </w:p>
    <w:p w14:paraId="36AA88A2" w14:textId="77777777" w:rsidR="006171F1" w:rsidRDefault="006171F1" w:rsidP="00964D0E">
      <w:pPr>
        <w:pStyle w:val="ANormal"/>
        <w:rPr>
          <w:highlight w:val="yellow"/>
        </w:rPr>
      </w:pPr>
    </w:p>
    <w:p w14:paraId="77E45284" w14:textId="77777777" w:rsidR="005127A3" w:rsidRDefault="005127A3" w:rsidP="005127A3">
      <w:pPr>
        <w:pStyle w:val="ANormal"/>
      </w:pPr>
      <w:r>
        <w:t>Nämnden konstaterar att Finlands och Ålands gemensamma ordförandeskap i Nordiska ministerrådet år 2025 har fungerat väl, och att det nordiska samarbetet uppvisar stark politisk och praktisk bärkraft. De nordiska länderna delar en gemensam värdegrund och en hög ambitionsnivå i fråga om demokrati, rättsstat, jämställdhet, social inkludering, hållbarhet, konkurrenskraft och fri rörlighet.</w:t>
      </w:r>
    </w:p>
    <w:p w14:paraId="735853B3" w14:textId="498AB923" w:rsidR="005127A3" w:rsidRDefault="005127A3" w:rsidP="005127A3">
      <w:pPr>
        <w:pStyle w:val="ANormal"/>
      </w:pPr>
      <w:r>
        <w:tab/>
        <w:t xml:space="preserve">Nämnden noterar att Finland och Åland år 2026 </w:t>
      </w:r>
      <w:r w:rsidR="00357A19">
        <w:t>innehar</w:t>
      </w:r>
      <w:r>
        <w:t xml:space="preserve"> ett gemensamt presidentskap i Nordiska rådet. Detta är första gången ett gemensamt presidentskap ordnas inom Nordiska rådet, och det är första gången som Åland, Grönland och Färöarna innehar varsin presidieplats. Under presidentskapsperioden </w:t>
      </w:r>
      <w:r w:rsidR="00357A19">
        <w:t>är ett</w:t>
      </w:r>
      <w:r>
        <w:t xml:space="preserve"> fördjupat säkerhets- och försvarspolitiskt samarbete samt uppdatering av Helsingforsavtalet</w:t>
      </w:r>
      <w:r w:rsidR="00357A19">
        <w:t xml:space="preserve"> exempel på</w:t>
      </w:r>
      <w:r>
        <w:t xml:space="preserve"> centrala frågor. </w:t>
      </w:r>
      <w:r w:rsidR="00357A19" w:rsidRPr="00357A19">
        <w:t>Nämnden anser det angeläget att i detta sammanhang lyfta fram Ålands</w:t>
      </w:r>
      <w:r w:rsidR="00B17318">
        <w:t>lösningen</w:t>
      </w:r>
      <w:r w:rsidR="00357A19" w:rsidRPr="00357A19">
        <w:t xml:space="preserve"> som ett föredömligt exempel på fredlig konfliktlösning</w:t>
      </w:r>
      <w:r w:rsidR="00B17318">
        <w:t>.</w:t>
      </w:r>
    </w:p>
    <w:p w14:paraId="54C012C7" w14:textId="2C9C1AEE" w:rsidR="005127A3" w:rsidRDefault="005127A3" w:rsidP="005127A3">
      <w:pPr>
        <w:pStyle w:val="ANormal"/>
      </w:pPr>
      <w:r>
        <w:tab/>
        <w:t>Nämnden erfar att flera frågor under presidentskapet år 2026 kommer att beröra civil beredskap. Nämnden betonar vikten av att Åland inkluderas i diskussionerna angående civil beredskap mellan medlemsländerna i Nordiska rådet, särskilt i de sammanhang där samarbete mellan Sverige och Finland behandlas. Nämnden anser att Åland ska ses som en viktig knutpunkt i</w:t>
      </w:r>
      <w:r w:rsidR="00FC2CD4">
        <w:t xml:space="preserve"> diskussioner angående civil beredskap på Åland, inte minst beaktande Ålands centrala läge i Östersjön och den sjöfart som är sammankopplad med Åland.</w:t>
      </w:r>
      <w:r>
        <w:t xml:space="preserve"> </w:t>
      </w:r>
    </w:p>
    <w:p w14:paraId="3060793E" w14:textId="271FCFA8" w:rsidR="00A707FF" w:rsidRDefault="005127A3" w:rsidP="005127A3">
      <w:pPr>
        <w:pStyle w:val="ANormal"/>
      </w:pPr>
      <w:r>
        <w:tab/>
        <w:t>Nämnden noterar att en revidering av Helsingforsavtalet är under utredning, varvid möjligheten till fullvärdigt medlemskap för Åland, Färöarna och Grönland</w:t>
      </w:r>
      <w:r w:rsidR="00FC2CD4">
        <w:t xml:space="preserve"> i Nordiska rådet</w:t>
      </w:r>
      <w:r>
        <w:t xml:space="preserve"> är central</w:t>
      </w:r>
      <w:r w:rsidR="00FC2CD4">
        <w:t>a</w:t>
      </w:r>
      <w:r>
        <w:t xml:space="preserve"> fråg</w:t>
      </w:r>
      <w:r w:rsidR="00FC2CD4">
        <w:t>or</w:t>
      </w:r>
      <w:r>
        <w:t xml:space="preserve">. Nämnden erfar att en utredningsperson har utsetts för att analysera revideringen av Helsingforsavtalet samt bedöma kostnader och ramar inför ett eventuellt fortsatt arbete. Utredningen avses vara klar </w:t>
      </w:r>
      <w:r w:rsidR="00FC2CD4">
        <w:t xml:space="preserve">i slutet av </w:t>
      </w:r>
      <w:r>
        <w:t>år 202</w:t>
      </w:r>
      <w:r w:rsidR="00FC2CD4">
        <w:t>5</w:t>
      </w:r>
      <w:r>
        <w:t>. Nämnden understryker vikten av att Ålands position tillvaratas i kommande processer, särskilt i frågan om parternas ställning inom det nordiska samarbetet.</w:t>
      </w:r>
    </w:p>
    <w:p w14:paraId="3DEE4384" w14:textId="65A55C8D" w:rsidR="00F05CE1" w:rsidRPr="00320A8C" w:rsidRDefault="00F05CE1" w:rsidP="00F05CE1">
      <w:pPr>
        <w:pStyle w:val="RubrikB"/>
      </w:pPr>
      <w:r>
        <w:br/>
      </w:r>
      <w:bookmarkStart w:id="11" w:name="_Toc213871231"/>
      <w:r w:rsidR="00E979AC">
        <w:t>Ålands demilitarisering</w:t>
      </w:r>
      <w:bookmarkEnd w:id="11"/>
      <w:r w:rsidRPr="00320A8C">
        <w:t xml:space="preserve"> </w:t>
      </w:r>
    </w:p>
    <w:p w14:paraId="78016005" w14:textId="78A1054D" w:rsidR="00F05CE1" w:rsidRDefault="00F05CE1" w:rsidP="005127A3">
      <w:pPr>
        <w:pStyle w:val="ANormal"/>
      </w:pPr>
    </w:p>
    <w:p w14:paraId="5347B69B" w14:textId="57DF993E" w:rsidR="00F05CE1" w:rsidRDefault="00F05CE1" w:rsidP="00F05CE1">
      <w:pPr>
        <w:pStyle w:val="ANormal"/>
      </w:pPr>
      <w:r>
        <w:t xml:space="preserve">Nämnden </w:t>
      </w:r>
      <w:r w:rsidR="00EE2BD4">
        <w:t xml:space="preserve">understryker </w:t>
      </w:r>
      <w:r>
        <w:t xml:space="preserve">att landskapsregeringens externpolitiska meddelande inleds med ett konstaterande att det säkerhetspolitiska läget i Östersjön påverkar Åland i hög grad. I meddelandet betonas att diplomati och internationell rätt är viktiga instrument för en grund av stabil och regelbaserad samverkan mellan stater. Nämnden </w:t>
      </w:r>
      <w:r w:rsidR="00EE2BD4">
        <w:t xml:space="preserve">betonar </w:t>
      </w:r>
      <w:r w:rsidR="00EE2BD4" w:rsidRPr="00EE2BD4">
        <w:t>att Ålands demilitarisering vilar på ett långvarigt multilateralt avtalsarrangemang som bekräftats flera gånger i statspraxis, även efter de stora systemförändringarna efter världskrigen, och att denna ställning dessutom vunnit folkrättslig</w:t>
      </w:r>
      <w:r w:rsidR="007D73EE">
        <w:t xml:space="preserve"> och</w:t>
      </w:r>
      <w:r w:rsidR="00EE2BD4" w:rsidRPr="00EE2BD4">
        <w:t xml:space="preserve"> sedvanerättslig status.</w:t>
      </w:r>
      <w:r w:rsidR="00DB6524">
        <w:t xml:space="preserve"> Ålands demilitarisering har i närtid </w:t>
      </w:r>
      <w:r w:rsidR="00E979AC">
        <w:t xml:space="preserve">även behandlats grundligt </w:t>
      </w:r>
      <w:r w:rsidR="00DB6524">
        <w:t xml:space="preserve">i självstyrelsepolitiska nämndens betänkande nr 1/2021-2022 samt Utrikesministeriets Folkrättsliga utredning om Ålands internationella särställning och rättsliga frågor som gäller Rysslands konsulat i Mariehamn (14.11.2023). </w:t>
      </w:r>
    </w:p>
    <w:p w14:paraId="6FC65980" w14:textId="50E561C5" w:rsidR="00F05CE1" w:rsidRDefault="00EE2BD4" w:rsidP="005127A3">
      <w:pPr>
        <w:pStyle w:val="ANormal"/>
      </w:pPr>
      <w:r>
        <w:tab/>
      </w:r>
      <w:r w:rsidRPr="00EE2BD4">
        <w:t>Nämnden konstaterar att det, mot bakgrund av det rådande säkerhetspolitiska läget i Östersjön, är av synnerligen stor betydelse att Ålands neutralisering och demilitarisering värnas och upprätthålls i enlighet med gällande folkrättsliga arrangemang. Nämnden framhåller vidare att Åland i detta avseende utgör ett konkret och funktionellt exempel på hur internationell rätt</w:t>
      </w:r>
      <w:r w:rsidR="00532972">
        <w:t xml:space="preserve"> </w:t>
      </w:r>
      <w:r w:rsidRPr="00EE2BD4">
        <w:lastRenderedPageBreak/>
        <w:t>upprätthåll</w:t>
      </w:r>
      <w:r w:rsidR="00532972">
        <w:t>er</w:t>
      </w:r>
      <w:r w:rsidRPr="00EE2BD4">
        <w:t xml:space="preserve"> stabilitet även under perioder av</w:t>
      </w:r>
      <w:r w:rsidR="00B37852">
        <w:t xml:space="preserve"> osäkerhet inom</w:t>
      </w:r>
      <w:r w:rsidRPr="00EE2BD4">
        <w:t xml:space="preserve"> säkerhetspoliti</w:t>
      </w:r>
      <w:r w:rsidR="00B37852">
        <w:t>ken</w:t>
      </w:r>
      <w:r w:rsidRPr="00EE2BD4">
        <w:t>.</w:t>
      </w:r>
    </w:p>
    <w:p w14:paraId="55FDCF06" w14:textId="77777777" w:rsidR="00F05CE1" w:rsidRDefault="00F05CE1" w:rsidP="005127A3">
      <w:pPr>
        <w:pStyle w:val="ANormal"/>
      </w:pPr>
    </w:p>
    <w:p w14:paraId="5178AF0C" w14:textId="77777777" w:rsidR="00F05CE1" w:rsidRDefault="00F05CE1" w:rsidP="005127A3">
      <w:pPr>
        <w:pStyle w:val="ANormal"/>
      </w:pPr>
    </w:p>
    <w:p w14:paraId="35E86999" w14:textId="77777777" w:rsidR="00A707FF" w:rsidRPr="00A707FF" w:rsidRDefault="00A707FF" w:rsidP="00A707FF">
      <w:pPr>
        <w:pStyle w:val="ANormal"/>
      </w:pPr>
    </w:p>
    <w:p w14:paraId="1CE20D98" w14:textId="7A8ECD12" w:rsidR="002401D0" w:rsidRPr="002A2258" w:rsidRDefault="002401D0" w:rsidP="0002490C">
      <w:pPr>
        <w:pStyle w:val="RubrikB"/>
      </w:pPr>
      <w:bookmarkStart w:id="12" w:name="_Toc529800936"/>
      <w:bookmarkStart w:id="13" w:name="_Toc213871232"/>
      <w:r w:rsidRPr="002A2258">
        <w:t>Ärendets behandling</w:t>
      </w:r>
      <w:bookmarkEnd w:id="12"/>
      <w:bookmarkEnd w:id="13"/>
      <w:r w:rsidR="00603958" w:rsidRPr="002A2258">
        <w:t xml:space="preserve"> </w:t>
      </w:r>
    </w:p>
    <w:p w14:paraId="27304FB8" w14:textId="77777777" w:rsidR="002401D0" w:rsidRPr="003230CC" w:rsidRDefault="002401D0">
      <w:pPr>
        <w:pStyle w:val="Rubrikmellanrum"/>
        <w:rPr>
          <w:highlight w:val="yellow"/>
        </w:rPr>
      </w:pPr>
    </w:p>
    <w:p w14:paraId="036F14F9" w14:textId="255CFE72" w:rsidR="00137496" w:rsidRPr="003230CC" w:rsidRDefault="00137496" w:rsidP="00137496">
      <w:pPr>
        <w:pStyle w:val="ANormal"/>
      </w:pPr>
      <w:r w:rsidRPr="003230CC">
        <w:t>Lagtinget har den</w:t>
      </w:r>
      <w:r w:rsidR="00DD57CF" w:rsidRPr="003230CC">
        <w:t xml:space="preserve"> </w:t>
      </w:r>
      <w:r w:rsidR="003230CC" w:rsidRPr="003230CC">
        <w:t>30 april</w:t>
      </w:r>
      <w:r w:rsidR="00DD57CF" w:rsidRPr="003230CC">
        <w:t xml:space="preserve"> 202</w:t>
      </w:r>
      <w:r w:rsidR="003230CC" w:rsidRPr="003230CC">
        <w:t>5</w:t>
      </w:r>
      <w:r w:rsidRPr="003230CC">
        <w:t xml:space="preserve"> inbegärt självstyrelsepolitiska nämndens utlåtande </w:t>
      </w:r>
      <w:r w:rsidR="00792868" w:rsidRPr="003230CC">
        <w:t xml:space="preserve">i ärendet. </w:t>
      </w:r>
    </w:p>
    <w:p w14:paraId="68179111" w14:textId="6DDE98FC" w:rsidR="008E6A6A" w:rsidRPr="009A0E06" w:rsidRDefault="00F07BA8" w:rsidP="00F07BA8">
      <w:pPr>
        <w:pStyle w:val="ANormal"/>
      </w:pPr>
      <w:r w:rsidRPr="009A0E06">
        <w:tab/>
      </w:r>
      <w:r w:rsidR="00B80462" w:rsidRPr="009A0E06">
        <w:t>Nämnden har i ärendet hört</w:t>
      </w:r>
      <w:r w:rsidR="00712B88" w:rsidRPr="009A0E06">
        <w:t xml:space="preserve"> </w:t>
      </w:r>
      <w:r w:rsidR="002A2258" w:rsidRPr="009A0E06">
        <w:t>civilminister</w:t>
      </w:r>
      <w:r w:rsidR="009A0E06" w:rsidRPr="009A0E06">
        <w:t>n</w:t>
      </w:r>
      <w:r w:rsidR="002A2258" w:rsidRPr="009A0E06">
        <w:t xml:space="preserve"> Ingrid Zetterman, närings- och miljöminister</w:t>
      </w:r>
      <w:r w:rsidR="009A0E06" w:rsidRPr="009A0E06">
        <w:t>n</w:t>
      </w:r>
      <w:r w:rsidR="002A2258" w:rsidRPr="009A0E06">
        <w:t xml:space="preserve"> Jesper Josefsson, </w:t>
      </w:r>
      <w:r w:rsidR="009A0E06">
        <w:t xml:space="preserve">ledamöterna Annette Holmberg-Jansson och Sandra Listherby, </w:t>
      </w:r>
      <w:r w:rsidR="009A0E06" w:rsidRPr="009A0E06">
        <w:t>ministerrådet Anton Nilsson, koordinatorn Petra Granholm, informatören Jenny Jonstoij</w:t>
      </w:r>
      <w:r w:rsidR="009A0E06">
        <w:t xml:space="preserve"> samt vikarierande jaktförvaltaren Roger Gustavsson. </w:t>
      </w:r>
      <w:r w:rsidR="00140AB0" w:rsidRPr="009A0E06">
        <w:t xml:space="preserve"> </w:t>
      </w:r>
      <w:r w:rsidR="00712B88" w:rsidRPr="009A0E06">
        <w:t xml:space="preserve">  </w:t>
      </w:r>
      <w:r w:rsidR="004526DB" w:rsidRPr="009A0E06">
        <w:t xml:space="preserve"> </w:t>
      </w:r>
    </w:p>
    <w:p w14:paraId="5282BA2D" w14:textId="4EACC239" w:rsidR="000C32E8" w:rsidRPr="003230CC" w:rsidRDefault="00FF369B" w:rsidP="000C32E8">
      <w:pPr>
        <w:pStyle w:val="ANormal"/>
        <w:rPr>
          <w:highlight w:val="yellow"/>
        </w:rPr>
      </w:pPr>
      <w:r w:rsidRPr="00F561D9">
        <w:tab/>
      </w:r>
      <w:r w:rsidR="000C32E8" w:rsidRPr="00F561D9">
        <w:t xml:space="preserve">I ärendets avgörande behandling deltog ordföranden </w:t>
      </w:r>
      <w:r w:rsidR="00140AB0" w:rsidRPr="00F561D9">
        <w:t xml:space="preserve">Jörgen Pettersson, viceordföranden Marcus Måtar, </w:t>
      </w:r>
      <w:r w:rsidR="00AA0157" w:rsidRPr="00F561D9">
        <w:t>andra viceordföranden</w:t>
      </w:r>
      <w:r w:rsidR="005907FA" w:rsidRPr="00F561D9">
        <w:t xml:space="preserve"> Pernilla Söderlund</w:t>
      </w:r>
      <w:r w:rsidR="00CD5E60" w:rsidRPr="00F561D9">
        <w:t>,</w:t>
      </w:r>
      <w:r w:rsidR="00AA0157" w:rsidRPr="00F561D9">
        <w:t xml:space="preserve"> </w:t>
      </w:r>
      <w:r w:rsidR="000C32E8" w:rsidRPr="00F561D9">
        <w:t>ledamöterna</w:t>
      </w:r>
      <w:r w:rsidR="00140AB0" w:rsidRPr="00F561D9">
        <w:t xml:space="preserve"> </w:t>
      </w:r>
      <w:r w:rsidR="00E73FB4" w:rsidRPr="00F561D9">
        <w:t xml:space="preserve">Jessy Eckerman, </w:t>
      </w:r>
      <w:r w:rsidR="00140AB0" w:rsidRPr="00F561D9">
        <w:t>Harry Jansson, Mika Nordberg</w:t>
      </w:r>
      <w:r w:rsidR="00CD5E60" w:rsidRPr="00F561D9">
        <w:t xml:space="preserve"> och</w:t>
      </w:r>
      <w:r w:rsidR="00140AB0" w:rsidRPr="00F561D9">
        <w:t xml:space="preserve"> Simon Påvals</w:t>
      </w:r>
      <w:r w:rsidR="00CD5E60" w:rsidRPr="00F561D9">
        <w:t xml:space="preserve"> samt ersättaren Peter Lindbäck. </w:t>
      </w:r>
      <w:r w:rsidR="00140AB0" w:rsidRPr="00F561D9">
        <w:t xml:space="preserve"> </w:t>
      </w:r>
      <w:r w:rsidR="00820F77" w:rsidRPr="00F561D9">
        <w:t xml:space="preserve"> </w:t>
      </w:r>
      <w:r w:rsidR="000C32E8" w:rsidRPr="00F561D9">
        <w:t xml:space="preserve"> </w:t>
      </w:r>
    </w:p>
    <w:p w14:paraId="213E596F" w14:textId="6FF9BA02" w:rsidR="007D0888" w:rsidRPr="003230CC" w:rsidRDefault="004B5A1C">
      <w:pPr>
        <w:pStyle w:val="ANormal"/>
      </w:pPr>
      <w:r w:rsidRPr="003230CC">
        <w:t xml:space="preserve"> </w:t>
      </w:r>
    </w:p>
    <w:p w14:paraId="74BEFA3F" w14:textId="77777777" w:rsidR="002401D0" w:rsidRPr="003230CC" w:rsidRDefault="00137496">
      <w:pPr>
        <w:pStyle w:val="RubrikA"/>
      </w:pPr>
      <w:bookmarkStart w:id="14" w:name="_Toc529800937"/>
      <w:bookmarkStart w:id="15" w:name="_Toc213871233"/>
      <w:r w:rsidRPr="003230CC">
        <w:t>Nämndens</w:t>
      </w:r>
      <w:r w:rsidR="002401D0" w:rsidRPr="003230CC">
        <w:t xml:space="preserve"> förslag</w:t>
      </w:r>
      <w:bookmarkEnd w:id="14"/>
      <w:bookmarkEnd w:id="15"/>
    </w:p>
    <w:p w14:paraId="5D932FC2" w14:textId="77777777" w:rsidR="002401D0" w:rsidRPr="003230CC" w:rsidRDefault="002401D0">
      <w:pPr>
        <w:pStyle w:val="Rubrikmellanrum"/>
      </w:pPr>
    </w:p>
    <w:p w14:paraId="729BFC77" w14:textId="77777777" w:rsidR="002401D0" w:rsidRPr="003230CC" w:rsidRDefault="002401D0">
      <w:pPr>
        <w:pStyle w:val="ANormal"/>
      </w:pPr>
      <w:r w:rsidRPr="003230CC">
        <w:t>Med hänvisning til</w:t>
      </w:r>
      <w:r w:rsidR="00137496" w:rsidRPr="003230CC">
        <w:t>l det anförda föreslår nämnden</w:t>
      </w:r>
    </w:p>
    <w:p w14:paraId="65315D03" w14:textId="77777777" w:rsidR="002401D0" w:rsidRPr="003230CC" w:rsidRDefault="002401D0">
      <w:pPr>
        <w:pStyle w:val="ANormal"/>
      </w:pPr>
    </w:p>
    <w:p w14:paraId="31CA18A1" w14:textId="54CFC59B" w:rsidR="00F27A17" w:rsidRPr="003230CC" w:rsidRDefault="002401D0" w:rsidP="00F27A17">
      <w:pPr>
        <w:pStyle w:val="Klam"/>
      </w:pPr>
      <w:r w:rsidRPr="003230CC">
        <w:t>att lagtinget</w:t>
      </w:r>
      <w:r w:rsidR="005F2EC2" w:rsidRPr="003230CC">
        <w:t xml:space="preserve"> antecknar sig </w:t>
      </w:r>
      <w:r w:rsidR="00A82023" w:rsidRPr="003230CC">
        <w:t>meddelandet</w:t>
      </w:r>
      <w:r w:rsidR="005F2EC2" w:rsidRPr="003230CC">
        <w:t xml:space="preserve"> för kännedom</w:t>
      </w:r>
      <w:r w:rsidR="00F27A17" w:rsidRPr="003230CC">
        <w:t xml:space="preserve"> och bringar betänkandets motivering till landskapsregeringens kännedom.</w:t>
      </w:r>
    </w:p>
    <w:p w14:paraId="311F987A" w14:textId="77777777" w:rsidR="005F2EC2" w:rsidRPr="003230CC" w:rsidRDefault="005F2EC2" w:rsidP="005F2EC2">
      <w:pPr>
        <w:pStyle w:val="Klam"/>
      </w:pPr>
    </w:p>
    <w:p w14:paraId="24295ECF" w14:textId="77777777" w:rsidR="005F2EC2" w:rsidRPr="003230CC" w:rsidRDefault="005F2EC2" w:rsidP="005F2EC2">
      <w:pPr>
        <w:pStyle w:val="ANormal"/>
      </w:pPr>
    </w:p>
    <w:p w14:paraId="6226E08C" w14:textId="77777777" w:rsidR="002401D0" w:rsidRPr="003230CC" w:rsidRDefault="002401D0">
      <w:pPr>
        <w:pStyle w:val="ANormal"/>
        <w:jc w:val="center"/>
      </w:pPr>
      <w:hyperlink w:anchor="_top" w:tooltip="Klicka för att gå till toppen av dokumentet" w:history="1">
        <w:r w:rsidRPr="003230CC">
          <w:rPr>
            <w:rStyle w:val="Hyperlnk"/>
          </w:rPr>
          <w:t>__________________</w:t>
        </w:r>
      </w:hyperlink>
    </w:p>
    <w:p w14:paraId="0881414A" w14:textId="77777777" w:rsidR="002401D0" w:rsidRPr="003230CC" w:rsidRDefault="002401D0">
      <w:pPr>
        <w:pStyle w:val="ANormal"/>
        <w:rPr>
          <w:highlight w:val="yellow"/>
        </w:rPr>
      </w:pPr>
    </w:p>
    <w:p w14:paraId="61B272F9" w14:textId="77777777" w:rsidR="002401D0" w:rsidRPr="009A0E06" w:rsidRDefault="002401D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2401D0" w:rsidRPr="003230CC" w14:paraId="6F7CBD29" w14:textId="77777777">
        <w:trPr>
          <w:cantSplit/>
        </w:trPr>
        <w:tc>
          <w:tcPr>
            <w:tcW w:w="7931" w:type="dxa"/>
            <w:gridSpan w:val="2"/>
          </w:tcPr>
          <w:p w14:paraId="15F1920D" w14:textId="5A436F7E" w:rsidR="002401D0" w:rsidRPr="009A0E06" w:rsidRDefault="002401D0" w:rsidP="00B734D1">
            <w:pPr>
              <w:pStyle w:val="ANormal"/>
              <w:keepNext/>
            </w:pPr>
            <w:r w:rsidRPr="009A0E06">
              <w:t xml:space="preserve">Mariehamn den </w:t>
            </w:r>
            <w:r w:rsidR="009A0E06" w:rsidRPr="009A0E06">
              <w:t xml:space="preserve">13 </w:t>
            </w:r>
            <w:r w:rsidR="003230CC" w:rsidRPr="009A0E06">
              <w:t>november</w:t>
            </w:r>
            <w:r w:rsidR="00140AB0" w:rsidRPr="009A0E06">
              <w:t xml:space="preserve"> 202</w:t>
            </w:r>
            <w:r w:rsidR="003230CC" w:rsidRPr="009A0E06">
              <w:t>5</w:t>
            </w:r>
          </w:p>
        </w:tc>
      </w:tr>
      <w:tr w:rsidR="002401D0" w:rsidRPr="003230CC" w14:paraId="40087D31" w14:textId="77777777">
        <w:tc>
          <w:tcPr>
            <w:tcW w:w="4454" w:type="dxa"/>
            <w:vAlign w:val="bottom"/>
          </w:tcPr>
          <w:p w14:paraId="1F71AFD4" w14:textId="77777777" w:rsidR="002401D0" w:rsidRPr="003230CC" w:rsidRDefault="002401D0">
            <w:pPr>
              <w:pStyle w:val="ANormal"/>
              <w:keepNext/>
            </w:pPr>
          </w:p>
          <w:p w14:paraId="67731B13" w14:textId="77777777" w:rsidR="002401D0" w:rsidRPr="003230CC" w:rsidRDefault="002401D0">
            <w:pPr>
              <w:pStyle w:val="ANormal"/>
              <w:keepNext/>
            </w:pPr>
          </w:p>
          <w:p w14:paraId="45E2978C" w14:textId="77777777" w:rsidR="002401D0" w:rsidRPr="003230CC" w:rsidRDefault="002401D0">
            <w:pPr>
              <w:pStyle w:val="ANormal"/>
              <w:keepNext/>
            </w:pPr>
            <w:r w:rsidRPr="003230CC">
              <w:t>Ordförande</w:t>
            </w:r>
          </w:p>
        </w:tc>
        <w:tc>
          <w:tcPr>
            <w:tcW w:w="3477" w:type="dxa"/>
            <w:vAlign w:val="bottom"/>
          </w:tcPr>
          <w:p w14:paraId="20DCA210" w14:textId="77777777" w:rsidR="002401D0" w:rsidRPr="003230CC" w:rsidRDefault="002401D0">
            <w:pPr>
              <w:pStyle w:val="ANormal"/>
              <w:keepNext/>
            </w:pPr>
          </w:p>
          <w:p w14:paraId="4B420F3C" w14:textId="77777777" w:rsidR="002401D0" w:rsidRPr="003230CC" w:rsidRDefault="002401D0">
            <w:pPr>
              <w:pStyle w:val="ANormal"/>
              <w:keepNext/>
            </w:pPr>
          </w:p>
          <w:p w14:paraId="404F5F51" w14:textId="22E17C1D" w:rsidR="002401D0" w:rsidRPr="003230CC" w:rsidRDefault="00140AB0">
            <w:pPr>
              <w:pStyle w:val="ANormal"/>
              <w:keepNext/>
            </w:pPr>
            <w:r w:rsidRPr="003230CC">
              <w:t>Jörgen Pettersson</w:t>
            </w:r>
          </w:p>
        </w:tc>
      </w:tr>
      <w:tr w:rsidR="002401D0" w:rsidRPr="003230CC" w14:paraId="3AB4FD23" w14:textId="77777777">
        <w:tc>
          <w:tcPr>
            <w:tcW w:w="4454" w:type="dxa"/>
            <w:vAlign w:val="bottom"/>
          </w:tcPr>
          <w:p w14:paraId="20B7A7AE" w14:textId="77777777" w:rsidR="002401D0" w:rsidRPr="003230CC" w:rsidRDefault="002401D0">
            <w:pPr>
              <w:pStyle w:val="ANormal"/>
              <w:keepNext/>
            </w:pPr>
          </w:p>
          <w:p w14:paraId="40A880BF" w14:textId="77777777" w:rsidR="002401D0" w:rsidRPr="003230CC" w:rsidRDefault="002401D0">
            <w:pPr>
              <w:pStyle w:val="ANormal"/>
              <w:keepNext/>
            </w:pPr>
          </w:p>
          <w:p w14:paraId="1B60049E" w14:textId="77777777" w:rsidR="002401D0" w:rsidRPr="003230CC" w:rsidRDefault="002401D0">
            <w:pPr>
              <w:pStyle w:val="ANormal"/>
              <w:keepNext/>
            </w:pPr>
            <w:r w:rsidRPr="003230CC">
              <w:t>Sekreterare</w:t>
            </w:r>
          </w:p>
        </w:tc>
        <w:tc>
          <w:tcPr>
            <w:tcW w:w="3477" w:type="dxa"/>
            <w:vAlign w:val="bottom"/>
          </w:tcPr>
          <w:p w14:paraId="4D9DE416" w14:textId="77777777" w:rsidR="002401D0" w:rsidRPr="003230CC" w:rsidRDefault="002401D0">
            <w:pPr>
              <w:pStyle w:val="ANormal"/>
              <w:keepNext/>
            </w:pPr>
          </w:p>
          <w:p w14:paraId="3D43ECCB" w14:textId="77777777" w:rsidR="002401D0" w:rsidRPr="003230CC" w:rsidRDefault="002401D0">
            <w:pPr>
              <w:pStyle w:val="ANormal"/>
              <w:keepNext/>
            </w:pPr>
          </w:p>
          <w:p w14:paraId="71E0088D" w14:textId="703A6C43" w:rsidR="002401D0" w:rsidRPr="003230CC" w:rsidRDefault="003230CC">
            <w:pPr>
              <w:pStyle w:val="ANormal"/>
              <w:keepNext/>
            </w:pPr>
            <w:r w:rsidRPr="003230CC">
              <w:t>Benjamin Sidorov</w:t>
            </w:r>
          </w:p>
        </w:tc>
      </w:tr>
    </w:tbl>
    <w:p w14:paraId="4C60018E" w14:textId="77777777" w:rsidR="002401D0" w:rsidRDefault="002401D0">
      <w:pPr>
        <w:pStyle w:val="ANormal"/>
      </w:pPr>
    </w:p>
    <w:sectPr w:rsidR="002401D0" w:rsidSect="005B30EA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851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6703" w14:textId="77777777" w:rsidR="00BC0B39" w:rsidRDefault="00BC0B39">
      <w:r>
        <w:separator/>
      </w:r>
    </w:p>
  </w:endnote>
  <w:endnote w:type="continuationSeparator" w:id="0">
    <w:p w14:paraId="521BB6E0" w14:textId="77777777" w:rsidR="00BC0B39" w:rsidRDefault="00BC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63A8" w14:textId="77777777" w:rsidR="00BC0B39" w:rsidRDefault="00BC0B39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8A28" w14:textId="2BB9B60E" w:rsidR="00BC0B39" w:rsidRDefault="00BC0B39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CD5E60">
      <w:rPr>
        <w:noProof/>
        <w:lang w:val="fi-FI"/>
      </w:rPr>
      <w:t>SJPN</w:t>
    </w:r>
    <w:r w:rsidR="00FD7850">
      <w:rPr>
        <w:noProof/>
        <w:lang w:val="fi-FI"/>
      </w:rPr>
      <w:t>0</w:t>
    </w:r>
    <w:r w:rsidR="00E5085B">
      <w:rPr>
        <w:noProof/>
        <w:lang w:val="fi-FI"/>
      </w:rPr>
      <w:t>2</w:t>
    </w:r>
    <w:r w:rsidR="003230CC">
      <w:rPr>
        <w:noProof/>
        <w:lang w:val="fi-FI"/>
      </w:rPr>
      <w:t>202</w:t>
    </w:r>
    <w:r w:rsidR="00FD7850">
      <w:rPr>
        <w:noProof/>
        <w:lang w:val="fi-FI"/>
      </w:rPr>
      <w:t>5</w:t>
    </w:r>
    <w:r w:rsidR="00CD5E60">
      <w:rPr>
        <w:noProof/>
        <w:lang w:val="fi-FI"/>
      </w:rPr>
      <w:t>202</w:t>
    </w:r>
    <w:r w:rsidR="00FD7850">
      <w:rPr>
        <w:noProof/>
        <w:lang w:val="fi-FI"/>
      </w:rPr>
      <w:t>6</w:t>
    </w:r>
    <w:r w:rsidR="00CD5E60">
      <w:rPr>
        <w:noProof/>
        <w:lang w:val="fi-FI"/>
      </w:rPr>
      <w:t>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72D6" w14:textId="77777777" w:rsidR="00BC0B39" w:rsidRDefault="00BC0B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AD78" w14:textId="77777777" w:rsidR="00BC0B39" w:rsidRDefault="00BC0B39">
      <w:r>
        <w:separator/>
      </w:r>
    </w:p>
  </w:footnote>
  <w:footnote w:type="continuationSeparator" w:id="0">
    <w:p w14:paraId="434B200E" w14:textId="77777777" w:rsidR="00BC0B39" w:rsidRDefault="00BC0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0FC7" w14:textId="77777777" w:rsidR="00BC0B39" w:rsidRDefault="00BC0B39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16140CB4" w14:textId="77777777" w:rsidR="00BC0B39" w:rsidRDefault="00BC0B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5777" w14:textId="77777777" w:rsidR="00BC0B39" w:rsidRDefault="00BC0B39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D454054"/>
    <w:multiLevelType w:val="hybridMultilevel"/>
    <w:tmpl w:val="18E21546"/>
    <w:lvl w:ilvl="0" w:tplc="08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080" w:hanging="360"/>
      </w:pPr>
    </w:lvl>
    <w:lvl w:ilvl="2" w:tplc="081D001B" w:tentative="1">
      <w:start w:val="1"/>
      <w:numFmt w:val="lowerRoman"/>
      <w:lvlText w:val="%3."/>
      <w:lvlJc w:val="right"/>
      <w:pPr>
        <w:ind w:left="1800" w:hanging="180"/>
      </w:pPr>
    </w:lvl>
    <w:lvl w:ilvl="3" w:tplc="081D000F" w:tentative="1">
      <w:start w:val="1"/>
      <w:numFmt w:val="decimal"/>
      <w:lvlText w:val="%4."/>
      <w:lvlJc w:val="left"/>
      <w:pPr>
        <w:ind w:left="2520" w:hanging="360"/>
      </w:pPr>
    </w:lvl>
    <w:lvl w:ilvl="4" w:tplc="081D0019" w:tentative="1">
      <w:start w:val="1"/>
      <w:numFmt w:val="lowerLetter"/>
      <w:lvlText w:val="%5."/>
      <w:lvlJc w:val="left"/>
      <w:pPr>
        <w:ind w:left="3240" w:hanging="360"/>
      </w:pPr>
    </w:lvl>
    <w:lvl w:ilvl="5" w:tplc="081D001B" w:tentative="1">
      <w:start w:val="1"/>
      <w:numFmt w:val="lowerRoman"/>
      <w:lvlText w:val="%6."/>
      <w:lvlJc w:val="right"/>
      <w:pPr>
        <w:ind w:left="3960" w:hanging="180"/>
      </w:pPr>
    </w:lvl>
    <w:lvl w:ilvl="6" w:tplc="081D000F" w:tentative="1">
      <w:start w:val="1"/>
      <w:numFmt w:val="decimal"/>
      <w:lvlText w:val="%7."/>
      <w:lvlJc w:val="left"/>
      <w:pPr>
        <w:ind w:left="4680" w:hanging="360"/>
      </w:pPr>
    </w:lvl>
    <w:lvl w:ilvl="7" w:tplc="081D0019" w:tentative="1">
      <w:start w:val="1"/>
      <w:numFmt w:val="lowerLetter"/>
      <w:lvlText w:val="%8."/>
      <w:lvlJc w:val="left"/>
      <w:pPr>
        <w:ind w:left="5400" w:hanging="360"/>
      </w:pPr>
    </w:lvl>
    <w:lvl w:ilvl="8" w:tplc="08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E5D6A"/>
    <w:multiLevelType w:val="multilevel"/>
    <w:tmpl w:val="D454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441951">
    <w:abstractNumId w:val="6"/>
  </w:num>
  <w:num w:numId="2" w16cid:durableId="1439983864">
    <w:abstractNumId w:val="3"/>
  </w:num>
  <w:num w:numId="3" w16cid:durableId="1647585837">
    <w:abstractNumId w:val="2"/>
  </w:num>
  <w:num w:numId="4" w16cid:durableId="2015691692">
    <w:abstractNumId w:val="1"/>
  </w:num>
  <w:num w:numId="5" w16cid:durableId="174271646">
    <w:abstractNumId w:val="0"/>
  </w:num>
  <w:num w:numId="6" w16cid:durableId="1839350098">
    <w:abstractNumId w:val="7"/>
  </w:num>
  <w:num w:numId="7" w16cid:durableId="1071121956">
    <w:abstractNumId w:val="5"/>
  </w:num>
  <w:num w:numId="8" w16cid:durableId="1569733073">
    <w:abstractNumId w:val="4"/>
  </w:num>
  <w:num w:numId="9" w16cid:durableId="134101825">
    <w:abstractNumId w:val="11"/>
  </w:num>
  <w:num w:numId="10" w16cid:durableId="1626041149">
    <w:abstractNumId w:val="14"/>
  </w:num>
  <w:num w:numId="11" w16cid:durableId="120808176">
    <w:abstractNumId w:val="13"/>
  </w:num>
  <w:num w:numId="12" w16cid:durableId="607003857">
    <w:abstractNumId w:val="18"/>
  </w:num>
  <w:num w:numId="13" w16cid:durableId="392697686">
    <w:abstractNumId w:val="12"/>
  </w:num>
  <w:num w:numId="14" w16cid:durableId="663437679">
    <w:abstractNumId w:val="17"/>
  </w:num>
  <w:num w:numId="15" w16cid:durableId="2055930608">
    <w:abstractNumId w:val="10"/>
  </w:num>
  <w:num w:numId="16" w16cid:durableId="52588939">
    <w:abstractNumId w:val="23"/>
  </w:num>
  <w:num w:numId="17" w16cid:durableId="1259829130">
    <w:abstractNumId w:val="9"/>
  </w:num>
  <w:num w:numId="18" w16cid:durableId="2121682681">
    <w:abstractNumId w:val="19"/>
  </w:num>
  <w:num w:numId="19" w16cid:durableId="490174716">
    <w:abstractNumId w:val="22"/>
  </w:num>
  <w:num w:numId="20" w16cid:durableId="1388577557">
    <w:abstractNumId w:val="25"/>
  </w:num>
  <w:num w:numId="21" w16cid:durableId="1578976520">
    <w:abstractNumId w:val="24"/>
  </w:num>
  <w:num w:numId="22" w16cid:durableId="1639021643">
    <w:abstractNumId w:val="16"/>
  </w:num>
  <w:num w:numId="23" w16cid:durableId="354842149">
    <w:abstractNumId w:val="20"/>
  </w:num>
  <w:num w:numId="24" w16cid:durableId="1085028917">
    <w:abstractNumId w:val="20"/>
  </w:num>
  <w:num w:numId="25" w16cid:durableId="381289147">
    <w:abstractNumId w:val="21"/>
  </w:num>
  <w:num w:numId="26" w16cid:durableId="1931306426">
    <w:abstractNumId w:val="16"/>
  </w:num>
  <w:num w:numId="27" w16cid:durableId="1687630532">
    <w:abstractNumId w:val="16"/>
  </w:num>
  <w:num w:numId="28" w16cid:durableId="238448656">
    <w:abstractNumId w:val="16"/>
  </w:num>
  <w:num w:numId="29" w16cid:durableId="1915580277">
    <w:abstractNumId w:val="16"/>
  </w:num>
  <w:num w:numId="30" w16cid:durableId="1908683624">
    <w:abstractNumId w:val="16"/>
  </w:num>
  <w:num w:numId="31" w16cid:durableId="386226182">
    <w:abstractNumId w:val="16"/>
  </w:num>
  <w:num w:numId="32" w16cid:durableId="1826895329">
    <w:abstractNumId w:val="16"/>
  </w:num>
  <w:num w:numId="33" w16cid:durableId="1078601199">
    <w:abstractNumId w:val="16"/>
  </w:num>
  <w:num w:numId="34" w16cid:durableId="1135172326">
    <w:abstractNumId w:val="16"/>
  </w:num>
  <w:num w:numId="35" w16cid:durableId="1881697901">
    <w:abstractNumId w:val="20"/>
  </w:num>
  <w:num w:numId="36" w16cid:durableId="2098361284">
    <w:abstractNumId w:val="21"/>
  </w:num>
  <w:num w:numId="37" w16cid:durableId="557938516">
    <w:abstractNumId w:val="16"/>
  </w:num>
  <w:num w:numId="38" w16cid:durableId="1163356586">
    <w:abstractNumId w:val="16"/>
  </w:num>
  <w:num w:numId="39" w16cid:durableId="1778985467">
    <w:abstractNumId w:val="16"/>
  </w:num>
  <w:num w:numId="40" w16cid:durableId="1654867418">
    <w:abstractNumId w:val="16"/>
  </w:num>
  <w:num w:numId="41" w16cid:durableId="1275946222">
    <w:abstractNumId w:val="16"/>
  </w:num>
  <w:num w:numId="42" w16cid:durableId="1838761472">
    <w:abstractNumId w:val="16"/>
  </w:num>
  <w:num w:numId="43" w16cid:durableId="775252820">
    <w:abstractNumId w:val="16"/>
  </w:num>
  <w:num w:numId="44" w16cid:durableId="1201556390">
    <w:abstractNumId w:val="16"/>
  </w:num>
  <w:num w:numId="45" w16cid:durableId="1038893597">
    <w:abstractNumId w:val="16"/>
  </w:num>
  <w:num w:numId="46" w16cid:durableId="107086536">
    <w:abstractNumId w:val="8"/>
  </w:num>
  <w:num w:numId="47" w16cid:durableId="20910023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0F"/>
    <w:rsid w:val="00002DF9"/>
    <w:rsid w:val="00003620"/>
    <w:rsid w:val="00013EF8"/>
    <w:rsid w:val="00015E9C"/>
    <w:rsid w:val="0002490C"/>
    <w:rsid w:val="000270FA"/>
    <w:rsid w:val="00027FD3"/>
    <w:rsid w:val="00035332"/>
    <w:rsid w:val="0003611D"/>
    <w:rsid w:val="000470B9"/>
    <w:rsid w:val="00051556"/>
    <w:rsid w:val="00054EBE"/>
    <w:rsid w:val="00057329"/>
    <w:rsid w:val="0006210B"/>
    <w:rsid w:val="000628A4"/>
    <w:rsid w:val="00062B73"/>
    <w:rsid w:val="000676B3"/>
    <w:rsid w:val="00070A99"/>
    <w:rsid w:val="00073C1F"/>
    <w:rsid w:val="00081912"/>
    <w:rsid w:val="000900A5"/>
    <w:rsid w:val="000A6F7C"/>
    <w:rsid w:val="000B01FE"/>
    <w:rsid w:val="000B2DC9"/>
    <w:rsid w:val="000B64C9"/>
    <w:rsid w:val="000C0985"/>
    <w:rsid w:val="000C30F1"/>
    <w:rsid w:val="000C32E8"/>
    <w:rsid w:val="000C3DFD"/>
    <w:rsid w:val="000D3274"/>
    <w:rsid w:val="000D52CC"/>
    <w:rsid w:val="000D7092"/>
    <w:rsid w:val="000F1AE0"/>
    <w:rsid w:val="000F5E8C"/>
    <w:rsid w:val="000F61C1"/>
    <w:rsid w:val="000F6DD1"/>
    <w:rsid w:val="000F7417"/>
    <w:rsid w:val="00106B5C"/>
    <w:rsid w:val="00107565"/>
    <w:rsid w:val="00111065"/>
    <w:rsid w:val="00111576"/>
    <w:rsid w:val="001119EC"/>
    <w:rsid w:val="00117805"/>
    <w:rsid w:val="0011790B"/>
    <w:rsid w:val="00120C04"/>
    <w:rsid w:val="001270C4"/>
    <w:rsid w:val="00131885"/>
    <w:rsid w:val="0013510F"/>
    <w:rsid w:val="00135B31"/>
    <w:rsid w:val="00135EE2"/>
    <w:rsid w:val="001366EC"/>
    <w:rsid w:val="00137496"/>
    <w:rsid w:val="001377AF"/>
    <w:rsid w:val="001379FC"/>
    <w:rsid w:val="00140AB0"/>
    <w:rsid w:val="0015337C"/>
    <w:rsid w:val="001569B8"/>
    <w:rsid w:val="00161B5A"/>
    <w:rsid w:val="0017159A"/>
    <w:rsid w:val="00182219"/>
    <w:rsid w:val="00185B25"/>
    <w:rsid w:val="00185B2B"/>
    <w:rsid w:val="001A1B0B"/>
    <w:rsid w:val="001A7C32"/>
    <w:rsid w:val="001B14ED"/>
    <w:rsid w:val="001B52C3"/>
    <w:rsid w:val="001C0845"/>
    <w:rsid w:val="001C0C10"/>
    <w:rsid w:val="001C33EB"/>
    <w:rsid w:val="001C444D"/>
    <w:rsid w:val="001C57EB"/>
    <w:rsid w:val="001D0DE7"/>
    <w:rsid w:val="001D11A8"/>
    <w:rsid w:val="001D344F"/>
    <w:rsid w:val="001D4538"/>
    <w:rsid w:val="001E6BD2"/>
    <w:rsid w:val="001E6E76"/>
    <w:rsid w:val="001F2DFA"/>
    <w:rsid w:val="001F3EA5"/>
    <w:rsid w:val="001F4B1B"/>
    <w:rsid w:val="001F569F"/>
    <w:rsid w:val="001F6C19"/>
    <w:rsid w:val="00205124"/>
    <w:rsid w:val="0020629F"/>
    <w:rsid w:val="00213572"/>
    <w:rsid w:val="00216EBB"/>
    <w:rsid w:val="00225DDA"/>
    <w:rsid w:val="00230011"/>
    <w:rsid w:val="0023414B"/>
    <w:rsid w:val="00235EFD"/>
    <w:rsid w:val="00236134"/>
    <w:rsid w:val="002401D0"/>
    <w:rsid w:val="00244BB8"/>
    <w:rsid w:val="002542E4"/>
    <w:rsid w:val="00261CA8"/>
    <w:rsid w:val="002625F3"/>
    <w:rsid w:val="002741BE"/>
    <w:rsid w:val="0027688E"/>
    <w:rsid w:val="00282372"/>
    <w:rsid w:val="00290FC5"/>
    <w:rsid w:val="00292964"/>
    <w:rsid w:val="00294E43"/>
    <w:rsid w:val="002A2258"/>
    <w:rsid w:val="002A22B6"/>
    <w:rsid w:val="002A309D"/>
    <w:rsid w:val="002A5967"/>
    <w:rsid w:val="002B1442"/>
    <w:rsid w:val="002B59E5"/>
    <w:rsid w:val="002C3C8E"/>
    <w:rsid w:val="002C5BB8"/>
    <w:rsid w:val="002E2C88"/>
    <w:rsid w:val="002E3FB1"/>
    <w:rsid w:val="002F05C7"/>
    <w:rsid w:val="002F67EB"/>
    <w:rsid w:val="00310F78"/>
    <w:rsid w:val="0031570A"/>
    <w:rsid w:val="003202F3"/>
    <w:rsid w:val="00320A8C"/>
    <w:rsid w:val="003230CC"/>
    <w:rsid w:val="003233C0"/>
    <w:rsid w:val="0032442B"/>
    <w:rsid w:val="00327DE6"/>
    <w:rsid w:val="00332F90"/>
    <w:rsid w:val="003355F9"/>
    <w:rsid w:val="003360B5"/>
    <w:rsid w:val="00342298"/>
    <w:rsid w:val="003478B3"/>
    <w:rsid w:val="00351A65"/>
    <w:rsid w:val="00357A19"/>
    <w:rsid w:val="00363323"/>
    <w:rsid w:val="0036359C"/>
    <w:rsid w:val="00364D92"/>
    <w:rsid w:val="003748E7"/>
    <w:rsid w:val="00375E1F"/>
    <w:rsid w:val="003767CC"/>
    <w:rsid w:val="00390925"/>
    <w:rsid w:val="00392FA2"/>
    <w:rsid w:val="003932DF"/>
    <w:rsid w:val="0039639D"/>
    <w:rsid w:val="00397B7B"/>
    <w:rsid w:val="003A0418"/>
    <w:rsid w:val="003B55EE"/>
    <w:rsid w:val="003C23FF"/>
    <w:rsid w:val="003D0B49"/>
    <w:rsid w:val="003D5910"/>
    <w:rsid w:val="003E6682"/>
    <w:rsid w:val="003E699F"/>
    <w:rsid w:val="00404922"/>
    <w:rsid w:val="00407A66"/>
    <w:rsid w:val="00413A5A"/>
    <w:rsid w:val="0041734C"/>
    <w:rsid w:val="0043544A"/>
    <w:rsid w:val="004416F1"/>
    <w:rsid w:val="00444604"/>
    <w:rsid w:val="00444787"/>
    <w:rsid w:val="00446896"/>
    <w:rsid w:val="004526DB"/>
    <w:rsid w:val="00455EA8"/>
    <w:rsid w:val="00466E4E"/>
    <w:rsid w:val="00484B51"/>
    <w:rsid w:val="00484EF0"/>
    <w:rsid w:val="0048609D"/>
    <w:rsid w:val="00493BC0"/>
    <w:rsid w:val="00496C53"/>
    <w:rsid w:val="004A2D37"/>
    <w:rsid w:val="004A3813"/>
    <w:rsid w:val="004A72DD"/>
    <w:rsid w:val="004A755D"/>
    <w:rsid w:val="004B5A1C"/>
    <w:rsid w:val="004B5B3B"/>
    <w:rsid w:val="004B6159"/>
    <w:rsid w:val="004C059D"/>
    <w:rsid w:val="004D03C8"/>
    <w:rsid w:val="004D4432"/>
    <w:rsid w:val="004E3379"/>
    <w:rsid w:val="004E639F"/>
    <w:rsid w:val="004F2F19"/>
    <w:rsid w:val="004F52DF"/>
    <w:rsid w:val="00500EDB"/>
    <w:rsid w:val="005041D8"/>
    <w:rsid w:val="00504636"/>
    <w:rsid w:val="005119AF"/>
    <w:rsid w:val="005127A3"/>
    <w:rsid w:val="00517110"/>
    <w:rsid w:val="00524792"/>
    <w:rsid w:val="005251E0"/>
    <w:rsid w:val="00532972"/>
    <w:rsid w:val="00533177"/>
    <w:rsid w:val="00535BFF"/>
    <w:rsid w:val="00542107"/>
    <w:rsid w:val="00542633"/>
    <w:rsid w:val="00552EC2"/>
    <w:rsid w:val="00554B06"/>
    <w:rsid w:val="00556E18"/>
    <w:rsid w:val="00561367"/>
    <w:rsid w:val="00567133"/>
    <w:rsid w:val="0056750A"/>
    <w:rsid w:val="00576443"/>
    <w:rsid w:val="00587F54"/>
    <w:rsid w:val="005907FA"/>
    <w:rsid w:val="005A0ADE"/>
    <w:rsid w:val="005B30EA"/>
    <w:rsid w:val="005B445D"/>
    <w:rsid w:val="005B486F"/>
    <w:rsid w:val="005C7A21"/>
    <w:rsid w:val="005D2998"/>
    <w:rsid w:val="005D78B1"/>
    <w:rsid w:val="005E0CEE"/>
    <w:rsid w:val="005E371B"/>
    <w:rsid w:val="005E5A7F"/>
    <w:rsid w:val="005F255B"/>
    <w:rsid w:val="005F2EC2"/>
    <w:rsid w:val="0060084F"/>
    <w:rsid w:val="0060328E"/>
    <w:rsid w:val="00603958"/>
    <w:rsid w:val="0060590B"/>
    <w:rsid w:val="00612C39"/>
    <w:rsid w:val="00613273"/>
    <w:rsid w:val="006171F1"/>
    <w:rsid w:val="00621B01"/>
    <w:rsid w:val="00625C4F"/>
    <w:rsid w:val="00626183"/>
    <w:rsid w:val="00627756"/>
    <w:rsid w:val="00627D2D"/>
    <w:rsid w:val="00636E29"/>
    <w:rsid w:val="00642937"/>
    <w:rsid w:val="00646B82"/>
    <w:rsid w:val="00650244"/>
    <w:rsid w:val="006536E2"/>
    <w:rsid w:val="006616A2"/>
    <w:rsid w:val="00682709"/>
    <w:rsid w:val="0069059F"/>
    <w:rsid w:val="00693DD4"/>
    <w:rsid w:val="0069785B"/>
    <w:rsid w:val="006A50EF"/>
    <w:rsid w:val="006A799B"/>
    <w:rsid w:val="006B2E9E"/>
    <w:rsid w:val="006B3FAB"/>
    <w:rsid w:val="006C05AB"/>
    <w:rsid w:val="006D3BF0"/>
    <w:rsid w:val="006D4087"/>
    <w:rsid w:val="006E2826"/>
    <w:rsid w:val="006E5BAA"/>
    <w:rsid w:val="006F18EB"/>
    <w:rsid w:val="00703A37"/>
    <w:rsid w:val="00703A8C"/>
    <w:rsid w:val="00712B88"/>
    <w:rsid w:val="007150FD"/>
    <w:rsid w:val="00717560"/>
    <w:rsid w:val="00717A60"/>
    <w:rsid w:val="00717CF8"/>
    <w:rsid w:val="00720B8B"/>
    <w:rsid w:val="00723B93"/>
    <w:rsid w:val="007245F5"/>
    <w:rsid w:val="00746976"/>
    <w:rsid w:val="00750EB2"/>
    <w:rsid w:val="00751FE9"/>
    <w:rsid w:val="00757007"/>
    <w:rsid w:val="007661B6"/>
    <w:rsid w:val="00770143"/>
    <w:rsid w:val="007742AF"/>
    <w:rsid w:val="007757EC"/>
    <w:rsid w:val="007825A8"/>
    <w:rsid w:val="00787EB9"/>
    <w:rsid w:val="00792868"/>
    <w:rsid w:val="007A0AB7"/>
    <w:rsid w:val="007A174B"/>
    <w:rsid w:val="007B0559"/>
    <w:rsid w:val="007B0C79"/>
    <w:rsid w:val="007B6F2A"/>
    <w:rsid w:val="007C109B"/>
    <w:rsid w:val="007C49C7"/>
    <w:rsid w:val="007D0888"/>
    <w:rsid w:val="007D73EE"/>
    <w:rsid w:val="007E06A8"/>
    <w:rsid w:val="007E4C6F"/>
    <w:rsid w:val="007E4E5A"/>
    <w:rsid w:val="007E55EA"/>
    <w:rsid w:val="007F004F"/>
    <w:rsid w:val="007F06DF"/>
    <w:rsid w:val="007F2353"/>
    <w:rsid w:val="007F2807"/>
    <w:rsid w:val="007F3490"/>
    <w:rsid w:val="00800982"/>
    <w:rsid w:val="0080369B"/>
    <w:rsid w:val="00803C13"/>
    <w:rsid w:val="00805D98"/>
    <w:rsid w:val="00811D50"/>
    <w:rsid w:val="00817B04"/>
    <w:rsid w:val="0082041F"/>
    <w:rsid w:val="00820589"/>
    <w:rsid w:val="00820F77"/>
    <w:rsid w:val="00824834"/>
    <w:rsid w:val="00830944"/>
    <w:rsid w:val="00830F45"/>
    <w:rsid w:val="00833315"/>
    <w:rsid w:val="008345EE"/>
    <w:rsid w:val="00835BBD"/>
    <w:rsid w:val="00836378"/>
    <w:rsid w:val="0085654A"/>
    <w:rsid w:val="00862BAE"/>
    <w:rsid w:val="0086642F"/>
    <w:rsid w:val="0087143E"/>
    <w:rsid w:val="00877EC0"/>
    <w:rsid w:val="00880F44"/>
    <w:rsid w:val="00881EFA"/>
    <w:rsid w:val="00882B0A"/>
    <w:rsid w:val="008837AF"/>
    <w:rsid w:val="00884130"/>
    <w:rsid w:val="00890DA3"/>
    <w:rsid w:val="0089598B"/>
    <w:rsid w:val="008A09D2"/>
    <w:rsid w:val="008A197D"/>
    <w:rsid w:val="008B17F4"/>
    <w:rsid w:val="008B1FE2"/>
    <w:rsid w:val="008B2495"/>
    <w:rsid w:val="008C0AB6"/>
    <w:rsid w:val="008C4E72"/>
    <w:rsid w:val="008C68B6"/>
    <w:rsid w:val="008D1027"/>
    <w:rsid w:val="008D10B6"/>
    <w:rsid w:val="008D33F4"/>
    <w:rsid w:val="008D6702"/>
    <w:rsid w:val="008D7A48"/>
    <w:rsid w:val="008E5746"/>
    <w:rsid w:val="008E63BC"/>
    <w:rsid w:val="008E6A6A"/>
    <w:rsid w:val="008F1499"/>
    <w:rsid w:val="008F239A"/>
    <w:rsid w:val="008F40D0"/>
    <w:rsid w:val="008F46F1"/>
    <w:rsid w:val="008F4807"/>
    <w:rsid w:val="008F5105"/>
    <w:rsid w:val="008F79D6"/>
    <w:rsid w:val="00904AD0"/>
    <w:rsid w:val="00905364"/>
    <w:rsid w:val="00906028"/>
    <w:rsid w:val="00911DD9"/>
    <w:rsid w:val="009162EC"/>
    <w:rsid w:val="00916AE2"/>
    <w:rsid w:val="0092061A"/>
    <w:rsid w:val="00922851"/>
    <w:rsid w:val="00930696"/>
    <w:rsid w:val="00937B47"/>
    <w:rsid w:val="0094049E"/>
    <w:rsid w:val="0094308D"/>
    <w:rsid w:val="0094427F"/>
    <w:rsid w:val="00953B0A"/>
    <w:rsid w:val="00953F2A"/>
    <w:rsid w:val="00957C36"/>
    <w:rsid w:val="009643FD"/>
    <w:rsid w:val="00964444"/>
    <w:rsid w:val="00964D0E"/>
    <w:rsid w:val="00971C67"/>
    <w:rsid w:val="00981505"/>
    <w:rsid w:val="0098160A"/>
    <w:rsid w:val="00982692"/>
    <w:rsid w:val="00986B1A"/>
    <w:rsid w:val="0099440A"/>
    <w:rsid w:val="009A03B3"/>
    <w:rsid w:val="009A051E"/>
    <w:rsid w:val="009A0E06"/>
    <w:rsid w:val="009A1493"/>
    <w:rsid w:val="009A1739"/>
    <w:rsid w:val="009B0D5E"/>
    <w:rsid w:val="009C0C1B"/>
    <w:rsid w:val="009C4A87"/>
    <w:rsid w:val="009C5F8E"/>
    <w:rsid w:val="009D2CE6"/>
    <w:rsid w:val="009D30AD"/>
    <w:rsid w:val="009D73B2"/>
    <w:rsid w:val="009D790E"/>
    <w:rsid w:val="009D79F9"/>
    <w:rsid w:val="009E0D91"/>
    <w:rsid w:val="009E106A"/>
    <w:rsid w:val="009F0F84"/>
    <w:rsid w:val="009F2CEF"/>
    <w:rsid w:val="009F4323"/>
    <w:rsid w:val="009F49A5"/>
    <w:rsid w:val="009F7CE2"/>
    <w:rsid w:val="00A05459"/>
    <w:rsid w:val="00A11E55"/>
    <w:rsid w:val="00A14EE6"/>
    <w:rsid w:val="00A255BE"/>
    <w:rsid w:val="00A25F61"/>
    <w:rsid w:val="00A45409"/>
    <w:rsid w:val="00A46785"/>
    <w:rsid w:val="00A51C73"/>
    <w:rsid w:val="00A54C26"/>
    <w:rsid w:val="00A61396"/>
    <w:rsid w:val="00A67CB4"/>
    <w:rsid w:val="00A707FF"/>
    <w:rsid w:val="00A70C7B"/>
    <w:rsid w:val="00A71231"/>
    <w:rsid w:val="00A71280"/>
    <w:rsid w:val="00A725AA"/>
    <w:rsid w:val="00A749FE"/>
    <w:rsid w:val="00A74B15"/>
    <w:rsid w:val="00A81B48"/>
    <w:rsid w:val="00A82023"/>
    <w:rsid w:val="00A916A2"/>
    <w:rsid w:val="00AA0157"/>
    <w:rsid w:val="00AA05CA"/>
    <w:rsid w:val="00AA3CC6"/>
    <w:rsid w:val="00AA5A02"/>
    <w:rsid w:val="00AA6750"/>
    <w:rsid w:val="00AB059C"/>
    <w:rsid w:val="00AB06A0"/>
    <w:rsid w:val="00AB5ED7"/>
    <w:rsid w:val="00AC2369"/>
    <w:rsid w:val="00AC64F0"/>
    <w:rsid w:val="00AD04D3"/>
    <w:rsid w:val="00AD21F9"/>
    <w:rsid w:val="00AD24C1"/>
    <w:rsid w:val="00AE0EBA"/>
    <w:rsid w:val="00AE2E1E"/>
    <w:rsid w:val="00AE52B3"/>
    <w:rsid w:val="00AF4DB0"/>
    <w:rsid w:val="00B00F08"/>
    <w:rsid w:val="00B05586"/>
    <w:rsid w:val="00B07CA9"/>
    <w:rsid w:val="00B10AFD"/>
    <w:rsid w:val="00B10D48"/>
    <w:rsid w:val="00B1703E"/>
    <w:rsid w:val="00B17318"/>
    <w:rsid w:val="00B32E91"/>
    <w:rsid w:val="00B346C8"/>
    <w:rsid w:val="00B36A8F"/>
    <w:rsid w:val="00B37852"/>
    <w:rsid w:val="00B4221C"/>
    <w:rsid w:val="00B4310F"/>
    <w:rsid w:val="00B462E3"/>
    <w:rsid w:val="00B51A65"/>
    <w:rsid w:val="00B57032"/>
    <w:rsid w:val="00B62D64"/>
    <w:rsid w:val="00B63AC8"/>
    <w:rsid w:val="00B64C66"/>
    <w:rsid w:val="00B734D1"/>
    <w:rsid w:val="00B7359B"/>
    <w:rsid w:val="00B76256"/>
    <w:rsid w:val="00B76A21"/>
    <w:rsid w:val="00B77720"/>
    <w:rsid w:val="00B80462"/>
    <w:rsid w:val="00B90DEC"/>
    <w:rsid w:val="00B914D4"/>
    <w:rsid w:val="00B955B1"/>
    <w:rsid w:val="00BA5514"/>
    <w:rsid w:val="00BA7E80"/>
    <w:rsid w:val="00BB226D"/>
    <w:rsid w:val="00BB388E"/>
    <w:rsid w:val="00BC0B39"/>
    <w:rsid w:val="00BC0E34"/>
    <w:rsid w:val="00BC1B1B"/>
    <w:rsid w:val="00BC20F2"/>
    <w:rsid w:val="00BC3471"/>
    <w:rsid w:val="00BC3E32"/>
    <w:rsid w:val="00BC5FD1"/>
    <w:rsid w:val="00BC65B3"/>
    <w:rsid w:val="00BC6C06"/>
    <w:rsid w:val="00BD220D"/>
    <w:rsid w:val="00BD3BCA"/>
    <w:rsid w:val="00BE306F"/>
    <w:rsid w:val="00BE55F3"/>
    <w:rsid w:val="00BE7491"/>
    <w:rsid w:val="00BF46CD"/>
    <w:rsid w:val="00BF7A75"/>
    <w:rsid w:val="00BF7D0D"/>
    <w:rsid w:val="00C000DB"/>
    <w:rsid w:val="00C0198D"/>
    <w:rsid w:val="00C05205"/>
    <w:rsid w:val="00C107D4"/>
    <w:rsid w:val="00C10A6C"/>
    <w:rsid w:val="00C1145F"/>
    <w:rsid w:val="00C13EF4"/>
    <w:rsid w:val="00C22C3E"/>
    <w:rsid w:val="00C233D9"/>
    <w:rsid w:val="00C23504"/>
    <w:rsid w:val="00C23831"/>
    <w:rsid w:val="00C34426"/>
    <w:rsid w:val="00C36C62"/>
    <w:rsid w:val="00C4019B"/>
    <w:rsid w:val="00C441DB"/>
    <w:rsid w:val="00C62A42"/>
    <w:rsid w:val="00C64790"/>
    <w:rsid w:val="00C6523B"/>
    <w:rsid w:val="00C65932"/>
    <w:rsid w:val="00C678CC"/>
    <w:rsid w:val="00C70FFC"/>
    <w:rsid w:val="00C720A7"/>
    <w:rsid w:val="00C74620"/>
    <w:rsid w:val="00C778BD"/>
    <w:rsid w:val="00C77D83"/>
    <w:rsid w:val="00C87D72"/>
    <w:rsid w:val="00CA16EC"/>
    <w:rsid w:val="00CA28CD"/>
    <w:rsid w:val="00CA43B9"/>
    <w:rsid w:val="00CA6EA7"/>
    <w:rsid w:val="00CA7BEE"/>
    <w:rsid w:val="00CB087E"/>
    <w:rsid w:val="00CC218A"/>
    <w:rsid w:val="00CC27F4"/>
    <w:rsid w:val="00CD2830"/>
    <w:rsid w:val="00CD49E9"/>
    <w:rsid w:val="00CD5E60"/>
    <w:rsid w:val="00CE38A8"/>
    <w:rsid w:val="00CE7FA6"/>
    <w:rsid w:val="00CF21B0"/>
    <w:rsid w:val="00CF4861"/>
    <w:rsid w:val="00CF700E"/>
    <w:rsid w:val="00D207B6"/>
    <w:rsid w:val="00D23012"/>
    <w:rsid w:val="00D31DC9"/>
    <w:rsid w:val="00D33E45"/>
    <w:rsid w:val="00D33FF8"/>
    <w:rsid w:val="00D34CEB"/>
    <w:rsid w:val="00D35815"/>
    <w:rsid w:val="00D370BD"/>
    <w:rsid w:val="00D44217"/>
    <w:rsid w:val="00D5150E"/>
    <w:rsid w:val="00D55A39"/>
    <w:rsid w:val="00D61C64"/>
    <w:rsid w:val="00D7277A"/>
    <w:rsid w:val="00D8136C"/>
    <w:rsid w:val="00D824BD"/>
    <w:rsid w:val="00D85C7D"/>
    <w:rsid w:val="00D90AB3"/>
    <w:rsid w:val="00DA280B"/>
    <w:rsid w:val="00DA5C4F"/>
    <w:rsid w:val="00DA5E7B"/>
    <w:rsid w:val="00DB19C6"/>
    <w:rsid w:val="00DB3C69"/>
    <w:rsid w:val="00DB63C3"/>
    <w:rsid w:val="00DB6524"/>
    <w:rsid w:val="00DC45B2"/>
    <w:rsid w:val="00DC70A5"/>
    <w:rsid w:val="00DD08D3"/>
    <w:rsid w:val="00DD57CF"/>
    <w:rsid w:val="00DE5260"/>
    <w:rsid w:val="00DE578B"/>
    <w:rsid w:val="00DE74A3"/>
    <w:rsid w:val="00DF2A62"/>
    <w:rsid w:val="00DF5D44"/>
    <w:rsid w:val="00E21892"/>
    <w:rsid w:val="00E34B15"/>
    <w:rsid w:val="00E405E1"/>
    <w:rsid w:val="00E5085B"/>
    <w:rsid w:val="00E50C83"/>
    <w:rsid w:val="00E54827"/>
    <w:rsid w:val="00E55E4B"/>
    <w:rsid w:val="00E55EBC"/>
    <w:rsid w:val="00E5609F"/>
    <w:rsid w:val="00E62470"/>
    <w:rsid w:val="00E629F1"/>
    <w:rsid w:val="00E668F3"/>
    <w:rsid w:val="00E66A8A"/>
    <w:rsid w:val="00E71769"/>
    <w:rsid w:val="00E73FB4"/>
    <w:rsid w:val="00E82FBA"/>
    <w:rsid w:val="00E84590"/>
    <w:rsid w:val="00E84FB0"/>
    <w:rsid w:val="00E86A55"/>
    <w:rsid w:val="00E871B4"/>
    <w:rsid w:val="00E877A8"/>
    <w:rsid w:val="00E979AC"/>
    <w:rsid w:val="00EA458E"/>
    <w:rsid w:val="00EA7592"/>
    <w:rsid w:val="00ED1F9E"/>
    <w:rsid w:val="00ED3A7E"/>
    <w:rsid w:val="00ED6FB4"/>
    <w:rsid w:val="00EE2BD4"/>
    <w:rsid w:val="00EE5DD9"/>
    <w:rsid w:val="00EF0D94"/>
    <w:rsid w:val="00EF1F5A"/>
    <w:rsid w:val="00EF3A59"/>
    <w:rsid w:val="00EF4F4A"/>
    <w:rsid w:val="00EF6C65"/>
    <w:rsid w:val="00F016BF"/>
    <w:rsid w:val="00F05CE1"/>
    <w:rsid w:val="00F06FAB"/>
    <w:rsid w:val="00F07BA8"/>
    <w:rsid w:val="00F14F8C"/>
    <w:rsid w:val="00F22B12"/>
    <w:rsid w:val="00F27A17"/>
    <w:rsid w:val="00F31BB7"/>
    <w:rsid w:val="00F32196"/>
    <w:rsid w:val="00F414F8"/>
    <w:rsid w:val="00F42974"/>
    <w:rsid w:val="00F45EE3"/>
    <w:rsid w:val="00F46D23"/>
    <w:rsid w:val="00F47286"/>
    <w:rsid w:val="00F56159"/>
    <w:rsid w:val="00F561D9"/>
    <w:rsid w:val="00F56AE9"/>
    <w:rsid w:val="00F57476"/>
    <w:rsid w:val="00F64ECC"/>
    <w:rsid w:val="00F6738E"/>
    <w:rsid w:val="00F758AA"/>
    <w:rsid w:val="00F803AA"/>
    <w:rsid w:val="00F81999"/>
    <w:rsid w:val="00F93A83"/>
    <w:rsid w:val="00F94C5B"/>
    <w:rsid w:val="00FA006E"/>
    <w:rsid w:val="00FA066A"/>
    <w:rsid w:val="00FA258E"/>
    <w:rsid w:val="00FA64E4"/>
    <w:rsid w:val="00FB3017"/>
    <w:rsid w:val="00FC2CD4"/>
    <w:rsid w:val="00FD339A"/>
    <w:rsid w:val="00FD3E13"/>
    <w:rsid w:val="00FD58F2"/>
    <w:rsid w:val="00FD60CA"/>
    <w:rsid w:val="00FD7850"/>
    <w:rsid w:val="00FE05BF"/>
    <w:rsid w:val="00FE1120"/>
    <w:rsid w:val="00FF369B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FC5E547"/>
  <w15:docId w15:val="{5E3AA3AF-5AFB-41F9-B60A-85B854DF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98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v-SE" w:eastAsia="sv-SE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sv-SE" w:eastAsia="sv-S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sv-SE" w:eastAsia="sv-SE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v-SE" w:eastAsia="sv-SE"/>
    </w:rPr>
  </w:style>
  <w:style w:type="paragraph" w:styleId="Rubrik5">
    <w:name w:val="heading 5"/>
    <w:basedOn w:val="Normal"/>
    <w:next w:val="Normal"/>
    <w:link w:val="Rubrik5Char"/>
    <w:uiPriority w:val="9"/>
    <w:qFormat/>
    <w:pPr>
      <w:numPr>
        <w:ilvl w:val="4"/>
        <w:numId w:val="4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sv-SE" w:eastAsia="sv-SE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sv-SE" w:eastAsia="sv-SE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sv-SE" w:eastAsia="sv-SE"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 w:line="240" w:lineRule="auto"/>
      <w:outlineLvl w:val="8"/>
    </w:pPr>
    <w:rPr>
      <w:rFonts w:ascii="Arial" w:eastAsia="Times New Roman" w:hAnsi="Arial" w:cs="Arial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Brdtextmedindrag">
    <w:name w:val="Body Text Indent"/>
    <w:basedOn w:val="Normal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  <w:spacing w:after="0" w:line="240" w:lineRule="auto"/>
    </w:pPr>
    <w:rPr>
      <w:rFonts w:ascii="Arial" w:eastAsia="Times New Roman" w:hAnsi="Arial" w:cs="Arial"/>
      <w:sz w:val="16"/>
      <w:szCs w:val="24"/>
      <w:lang w:val="sv-SE" w:eastAsia="sv-SE"/>
    </w:rPr>
  </w:style>
  <w:style w:type="paragraph" w:styleId="Sidfot">
    <w:name w:val="footer"/>
    <w:basedOn w:val="Normal"/>
    <w:pPr>
      <w:tabs>
        <w:tab w:val="right" w:pos="8165"/>
      </w:tabs>
      <w:spacing w:after="0" w:line="240" w:lineRule="auto"/>
    </w:pPr>
    <w:rPr>
      <w:rFonts w:ascii="Verdana" w:eastAsia="Times New Roman" w:hAnsi="Verdana" w:cs="Arial"/>
      <w:sz w:val="14"/>
      <w:szCs w:val="24"/>
      <w:lang w:val="sv-SE" w:eastAsia="sv-SE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uiPriority w:val="39"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Innehll3">
    <w:name w:val="toc 3"/>
    <w:basedOn w:val="Innehll1"/>
    <w:next w:val="Normal"/>
    <w:autoRedefine/>
    <w:uiPriority w:val="39"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Innehll6">
    <w:name w:val="toc 6"/>
    <w:basedOn w:val="Normal"/>
    <w:next w:val="Normal"/>
    <w:autoRedefine/>
    <w:semiHidden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Innehll7">
    <w:name w:val="toc 7"/>
    <w:basedOn w:val="Normal"/>
    <w:next w:val="Normal"/>
    <w:autoRedefine/>
    <w:semiHidden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Innehll8">
    <w:name w:val="toc 8"/>
    <w:basedOn w:val="Normal"/>
    <w:next w:val="Normal"/>
    <w:autoRedefine/>
    <w:semiHidden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Innehll9">
    <w:name w:val="toc 9"/>
    <w:basedOn w:val="Normal"/>
    <w:next w:val="Normal"/>
    <w:autoRedefine/>
    <w:semiHidden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customStyle="1" w:styleId="apple-converted-space">
    <w:name w:val="apple-converted-space"/>
    <w:rsid w:val="00E71769"/>
  </w:style>
  <w:style w:type="paragraph" w:customStyle="1" w:styleId="anormal0">
    <w:name w:val="anormal"/>
    <w:basedOn w:val="Normal"/>
    <w:rsid w:val="00DF5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FI"/>
    </w:rPr>
  </w:style>
  <w:style w:type="character" w:customStyle="1" w:styleId="ingetaa">
    <w:name w:val="ingetaa"/>
    <w:rsid w:val="008F1499"/>
  </w:style>
  <w:style w:type="paragraph" w:customStyle="1" w:styleId="rubrikb0">
    <w:name w:val="rubrikb"/>
    <w:basedOn w:val="Normal"/>
    <w:rsid w:val="008F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FI"/>
    </w:rPr>
  </w:style>
  <w:style w:type="paragraph" w:styleId="Ballongtext">
    <w:name w:val="Balloon Text"/>
    <w:basedOn w:val="Normal"/>
    <w:link w:val="BallongtextChar"/>
    <w:rsid w:val="00CE38A8"/>
    <w:pPr>
      <w:spacing w:after="0" w:line="240" w:lineRule="auto"/>
    </w:pPr>
    <w:rPr>
      <w:rFonts w:ascii="Tahoma" w:eastAsia="Times New Roman" w:hAnsi="Tahoma" w:cs="Tahoma"/>
      <w:sz w:val="16"/>
      <w:szCs w:val="16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rsid w:val="00CE38A8"/>
    <w:rPr>
      <w:rFonts w:ascii="Tahoma" w:hAnsi="Tahoma" w:cs="Tahoma"/>
      <w:sz w:val="16"/>
      <w:szCs w:val="16"/>
      <w:lang w:val="sv-SE" w:eastAsia="sv-SE"/>
    </w:rPr>
  </w:style>
  <w:style w:type="character" w:styleId="Betoning">
    <w:name w:val="Emphasis"/>
    <w:basedOn w:val="Standardstycketeckensnitt"/>
    <w:uiPriority w:val="20"/>
    <w:qFormat/>
    <w:rsid w:val="00002DF9"/>
    <w:rPr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027FD3"/>
    <w:rPr>
      <w:b/>
      <w:bCs/>
      <w:i/>
      <w:iCs/>
      <w:sz w:val="26"/>
      <w:szCs w:val="26"/>
      <w:lang w:val="sv-SE" w:eastAsia="sv-SE"/>
    </w:rPr>
  </w:style>
  <w:style w:type="paragraph" w:customStyle="1" w:styleId="py">
    <w:name w:val="py"/>
    <w:basedOn w:val="Normal"/>
    <w:rsid w:val="000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FI"/>
    </w:rPr>
  </w:style>
  <w:style w:type="paragraph" w:styleId="Normalwebb">
    <w:name w:val="Normal (Web)"/>
    <w:basedOn w:val="Normal"/>
    <w:uiPriority w:val="99"/>
    <w:semiHidden/>
    <w:unhideWhenUsed/>
    <w:rsid w:val="0032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FI"/>
    </w:rPr>
  </w:style>
  <w:style w:type="paragraph" w:customStyle="1" w:styleId="stycke1">
    <w:name w:val="stycke1"/>
    <w:next w:val="Normal"/>
    <w:link w:val="stycke1Char"/>
    <w:rsid w:val="00ED3A7E"/>
    <w:pPr>
      <w:spacing w:before="80" w:line="312" w:lineRule="auto"/>
      <w:ind w:left="737" w:right="1134"/>
    </w:pPr>
    <w:rPr>
      <w:rFonts w:ascii="Georgia" w:hAnsi="Georgia"/>
      <w:szCs w:val="22"/>
      <w:lang w:val="sv-SE" w:eastAsia="sv-SE"/>
    </w:rPr>
  </w:style>
  <w:style w:type="character" w:customStyle="1" w:styleId="stycke1Char">
    <w:name w:val="stycke1 Char"/>
    <w:link w:val="stycke1"/>
    <w:rsid w:val="00ED3A7E"/>
    <w:rPr>
      <w:rFonts w:ascii="Georgia" w:hAnsi="Georgia"/>
      <w:szCs w:val="22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F22B12"/>
    <w:rPr>
      <w:color w:val="605E5C"/>
      <w:shd w:val="clear" w:color="auto" w:fill="E1DFDD"/>
    </w:rPr>
  </w:style>
  <w:style w:type="character" w:customStyle="1" w:styleId="ANormalChar">
    <w:name w:val="ANormal Char"/>
    <w:link w:val="ANormal"/>
    <w:rsid w:val="00964D0E"/>
    <w:rPr>
      <w:sz w:val="22"/>
      <w:lang w:val="sv-SE" w:eastAsia="sv-SE"/>
    </w:rPr>
  </w:style>
  <w:style w:type="paragraph" w:styleId="HTML-frformaterad">
    <w:name w:val="HTML Preformatted"/>
    <w:basedOn w:val="Normal"/>
    <w:link w:val="HTML-frformateradChar"/>
    <w:semiHidden/>
    <w:unhideWhenUsed/>
    <w:rsid w:val="00881E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881EFA"/>
    <w:rPr>
      <w:rFonts w:ascii="Consolas" w:eastAsiaTheme="minorHAnsi" w:hAnsi="Consolas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58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31" w:color="auto"/>
            <w:bottom w:val="single" w:sz="2" w:space="0" w:color="auto"/>
            <w:right w:val="single" w:sz="2" w:space="31" w:color="auto"/>
          </w:divBdr>
          <w:divsChild>
            <w:div w:id="4187224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390137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92957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88909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31" w:color="auto"/>
              </w:divBdr>
              <w:divsChild>
                <w:div w:id="7202480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4368705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31" w:color="auto"/>
              </w:divBdr>
              <w:divsChild>
                <w:div w:id="17457607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625366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31" w:color="auto"/>
              </w:divBdr>
              <w:divsChild>
                <w:div w:id="15133739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3562297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31" w:color="auto"/>
              </w:divBdr>
              <w:divsChild>
                <w:div w:id="9506237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922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t&#228;nkan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LT-Betänkande.dot</Template>
  <TotalTime>2</TotalTime>
  <Pages>4</Pages>
  <Words>1729</Words>
  <Characters>9164</Characters>
  <Application>Microsoft Office Word</Application>
  <DocSecurity>4</DocSecurity>
  <Lines>76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Självstyrelsepolitiska nämnden nr 1/2020-2021</vt:lpstr>
    </vt:vector>
  </TitlesOfParts>
  <Company>Ålands lagting</Company>
  <LinksUpToDate>false</LinksUpToDate>
  <CharactersWithSpaces>10872</CharactersWithSpaces>
  <SharedDoc>false</SharedDoc>
  <HLinks>
    <vt:vector size="36" baseType="variant">
      <vt:variant>
        <vt:i4>262192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_Toc23924616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_Toc23924615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_Toc23924614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_Toc23924613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_Toc23924612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Självstyrelsepolitiska nämnden nr 2/2025-2026</dc:title>
  <dc:creator>Jessica Laaksonen</dc:creator>
  <cp:lastModifiedBy>Jessica Laaksonen</cp:lastModifiedBy>
  <cp:revision>2</cp:revision>
  <cp:lastPrinted>2024-05-17T11:46:00Z</cp:lastPrinted>
  <dcterms:created xsi:type="dcterms:W3CDTF">2025-11-13T08:00:00Z</dcterms:created>
  <dcterms:modified xsi:type="dcterms:W3CDTF">2025-11-13T08:00:00Z</dcterms:modified>
</cp:coreProperties>
</file>