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332F793C" w14:textId="77777777">
        <w:trPr>
          <w:cantSplit/>
          <w:trHeight w:val="20"/>
        </w:trPr>
        <w:tc>
          <w:tcPr>
            <w:tcW w:w="861" w:type="dxa"/>
            <w:vMerge w:val="restart"/>
          </w:tcPr>
          <w:p w14:paraId="72292B4D" w14:textId="3CB097E9" w:rsidR="00E023D9" w:rsidRDefault="00761107">
            <w:pPr>
              <w:pStyle w:val="xLedtext"/>
              <w:rPr>
                <w:noProof/>
              </w:rPr>
            </w:pPr>
            <w:r>
              <w:rPr>
                <w:noProof/>
              </w:rPr>
              <w:drawing>
                <wp:anchor distT="0" distB="0" distL="114300" distR="114300" simplePos="0" relativeHeight="251657728" behindDoc="0" locked="0" layoutInCell="1" allowOverlap="1" wp14:anchorId="50C605C9" wp14:editId="5DC0ABD8">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06F26C7" w14:textId="4C0F8327" w:rsidR="00E023D9" w:rsidRDefault="00761107">
            <w:pPr>
              <w:pStyle w:val="xMellanrum"/>
            </w:pPr>
            <w:r w:rsidRPr="0038504B">
              <w:rPr>
                <w:noProof/>
              </w:rPr>
              <w:drawing>
                <wp:inline distT="0" distB="0" distL="0" distR="0" wp14:anchorId="57D8DB3E" wp14:editId="784361E5">
                  <wp:extent cx="51435" cy="5143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E023D9" w14:paraId="39F09A07" w14:textId="77777777">
        <w:trPr>
          <w:cantSplit/>
          <w:trHeight w:val="299"/>
        </w:trPr>
        <w:tc>
          <w:tcPr>
            <w:tcW w:w="861" w:type="dxa"/>
            <w:vMerge/>
          </w:tcPr>
          <w:p w14:paraId="3F4ABD93" w14:textId="77777777" w:rsidR="00E023D9" w:rsidRDefault="00E023D9">
            <w:pPr>
              <w:pStyle w:val="xLedtext"/>
            </w:pPr>
          </w:p>
        </w:tc>
        <w:tc>
          <w:tcPr>
            <w:tcW w:w="4448" w:type="dxa"/>
            <w:vAlign w:val="bottom"/>
          </w:tcPr>
          <w:p w14:paraId="315794E2" w14:textId="77777777" w:rsidR="00E023D9" w:rsidRDefault="00E023D9">
            <w:pPr>
              <w:pStyle w:val="xAvsandare1"/>
            </w:pPr>
          </w:p>
        </w:tc>
        <w:tc>
          <w:tcPr>
            <w:tcW w:w="4288" w:type="dxa"/>
            <w:gridSpan w:val="2"/>
            <w:vAlign w:val="bottom"/>
          </w:tcPr>
          <w:p w14:paraId="07F76BD6" w14:textId="77777777" w:rsidR="00E023D9" w:rsidRDefault="00E023D9">
            <w:pPr>
              <w:pStyle w:val="xDokTypNr"/>
            </w:pPr>
            <w:r>
              <w:t>PARALLELLTEXTER</w:t>
            </w:r>
          </w:p>
        </w:tc>
      </w:tr>
      <w:tr w:rsidR="00E023D9" w14:paraId="19799193" w14:textId="77777777">
        <w:trPr>
          <w:cantSplit/>
          <w:trHeight w:val="238"/>
        </w:trPr>
        <w:tc>
          <w:tcPr>
            <w:tcW w:w="861" w:type="dxa"/>
            <w:vMerge/>
          </w:tcPr>
          <w:p w14:paraId="5E51DB9A" w14:textId="77777777" w:rsidR="00E023D9" w:rsidRDefault="00E023D9">
            <w:pPr>
              <w:pStyle w:val="xLedtext"/>
            </w:pPr>
          </w:p>
        </w:tc>
        <w:tc>
          <w:tcPr>
            <w:tcW w:w="4448" w:type="dxa"/>
            <w:vAlign w:val="bottom"/>
          </w:tcPr>
          <w:p w14:paraId="056293B7" w14:textId="77777777" w:rsidR="00E023D9" w:rsidRDefault="00E023D9">
            <w:pPr>
              <w:pStyle w:val="xLedtext"/>
            </w:pPr>
          </w:p>
        </w:tc>
        <w:tc>
          <w:tcPr>
            <w:tcW w:w="1725" w:type="dxa"/>
            <w:vAlign w:val="bottom"/>
          </w:tcPr>
          <w:p w14:paraId="31C9951E" w14:textId="77777777" w:rsidR="00E023D9" w:rsidRDefault="00E023D9">
            <w:pPr>
              <w:pStyle w:val="xLedtext"/>
            </w:pPr>
            <w:r>
              <w:t>Datum</w:t>
            </w:r>
          </w:p>
        </w:tc>
        <w:tc>
          <w:tcPr>
            <w:tcW w:w="2563" w:type="dxa"/>
            <w:vAlign w:val="bottom"/>
          </w:tcPr>
          <w:p w14:paraId="1D6A7E3C" w14:textId="77777777" w:rsidR="00E023D9" w:rsidRDefault="00E023D9">
            <w:pPr>
              <w:pStyle w:val="xLedtext"/>
            </w:pPr>
          </w:p>
        </w:tc>
      </w:tr>
      <w:tr w:rsidR="00E023D9" w14:paraId="423084F8" w14:textId="77777777">
        <w:trPr>
          <w:cantSplit/>
          <w:trHeight w:val="238"/>
        </w:trPr>
        <w:tc>
          <w:tcPr>
            <w:tcW w:w="861" w:type="dxa"/>
            <w:vMerge/>
          </w:tcPr>
          <w:p w14:paraId="67D27CB5" w14:textId="77777777" w:rsidR="00E023D9" w:rsidRDefault="00E023D9">
            <w:pPr>
              <w:pStyle w:val="xAvsandare2"/>
            </w:pPr>
          </w:p>
        </w:tc>
        <w:tc>
          <w:tcPr>
            <w:tcW w:w="4448" w:type="dxa"/>
            <w:vAlign w:val="center"/>
          </w:tcPr>
          <w:p w14:paraId="11071076" w14:textId="77777777" w:rsidR="00E023D9" w:rsidRDefault="00E023D9">
            <w:pPr>
              <w:pStyle w:val="xAvsandare2"/>
            </w:pPr>
          </w:p>
        </w:tc>
        <w:tc>
          <w:tcPr>
            <w:tcW w:w="1725" w:type="dxa"/>
            <w:vAlign w:val="center"/>
          </w:tcPr>
          <w:p w14:paraId="570F3723" w14:textId="4F788260" w:rsidR="00E023D9" w:rsidRDefault="00CC5EBD">
            <w:pPr>
              <w:pStyle w:val="xDatum1"/>
            </w:pPr>
            <w:r>
              <w:t>2025</w:t>
            </w:r>
            <w:r w:rsidR="001507D0">
              <w:t>-</w:t>
            </w:r>
            <w:r w:rsidR="00E71361">
              <w:t>0</w:t>
            </w:r>
            <w:r w:rsidR="006F0E5C">
              <w:t>9</w:t>
            </w:r>
            <w:r w:rsidR="001507D0">
              <w:t>-</w:t>
            </w:r>
            <w:r w:rsidR="006F0E5C">
              <w:t>04</w:t>
            </w:r>
          </w:p>
        </w:tc>
        <w:tc>
          <w:tcPr>
            <w:tcW w:w="2563" w:type="dxa"/>
            <w:vAlign w:val="center"/>
          </w:tcPr>
          <w:p w14:paraId="7DC3235C" w14:textId="77777777" w:rsidR="00E023D9" w:rsidRDefault="00E023D9">
            <w:pPr>
              <w:pStyle w:val="xBeteckning1"/>
            </w:pPr>
          </w:p>
        </w:tc>
      </w:tr>
      <w:tr w:rsidR="00E023D9" w14:paraId="3D448913" w14:textId="77777777">
        <w:trPr>
          <w:cantSplit/>
          <w:trHeight w:val="238"/>
        </w:trPr>
        <w:tc>
          <w:tcPr>
            <w:tcW w:w="861" w:type="dxa"/>
            <w:vMerge/>
          </w:tcPr>
          <w:p w14:paraId="5A6A045F" w14:textId="77777777" w:rsidR="00E023D9" w:rsidRDefault="00E023D9">
            <w:pPr>
              <w:pStyle w:val="xLedtext"/>
            </w:pPr>
          </w:p>
        </w:tc>
        <w:tc>
          <w:tcPr>
            <w:tcW w:w="4448" w:type="dxa"/>
            <w:vAlign w:val="bottom"/>
          </w:tcPr>
          <w:p w14:paraId="30368807" w14:textId="77777777" w:rsidR="00E023D9" w:rsidRDefault="00E023D9">
            <w:pPr>
              <w:pStyle w:val="xLedtext"/>
            </w:pPr>
          </w:p>
        </w:tc>
        <w:tc>
          <w:tcPr>
            <w:tcW w:w="1725" w:type="dxa"/>
            <w:vAlign w:val="bottom"/>
          </w:tcPr>
          <w:p w14:paraId="370D5461" w14:textId="77777777" w:rsidR="00E023D9" w:rsidRDefault="00E023D9">
            <w:pPr>
              <w:pStyle w:val="xLedtext"/>
            </w:pPr>
          </w:p>
        </w:tc>
        <w:tc>
          <w:tcPr>
            <w:tcW w:w="2563" w:type="dxa"/>
            <w:vAlign w:val="bottom"/>
          </w:tcPr>
          <w:p w14:paraId="156ACCEE" w14:textId="77777777" w:rsidR="00E023D9" w:rsidRDefault="00E023D9">
            <w:pPr>
              <w:pStyle w:val="xLedtext"/>
            </w:pPr>
          </w:p>
        </w:tc>
      </w:tr>
      <w:tr w:rsidR="00E023D9" w14:paraId="511DE34B" w14:textId="77777777">
        <w:trPr>
          <w:cantSplit/>
          <w:trHeight w:val="238"/>
        </w:trPr>
        <w:tc>
          <w:tcPr>
            <w:tcW w:w="861" w:type="dxa"/>
            <w:vMerge/>
            <w:tcBorders>
              <w:bottom w:val="single" w:sz="4" w:space="0" w:color="auto"/>
            </w:tcBorders>
          </w:tcPr>
          <w:p w14:paraId="094B63BD" w14:textId="77777777" w:rsidR="00E023D9" w:rsidRDefault="00E023D9">
            <w:pPr>
              <w:pStyle w:val="xAvsandare3"/>
            </w:pPr>
          </w:p>
        </w:tc>
        <w:tc>
          <w:tcPr>
            <w:tcW w:w="4448" w:type="dxa"/>
            <w:tcBorders>
              <w:bottom w:val="single" w:sz="4" w:space="0" w:color="auto"/>
            </w:tcBorders>
            <w:vAlign w:val="center"/>
          </w:tcPr>
          <w:p w14:paraId="2C3E083A" w14:textId="77777777" w:rsidR="00E023D9" w:rsidRDefault="00E023D9">
            <w:pPr>
              <w:pStyle w:val="xAvsandare3"/>
            </w:pPr>
          </w:p>
        </w:tc>
        <w:tc>
          <w:tcPr>
            <w:tcW w:w="1725" w:type="dxa"/>
            <w:tcBorders>
              <w:bottom w:val="single" w:sz="4" w:space="0" w:color="auto"/>
            </w:tcBorders>
            <w:vAlign w:val="center"/>
          </w:tcPr>
          <w:p w14:paraId="62CE663F" w14:textId="77777777" w:rsidR="00E023D9" w:rsidRDefault="00E023D9">
            <w:pPr>
              <w:pStyle w:val="xDatum2"/>
            </w:pPr>
          </w:p>
        </w:tc>
        <w:tc>
          <w:tcPr>
            <w:tcW w:w="2563" w:type="dxa"/>
            <w:tcBorders>
              <w:bottom w:val="single" w:sz="4" w:space="0" w:color="auto"/>
            </w:tcBorders>
            <w:vAlign w:val="center"/>
          </w:tcPr>
          <w:p w14:paraId="23355C2D" w14:textId="77777777" w:rsidR="00E023D9" w:rsidRDefault="00E023D9">
            <w:pPr>
              <w:pStyle w:val="xBeteckning2"/>
            </w:pPr>
          </w:p>
        </w:tc>
      </w:tr>
      <w:tr w:rsidR="00E023D9" w14:paraId="2DB3CDE7" w14:textId="77777777">
        <w:trPr>
          <w:cantSplit/>
          <w:trHeight w:val="238"/>
        </w:trPr>
        <w:tc>
          <w:tcPr>
            <w:tcW w:w="861" w:type="dxa"/>
            <w:tcBorders>
              <w:top w:val="single" w:sz="4" w:space="0" w:color="auto"/>
            </w:tcBorders>
            <w:vAlign w:val="bottom"/>
          </w:tcPr>
          <w:p w14:paraId="02A58FE3" w14:textId="77777777" w:rsidR="00E023D9" w:rsidRDefault="00E023D9">
            <w:pPr>
              <w:pStyle w:val="xLedtext"/>
            </w:pPr>
          </w:p>
        </w:tc>
        <w:tc>
          <w:tcPr>
            <w:tcW w:w="4448" w:type="dxa"/>
            <w:tcBorders>
              <w:top w:val="single" w:sz="4" w:space="0" w:color="auto"/>
            </w:tcBorders>
            <w:vAlign w:val="bottom"/>
          </w:tcPr>
          <w:p w14:paraId="248DB090" w14:textId="77777777" w:rsidR="00E023D9" w:rsidRDefault="00E023D9">
            <w:pPr>
              <w:pStyle w:val="xLedtext"/>
            </w:pPr>
          </w:p>
        </w:tc>
        <w:tc>
          <w:tcPr>
            <w:tcW w:w="4288" w:type="dxa"/>
            <w:gridSpan w:val="2"/>
            <w:tcBorders>
              <w:top w:val="single" w:sz="4" w:space="0" w:color="auto"/>
            </w:tcBorders>
            <w:vAlign w:val="bottom"/>
          </w:tcPr>
          <w:p w14:paraId="6ABB4786" w14:textId="77777777" w:rsidR="00E023D9" w:rsidRDefault="00E023D9">
            <w:pPr>
              <w:pStyle w:val="xLedtext"/>
            </w:pPr>
          </w:p>
        </w:tc>
      </w:tr>
    </w:tbl>
    <w:p w14:paraId="65EED1CF"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15F3E990" w14:textId="5D0BBB85" w:rsidR="00E023D9" w:rsidRPr="00DC2E60" w:rsidRDefault="00E023D9">
      <w:pPr>
        <w:pStyle w:val="ArendeOverRubrik"/>
      </w:pPr>
      <w:r w:rsidRPr="00DC2E60">
        <w:t xml:space="preserve">Parallelltexter till landskapsregeringens </w:t>
      </w:r>
      <w:r w:rsidR="00AD1F94" w:rsidRPr="00DC2E60">
        <w:t>lagförslag</w:t>
      </w:r>
    </w:p>
    <w:p w14:paraId="0DB6CC8B" w14:textId="69096F1E" w:rsidR="000660C7" w:rsidRDefault="001E3ADD" w:rsidP="000660C7">
      <w:pPr>
        <w:pStyle w:val="ArendeRubrik"/>
      </w:pPr>
      <w:bookmarkStart w:id="0" w:name="_Hlk198293170"/>
      <w:r w:rsidRPr="00DC2E60">
        <w:t xml:space="preserve">Landskapslagstiftning </w:t>
      </w:r>
      <w:r w:rsidR="001507D0" w:rsidRPr="00DC2E60">
        <w:t>om konsumentsäkerhet</w:t>
      </w:r>
    </w:p>
    <w:bookmarkEnd w:id="0"/>
    <w:p w14:paraId="35B81BA6" w14:textId="384F2036" w:rsidR="00E023D9" w:rsidRPr="00CD6D0C" w:rsidRDefault="00E023D9">
      <w:pPr>
        <w:pStyle w:val="ArendeUnderRubrik"/>
        <w:rPr>
          <w:lang w:val="sv-FI"/>
        </w:rPr>
      </w:pPr>
      <w:r w:rsidRPr="00CD6D0C">
        <w:rPr>
          <w:lang w:val="sv-FI"/>
        </w:rPr>
        <w:t xml:space="preserve">Landskapsregeringens </w:t>
      </w:r>
      <w:r w:rsidR="00AD1F94">
        <w:rPr>
          <w:lang w:val="sv-FI"/>
        </w:rPr>
        <w:t>lagförslag</w:t>
      </w:r>
      <w:r w:rsidRPr="00CD6D0C">
        <w:rPr>
          <w:lang w:val="sv-FI"/>
        </w:rPr>
        <w:t xml:space="preserve"> nr </w:t>
      </w:r>
      <w:r w:rsidR="003552A5">
        <w:rPr>
          <w:lang w:val="sv-FI"/>
        </w:rPr>
        <w:t>27</w:t>
      </w:r>
      <w:r w:rsidRPr="00CD6D0C">
        <w:rPr>
          <w:lang w:val="sv-FI"/>
        </w:rPr>
        <w:t>/</w:t>
      </w:r>
      <w:proofErr w:type="gramStart"/>
      <w:r w:rsidRPr="00CD6D0C">
        <w:rPr>
          <w:lang w:val="sv-FI"/>
        </w:rPr>
        <w:t>20</w:t>
      </w:r>
      <w:r w:rsidR="0049586F">
        <w:rPr>
          <w:lang w:val="sv-FI"/>
        </w:rPr>
        <w:t>24</w:t>
      </w:r>
      <w:r w:rsidRPr="00CD6D0C">
        <w:rPr>
          <w:lang w:val="sv-FI"/>
        </w:rPr>
        <w:t>-20</w:t>
      </w:r>
      <w:r w:rsidR="0049586F">
        <w:rPr>
          <w:lang w:val="sv-FI"/>
        </w:rPr>
        <w:t>25</w:t>
      </w:r>
      <w:proofErr w:type="gramEnd"/>
    </w:p>
    <w:p w14:paraId="730977AF" w14:textId="77777777" w:rsidR="00E023D9" w:rsidRPr="00CD6D0C" w:rsidRDefault="00E023D9">
      <w:pPr>
        <w:pStyle w:val="ANormal"/>
        <w:rPr>
          <w:lang w:val="sv-FI"/>
        </w:rPr>
      </w:pPr>
    </w:p>
    <w:p w14:paraId="4D41603F" w14:textId="77777777" w:rsidR="00E023D9" w:rsidRPr="00CD6D0C" w:rsidRDefault="00E023D9">
      <w:pPr>
        <w:pStyle w:val="Innehll1"/>
        <w:rPr>
          <w:lang w:val="sv-FI"/>
        </w:rPr>
      </w:pPr>
      <w:r w:rsidRPr="00CD6D0C">
        <w:rPr>
          <w:lang w:val="sv-FI"/>
        </w:rPr>
        <w:t>INNEHÅLL</w:t>
      </w:r>
    </w:p>
    <w:p w14:paraId="36FF8C09" w14:textId="7152C769" w:rsidR="00DD1394" w:rsidRDefault="00E023D9">
      <w:pPr>
        <w:pStyle w:val="Innehll1"/>
        <w:rPr>
          <w:rFonts w:asciiTheme="minorHAnsi" w:eastAsiaTheme="minorEastAsia" w:hAnsiTheme="minorHAnsi" w:cstheme="minorBidi"/>
          <w:kern w:val="2"/>
          <w:sz w:val="24"/>
          <w:szCs w:val="24"/>
          <w:lang w:val="sv-FI" w:eastAsia="sv-FI"/>
          <w14:ligatures w14:val="standardContextual"/>
        </w:rPr>
      </w:pPr>
      <w:r w:rsidRPr="00CD6D0C">
        <w:rPr>
          <w:lang w:val="sv-FI"/>
        </w:rPr>
        <w:fldChar w:fldCharType="begin"/>
      </w:r>
      <w:r w:rsidRPr="00CD6D0C">
        <w:rPr>
          <w:lang w:val="sv-FI"/>
        </w:rPr>
        <w:instrText xml:space="preserve"> TOC \o "1-1" \h \z \t "LagHuvRubr;1" </w:instrText>
      </w:r>
      <w:r w:rsidRPr="00CD6D0C">
        <w:rPr>
          <w:lang w:val="sv-FI"/>
        </w:rPr>
        <w:fldChar w:fldCharType="separate"/>
      </w:r>
      <w:hyperlink w:anchor="_Toc207187946" w:history="1">
        <w:r w:rsidR="00DD1394" w:rsidRPr="002E51EA">
          <w:rPr>
            <w:rStyle w:val="Hyperlnk"/>
            <w:lang w:val="sv-FI"/>
          </w:rPr>
          <w:t xml:space="preserve">L A N D S K A P S L A G </w:t>
        </w:r>
        <w:r w:rsidR="00DD1394" w:rsidRPr="002E51EA">
          <w:rPr>
            <w:rStyle w:val="Hyperlnk"/>
          </w:rPr>
          <w:t>om ändring av landskapslagen om marknadskontrollen av vissa produkter</w:t>
        </w:r>
        <w:r w:rsidR="00DD1394">
          <w:rPr>
            <w:webHidden/>
          </w:rPr>
          <w:tab/>
        </w:r>
        <w:r w:rsidR="00DD1394">
          <w:rPr>
            <w:webHidden/>
          </w:rPr>
          <w:fldChar w:fldCharType="begin"/>
        </w:r>
        <w:r w:rsidR="00DD1394">
          <w:rPr>
            <w:webHidden/>
          </w:rPr>
          <w:instrText xml:space="preserve"> PAGEREF _Toc207187946 \h </w:instrText>
        </w:r>
        <w:r w:rsidR="00DD1394">
          <w:rPr>
            <w:webHidden/>
          </w:rPr>
        </w:r>
        <w:r w:rsidR="00DD1394">
          <w:rPr>
            <w:webHidden/>
          </w:rPr>
          <w:fldChar w:fldCharType="separate"/>
        </w:r>
        <w:r w:rsidR="00DD1394">
          <w:rPr>
            <w:webHidden/>
          </w:rPr>
          <w:t>1</w:t>
        </w:r>
        <w:r w:rsidR="00DD1394">
          <w:rPr>
            <w:webHidden/>
          </w:rPr>
          <w:fldChar w:fldCharType="end"/>
        </w:r>
      </w:hyperlink>
    </w:p>
    <w:p w14:paraId="04AC18B4" w14:textId="46EBC3A2" w:rsidR="00DD1394" w:rsidRDefault="00DD1394">
      <w:pPr>
        <w:pStyle w:val="Innehll1"/>
        <w:rPr>
          <w:rFonts w:asciiTheme="minorHAnsi" w:eastAsiaTheme="minorEastAsia" w:hAnsiTheme="minorHAnsi" w:cstheme="minorBidi"/>
          <w:kern w:val="2"/>
          <w:sz w:val="24"/>
          <w:szCs w:val="24"/>
          <w:lang w:val="sv-FI" w:eastAsia="sv-FI"/>
          <w14:ligatures w14:val="standardContextual"/>
        </w:rPr>
      </w:pPr>
      <w:hyperlink w:anchor="_Toc207187947" w:history="1">
        <w:r w:rsidRPr="002E51EA">
          <w:rPr>
            <w:rStyle w:val="Hyperlnk"/>
            <w:lang w:val="sv-FI"/>
          </w:rPr>
          <w:t xml:space="preserve">L A N D S K A P S L A G om ändring av 4 § landskapslagen </w:t>
        </w:r>
        <w:r w:rsidRPr="002E51EA">
          <w:rPr>
            <w:rStyle w:val="Hyperlnk"/>
          </w:rPr>
          <w:t>om tillämpning av lagen om skydd av djur som används för vetenskapliga ändamål eller undervisningsändamål</w:t>
        </w:r>
        <w:r>
          <w:rPr>
            <w:webHidden/>
          </w:rPr>
          <w:tab/>
        </w:r>
        <w:r>
          <w:rPr>
            <w:webHidden/>
          </w:rPr>
          <w:fldChar w:fldCharType="begin"/>
        </w:r>
        <w:r>
          <w:rPr>
            <w:webHidden/>
          </w:rPr>
          <w:instrText xml:space="preserve"> PAGEREF _Toc207187947 \h </w:instrText>
        </w:r>
        <w:r>
          <w:rPr>
            <w:webHidden/>
          </w:rPr>
        </w:r>
        <w:r>
          <w:rPr>
            <w:webHidden/>
          </w:rPr>
          <w:fldChar w:fldCharType="separate"/>
        </w:r>
        <w:r>
          <w:rPr>
            <w:webHidden/>
          </w:rPr>
          <w:t>5</w:t>
        </w:r>
        <w:r>
          <w:rPr>
            <w:webHidden/>
          </w:rPr>
          <w:fldChar w:fldCharType="end"/>
        </w:r>
      </w:hyperlink>
    </w:p>
    <w:p w14:paraId="764D8DD1" w14:textId="593C664A" w:rsidR="00E023D9" w:rsidRPr="00CD6D0C" w:rsidRDefault="00E023D9">
      <w:pPr>
        <w:pStyle w:val="ANormal"/>
        <w:tabs>
          <w:tab w:val="right" w:leader="dot" w:pos="7809"/>
        </w:tabs>
        <w:rPr>
          <w:rFonts w:ascii="Verdana" w:hAnsi="Verdana"/>
          <w:noProof/>
          <w:sz w:val="16"/>
          <w:szCs w:val="36"/>
          <w:lang w:val="sv-FI"/>
        </w:rPr>
      </w:pPr>
      <w:r w:rsidRPr="00CD6D0C">
        <w:rPr>
          <w:rFonts w:ascii="Verdana" w:hAnsi="Verdana"/>
          <w:noProof/>
          <w:sz w:val="16"/>
          <w:szCs w:val="36"/>
          <w:lang w:val="sv-FI"/>
        </w:rPr>
        <w:fldChar w:fldCharType="end"/>
      </w:r>
    </w:p>
    <w:p w14:paraId="18468343" w14:textId="77777777" w:rsidR="00E023D9" w:rsidRPr="00CD6D0C" w:rsidRDefault="00E023D9">
      <w:pPr>
        <w:pStyle w:val="ANormal"/>
        <w:rPr>
          <w:noProof/>
          <w:lang w:val="sv-FI"/>
        </w:rPr>
      </w:pPr>
    </w:p>
    <w:p w14:paraId="64267063" w14:textId="4448BEAD" w:rsidR="00E023D9" w:rsidRDefault="001E3ADD">
      <w:pPr>
        <w:pStyle w:val="ANormal"/>
        <w:rPr>
          <w:lang w:val="sv-FI"/>
        </w:rPr>
      </w:pPr>
      <w:r>
        <w:rPr>
          <w:lang w:val="sv-FI"/>
        </w:rPr>
        <w:t>2</w:t>
      </w:r>
      <w:r w:rsidR="00262245" w:rsidRPr="00CD6D0C">
        <w:rPr>
          <w:lang w:val="sv-FI"/>
        </w:rPr>
        <w:t>.</w:t>
      </w:r>
    </w:p>
    <w:p w14:paraId="1AF85129" w14:textId="77777777" w:rsidR="00AE6ED6" w:rsidRPr="00CD6D0C" w:rsidRDefault="00AE6ED6">
      <w:pPr>
        <w:pStyle w:val="ANormal"/>
        <w:rPr>
          <w:lang w:val="sv-FI"/>
        </w:rPr>
      </w:pPr>
    </w:p>
    <w:p w14:paraId="31B27802" w14:textId="3A2B5E4C" w:rsidR="00E023D9" w:rsidRPr="00CD6D0C" w:rsidRDefault="00E023D9">
      <w:pPr>
        <w:pStyle w:val="LagHuvRubr"/>
        <w:rPr>
          <w:lang w:val="sv-FI"/>
        </w:rPr>
      </w:pPr>
      <w:bookmarkStart w:id="1" w:name="_Toc500921111"/>
      <w:bookmarkStart w:id="2" w:name="_Toc528640435"/>
      <w:bookmarkStart w:id="3" w:name="_Toc207187946"/>
      <w:r w:rsidRPr="00CD6D0C">
        <w:rPr>
          <w:lang w:val="sv-FI"/>
        </w:rPr>
        <w:t>L A N D S K A P S L A G</w:t>
      </w:r>
      <w:r w:rsidRPr="00CD6D0C">
        <w:rPr>
          <w:lang w:val="sv-FI"/>
        </w:rPr>
        <w:br/>
      </w:r>
      <w:bookmarkEnd w:id="1"/>
      <w:bookmarkEnd w:id="2"/>
      <w:r w:rsidR="00C74731">
        <w:t>om ändring av landskapslagen om marknadskontrollen av vissa produkter</w:t>
      </w:r>
      <w:bookmarkEnd w:id="3"/>
    </w:p>
    <w:p w14:paraId="4BA99901" w14:textId="77777777" w:rsidR="004414F2" w:rsidRDefault="004414F2">
      <w:pPr>
        <w:pStyle w:val="ANormal"/>
        <w:rPr>
          <w:lang w:val="en-GB"/>
        </w:rPr>
      </w:pPr>
    </w:p>
    <w:p w14:paraId="75D0E81D" w14:textId="77777777" w:rsidR="00DC2E60" w:rsidRPr="00104492" w:rsidRDefault="00DC2E60" w:rsidP="00DC2E60">
      <w:pPr>
        <w:pStyle w:val="ANormal"/>
      </w:pPr>
      <w:r w:rsidRPr="00104492">
        <w:tab/>
        <w:t>I enlighet med lagtingets beslut</w:t>
      </w:r>
    </w:p>
    <w:p w14:paraId="6A65A6CE" w14:textId="7256937F" w:rsidR="00DC2E60" w:rsidRPr="00104492" w:rsidRDefault="00DC2E60" w:rsidP="00DC2E60">
      <w:pPr>
        <w:pStyle w:val="ANormal"/>
        <w:rPr>
          <w:b/>
          <w:bCs/>
        </w:rPr>
      </w:pPr>
      <w:r w:rsidRPr="00104492">
        <w:tab/>
      </w:r>
      <w:r w:rsidRPr="00104492">
        <w:rPr>
          <w:b/>
          <w:bCs/>
        </w:rPr>
        <w:t xml:space="preserve">ändras </w:t>
      </w:r>
      <w:r w:rsidRPr="00104492">
        <w:t>1 § 1 mom.</w:t>
      </w:r>
      <w:r>
        <w:t xml:space="preserve"> 12 och 22</w:t>
      </w:r>
      <w:r w:rsidR="00AE6ED6">
        <w:t> </w:t>
      </w:r>
      <w:r>
        <w:t xml:space="preserve">punkterna </w:t>
      </w:r>
      <w:r w:rsidRPr="00104492">
        <w:t>landskapslagen (2017:37) om marknadskontrollen av vissa produkter, 4 § 4 mom. sådant det lyder i landskapslagen 2023/80, 6 § och 7 § 1 mom. sådana de lyder i landskapslagen 2022/15, 18 och 24 §§, samt</w:t>
      </w:r>
    </w:p>
    <w:p w14:paraId="58BD19DB" w14:textId="103CFEAB" w:rsidR="00DC2E60" w:rsidRPr="00104492" w:rsidRDefault="00DC2E60" w:rsidP="00DC2E60">
      <w:pPr>
        <w:pStyle w:val="ANormal"/>
      </w:pPr>
      <w:r w:rsidRPr="00104492">
        <w:rPr>
          <w:b/>
          <w:bCs/>
        </w:rPr>
        <w:tab/>
        <w:t>fogas</w:t>
      </w:r>
      <w:r w:rsidRPr="00104492">
        <w:t xml:space="preserve"> till lagen</w:t>
      </w:r>
      <w:r>
        <w:t>s 1 § sådan den lyder i landskapslagen 2024/85 en ny 24</w:t>
      </w:r>
      <w:r w:rsidR="00AE6ED6">
        <w:t> </w:t>
      </w:r>
      <w:r>
        <w:t xml:space="preserve">punkt, </w:t>
      </w:r>
      <w:r w:rsidRPr="00104492">
        <w:t>nya</w:t>
      </w:r>
      <w:r w:rsidR="004312C0">
        <w:t xml:space="preserve"> 6a,</w:t>
      </w:r>
      <w:r w:rsidRPr="00104492">
        <w:t xml:space="preserve"> 18a och 18b §§ samt till 21a § sådan den lyder i landskapslagen 2022/15 ett nytt 6 mom. som följer:</w:t>
      </w:r>
    </w:p>
    <w:p w14:paraId="64AC3FD3" w14:textId="77777777" w:rsidR="004414F2" w:rsidRPr="00D13B66" w:rsidRDefault="004414F2">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B367E5" w14:paraId="0A6EBFF1" w14:textId="77777777" w:rsidTr="009B3A1A">
        <w:tc>
          <w:tcPr>
            <w:tcW w:w="2427" w:type="pct"/>
          </w:tcPr>
          <w:p w14:paraId="790B1438" w14:textId="77777777" w:rsidR="00B367E5" w:rsidRDefault="00B367E5" w:rsidP="000F7D32">
            <w:pPr>
              <w:pStyle w:val="xCelltext"/>
              <w:jc w:val="center"/>
            </w:pPr>
            <w:r>
              <w:t>Gällande lydelse</w:t>
            </w:r>
          </w:p>
        </w:tc>
        <w:tc>
          <w:tcPr>
            <w:tcW w:w="146" w:type="pct"/>
          </w:tcPr>
          <w:p w14:paraId="3913AE9E" w14:textId="77777777" w:rsidR="00B367E5" w:rsidRDefault="00B367E5" w:rsidP="000F7D32">
            <w:pPr>
              <w:pStyle w:val="xCelltext"/>
              <w:jc w:val="center"/>
            </w:pPr>
          </w:p>
        </w:tc>
        <w:tc>
          <w:tcPr>
            <w:tcW w:w="2427" w:type="pct"/>
          </w:tcPr>
          <w:p w14:paraId="431EAA0E" w14:textId="77777777" w:rsidR="00B367E5" w:rsidRDefault="00B367E5" w:rsidP="000F7D32">
            <w:pPr>
              <w:pStyle w:val="xCelltext"/>
              <w:jc w:val="center"/>
            </w:pPr>
            <w:r>
              <w:t>Föreslagen lydelse</w:t>
            </w:r>
          </w:p>
        </w:tc>
      </w:tr>
      <w:tr w:rsidR="00B367E5" w14:paraId="0DFA2D32" w14:textId="77777777" w:rsidTr="009B3A1A">
        <w:tc>
          <w:tcPr>
            <w:tcW w:w="2427" w:type="pct"/>
          </w:tcPr>
          <w:p w14:paraId="55C646C2" w14:textId="77777777" w:rsidR="00B367E5" w:rsidRDefault="00B367E5" w:rsidP="000F7D32">
            <w:pPr>
              <w:pStyle w:val="ANormal"/>
            </w:pPr>
          </w:p>
          <w:p w14:paraId="329561E2" w14:textId="10CF1C80" w:rsidR="00B367E5" w:rsidRDefault="00DC2BA4" w:rsidP="000F7D32">
            <w:pPr>
              <w:pStyle w:val="LagParagraf"/>
            </w:pPr>
            <w:r>
              <w:t>1</w:t>
            </w:r>
            <w:r w:rsidR="001E3ADD">
              <w:t> §</w:t>
            </w:r>
          </w:p>
          <w:p w14:paraId="79E0ABE8" w14:textId="6457DD19" w:rsidR="00DC2BA4" w:rsidRDefault="00DC2BA4" w:rsidP="00DC2BA4">
            <w:pPr>
              <w:pStyle w:val="LagPararubrik"/>
            </w:pPr>
            <w:r>
              <w:t>Tillämpningsområde</w:t>
            </w:r>
          </w:p>
          <w:p w14:paraId="624F6234" w14:textId="352F4C71" w:rsidR="00DC2BA4" w:rsidRDefault="00DC2BA4" w:rsidP="00DC2BA4">
            <w:pPr>
              <w:pStyle w:val="ANormal"/>
            </w:pPr>
            <w:r w:rsidRPr="00CE6D63">
              <w:tab/>
            </w:r>
            <w:r>
              <w:t>I denna lag finns bestämmelser om tillsyn och övervakning av om vissa produkter överensstämmer med gällande tillgänglighets- och produktsäkerhetskrav (marknadskontroll). Denna lag är tillämplig på den marknadskontroll som omfattas av tillämpningsområdet för följande lagstiftning, om inte något annat föreskrivs i någon av följande lagar:</w:t>
            </w:r>
          </w:p>
          <w:p w14:paraId="48453D9F" w14:textId="77777777" w:rsidR="0037405A" w:rsidRDefault="0037405A" w:rsidP="0037405A">
            <w:pPr>
              <w:pStyle w:val="ANormal"/>
            </w:pPr>
            <w:r w:rsidRPr="00B85BD6">
              <w:t>- - - - - - - - - - - - - - - - - - - - - - - - - - - - - -</w:t>
            </w:r>
          </w:p>
          <w:p w14:paraId="7C2052E0" w14:textId="0717C825" w:rsidR="00DC2BA4" w:rsidRDefault="00DC2BA4" w:rsidP="00DC2BA4">
            <w:pPr>
              <w:pStyle w:val="ANormal"/>
            </w:pPr>
            <w:r w:rsidRPr="00E4490B">
              <w:tab/>
            </w:r>
            <w:r>
              <w:t xml:space="preserve">12) Lagen om kosmetiska produkter (FFS 492/2013) enligt </w:t>
            </w:r>
            <w:r w:rsidRPr="00AE09AC">
              <w:rPr>
                <w:b/>
                <w:bCs/>
              </w:rPr>
              <w:t>landskapslagen (1988:8) om tillämpning i landskapet Åland av riksförfattningar om konsumentsäkerhet</w:t>
            </w:r>
            <w:r>
              <w:t>.</w:t>
            </w:r>
          </w:p>
          <w:p w14:paraId="31CFD9A1" w14:textId="77777777" w:rsidR="0037405A" w:rsidRDefault="0037405A" w:rsidP="0037405A">
            <w:pPr>
              <w:pStyle w:val="ANormal"/>
            </w:pPr>
            <w:r w:rsidRPr="00B85BD6">
              <w:t>- - - - - - - - - - - - - - - - - - - - - - - - - - - - - -</w:t>
            </w:r>
          </w:p>
          <w:p w14:paraId="026F2600" w14:textId="5803554C" w:rsidR="00DC2BA4" w:rsidRDefault="00DC2BA4" w:rsidP="00DC2BA4">
            <w:pPr>
              <w:pStyle w:val="ANormal"/>
            </w:pPr>
            <w:r w:rsidRPr="00E4490B">
              <w:tab/>
            </w:r>
            <w:r>
              <w:t xml:space="preserve">22) Lagen om leksakers säkerhet (FFS 1154/2011) enligt </w:t>
            </w:r>
            <w:r w:rsidRPr="00AE09AC">
              <w:rPr>
                <w:b/>
                <w:bCs/>
              </w:rPr>
              <w:t>landskapslagen (1988:8) om tillämpning i landskapet Åland av riksförfattningar om konsumentsäkerhet</w:t>
            </w:r>
            <w:r>
              <w:t>.</w:t>
            </w:r>
          </w:p>
          <w:p w14:paraId="350667B9" w14:textId="77777777" w:rsidR="0037405A" w:rsidRDefault="0037405A" w:rsidP="0037405A">
            <w:pPr>
              <w:pStyle w:val="ANormal"/>
            </w:pPr>
            <w:r w:rsidRPr="00B85BD6">
              <w:t>- - - - - - - - - - - - - - - - - - - - - - - - - - - - - -</w:t>
            </w:r>
          </w:p>
          <w:p w14:paraId="78ACE906" w14:textId="4D724D25" w:rsidR="00AE09AC" w:rsidRPr="00AE09AC" w:rsidRDefault="00AE09AC" w:rsidP="00DC2BA4">
            <w:pPr>
              <w:pStyle w:val="ANormal"/>
            </w:pPr>
            <w:r w:rsidRPr="00DC2BA4">
              <w:rPr>
                <w:b/>
                <w:bCs/>
              </w:rPr>
              <w:tab/>
            </w:r>
            <w:r>
              <w:rPr>
                <w:i/>
                <w:iCs/>
              </w:rPr>
              <w:t>Ny</w:t>
            </w:r>
            <w:r w:rsidR="0037405A">
              <w:rPr>
                <w:i/>
                <w:iCs/>
              </w:rPr>
              <w:t xml:space="preserve"> punkt</w:t>
            </w:r>
          </w:p>
          <w:p w14:paraId="0F5FC5DA" w14:textId="77777777" w:rsidR="00AE09AC" w:rsidRDefault="00AE09AC" w:rsidP="00DC2BA4">
            <w:pPr>
              <w:pStyle w:val="ANormal"/>
            </w:pPr>
          </w:p>
          <w:p w14:paraId="77E22F08" w14:textId="77777777" w:rsidR="00AE09AC" w:rsidRDefault="00AE09AC" w:rsidP="00DC2BA4">
            <w:pPr>
              <w:pStyle w:val="ANormal"/>
            </w:pPr>
          </w:p>
          <w:p w14:paraId="3A4BE3F4" w14:textId="77777777" w:rsidR="00AE09AC" w:rsidRDefault="00AE09AC" w:rsidP="00DC2BA4">
            <w:pPr>
              <w:pStyle w:val="ANormal"/>
            </w:pPr>
          </w:p>
          <w:p w14:paraId="787FB9EF" w14:textId="77777777" w:rsidR="00AE09AC" w:rsidRDefault="00AE09AC" w:rsidP="00DC2BA4">
            <w:pPr>
              <w:pStyle w:val="ANormal"/>
            </w:pPr>
          </w:p>
          <w:p w14:paraId="70FF0F94" w14:textId="77777777" w:rsidR="001E3ADD" w:rsidRDefault="00B85BD6" w:rsidP="00DC2BA4">
            <w:pPr>
              <w:pStyle w:val="ANormal"/>
            </w:pPr>
            <w:r w:rsidRPr="00B85BD6">
              <w:t>- - - - - - - - - - - - - - - - - - - - - - - - - - - - - -</w:t>
            </w:r>
          </w:p>
          <w:p w14:paraId="2C3F7CA4" w14:textId="04058313" w:rsidR="004F5089" w:rsidRDefault="004F5089" w:rsidP="00DC2BA4">
            <w:pPr>
              <w:pStyle w:val="ANormal"/>
            </w:pPr>
          </w:p>
        </w:tc>
        <w:tc>
          <w:tcPr>
            <w:tcW w:w="146" w:type="pct"/>
          </w:tcPr>
          <w:p w14:paraId="1A9D766C" w14:textId="77777777" w:rsidR="00B367E5" w:rsidRDefault="00B367E5" w:rsidP="000F7D32">
            <w:pPr>
              <w:pStyle w:val="ANormal"/>
            </w:pPr>
          </w:p>
        </w:tc>
        <w:tc>
          <w:tcPr>
            <w:tcW w:w="2427" w:type="pct"/>
          </w:tcPr>
          <w:p w14:paraId="25D4D4B8" w14:textId="77777777" w:rsidR="00B367E5" w:rsidRDefault="00B367E5" w:rsidP="000F7D32">
            <w:pPr>
              <w:pStyle w:val="ANormal"/>
            </w:pPr>
          </w:p>
          <w:p w14:paraId="70F15542" w14:textId="32F13068" w:rsidR="00B367E5" w:rsidRDefault="00DC2BA4" w:rsidP="000F7D32">
            <w:pPr>
              <w:pStyle w:val="LagParagraf"/>
            </w:pPr>
            <w:r>
              <w:t>1</w:t>
            </w:r>
            <w:r w:rsidR="001E3ADD">
              <w:t> §</w:t>
            </w:r>
          </w:p>
          <w:p w14:paraId="3681C5DE" w14:textId="00B965D9" w:rsidR="00DC2BA4" w:rsidRDefault="00DC2BA4" w:rsidP="00DC2BA4">
            <w:pPr>
              <w:pStyle w:val="LagPararubrik"/>
            </w:pPr>
            <w:r>
              <w:t>Tillämpningsområde</w:t>
            </w:r>
          </w:p>
          <w:p w14:paraId="2425619F" w14:textId="77777777" w:rsidR="00DC2BA4" w:rsidRPr="00E4490B" w:rsidRDefault="00DC2BA4" w:rsidP="00DC2BA4">
            <w:pPr>
              <w:pStyle w:val="ANormal"/>
            </w:pPr>
            <w:r w:rsidRPr="00E4490B">
              <w:tab/>
              <w:t>I denna lag finns bestämmelser om tillsyn och övervakning av om vissa produkter överensstämmer med gällande tillgänglighets- och produktsäkerhetskrav (marknadskontroll). Denna lag är tillämplig på den marknadskontroll som omfattas av tillämpningsområdet för följande lagstiftning, om inte något annat föreskrivs i någon av följande lagar:</w:t>
            </w:r>
          </w:p>
          <w:p w14:paraId="75AB50BC" w14:textId="77777777" w:rsidR="0037405A" w:rsidRDefault="0037405A" w:rsidP="0037405A">
            <w:pPr>
              <w:pStyle w:val="ANormal"/>
            </w:pPr>
            <w:r w:rsidRPr="00B85BD6">
              <w:t>- - - - - - - - - - - - - - - - - - - - - - - - - - - - - -</w:t>
            </w:r>
          </w:p>
          <w:p w14:paraId="2CAB977D" w14:textId="09B49137" w:rsidR="00DC2BA4" w:rsidRPr="00E4490B" w:rsidRDefault="00DC2BA4" w:rsidP="00DC2BA4">
            <w:pPr>
              <w:pStyle w:val="ANormal"/>
            </w:pPr>
            <w:r w:rsidRPr="00E4490B">
              <w:tab/>
              <w:t xml:space="preserve">12) Lagen om kosmetiska produkter (FFS 492/2013) enligt </w:t>
            </w:r>
            <w:r w:rsidRPr="00DC2BA4">
              <w:rPr>
                <w:b/>
                <w:bCs/>
              </w:rPr>
              <w:t xml:space="preserve">landskapslagen </w:t>
            </w:r>
            <w:proofErr w:type="gramStart"/>
            <w:r w:rsidRPr="00DC2BA4">
              <w:rPr>
                <w:b/>
                <w:bCs/>
              </w:rPr>
              <w:t>(</w:t>
            </w:r>
            <w:r w:rsidR="00B7185C">
              <w:rPr>
                <w:b/>
                <w:bCs/>
              </w:rPr>
              <w:t>  </w:t>
            </w:r>
            <w:r w:rsidRPr="00DC2BA4">
              <w:rPr>
                <w:b/>
                <w:bCs/>
              </w:rPr>
              <w:t>:</w:t>
            </w:r>
            <w:r w:rsidR="00B7185C">
              <w:rPr>
                <w:b/>
                <w:bCs/>
              </w:rPr>
              <w:t>  </w:t>
            </w:r>
            <w:r w:rsidRPr="00DC2BA4">
              <w:rPr>
                <w:b/>
                <w:bCs/>
              </w:rPr>
              <w:t>)</w:t>
            </w:r>
            <w:proofErr w:type="gramEnd"/>
            <w:r w:rsidRPr="00DC2BA4">
              <w:rPr>
                <w:b/>
                <w:bCs/>
              </w:rPr>
              <w:t xml:space="preserve"> om tillämpning på Åland av riksförfattningar om konsumentsäkerhet</w:t>
            </w:r>
            <w:r w:rsidRPr="00E4490B">
              <w:t>.</w:t>
            </w:r>
          </w:p>
          <w:p w14:paraId="4042DC99" w14:textId="77777777" w:rsidR="00AE09AC" w:rsidRDefault="00AE09AC" w:rsidP="00DC2BA4">
            <w:pPr>
              <w:pStyle w:val="ANormal"/>
            </w:pPr>
          </w:p>
          <w:p w14:paraId="0DDCCC8F" w14:textId="77777777" w:rsidR="0037405A" w:rsidRDefault="0037405A" w:rsidP="0037405A">
            <w:pPr>
              <w:pStyle w:val="ANormal"/>
            </w:pPr>
            <w:r w:rsidRPr="00B85BD6">
              <w:t>- - - - - - - - - - - - - - - - - - - - - - - - - - - - - -</w:t>
            </w:r>
          </w:p>
          <w:p w14:paraId="6F98CF23" w14:textId="4805B333" w:rsidR="00DC2BA4" w:rsidRDefault="00DC2BA4" w:rsidP="00DC2BA4">
            <w:pPr>
              <w:pStyle w:val="ANormal"/>
            </w:pPr>
            <w:r w:rsidRPr="00E4490B">
              <w:tab/>
              <w:t xml:space="preserve">22) Lagen om leksakers säkerhet (FFS 1154/2011) enligt </w:t>
            </w:r>
            <w:r w:rsidRPr="00DC2BA4">
              <w:rPr>
                <w:b/>
                <w:bCs/>
              </w:rPr>
              <w:t>landskapslagen om tillämpning på Åland av riksförfattningar om konsumentsäkerhet</w:t>
            </w:r>
            <w:r w:rsidRPr="00E4490B">
              <w:t>.</w:t>
            </w:r>
          </w:p>
          <w:p w14:paraId="20C30BE0" w14:textId="77777777" w:rsidR="0037405A" w:rsidRPr="00E4490B" w:rsidRDefault="0037405A" w:rsidP="00DC2BA4">
            <w:pPr>
              <w:pStyle w:val="ANormal"/>
            </w:pPr>
          </w:p>
          <w:p w14:paraId="51C5F188" w14:textId="77777777" w:rsidR="0037405A" w:rsidRDefault="0037405A" w:rsidP="0037405A">
            <w:pPr>
              <w:pStyle w:val="ANormal"/>
            </w:pPr>
            <w:r w:rsidRPr="00B85BD6">
              <w:t>- - - - - - - - - - - - - - - - - - - - - - - - - - - - - -</w:t>
            </w:r>
          </w:p>
          <w:p w14:paraId="041A756B" w14:textId="3E76A417" w:rsidR="00DC2BA4" w:rsidRPr="00E4490B" w:rsidRDefault="00DC2BA4" w:rsidP="00DC2BA4">
            <w:pPr>
              <w:pStyle w:val="ANormal"/>
            </w:pPr>
            <w:r w:rsidRPr="00DC2BA4">
              <w:rPr>
                <w:b/>
                <w:bCs/>
              </w:rPr>
              <w:tab/>
              <w:t>24)</w:t>
            </w:r>
            <w:r w:rsidRPr="00E4490B">
              <w:t xml:space="preserve"> </w:t>
            </w:r>
            <w:r w:rsidRPr="00DC2BA4">
              <w:rPr>
                <w:b/>
                <w:bCs/>
              </w:rPr>
              <w:t xml:space="preserve">Lagen om konsumentprodukters säkerhet (FFS 184/2025) enligt </w:t>
            </w:r>
            <w:r w:rsidRPr="00DC2BA4">
              <w:rPr>
                <w:b/>
                <w:bCs/>
              </w:rPr>
              <w:lastRenderedPageBreak/>
              <w:t>landskapslagen</w:t>
            </w:r>
            <w:r w:rsidR="00B7185C">
              <w:rPr>
                <w:b/>
                <w:bCs/>
              </w:rPr>
              <w:t xml:space="preserve"> </w:t>
            </w:r>
            <w:r w:rsidRPr="00DC2BA4">
              <w:rPr>
                <w:b/>
                <w:bCs/>
              </w:rPr>
              <w:t>om tillämpning på Åland av riksförfattningar om konsumentsäkerhet.</w:t>
            </w:r>
          </w:p>
          <w:p w14:paraId="375FFD38" w14:textId="77777777" w:rsidR="001E3ADD" w:rsidRDefault="00B85BD6" w:rsidP="00DC2BA4">
            <w:pPr>
              <w:pStyle w:val="ANormal"/>
            </w:pPr>
            <w:r w:rsidRPr="00B85BD6">
              <w:t>- - - - - - - - - - - - - - - - - - - - - - - - - - - - - -</w:t>
            </w:r>
          </w:p>
          <w:p w14:paraId="1E2F0C5E" w14:textId="78821F89" w:rsidR="004F5089" w:rsidRPr="00DC2BA4" w:rsidRDefault="004F5089" w:rsidP="00DC2BA4">
            <w:pPr>
              <w:pStyle w:val="ANormal"/>
            </w:pPr>
          </w:p>
        </w:tc>
      </w:tr>
      <w:tr w:rsidR="00DC2BA4" w14:paraId="25F8D3D4" w14:textId="77777777" w:rsidTr="009B3A1A">
        <w:tc>
          <w:tcPr>
            <w:tcW w:w="2427" w:type="pct"/>
          </w:tcPr>
          <w:p w14:paraId="2DCF2554" w14:textId="77777777" w:rsidR="00DC2BA4" w:rsidRDefault="00DC2BA4" w:rsidP="00DC2BA4">
            <w:pPr>
              <w:pStyle w:val="ANormal"/>
            </w:pPr>
          </w:p>
          <w:p w14:paraId="7ED7CFBE" w14:textId="099CCCA6" w:rsidR="00DC2BA4" w:rsidRDefault="00DC2BA4" w:rsidP="00DC2BA4">
            <w:pPr>
              <w:pStyle w:val="LagParagraf"/>
            </w:pPr>
            <w:r>
              <w:t>4</w:t>
            </w:r>
            <w:r w:rsidR="001E3ADD">
              <w:t> §</w:t>
            </w:r>
          </w:p>
          <w:p w14:paraId="1CDE27B3" w14:textId="097DEBF2" w:rsidR="00DC2BA4" w:rsidRPr="00DC2BA4" w:rsidRDefault="006D6D13" w:rsidP="00DC2BA4">
            <w:pPr>
              <w:pStyle w:val="LagPararubrik"/>
            </w:pPr>
            <w:r>
              <w:t>Tillsynsmyndighet</w:t>
            </w:r>
          </w:p>
          <w:p w14:paraId="3849B01F" w14:textId="77777777" w:rsidR="00DC2BA4" w:rsidRPr="00CE6D63" w:rsidRDefault="00DC2BA4" w:rsidP="00DC2BA4">
            <w:pPr>
              <w:pStyle w:val="ANormal"/>
            </w:pPr>
            <w:r w:rsidRPr="00B85BD6">
              <w:t xml:space="preserve">- - - - - - - - - - - - - - - - - - - - - - - - - - - - - - </w:t>
            </w:r>
          </w:p>
          <w:p w14:paraId="41F5D2EE" w14:textId="77777777" w:rsidR="00DC2BA4" w:rsidRDefault="00DC2BA4" w:rsidP="00DC2BA4">
            <w:pPr>
              <w:pStyle w:val="ANormal"/>
            </w:pPr>
            <w:r w:rsidRPr="00CE6D63">
              <w:tab/>
            </w:r>
            <w:r w:rsidR="006D6D13" w:rsidRPr="006D6D13">
              <w:t xml:space="preserve">Ålands miljö- och hälsoskyddsmyndighet är tillsynsmyndighet enligt landskapslagen om tobak och relaterade produkter, landskapslagen om tillämpning på Åland av lagen om begränsning av användning av farliga ämnen i elektrisk och elektronisk utrustning, landskapslagen om tillämpning på Åland av hälsoskyddslagen och </w:t>
            </w:r>
            <w:r w:rsidR="006D6D13" w:rsidRPr="00AE09AC">
              <w:rPr>
                <w:b/>
                <w:bCs/>
              </w:rPr>
              <w:t>lagen om leksakers säkerhet enligt landskapslagen om tillämpning i landskapet Åland av riksförfattningar om konsumentsäkerhet samt för produkter som avses i 27b</w:t>
            </w:r>
            <w:r w:rsidR="001E3ADD">
              <w:rPr>
                <w:b/>
                <w:bCs/>
              </w:rPr>
              <w:t> §</w:t>
            </w:r>
            <w:r w:rsidR="006D6D13" w:rsidRPr="00AE09AC">
              <w:rPr>
                <w:b/>
                <w:bCs/>
              </w:rPr>
              <w:t xml:space="preserve"> 1</w:t>
            </w:r>
            <w:r w:rsidR="001E3ADD">
              <w:rPr>
                <w:b/>
                <w:bCs/>
              </w:rPr>
              <w:t> mom.</w:t>
            </w:r>
            <w:r w:rsidR="006D6D13" w:rsidRPr="00AE09AC">
              <w:rPr>
                <w:b/>
                <w:bCs/>
              </w:rPr>
              <w:t xml:space="preserve"> i landskapslagen om miljöskydd</w:t>
            </w:r>
            <w:r w:rsidR="006D6D13" w:rsidRPr="006D6D13">
              <w:t>.</w:t>
            </w:r>
          </w:p>
          <w:p w14:paraId="068F16A4" w14:textId="4E9C4D8C" w:rsidR="001E3ADD" w:rsidRDefault="001E3ADD" w:rsidP="00DC2BA4">
            <w:pPr>
              <w:pStyle w:val="ANormal"/>
            </w:pPr>
          </w:p>
        </w:tc>
        <w:tc>
          <w:tcPr>
            <w:tcW w:w="146" w:type="pct"/>
          </w:tcPr>
          <w:p w14:paraId="3A645637" w14:textId="77777777" w:rsidR="00DC2BA4" w:rsidRDefault="00DC2BA4" w:rsidP="00DC2BA4">
            <w:pPr>
              <w:pStyle w:val="ANormal"/>
            </w:pPr>
          </w:p>
        </w:tc>
        <w:tc>
          <w:tcPr>
            <w:tcW w:w="2427" w:type="pct"/>
          </w:tcPr>
          <w:p w14:paraId="7369FA98" w14:textId="77777777" w:rsidR="00DC2BA4" w:rsidRDefault="00DC2BA4" w:rsidP="00DC2BA4">
            <w:pPr>
              <w:pStyle w:val="ANormal"/>
            </w:pPr>
          </w:p>
          <w:p w14:paraId="43BF9D51" w14:textId="466E9166" w:rsidR="00DC2BA4" w:rsidRDefault="00DC2BA4" w:rsidP="00DC2BA4">
            <w:pPr>
              <w:pStyle w:val="LagParagraf"/>
            </w:pPr>
            <w:r>
              <w:t>4</w:t>
            </w:r>
            <w:r w:rsidR="001E3ADD">
              <w:t> §</w:t>
            </w:r>
          </w:p>
          <w:p w14:paraId="6741D03F" w14:textId="596746AF" w:rsidR="00DC2BA4" w:rsidRPr="00DC2BA4" w:rsidRDefault="006D6D13" w:rsidP="00DC2BA4">
            <w:pPr>
              <w:pStyle w:val="LagPararubrik"/>
            </w:pPr>
            <w:r>
              <w:t>Tillsynsmyndighet</w:t>
            </w:r>
          </w:p>
          <w:p w14:paraId="29030F42" w14:textId="77777777" w:rsidR="00DC2BA4" w:rsidRPr="00CE6D63" w:rsidRDefault="00DC2BA4" w:rsidP="00DC2BA4">
            <w:pPr>
              <w:pStyle w:val="ANormal"/>
            </w:pPr>
            <w:r w:rsidRPr="00B85BD6">
              <w:t xml:space="preserve">- - - - - - - - - - - - - - - - - - - - - - - - - - - - - - </w:t>
            </w:r>
          </w:p>
          <w:p w14:paraId="21A4656F" w14:textId="77777777" w:rsidR="00DC2BA4" w:rsidRDefault="00DC2BA4" w:rsidP="00DC2BA4">
            <w:pPr>
              <w:pStyle w:val="ANormal"/>
            </w:pPr>
            <w:r w:rsidRPr="00CE6D63">
              <w:tab/>
            </w:r>
            <w:r w:rsidR="006D6D13" w:rsidRPr="00E4490B">
              <w:t>Ålands miljö- och hälsoskyddsmyndighet är tillsynsmyndighet enligt landskapslagen om tobak och relaterade produkter, landskapslagen om tillämpning på Åland av lagen om begränsning av användning av farliga ämnen i elektrisk och elektronisk utrustning, landskapslagen om tillämpning på Åland av hälsoskyddslagen</w:t>
            </w:r>
            <w:r w:rsidR="006D6D13">
              <w:t xml:space="preserve"> och </w:t>
            </w:r>
            <w:r w:rsidR="006D6D13" w:rsidRPr="006D6D13">
              <w:rPr>
                <w:b/>
                <w:bCs/>
              </w:rPr>
              <w:t>för produkter som avses i 27b</w:t>
            </w:r>
            <w:r w:rsidR="001E3ADD">
              <w:rPr>
                <w:b/>
                <w:bCs/>
              </w:rPr>
              <w:t> §</w:t>
            </w:r>
            <w:r w:rsidR="006D6D13" w:rsidRPr="006D6D13">
              <w:rPr>
                <w:b/>
                <w:bCs/>
              </w:rPr>
              <w:t xml:space="preserve"> 1</w:t>
            </w:r>
            <w:r w:rsidR="001E3ADD">
              <w:rPr>
                <w:b/>
                <w:bCs/>
              </w:rPr>
              <w:t> mom.</w:t>
            </w:r>
            <w:r w:rsidR="006D6D13" w:rsidRPr="006D6D13">
              <w:rPr>
                <w:b/>
                <w:bCs/>
              </w:rPr>
              <w:t xml:space="preserve"> i landskapslagen om miljöskydd samt lagen om konsumentprodukters säkerhet, lagen om leksakers säkerhet och lagen om kosmetiska produkter enligt landskapslagen om tillämpning på Åland av riksförfattningar om konsumentsäkerhet och för produkter</w:t>
            </w:r>
            <w:r w:rsidR="006D6D13" w:rsidRPr="00E4490B">
              <w:t>.</w:t>
            </w:r>
          </w:p>
          <w:p w14:paraId="364C3E25" w14:textId="0B7E2915" w:rsidR="001E3ADD" w:rsidRDefault="001E3ADD" w:rsidP="00DC2BA4">
            <w:pPr>
              <w:pStyle w:val="ANormal"/>
            </w:pPr>
          </w:p>
        </w:tc>
      </w:tr>
      <w:tr w:rsidR="00DC2BA4" w14:paraId="6A74C713" w14:textId="77777777" w:rsidTr="009B3A1A">
        <w:tc>
          <w:tcPr>
            <w:tcW w:w="2427" w:type="pct"/>
          </w:tcPr>
          <w:p w14:paraId="7E6AC8D2" w14:textId="77777777" w:rsidR="00DC2BA4" w:rsidRDefault="00DC2BA4" w:rsidP="00DC2BA4">
            <w:pPr>
              <w:pStyle w:val="ANormal"/>
            </w:pPr>
          </w:p>
          <w:p w14:paraId="61A70D88" w14:textId="54714832" w:rsidR="00DC2BA4" w:rsidRDefault="00DC2BA4" w:rsidP="00DC2BA4">
            <w:pPr>
              <w:pStyle w:val="LagParagraf"/>
            </w:pPr>
            <w:r>
              <w:t>6</w:t>
            </w:r>
            <w:r w:rsidR="001E3ADD">
              <w:t> §</w:t>
            </w:r>
          </w:p>
          <w:p w14:paraId="60BF1450" w14:textId="1498BE4E" w:rsidR="00DC2BA4" w:rsidRPr="00CE6D63" w:rsidRDefault="001911E3" w:rsidP="001911E3">
            <w:pPr>
              <w:pStyle w:val="LagPararubrik"/>
            </w:pPr>
            <w:r>
              <w:t>Tillsynsplan</w:t>
            </w:r>
            <w:r w:rsidR="00DC2BA4" w:rsidRPr="00B85BD6">
              <w:t xml:space="preserve"> </w:t>
            </w:r>
          </w:p>
          <w:p w14:paraId="75857C14" w14:textId="77777777" w:rsidR="00DC2BA4" w:rsidRDefault="00DC2BA4" w:rsidP="00DC2BA4">
            <w:pPr>
              <w:pStyle w:val="ANormal"/>
            </w:pPr>
            <w:r w:rsidRPr="00CE6D63">
              <w:tab/>
            </w:r>
            <w:r w:rsidR="001911E3" w:rsidRPr="001911E3">
              <w:t>För tillsynen av produkter som omfattas av tillämpningsområdet för de lagar som nämns i 1</w:t>
            </w:r>
            <w:r w:rsidR="001E3ADD">
              <w:t> §</w:t>
            </w:r>
            <w:r w:rsidR="001911E3" w:rsidRPr="001911E3">
              <w:t xml:space="preserve"> ska tillsynsmyndigheten göra en tillsynsplan där bestämmelserna i artikel 13 i marknadskontrollförordningen ska beaktas.</w:t>
            </w:r>
          </w:p>
          <w:p w14:paraId="7233587D" w14:textId="20F31180" w:rsidR="001E3ADD" w:rsidRDefault="001E3ADD" w:rsidP="00DC2BA4">
            <w:pPr>
              <w:pStyle w:val="ANormal"/>
            </w:pPr>
          </w:p>
        </w:tc>
        <w:tc>
          <w:tcPr>
            <w:tcW w:w="146" w:type="pct"/>
          </w:tcPr>
          <w:p w14:paraId="36D6B184" w14:textId="77777777" w:rsidR="00DC2BA4" w:rsidRDefault="00DC2BA4" w:rsidP="00DC2BA4">
            <w:pPr>
              <w:pStyle w:val="ANormal"/>
            </w:pPr>
          </w:p>
        </w:tc>
        <w:tc>
          <w:tcPr>
            <w:tcW w:w="2427" w:type="pct"/>
          </w:tcPr>
          <w:p w14:paraId="19CEDE8C" w14:textId="77777777" w:rsidR="00DC2BA4" w:rsidRDefault="00DC2BA4" w:rsidP="00DC2BA4">
            <w:pPr>
              <w:pStyle w:val="ANormal"/>
            </w:pPr>
          </w:p>
          <w:p w14:paraId="303C4F9E" w14:textId="326FE00C" w:rsidR="00DC2BA4" w:rsidRDefault="00DC2BA4" w:rsidP="00DC2BA4">
            <w:pPr>
              <w:pStyle w:val="LagParagraf"/>
            </w:pPr>
            <w:r>
              <w:t>6</w:t>
            </w:r>
            <w:r w:rsidR="001E3ADD">
              <w:t> §</w:t>
            </w:r>
          </w:p>
          <w:p w14:paraId="3B3105F2" w14:textId="2D5568CB" w:rsidR="001911E3" w:rsidRPr="001911E3" w:rsidRDefault="001911E3" w:rsidP="001911E3">
            <w:pPr>
              <w:pStyle w:val="LagPararubrik"/>
            </w:pPr>
            <w:r>
              <w:t>Tillsynsplan</w:t>
            </w:r>
          </w:p>
          <w:p w14:paraId="244881C2" w14:textId="77777777" w:rsidR="00DC2BA4" w:rsidRDefault="00DC2BA4" w:rsidP="00DC2BA4">
            <w:pPr>
              <w:pStyle w:val="ANormal"/>
            </w:pPr>
            <w:r w:rsidRPr="00CE6D63">
              <w:tab/>
            </w:r>
            <w:r w:rsidR="001911E3" w:rsidRPr="00E4490B">
              <w:t>För tillsynen av produkter som omfattas av tillämpningsområdet för de lagar som nämns i 1</w:t>
            </w:r>
            <w:r w:rsidR="001E3ADD">
              <w:t> §</w:t>
            </w:r>
            <w:r w:rsidR="001911E3" w:rsidRPr="00E4490B">
              <w:t xml:space="preserve"> ska tillsynsmyndigheten göra en tillsynsplan där bestämmelserna i artikel 13 i marknadskontrollförordningen </w:t>
            </w:r>
            <w:r w:rsidR="001911E3" w:rsidRPr="001911E3">
              <w:rPr>
                <w:b/>
                <w:bCs/>
              </w:rPr>
              <w:t>och artikel 23 i Europaparlamentets och rådets förordning (EU) 2023/988 om allmän produktsäkerhet, ändring av Europaparlamentets och rådets förordning (EU) nr 1025/2012 och Europaparlamentets och rådets direktiv (EU) 2020/1828 och om upphävande av Europaparlamentets och rådets direktiv 2001/95/EG och rådets direktiv 87/357/EEG (</w:t>
            </w:r>
            <w:r w:rsidR="001911E3" w:rsidRPr="001911E3">
              <w:rPr>
                <w:b/>
                <w:bCs/>
                <w:i/>
                <w:iCs/>
              </w:rPr>
              <w:t>förordningen om allmän produktsäkerhet</w:t>
            </w:r>
            <w:r w:rsidR="001911E3" w:rsidRPr="001911E3">
              <w:rPr>
                <w:b/>
                <w:bCs/>
              </w:rPr>
              <w:t>)</w:t>
            </w:r>
            <w:r w:rsidR="001911E3" w:rsidRPr="00E4490B">
              <w:t xml:space="preserve"> ska beaktas.</w:t>
            </w:r>
          </w:p>
          <w:p w14:paraId="6564E367" w14:textId="6A1A140C" w:rsidR="002A3F75" w:rsidRDefault="002A3F75" w:rsidP="00DC2BA4">
            <w:pPr>
              <w:pStyle w:val="ANormal"/>
            </w:pPr>
          </w:p>
        </w:tc>
      </w:tr>
      <w:tr w:rsidR="002A3F75" w14:paraId="364C40AE" w14:textId="77777777" w:rsidTr="009B3A1A">
        <w:tc>
          <w:tcPr>
            <w:tcW w:w="2427" w:type="pct"/>
          </w:tcPr>
          <w:p w14:paraId="1DD2F2B7" w14:textId="77777777" w:rsidR="002A3F75" w:rsidRDefault="002A3F75" w:rsidP="00DC2BA4">
            <w:pPr>
              <w:pStyle w:val="ANormal"/>
            </w:pPr>
          </w:p>
          <w:p w14:paraId="25224A71" w14:textId="77777777" w:rsidR="006F0E5C" w:rsidRDefault="006F0E5C" w:rsidP="00DC2BA4">
            <w:pPr>
              <w:pStyle w:val="ANormal"/>
            </w:pPr>
          </w:p>
          <w:p w14:paraId="0EFCA17A" w14:textId="77777777" w:rsidR="006F0E5C" w:rsidRDefault="006F0E5C" w:rsidP="00DC2BA4">
            <w:pPr>
              <w:pStyle w:val="ANormal"/>
            </w:pPr>
          </w:p>
          <w:p w14:paraId="3746286A" w14:textId="2F8EA92B" w:rsidR="002A3F75" w:rsidRDefault="006903F9" w:rsidP="00DC2BA4">
            <w:pPr>
              <w:pStyle w:val="ANormal"/>
            </w:pPr>
            <w:r w:rsidRPr="00CE6D63">
              <w:tab/>
            </w:r>
            <w:r>
              <w:rPr>
                <w:i/>
                <w:iCs/>
              </w:rPr>
              <w:t>Ny paragraf</w:t>
            </w:r>
          </w:p>
        </w:tc>
        <w:tc>
          <w:tcPr>
            <w:tcW w:w="146" w:type="pct"/>
          </w:tcPr>
          <w:p w14:paraId="19894A92" w14:textId="77777777" w:rsidR="002A3F75" w:rsidRDefault="002A3F75" w:rsidP="00DC2BA4">
            <w:pPr>
              <w:pStyle w:val="ANormal"/>
            </w:pPr>
          </w:p>
        </w:tc>
        <w:tc>
          <w:tcPr>
            <w:tcW w:w="2427" w:type="pct"/>
          </w:tcPr>
          <w:p w14:paraId="24AE3666" w14:textId="77777777" w:rsidR="002A3F75" w:rsidRDefault="002A3F75" w:rsidP="002A3F75">
            <w:pPr>
              <w:pStyle w:val="ANormal"/>
            </w:pPr>
          </w:p>
          <w:p w14:paraId="674F33F1" w14:textId="40B61772" w:rsidR="002A3F75" w:rsidRPr="005E639D" w:rsidRDefault="002A3F75" w:rsidP="002A3F75">
            <w:pPr>
              <w:pStyle w:val="LagParagraf"/>
              <w:rPr>
                <w:b/>
                <w:bCs/>
              </w:rPr>
            </w:pPr>
            <w:r w:rsidRPr="005E639D">
              <w:rPr>
                <w:b/>
                <w:bCs/>
              </w:rPr>
              <w:t>6a §</w:t>
            </w:r>
          </w:p>
          <w:p w14:paraId="64889577" w14:textId="77777777" w:rsidR="002A3F75" w:rsidRPr="005E639D" w:rsidRDefault="002A3F75" w:rsidP="002A3F75">
            <w:pPr>
              <w:pStyle w:val="LagPararubrik"/>
              <w:rPr>
                <w:b/>
                <w:bCs/>
              </w:rPr>
            </w:pPr>
            <w:r w:rsidRPr="005E639D">
              <w:rPr>
                <w:b/>
                <w:bCs/>
              </w:rPr>
              <w:t>Samarbete och samordning</w:t>
            </w:r>
          </w:p>
          <w:p w14:paraId="66DAEC2A" w14:textId="77777777" w:rsidR="002A3F75" w:rsidRPr="005E639D" w:rsidRDefault="002A3F75" w:rsidP="002A3F75">
            <w:pPr>
              <w:pStyle w:val="ANormal"/>
              <w:rPr>
                <w:b/>
                <w:bCs/>
              </w:rPr>
            </w:pPr>
            <w:r w:rsidRPr="005E639D">
              <w:rPr>
                <w:b/>
                <w:bCs/>
              </w:rPr>
              <w:tab/>
              <w:t>Tillsynsmyndigheten ska samarbeta och vid behov samordna sitt arbete med andra tillsynsmyndigheter enligt denna lag, rikets berörda tillsynsmyndigheter och Finlands centrala samordningskontor enligt artikel 10.3 i marknadskontrollförordningen.</w:t>
            </w:r>
          </w:p>
          <w:p w14:paraId="77A303B6" w14:textId="77777777" w:rsidR="002A3F75" w:rsidRPr="005E639D" w:rsidRDefault="002A3F75" w:rsidP="002A3F75">
            <w:pPr>
              <w:pStyle w:val="ANormal"/>
              <w:rPr>
                <w:b/>
                <w:bCs/>
              </w:rPr>
            </w:pPr>
            <w:r w:rsidRPr="005E639D">
              <w:rPr>
                <w:b/>
                <w:bCs/>
              </w:rPr>
              <w:tab/>
              <w:t xml:space="preserve">Tillsynsmyndigheten ska bidra till utarbetandet av Finlands berörda </w:t>
            </w:r>
            <w:r w:rsidRPr="005E639D">
              <w:rPr>
                <w:b/>
                <w:bCs/>
              </w:rPr>
              <w:lastRenderedPageBreak/>
              <w:t>myndigheters samordnade ståndpunkt och nationella strategi för marknadskontroll vilka avses i artiklarna 10.4 och 13 i marknadskontrollförordningen.</w:t>
            </w:r>
          </w:p>
          <w:p w14:paraId="42FE7145" w14:textId="77777777" w:rsidR="002A3F75" w:rsidRDefault="002A3F75" w:rsidP="00DC2BA4">
            <w:pPr>
              <w:pStyle w:val="ANormal"/>
            </w:pPr>
          </w:p>
        </w:tc>
      </w:tr>
      <w:tr w:rsidR="00DC2BA4" w14:paraId="441350A9" w14:textId="77777777" w:rsidTr="009B3A1A">
        <w:tc>
          <w:tcPr>
            <w:tcW w:w="2427" w:type="pct"/>
          </w:tcPr>
          <w:p w14:paraId="784538E8" w14:textId="77777777" w:rsidR="00DC2BA4" w:rsidRDefault="00DC2BA4" w:rsidP="00DC2BA4">
            <w:pPr>
              <w:pStyle w:val="ANormal"/>
            </w:pPr>
          </w:p>
          <w:p w14:paraId="12A50C4D" w14:textId="1B814793" w:rsidR="00DC2BA4" w:rsidRDefault="00DC2BA4" w:rsidP="00DC2BA4">
            <w:pPr>
              <w:pStyle w:val="LagParagraf"/>
            </w:pPr>
            <w:r>
              <w:t>7</w:t>
            </w:r>
            <w:r w:rsidR="001E3ADD">
              <w:t> §</w:t>
            </w:r>
          </w:p>
          <w:p w14:paraId="353665AA" w14:textId="3AE03B88" w:rsidR="00DC2BA4" w:rsidRDefault="001648F8" w:rsidP="00DC2BA4">
            <w:pPr>
              <w:pStyle w:val="LagPararubrik"/>
            </w:pPr>
            <w:r w:rsidRPr="001648F8">
              <w:t>Tillsynsmyndighetens rätt att få information av ekonomiska aktörer</w:t>
            </w:r>
          </w:p>
          <w:p w14:paraId="73495785" w14:textId="66852C3C" w:rsidR="00DC2BA4" w:rsidRDefault="00DC2BA4" w:rsidP="00DC2BA4">
            <w:pPr>
              <w:pStyle w:val="ANormal"/>
            </w:pPr>
            <w:r w:rsidRPr="00CE6D63">
              <w:tab/>
            </w:r>
            <w:r w:rsidR="001648F8" w:rsidRPr="001648F8">
              <w:t>Tillsynsmyndigheten har rätt att av en ekonomisk aktör få sådan information som är nödvändig för tillsynen. Denna information kan omfatta de uppgifter som avses i artikel 14.4 a och b i marknadskontrollförordningen.</w:t>
            </w:r>
          </w:p>
          <w:p w14:paraId="70365744" w14:textId="77777777" w:rsidR="001E3ADD" w:rsidRDefault="001E3ADD" w:rsidP="00DC2BA4">
            <w:pPr>
              <w:pStyle w:val="ANormal"/>
            </w:pPr>
          </w:p>
          <w:p w14:paraId="04794247" w14:textId="77777777" w:rsidR="001E3ADD" w:rsidRPr="00DC2BA4" w:rsidRDefault="001E3ADD" w:rsidP="00DC2BA4">
            <w:pPr>
              <w:pStyle w:val="ANormal"/>
            </w:pPr>
          </w:p>
          <w:p w14:paraId="30BB121E" w14:textId="77777777" w:rsidR="001E3ADD" w:rsidRDefault="00DC2BA4" w:rsidP="00DC2BA4">
            <w:pPr>
              <w:pStyle w:val="ANormal"/>
            </w:pPr>
            <w:r w:rsidRPr="00B85BD6">
              <w:t>- - - - - - - - - - - - - - - - - - - - - - - - - - - - - -</w:t>
            </w:r>
          </w:p>
          <w:p w14:paraId="74CFDAFC" w14:textId="13B2E1FE" w:rsidR="00DC2BA4" w:rsidRDefault="00DC2BA4" w:rsidP="00DC2BA4">
            <w:pPr>
              <w:pStyle w:val="ANormal"/>
            </w:pPr>
          </w:p>
        </w:tc>
        <w:tc>
          <w:tcPr>
            <w:tcW w:w="146" w:type="pct"/>
          </w:tcPr>
          <w:p w14:paraId="6510F42C" w14:textId="77777777" w:rsidR="00DC2BA4" w:rsidRDefault="00DC2BA4" w:rsidP="00DC2BA4">
            <w:pPr>
              <w:pStyle w:val="ANormal"/>
            </w:pPr>
          </w:p>
        </w:tc>
        <w:tc>
          <w:tcPr>
            <w:tcW w:w="2427" w:type="pct"/>
          </w:tcPr>
          <w:p w14:paraId="21BE681E" w14:textId="77777777" w:rsidR="00DC2BA4" w:rsidRDefault="00DC2BA4" w:rsidP="00DC2BA4">
            <w:pPr>
              <w:pStyle w:val="ANormal"/>
            </w:pPr>
          </w:p>
          <w:p w14:paraId="20AD0C6F" w14:textId="24C372D7" w:rsidR="00DC2BA4" w:rsidRDefault="00DC2BA4" w:rsidP="00DC2BA4">
            <w:pPr>
              <w:pStyle w:val="LagParagraf"/>
            </w:pPr>
            <w:r>
              <w:t>7</w:t>
            </w:r>
            <w:r w:rsidR="001E3ADD">
              <w:t> §</w:t>
            </w:r>
          </w:p>
          <w:p w14:paraId="05F8B175" w14:textId="065488F3" w:rsidR="00DC2BA4" w:rsidRDefault="001648F8" w:rsidP="00DC2BA4">
            <w:pPr>
              <w:pStyle w:val="LagPararubrik"/>
            </w:pPr>
            <w:r w:rsidRPr="001648F8">
              <w:t>Tillsynsmyndighetens rätt att få information av ekonomiska aktörer</w:t>
            </w:r>
          </w:p>
          <w:p w14:paraId="4BC8D7E4" w14:textId="2F1A0E17" w:rsidR="00DC2BA4" w:rsidRPr="00DC2BA4" w:rsidRDefault="00DC2BA4" w:rsidP="00DC2BA4">
            <w:pPr>
              <w:pStyle w:val="ANormal"/>
            </w:pPr>
            <w:r w:rsidRPr="00CE6D63">
              <w:tab/>
            </w:r>
            <w:r w:rsidR="001648F8" w:rsidRPr="00E4490B">
              <w:t xml:space="preserve">Tillsynsmyndigheten har </w:t>
            </w:r>
            <w:r w:rsidR="001648F8" w:rsidRPr="001648F8">
              <w:rPr>
                <w:b/>
                <w:bCs/>
              </w:rPr>
              <w:t>trots sekretessbestämmelser och andra begränsningar vilka gäller erhållande av uppgifter</w:t>
            </w:r>
            <w:r w:rsidR="001648F8" w:rsidRPr="00E4490B">
              <w:t xml:space="preserve"> rätt att av en ekonomisk aktör få sådan information som är nödvändig för tillsynen. Denna information kan omfatta de uppgifter som avses i artikel 14.4 a och b i marknadskontrollförordningen.</w:t>
            </w:r>
          </w:p>
          <w:p w14:paraId="6BF0F95C" w14:textId="77777777" w:rsidR="001E3ADD" w:rsidRDefault="00DC2BA4" w:rsidP="00DC2BA4">
            <w:pPr>
              <w:pStyle w:val="ANormal"/>
            </w:pPr>
            <w:r w:rsidRPr="00B85BD6">
              <w:t>- - - - - - - - - - - - - - - - - - - - - - - - - - - - - -</w:t>
            </w:r>
          </w:p>
          <w:p w14:paraId="56743B49" w14:textId="169B2F44" w:rsidR="00DC2BA4" w:rsidRDefault="00DC2BA4" w:rsidP="00DC2BA4">
            <w:pPr>
              <w:pStyle w:val="ANormal"/>
            </w:pPr>
          </w:p>
        </w:tc>
      </w:tr>
      <w:tr w:rsidR="00DC2BA4" w14:paraId="60A30631" w14:textId="77777777" w:rsidTr="009B3A1A">
        <w:tc>
          <w:tcPr>
            <w:tcW w:w="2427" w:type="pct"/>
          </w:tcPr>
          <w:p w14:paraId="3E0637CE" w14:textId="77777777" w:rsidR="00DC2BA4" w:rsidRDefault="00DC2BA4" w:rsidP="00DC2BA4">
            <w:pPr>
              <w:pStyle w:val="ANormal"/>
            </w:pPr>
          </w:p>
          <w:p w14:paraId="4902EEF6" w14:textId="5CA17F0A" w:rsidR="00DC2BA4" w:rsidRDefault="00DC2BA4" w:rsidP="001648F8">
            <w:pPr>
              <w:pStyle w:val="LagParagraf"/>
            </w:pPr>
            <w:r>
              <w:t>18</w:t>
            </w:r>
            <w:r w:rsidR="001E3ADD">
              <w:t> §</w:t>
            </w:r>
          </w:p>
          <w:p w14:paraId="102FD95A" w14:textId="15445970" w:rsidR="001648F8" w:rsidRPr="001648F8" w:rsidRDefault="00785FC2" w:rsidP="001648F8">
            <w:pPr>
              <w:pStyle w:val="LagPararubrik"/>
            </w:pPr>
            <w:r>
              <w:t>Återkallelse</w:t>
            </w:r>
          </w:p>
          <w:p w14:paraId="7A977356" w14:textId="6A663AD3" w:rsidR="001648F8" w:rsidRDefault="00DC2BA4" w:rsidP="001648F8">
            <w:pPr>
              <w:pStyle w:val="ANormal"/>
            </w:pPr>
            <w:r w:rsidRPr="00CE6D63">
              <w:tab/>
            </w:r>
            <w:r w:rsidR="001648F8">
              <w:t>Tillsynsmyndigheten kan förelägga en ekonomisk aktör att från marknaden och av slutanvändaren återta en produkt som medför risk för människors hälsa, säkerhet och egendom samt miljön eller för andra allmänna intressen som avses i de lagar som nämns i 1</w:t>
            </w:r>
            <w:r w:rsidR="001E3ADD">
              <w:t> §</w:t>
            </w:r>
            <w:r w:rsidR="001648F8">
              <w:t xml:space="preserve"> </w:t>
            </w:r>
            <w:r w:rsidR="001648F8" w:rsidRPr="006D1513">
              <w:rPr>
                <w:b/>
                <w:bCs/>
              </w:rPr>
              <w:t>och i stället överlämna en motsvarande eller liknande produkt som överensstämmer med kraven eller att häva köpet</w:t>
            </w:r>
            <w:r w:rsidR="001648F8">
              <w:t xml:space="preserve"> om ett sådant föreläggande som avses i 16</w:t>
            </w:r>
            <w:r w:rsidR="001E3ADD">
              <w:t> §</w:t>
            </w:r>
            <w:r w:rsidR="001648F8">
              <w:t xml:space="preserve"> eller ett sådant förbud eller föreläggande som avses i 17</w:t>
            </w:r>
            <w:r w:rsidR="001E3ADD">
              <w:t> §</w:t>
            </w:r>
            <w:r w:rsidR="001648F8">
              <w:t xml:space="preserve"> inte är tillräckligt.</w:t>
            </w:r>
          </w:p>
          <w:p w14:paraId="29A8A1EC" w14:textId="0DE58642" w:rsidR="001648F8" w:rsidRDefault="001648F8" w:rsidP="001648F8">
            <w:pPr>
              <w:pStyle w:val="ANormal"/>
            </w:pPr>
            <w:r w:rsidRPr="00CE6D63">
              <w:tab/>
            </w:r>
            <w:r>
              <w:t>Om ett föreläggande enligt 16</w:t>
            </w:r>
            <w:r w:rsidR="001E3ADD">
              <w:t> §</w:t>
            </w:r>
            <w:r>
              <w:t xml:space="preserve"> eller ett förbud enligt 17</w:t>
            </w:r>
            <w:r w:rsidR="001E3ADD">
              <w:t> §</w:t>
            </w:r>
            <w:r>
              <w:t xml:space="preserve"> inte är tillräckligt och den bristande överensstämmelsen fortsätter trots föreläggandet eller förbudet kan ett föreläggande enligt 1</w:t>
            </w:r>
            <w:r w:rsidR="001E3ADD">
              <w:t> mom.</w:t>
            </w:r>
            <w:r>
              <w:t xml:space="preserve"> meddelas också om dokumentationen och informationen om produkten inte överensstämmer med kraven eller inte på begäran lämnas till tillsynsmyndigheten och bristerna är allvarliga.</w:t>
            </w:r>
          </w:p>
          <w:p w14:paraId="3DF7CCA8" w14:textId="77777777" w:rsidR="00DC2BA4" w:rsidRDefault="001648F8" w:rsidP="001648F8">
            <w:pPr>
              <w:pStyle w:val="ANormal"/>
              <w:rPr>
                <w:b/>
                <w:bCs/>
              </w:rPr>
            </w:pPr>
            <w:r w:rsidRPr="00CE6D63">
              <w:tab/>
            </w:r>
            <w:r w:rsidRPr="001E3ADD">
              <w:rPr>
                <w:b/>
                <w:bCs/>
              </w:rPr>
              <w:t>Om det anses tillräckligt för att avvärja en risk som föranleds av en produkt som avses i 1</w:t>
            </w:r>
            <w:r w:rsidR="001E3ADD" w:rsidRPr="001E3ADD">
              <w:rPr>
                <w:b/>
                <w:bCs/>
              </w:rPr>
              <w:t> mom.</w:t>
            </w:r>
            <w:r w:rsidRPr="001E3ADD">
              <w:rPr>
                <w:b/>
                <w:bCs/>
              </w:rPr>
              <w:t>, kan tillsynsmyndigheten i stället för att återta en produkt som finns hos slutanvändaren förelägga den ekonomiska aktören att reparera eller låta reparera produkten så att den risk som föranleds av ett fel eller en brist i produktens konstruktion eller sammansättning eller av att osanna, vilseledande eller bristfälliga uppgifter lämnats om produkten avvärjs.</w:t>
            </w:r>
          </w:p>
          <w:p w14:paraId="43DF7F05" w14:textId="2237EEF5" w:rsidR="001E3ADD" w:rsidRPr="001E3ADD" w:rsidRDefault="001E3ADD" w:rsidP="001648F8">
            <w:pPr>
              <w:pStyle w:val="ANormal"/>
            </w:pPr>
          </w:p>
        </w:tc>
        <w:tc>
          <w:tcPr>
            <w:tcW w:w="146" w:type="pct"/>
          </w:tcPr>
          <w:p w14:paraId="7018C964" w14:textId="77777777" w:rsidR="00DC2BA4" w:rsidRDefault="00DC2BA4" w:rsidP="00DC2BA4">
            <w:pPr>
              <w:pStyle w:val="ANormal"/>
            </w:pPr>
          </w:p>
        </w:tc>
        <w:tc>
          <w:tcPr>
            <w:tcW w:w="2427" w:type="pct"/>
          </w:tcPr>
          <w:p w14:paraId="6B57072D" w14:textId="77777777" w:rsidR="00DC2BA4" w:rsidRDefault="00DC2BA4" w:rsidP="00DC2BA4">
            <w:pPr>
              <w:pStyle w:val="ANormal"/>
            </w:pPr>
          </w:p>
          <w:p w14:paraId="04BB3001" w14:textId="05BA2CAE" w:rsidR="00DC2BA4" w:rsidRDefault="00DC2BA4" w:rsidP="00DC2BA4">
            <w:pPr>
              <w:pStyle w:val="LagParagraf"/>
            </w:pPr>
            <w:r>
              <w:t>18</w:t>
            </w:r>
            <w:r w:rsidR="001E3ADD">
              <w:t> §</w:t>
            </w:r>
          </w:p>
          <w:p w14:paraId="777B1695" w14:textId="26D7CB6B" w:rsidR="00785FC2" w:rsidRPr="00223141" w:rsidRDefault="00785FC2" w:rsidP="00785FC2">
            <w:pPr>
              <w:pStyle w:val="LagPararubrik"/>
              <w:rPr>
                <w:b/>
                <w:bCs/>
              </w:rPr>
            </w:pPr>
            <w:r w:rsidRPr="00223141">
              <w:rPr>
                <w:b/>
                <w:bCs/>
              </w:rPr>
              <w:t>Föreläggande om återkallelse</w:t>
            </w:r>
          </w:p>
          <w:p w14:paraId="4FD79F9A" w14:textId="1B1E5C6B" w:rsidR="001648F8" w:rsidRPr="009A5F3F" w:rsidRDefault="00DC2BA4" w:rsidP="001648F8">
            <w:pPr>
              <w:pStyle w:val="ANormal"/>
            </w:pPr>
            <w:r w:rsidRPr="009A5F3F">
              <w:tab/>
            </w:r>
            <w:r w:rsidR="001648F8" w:rsidRPr="009A5F3F">
              <w:t>Tillsynsmyndigheten kan förelägga en ekonomisk aktör att från marknaden och av slutanvändaren återta en produkt som medför risk för människors hälsa, säkerhet och egendom samt miljön eller för andra allmänna intressen som avses i de lagar som nämns i 1</w:t>
            </w:r>
            <w:r w:rsidR="001E3ADD" w:rsidRPr="009A5F3F">
              <w:t> §</w:t>
            </w:r>
            <w:r w:rsidR="001648F8" w:rsidRPr="009A5F3F">
              <w:t xml:space="preserve"> om ett sådant föreläggande som avses i 16</w:t>
            </w:r>
            <w:r w:rsidR="001E3ADD" w:rsidRPr="009A5F3F">
              <w:t> §</w:t>
            </w:r>
            <w:r w:rsidR="001648F8" w:rsidRPr="009A5F3F">
              <w:t xml:space="preserve"> eller ett sådant förbud eller föreläggande som avses i 17</w:t>
            </w:r>
            <w:r w:rsidR="001E3ADD" w:rsidRPr="009A5F3F">
              <w:t> §</w:t>
            </w:r>
            <w:r w:rsidR="001648F8" w:rsidRPr="009A5F3F">
              <w:t xml:space="preserve"> inte är tillräckligt.</w:t>
            </w:r>
          </w:p>
          <w:p w14:paraId="1BE3556A" w14:textId="77777777" w:rsidR="00A16FD1" w:rsidRPr="009A5F3F" w:rsidRDefault="00A16FD1" w:rsidP="001648F8">
            <w:pPr>
              <w:pStyle w:val="ANormal"/>
            </w:pPr>
          </w:p>
          <w:p w14:paraId="5D74FF3A" w14:textId="77777777" w:rsidR="00A16FD1" w:rsidRPr="009A5F3F" w:rsidRDefault="00A16FD1" w:rsidP="001648F8">
            <w:pPr>
              <w:pStyle w:val="ANormal"/>
            </w:pPr>
          </w:p>
          <w:p w14:paraId="2B3E6009" w14:textId="77777777" w:rsidR="00A16FD1" w:rsidRPr="009A5F3F" w:rsidRDefault="00A16FD1" w:rsidP="001648F8">
            <w:pPr>
              <w:pStyle w:val="ANormal"/>
            </w:pPr>
          </w:p>
          <w:p w14:paraId="3D47440C" w14:textId="102BD54B" w:rsidR="00F949FE" w:rsidRPr="009A5F3F" w:rsidRDefault="001648F8" w:rsidP="001648F8">
            <w:pPr>
              <w:pStyle w:val="ANormal"/>
            </w:pPr>
            <w:r w:rsidRPr="009A5F3F">
              <w:tab/>
              <w:t>Om ett föreläggande enligt 16</w:t>
            </w:r>
            <w:r w:rsidR="001E3ADD" w:rsidRPr="009A5F3F">
              <w:t> §</w:t>
            </w:r>
            <w:r w:rsidRPr="009A5F3F">
              <w:t xml:space="preserve"> eller ett förbud eller föreläggande enligt 17</w:t>
            </w:r>
            <w:r w:rsidR="001E3ADD" w:rsidRPr="009A5F3F">
              <w:t> §</w:t>
            </w:r>
            <w:r w:rsidRPr="009A5F3F">
              <w:t xml:space="preserve"> inte är tillräckligt och den bristande överensstämmelsen fortsätter trots föreläggandet eller förbudet kan ett föreläggande enligt 1</w:t>
            </w:r>
            <w:r w:rsidR="001E3ADD" w:rsidRPr="009A5F3F">
              <w:t> mom.</w:t>
            </w:r>
            <w:r w:rsidRPr="009A5F3F">
              <w:t xml:space="preserve"> meddelas också om dokumentationen och informationen om produkten inte överensstämmer med kraven eller inte på begäran ges in till </w:t>
            </w:r>
            <w:r w:rsidR="00785FC2" w:rsidRPr="009A5F3F">
              <w:t>tillsyns</w:t>
            </w:r>
            <w:r w:rsidRPr="009A5F3F">
              <w:t>myndigheten och bristerna är allvarliga.</w:t>
            </w:r>
          </w:p>
          <w:p w14:paraId="01F2F4B9" w14:textId="4CF28DC1" w:rsidR="00DC2BA4" w:rsidRDefault="00DC2BA4" w:rsidP="00223141">
            <w:pPr>
              <w:pStyle w:val="ANormal"/>
            </w:pPr>
          </w:p>
        </w:tc>
      </w:tr>
      <w:tr w:rsidR="00DC2BA4" w14:paraId="6DA575D4" w14:textId="77777777" w:rsidTr="009B3A1A">
        <w:tc>
          <w:tcPr>
            <w:tcW w:w="2427" w:type="pct"/>
          </w:tcPr>
          <w:p w14:paraId="0B5FCC53" w14:textId="77777777" w:rsidR="002E01F2" w:rsidRDefault="002E01F2" w:rsidP="002E01F2">
            <w:pPr>
              <w:pStyle w:val="ANormal"/>
            </w:pPr>
          </w:p>
          <w:p w14:paraId="5CE02161" w14:textId="77777777" w:rsidR="006F0E5C" w:rsidRDefault="006F0E5C" w:rsidP="002E01F2">
            <w:pPr>
              <w:pStyle w:val="ANormal"/>
            </w:pPr>
          </w:p>
          <w:p w14:paraId="0C5E5F27" w14:textId="77777777" w:rsidR="006F0E5C" w:rsidRDefault="006F0E5C" w:rsidP="002E01F2">
            <w:pPr>
              <w:pStyle w:val="ANormal"/>
            </w:pPr>
          </w:p>
          <w:p w14:paraId="2DC390BC" w14:textId="1D6D7CED" w:rsidR="00DC2BA4" w:rsidRDefault="002E01F2" w:rsidP="002E01F2">
            <w:pPr>
              <w:pStyle w:val="ANormal"/>
            </w:pPr>
            <w:r w:rsidRPr="00CE6D63">
              <w:tab/>
            </w:r>
            <w:r>
              <w:rPr>
                <w:i/>
                <w:iCs/>
              </w:rPr>
              <w:t>Ny paragraf</w:t>
            </w:r>
          </w:p>
          <w:p w14:paraId="374CFBB3" w14:textId="3ED957E9" w:rsidR="00144CE8" w:rsidRPr="00E20C9E" w:rsidRDefault="00144CE8" w:rsidP="002E01F2">
            <w:pPr>
              <w:pStyle w:val="ANormal"/>
            </w:pPr>
          </w:p>
        </w:tc>
        <w:tc>
          <w:tcPr>
            <w:tcW w:w="146" w:type="pct"/>
          </w:tcPr>
          <w:p w14:paraId="1F60C6F7" w14:textId="77777777" w:rsidR="00DC2BA4" w:rsidRDefault="00DC2BA4" w:rsidP="00560B34">
            <w:pPr>
              <w:pStyle w:val="ANormal"/>
            </w:pPr>
          </w:p>
        </w:tc>
        <w:tc>
          <w:tcPr>
            <w:tcW w:w="2427" w:type="pct"/>
          </w:tcPr>
          <w:p w14:paraId="5EBDA967" w14:textId="77777777" w:rsidR="00DC2BA4" w:rsidRDefault="00DC2BA4" w:rsidP="00560B34">
            <w:pPr>
              <w:pStyle w:val="ANormal"/>
            </w:pPr>
          </w:p>
          <w:p w14:paraId="2D18ACAF" w14:textId="230F5AFE" w:rsidR="00DC2BA4" w:rsidRPr="00144CE8" w:rsidRDefault="00DC2BA4" w:rsidP="00560B34">
            <w:pPr>
              <w:pStyle w:val="LagParagraf"/>
              <w:rPr>
                <w:b/>
                <w:bCs/>
              </w:rPr>
            </w:pPr>
            <w:r w:rsidRPr="00144CE8">
              <w:rPr>
                <w:b/>
                <w:bCs/>
              </w:rPr>
              <w:t>18a</w:t>
            </w:r>
            <w:r w:rsidR="001E3ADD" w:rsidRPr="00144CE8">
              <w:rPr>
                <w:b/>
                <w:bCs/>
              </w:rPr>
              <w:t> §</w:t>
            </w:r>
          </w:p>
          <w:p w14:paraId="26A58E5E" w14:textId="057C0DD1" w:rsidR="00DC2BA4" w:rsidRPr="00144CE8" w:rsidRDefault="002E01F2" w:rsidP="002E01F2">
            <w:pPr>
              <w:pStyle w:val="LagPararubrik"/>
              <w:rPr>
                <w:b/>
                <w:bCs/>
              </w:rPr>
            </w:pPr>
            <w:r w:rsidRPr="00144CE8">
              <w:rPr>
                <w:b/>
                <w:bCs/>
              </w:rPr>
              <w:t>Återkallelse av konsumentprodukter</w:t>
            </w:r>
          </w:p>
          <w:p w14:paraId="61EF163A" w14:textId="77777777" w:rsidR="00DC2BA4" w:rsidRDefault="00DC2BA4" w:rsidP="00560B34">
            <w:pPr>
              <w:pStyle w:val="ANormal"/>
              <w:rPr>
                <w:b/>
                <w:bCs/>
              </w:rPr>
            </w:pPr>
            <w:r w:rsidRPr="00CE6D63">
              <w:tab/>
            </w:r>
            <w:r w:rsidR="002E01F2" w:rsidRPr="00D52000">
              <w:rPr>
                <w:b/>
                <w:bCs/>
              </w:rPr>
              <w:t>Bestämmelser om förfarandet vid återkallelse av konsumentprodukter återfinns i artikel 36 och artikel 37 i förordningen om allmän produktsäkerhet.</w:t>
            </w:r>
          </w:p>
          <w:p w14:paraId="72EF9EA1" w14:textId="4168E232" w:rsidR="00144CE8" w:rsidRPr="00144CE8" w:rsidRDefault="00144CE8" w:rsidP="00560B34">
            <w:pPr>
              <w:pStyle w:val="ANormal"/>
            </w:pPr>
          </w:p>
        </w:tc>
      </w:tr>
      <w:tr w:rsidR="00DC2BA4" w14:paraId="672ED436" w14:textId="77777777" w:rsidTr="009B3A1A">
        <w:tc>
          <w:tcPr>
            <w:tcW w:w="2427" w:type="pct"/>
          </w:tcPr>
          <w:p w14:paraId="3F473623" w14:textId="77777777" w:rsidR="00DC2BA4" w:rsidRDefault="00DC2BA4" w:rsidP="00560B34">
            <w:pPr>
              <w:pStyle w:val="ANormal"/>
            </w:pPr>
          </w:p>
          <w:p w14:paraId="14CA6BDB" w14:textId="77777777" w:rsidR="00E20C9E" w:rsidRPr="00E20C9E" w:rsidRDefault="00E20C9E" w:rsidP="00E20C9E">
            <w:pPr>
              <w:pStyle w:val="ANormal"/>
            </w:pPr>
          </w:p>
          <w:p w14:paraId="72A05A0E" w14:textId="77777777" w:rsidR="006F0E5C" w:rsidRDefault="006F0E5C" w:rsidP="002E01F2">
            <w:pPr>
              <w:pStyle w:val="ANormal"/>
            </w:pPr>
          </w:p>
          <w:p w14:paraId="318F3680" w14:textId="77777777" w:rsidR="006F0E5C" w:rsidRDefault="006F0E5C" w:rsidP="002E01F2">
            <w:pPr>
              <w:pStyle w:val="ANormal"/>
            </w:pPr>
          </w:p>
          <w:p w14:paraId="580079BA" w14:textId="0CABB018" w:rsidR="00DC2BA4" w:rsidRDefault="00DC2BA4" w:rsidP="002E01F2">
            <w:pPr>
              <w:pStyle w:val="ANormal"/>
            </w:pPr>
            <w:r w:rsidRPr="00CE6D63">
              <w:tab/>
            </w:r>
            <w:r w:rsidR="002E01F2">
              <w:rPr>
                <w:i/>
                <w:iCs/>
              </w:rPr>
              <w:t>Ny paragraf</w:t>
            </w:r>
          </w:p>
          <w:p w14:paraId="574EB2A4" w14:textId="1C0432E0" w:rsidR="00144CE8" w:rsidRPr="00E20C9E" w:rsidRDefault="00144CE8" w:rsidP="002E01F2">
            <w:pPr>
              <w:pStyle w:val="ANormal"/>
            </w:pPr>
          </w:p>
        </w:tc>
        <w:tc>
          <w:tcPr>
            <w:tcW w:w="146" w:type="pct"/>
          </w:tcPr>
          <w:p w14:paraId="012818EB" w14:textId="77777777" w:rsidR="00DC2BA4" w:rsidRDefault="00DC2BA4" w:rsidP="00560B34">
            <w:pPr>
              <w:pStyle w:val="ANormal"/>
            </w:pPr>
          </w:p>
        </w:tc>
        <w:tc>
          <w:tcPr>
            <w:tcW w:w="2427" w:type="pct"/>
          </w:tcPr>
          <w:p w14:paraId="7A50B2F4" w14:textId="77777777" w:rsidR="00DC2BA4" w:rsidRPr="00144CE8" w:rsidRDefault="00DC2BA4" w:rsidP="00560B34">
            <w:pPr>
              <w:pStyle w:val="ANormal"/>
            </w:pPr>
          </w:p>
          <w:p w14:paraId="04EE34B4" w14:textId="0A2E3FDB" w:rsidR="00DC2BA4" w:rsidRPr="00D52000" w:rsidRDefault="00DC2BA4" w:rsidP="00560B34">
            <w:pPr>
              <w:pStyle w:val="LagParagraf"/>
              <w:rPr>
                <w:b/>
                <w:bCs/>
              </w:rPr>
            </w:pPr>
            <w:r w:rsidRPr="00D52000">
              <w:rPr>
                <w:b/>
                <w:bCs/>
              </w:rPr>
              <w:t>18b</w:t>
            </w:r>
            <w:r w:rsidR="001E3ADD">
              <w:rPr>
                <w:b/>
                <w:bCs/>
              </w:rPr>
              <w:t> §</w:t>
            </w:r>
          </w:p>
          <w:p w14:paraId="4168985C" w14:textId="2C34A1A3" w:rsidR="00DC2BA4" w:rsidRPr="00D52000" w:rsidRDefault="002E01F2" w:rsidP="002E01F2">
            <w:pPr>
              <w:pStyle w:val="LagPararubrik"/>
              <w:rPr>
                <w:b/>
                <w:bCs/>
              </w:rPr>
            </w:pPr>
            <w:r w:rsidRPr="00D52000">
              <w:rPr>
                <w:b/>
                <w:bCs/>
              </w:rPr>
              <w:t>Återkallelse av andra produkter än konsumentprodukter</w:t>
            </w:r>
          </w:p>
          <w:p w14:paraId="6AF8C3F3" w14:textId="5DBB0EE0" w:rsidR="002E01F2" w:rsidRPr="00D52000" w:rsidRDefault="00DC2BA4" w:rsidP="002E01F2">
            <w:pPr>
              <w:pStyle w:val="ANormal"/>
              <w:rPr>
                <w:b/>
                <w:bCs/>
              </w:rPr>
            </w:pPr>
            <w:r w:rsidRPr="00D52000">
              <w:rPr>
                <w:b/>
                <w:bCs/>
              </w:rPr>
              <w:tab/>
            </w:r>
            <w:r w:rsidR="002E01F2" w:rsidRPr="00D52000">
              <w:rPr>
                <w:b/>
                <w:bCs/>
              </w:rPr>
              <w:t>Tillsynsmyndigheten kan vid återkallelse av en annan produkt än en konsumentprodukt med anledning av ett sådant föreläggande som avses i 18</w:t>
            </w:r>
            <w:r w:rsidR="001E3ADD">
              <w:rPr>
                <w:b/>
                <w:bCs/>
              </w:rPr>
              <w:t> §</w:t>
            </w:r>
            <w:r w:rsidR="002E01F2" w:rsidRPr="00D52000">
              <w:rPr>
                <w:b/>
                <w:bCs/>
              </w:rPr>
              <w:t xml:space="preserve"> förelägga den ekonomiska aktören att dra tillbaka produkten från marknaden och återta produkten från slutanvändaren och i stället överlämna en motsvarande eller liknande produkt som överensstämmer med kraven eller häva köpet. </w:t>
            </w:r>
          </w:p>
          <w:p w14:paraId="1B3CDB7D" w14:textId="77777777" w:rsidR="00DC2BA4" w:rsidRDefault="002E01F2" w:rsidP="00560B34">
            <w:pPr>
              <w:pStyle w:val="ANormal"/>
              <w:rPr>
                <w:b/>
                <w:bCs/>
              </w:rPr>
            </w:pPr>
            <w:r w:rsidRPr="00D52000">
              <w:rPr>
                <w:b/>
                <w:bCs/>
              </w:rPr>
              <w:tab/>
              <w:t>Om det anses tillräckligt för att avvärja en risk som avses i 18</w:t>
            </w:r>
            <w:r w:rsidR="001E3ADD">
              <w:rPr>
                <w:b/>
                <w:bCs/>
              </w:rPr>
              <w:t> §</w:t>
            </w:r>
            <w:r w:rsidRPr="00D52000">
              <w:rPr>
                <w:b/>
                <w:bCs/>
              </w:rPr>
              <w:t xml:space="preserve"> 1</w:t>
            </w:r>
            <w:r w:rsidR="001E3ADD">
              <w:rPr>
                <w:b/>
                <w:bCs/>
              </w:rPr>
              <w:t> mom.</w:t>
            </w:r>
            <w:r w:rsidRPr="00D52000">
              <w:rPr>
                <w:b/>
                <w:bCs/>
              </w:rPr>
              <w:t xml:space="preserve"> kan tillsynsmyndigheten i stället för att återta en produkt som finns hos slutanvändaren förelägga den ekonomiska aktören att reparera eller låta reparera produkten så att den risk som föranleds av ett fel eller en brist i produktens konstruktion eller sammansättning eller av att osanna, vilseledande eller bristfälliga uppgifter lämnats om produkten avvärjs.</w:t>
            </w:r>
          </w:p>
          <w:p w14:paraId="63058E3E" w14:textId="3ED50F83" w:rsidR="00144CE8" w:rsidRPr="00144CE8" w:rsidRDefault="00144CE8" w:rsidP="00560B34">
            <w:pPr>
              <w:pStyle w:val="ANormal"/>
            </w:pPr>
          </w:p>
        </w:tc>
      </w:tr>
      <w:tr w:rsidR="00DC2BA4" w14:paraId="5897382F" w14:textId="77777777" w:rsidTr="009B3A1A">
        <w:tc>
          <w:tcPr>
            <w:tcW w:w="2427" w:type="pct"/>
          </w:tcPr>
          <w:p w14:paraId="47B58110" w14:textId="77777777" w:rsidR="00DC2BA4" w:rsidRDefault="00DC2BA4" w:rsidP="00560B34">
            <w:pPr>
              <w:pStyle w:val="ANormal"/>
            </w:pPr>
          </w:p>
          <w:p w14:paraId="19250FFE" w14:textId="5FBC6D8C" w:rsidR="00DC2BA4" w:rsidRDefault="00DC2BA4" w:rsidP="00560B34">
            <w:pPr>
              <w:pStyle w:val="LagParagraf"/>
            </w:pPr>
            <w:r>
              <w:t>21a</w:t>
            </w:r>
            <w:r w:rsidR="001E3ADD">
              <w:t> §</w:t>
            </w:r>
          </w:p>
          <w:p w14:paraId="3DE33A32" w14:textId="512F175B" w:rsidR="00DC2BA4" w:rsidRDefault="00144CE8" w:rsidP="00560B34">
            <w:pPr>
              <w:pStyle w:val="LagPararubrik"/>
            </w:pPr>
            <w:r w:rsidRPr="00144CE8">
              <w:t>Befogenheter i samband med onlinegränssnitt och domännamn</w:t>
            </w:r>
          </w:p>
          <w:p w14:paraId="2DB6DF0B" w14:textId="77777777" w:rsidR="00E20C9E" w:rsidRDefault="00E20C9E" w:rsidP="00E20C9E">
            <w:pPr>
              <w:pStyle w:val="ANormal"/>
            </w:pPr>
            <w:r w:rsidRPr="00B85BD6">
              <w:t>- - - - - - - - - - - - - - - - - - - - - - - - - - - - - -</w:t>
            </w:r>
          </w:p>
          <w:p w14:paraId="24C9E9B7" w14:textId="77777777" w:rsidR="00DC2BA4" w:rsidRDefault="00E20C9E" w:rsidP="00E20C9E">
            <w:pPr>
              <w:pStyle w:val="ANormal"/>
              <w:rPr>
                <w:i/>
                <w:iCs/>
              </w:rPr>
            </w:pPr>
            <w:r w:rsidRPr="00CE6D63">
              <w:tab/>
            </w:r>
            <w:r>
              <w:rPr>
                <w:i/>
                <w:iCs/>
              </w:rPr>
              <w:t>Nytt moment</w:t>
            </w:r>
          </w:p>
          <w:p w14:paraId="168D5099" w14:textId="1FABC9E6" w:rsidR="00AE6ED6" w:rsidRPr="00AE6ED6" w:rsidRDefault="00AE6ED6" w:rsidP="00E20C9E">
            <w:pPr>
              <w:pStyle w:val="ANormal"/>
            </w:pPr>
          </w:p>
        </w:tc>
        <w:tc>
          <w:tcPr>
            <w:tcW w:w="146" w:type="pct"/>
          </w:tcPr>
          <w:p w14:paraId="4659B6AD" w14:textId="77777777" w:rsidR="00DC2BA4" w:rsidRDefault="00DC2BA4" w:rsidP="00560B34">
            <w:pPr>
              <w:pStyle w:val="ANormal"/>
            </w:pPr>
          </w:p>
        </w:tc>
        <w:tc>
          <w:tcPr>
            <w:tcW w:w="2427" w:type="pct"/>
          </w:tcPr>
          <w:p w14:paraId="7AC1F46B" w14:textId="77777777" w:rsidR="00DC2BA4" w:rsidRDefault="00DC2BA4" w:rsidP="00560B34">
            <w:pPr>
              <w:pStyle w:val="ANormal"/>
            </w:pPr>
          </w:p>
          <w:p w14:paraId="7DCAAA73" w14:textId="17B00E0E" w:rsidR="00DC2BA4" w:rsidRDefault="00DC2BA4" w:rsidP="00560B34">
            <w:pPr>
              <w:pStyle w:val="LagParagraf"/>
            </w:pPr>
            <w:r>
              <w:t>21a</w:t>
            </w:r>
            <w:r w:rsidR="001E3ADD">
              <w:t> §</w:t>
            </w:r>
          </w:p>
          <w:p w14:paraId="62F9E819" w14:textId="2B1E81C7" w:rsidR="00DC2BA4" w:rsidRDefault="00144CE8" w:rsidP="00560B34">
            <w:pPr>
              <w:pStyle w:val="LagPararubrik"/>
            </w:pPr>
            <w:r w:rsidRPr="00144CE8">
              <w:t>Befogenheter i samband med onlinegränssnitt och domännamn</w:t>
            </w:r>
          </w:p>
          <w:p w14:paraId="6BBB1B82" w14:textId="041B3D78" w:rsidR="00E20C9E" w:rsidRDefault="00E20C9E" w:rsidP="00E20C9E">
            <w:pPr>
              <w:pStyle w:val="ANormal"/>
            </w:pPr>
            <w:r w:rsidRPr="00B85BD6">
              <w:t>- - - - - - - - - - - - - - - - - - - - - - - - - - - - - -</w:t>
            </w:r>
          </w:p>
          <w:p w14:paraId="42986D99" w14:textId="77777777" w:rsidR="00DC2BA4" w:rsidRDefault="00DC2BA4" w:rsidP="00560B34">
            <w:pPr>
              <w:pStyle w:val="ANormal"/>
              <w:rPr>
                <w:b/>
                <w:bCs/>
              </w:rPr>
            </w:pPr>
            <w:r w:rsidRPr="00CE6D63">
              <w:tab/>
            </w:r>
            <w:r w:rsidR="00E20C9E" w:rsidRPr="00D52000">
              <w:rPr>
                <w:b/>
                <w:bCs/>
              </w:rPr>
              <w:t>Bestämmelser om förelägganden som gäller leverantörer av onlinemarknadsplatser finns dessutom i lagen om konsumentprodukters säkerhet enligt landskapslagen om tillämpning på Åland av riksförfattningar om konsumentsäkerhet.</w:t>
            </w:r>
          </w:p>
          <w:p w14:paraId="39965DBF" w14:textId="5DB763E5" w:rsidR="00144CE8" w:rsidRPr="00144CE8" w:rsidRDefault="00144CE8" w:rsidP="00560B34">
            <w:pPr>
              <w:pStyle w:val="ANormal"/>
            </w:pPr>
          </w:p>
        </w:tc>
      </w:tr>
      <w:tr w:rsidR="00DC2BA4" w14:paraId="6AFE77CF" w14:textId="77777777" w:rsidTr="009B3A1A">
        <w:tc>
          <w:tcPr>
            <w:tcW w:w="2427" w:type="pct"/>
          </w:tcPr>
          <w:p w14:paraId="795AB40D" w14:textId="77777777" w:rsidR="00DC2BA4" w:rsidRDefault="00DC2BA4" w:rsidP="00DC2BA4">
            <w:pPr>
              <w:pStyle w:val="ANormal"/>
            </w:pPr>
          </w:p>
          <w:p w14:paraId="27BA4B9D" w14:textId="274D20A2" w:rsidR="00DC2BA4" w:rsidRDefault="00DC2BA4" w:rsidP="00DC2BA4">
            <w:pPr>
              <w:pStyle w:val="LagParagraf"/>
            </w:pPr>
            <w:r>
              <w:t>24</w:t>
            </w:r>
            <w:r w:rsidR="001E3ADD">
              <w:t> §</w:t>
            </w:r>
          </w:p>
          <w:p w14:paraId="30F3874D" w14:textId="6AA71CF3" w:rsidR="00DC2BA4" w:rsidRDefault="00274E6A" w:rsidP="00DC2BA4">
            <w:pPr>
              <w:pStyle w:val="LagPararubrik"/>
            </w:pPr>
            <w:r w:rsidRPr="00274E6A">
              <w:t>Information om en produkts bristande överensstämmelse med kraven</w:t>
            </w:r>
          </w:p>
          <w:p w14:paraId="1A323262" w14:textId="77777777" w:rsidR="00DC2BA4" w:rsidRDefault="00DC2BA4" w:rsidP="00274E6A">
            <w:pPr>
              <w:pStyle w:val="ANormal"/>
            </w:pPr>
            <w:r w:rsidRPr="00CE6D63">
              <w:tab/>
            </w:r>
            <w:r w:rsidR="00274E6A" w:rsidRPr="00D52000">
              <w:t>Tillsynsmyndigheten ska</w:t>
            </w:r>
            <w:r w:rsidR="00274E6A" w:rsidRPr="00274E6A">
              <w:t xml:space="preserve"> utan dröjsmål informera landskapsregeringen, rikets berörda tillsynsmyndigheter, den Europeiska kommissionen och andra medlemsstater i </w:t>
            </w:r>
            <w:r w:rsidR="00274E6A" w:rsidRPr="00274E6A">
              <w:lastRenderedPageBreak/>
              <w:t xml:space="preserve">den Europeiska unionen och det </w:t>
            </w:r>
            <w:proofErr w:type="gramStart"/>
            <w:r w:rsidR="00274E6A" w:rsidRPr="00274E6A">
              <w:t>Europeiska</w:t>
            </w:r>
            <w:proofErr w:type="gramEnd"/>
            <w:r w:rsidR="00274E6A" w:rsidRPr="00274E6A">
              <w:t xml:space="preserve"> ekonomiska samarbetsområdet om ett beslut som den fattat med stöd av en bestämmelse i 15–18</w:t>
            </w:r>
            <w:r w:rsidR="001E3ADD">
              <w:t> §</w:t>
            </w:r>
            <w:r w:rsidR="00274E6A" w:rsidRPr="00274E6A">
              <w:t>§, om tillsynsmyndigheten bedömer att en produkts bristande överensstämmelse med kraven inte är begränsade endast till åländskt territorium.</w:t>
            </w:r>
          </w:p>
          <w:p w14:paraId="25CD1C59" w14:textId="609A67B5" w:rsidR="00E10F80" w:rsidRDefault="00E10F80" w:rsidP="00274E6A">
            <w:pPr>
              <w:pStyle w:val="ANormal"/>
            </w:pPr>
          </w:p>
        </w:tc>
        <w:tc>
          <w:tcPr>
            <w:tcW w:w="146" w:type="pct"/>
          </w:tcPr>
          <w:p w14:paraId="48C53DC0" w14:textId="77777777" w:rsidR="00DC2BA4" w:rsidRDefault="00DC2BA4" w:rsidP="00DC2BA4">
            <w:pPr>
              <w:pStyle w:val="ANormal"/>
            </w:pPr>
          </w:p>
        </w:tc>
        <w:tc>
          <w:tcPr>
            <w:tcW w:w="2427" w:type="pct"/>
          </w:tcPr>
          <w:p w14:paraId="2BAF9878" w14:textId="77777777" w:rsidR="00DC2BA4" w:rsidRDefault="00DC2BA4" w:rsidP="00DC2BA4">
            <w:pPr>
              <w:pStyle w:val="ANormal"/>
            </w:pPr>
          </w:p>
          <w:p w14:paraId="0A79038C" w14:textId="19BB25CA" w:rsidR="00DC2BA4" w:rsidRDefault="00DC2BA4" w:rsidP="00DC2BA4">
            <w:pPr>
              <w:pStyle w:val="LagParagraf"/>
            </w:pPr>
            <w:r>
              <w:t>24</w:t>
            </w:r>
            <w:r w:rsidR="001E3ADD">
              <w:t> §</w:t>
            </w:r>
          </w:p>
          <w:p w14:paraId="276268D2" w14:textId="653CA145" w:rsidR="00FA75F7" w:rsidRPr="00A36CC4" w:rsidRDefault="00274E6A" w:rsidP="00A36CC4">
            <w:pPr>
              <w:pStyle w:val="LagPararubrik"/>
              <w:rPr>
                <w:b/>
                <w:bCs/>
              </w:rPr>
            </w:pPr>
            <w:r w:rsidRPr="00A36CC4">
              <w:rPr>
                <w:b/>
                <w:bCs/>
              </w:rPr>
              <w:t>Skyddsklausulanmälan</w:t>
            </w:r>
          </w:p>
          <w:p w14:paraId="72D72C22" w14:textId="77777777" w:rsidR="00DC2BA4" w:rsidRDefault="00DC2BA4" w:rsidP="00DC2BA4">
            <w:pPr>
              <w:pStyle w:val="ANormal"/>
              <w:rPr>
                <w:b/>
                <w:bCs/>
              </w:rPr>
            </w:pPr>
            <w:r w:rsidRPr="00A36CC4">
              <w:rPr>
                <w:b/>
                <w:bCs/>
              </w:rPr>
              <w:tab/>
            </w:r>
            <w:r w:rsidR="00D52000" w:rsidRPr="00D52000">
              <w:t>Tillsynsmyndigheten ska</w:t>
            </w:r>
            <w:r w:rsidR="00D52000">
              <w:rPr>
                <w:b/>
                <w:bCs/>
              </w:rPr>
              <w:t>, o</w:t>
            </w:r>
            <w:r w:rsidR="00274E6A" w:rsidRPr="00A36CC4">
              <w:rPr>
                <w:b/>
                <w:bCs/>
              </w:rPr>
              <w:t xml:space="preserve">m det i den harmoniserade unionslagstiftning som gäller produkten föreskrivs om förfarande med skyddsklausuler i enlighet med referensbestämmelserna i </w:t>
            </w:r>
            <w:r w:rsidR="00274E6A" w:rsidRPr="00A36CC4">
              <w:rPr>
                <w:b/>
                <w:bCs/>
              </w:rPr>
              <w:lastRenderedPageBreak/>
              <w:t xml:space="preserve">Europaparlamentets och rådets beslut nr 768/2008/EG om en gemensam ram för saluföring av produkter och upphävande av rådets beslut 93/465/EEG, </w:t>
            </w:r>
            <w:r w:rsidR="00274E6A" w:rsidRPr="009E3B15">
              <w:t xml:space="preserve">utan dröjsmål informera landskapsregeringen, rikets berörda tillsynsmyndigheter, Europeiska kommissionen och </w:t>
            </w:r>
            <w:r w:rsidR="00A36CC4" w:rsidRPr="009E3B15">
              <w:t>andra</w:t>
            </w:r>
            <w:r w:rsidR="00274E6A" w:rsidRPr="009E3B15">
              <w:t xml:space="preserve"> medlemsstater i </w:t>
            </w:r>
            <w:r w:rsidR="00A36CC4" w:rsidRPr="009E3B15">
              <w:t xml:space="preserve">den </w:t>
            </w:r>
            <w:r w:rsidR="00274E6A" w:rsidRPr="009E3B15">
              <w:t xml:space="preserve">Europeiska unionen och </w:t>
            </w:r>
            <w:r w:rsidR="00A36CC4" w:rsidRPr="009E3B15">
              <w:t>det</w:t>
            </w:r>
            <w:r w:rsidR="00274E6A" w:rsidRPr="009E3B15">
              <w:t xml:space="preserve"> Europeiska ekonomiska samarbetsområdet om ett beslut som den</w:t>
            </w:r>
            <w:r w:rsidR="00274E6A" w:rsidRPr="00A36CC4">
              <w:rPr>
                <w:b/>
                <w:bCs/>
              </w:rPr>
              <w:t xml:space="preserve"> har </w:t>
            </w:r>
            <w:r w:rsidR="00274E6A" w:rsidRPr="009E3B15">
              <w:t>fattat med stöd av 15–18</w:t>
            </w:r>
            <w:r w:rsidR="00274E6A" w:rsidRPr="00A36CC4">
              <w:rPr>
                <w:b/>
                <w:bCs/>
              </w:rPr>
              <w:t xml:space="preserve"> samt 18a och 18b</w:t>
            </w:r>
            <w:r w:rsidR="001E3ADD">
              <w:rPr>
                <w:b/>
                <w:bCs/>
              </w:rPr>
              <w:t> §</w:t>
            </w:r>
            <w:r w:rsidR="00274E6A" w:rsidRPr="00A36CC4">
              <w:rPr>
                <w:b/>
                <w:bCs/>
              </w:rPr>
              <w:t xml:space="preserve">§, </w:t>
            </w:r>
            <w:r w:rsidR="00274E6A" w:rsidRPr="009E3B15">
              <w:t xml:space="preserve">om tillsynsmyndigheten </w:t>
            </w:r>
            <w:r w:rsidR="009E3B15" w:rsidRPr="009E3B15">
              <w:t>bedömer</w:t>
            </w:r>
            <w:r w:rsidR="00274E6A" w:rsidRPr="009E3B15">
              <w:t xml:space="preserve"> att en produkts bristande överensstämmelse med kraven inte är begränsad endast till åländskt territorium.</w:t>
            </w:r>
            <w:r w:rsidR="00274E6A" w:rsidRPr="00A36CC4">
              <w:rPr>
                <w:b/>
                <w:bCs/>
              </w:rPr>
              <w:t xml:space="preserve"> I fråga om nationella åtgärder tillämpas i övrigt bestämmelserna om skyddsklausulsförfaranden och det förfarande för skyddsåtgärder som föreskrivs i Europeiska unionens lagstiftning genom vilken villkoren för saluföring harmoniseras.</w:t>
            </w:r>
          </w:p>
          <w:p w14:paraId="51DECA29" w14:textId="5381D29A" w:rsidR="00E10F80" w:rsidRPr="00E10F80" w:rsidRDefault="00E10F80" w:rsidP="00DC2BA4">
            <w:pPr>
              <w:pStyle w:val="ANormal"/>
            </w:pPr>
          </w:p>
        </w:tc>
      </w:tr>
      <w:tr w:rsidR="00B367E5" w14:paraId="21FBAA69" w14:textId="77777777" w:rsidTr="009B3A1A">
        <w:tc>
          <w:tcPr>
            <w:tcW w:w="2427" w:type="pct"/>
          </w:tcPr>
          <w:p w14:paraId="5911F9F2" w14:textId="77777777" w:rsidR="00B367E5" w:rsidRDefault="00B367E5" w:rsidP="000F7D32">
            <w:pPr>
              <w:pStyle w:val="ANormal"/>
            </w:pPr>
          </w:p>
        </w:tc>
        <w:tc>
          <w:tcPr>
            <w:tcW w:w="146" w:type="pct"/>
          </w:tcPr>
          <w:p w14:paraId="21AEB140" w14:textId="77777777" w:rsidR="00B367E5" w:rsidRDefault="00B367E5" w:rsidP="000F7D32">
            <w:pPr>
              <w:pStyle w:val="ANormal"/>
            </w:pPr>
          </w:p>
        </w:tc>
        <w:tc>
          <w:tcPr>
            <w:tcW w:w="2427" w:type="pct"/>
          </w:tcPr>
          <w:p w14:paraId="45D2B326" w14:textId="77777777" w:rsidR="00B367E5" w:rsidRDefault="00B367E5" w:rsidP="000F7D32">
            <w:pPr>
              <w:pStyle w:val="ANormal"/>
            </w:pPr>
          </w:p>
          <w:p w14:paraId="3F2F9CE9" w14:textId="77777777" w:rsidR="00B367E5" w:rsidRDefault="00B367E5" w:rsidP="000F7D32">
            <w:pPr>
              <w:pStyle w:val="ANormal"/>
              <w:jc w:val="center"/>
            </w:pPr>
            <w:hyperlink w:anchor="_top" w:tooltip="Klicka för att gå till toppen av dokumentet" w:history="1">
              <w:r>
                <w:rPr>
                  <w:rStyle w:val="Hyperlnk"/>
                </w:rPr>
                <w:t>__________________</w:t>
              </w:r>
            </w:hyperlink>
          </w:p>
          <w:p w14:paraId="20A363E6" w14:textId="77777777" w:rsidR="00B367E5" w:rsidRDefault="00B367E5" w:rsidP="000F7D32">
            <w:pPr>
              <w:pStyle w:val="ANormal"/>
            </w:pPr>
          </w:p>
          <w:p w14:paraId="1A81EC9B" w14:textId="58E2000F" w:rsidR="00B367E5" w:rsidRDefault="00B367E5" w:rsidP="00B367E5">
            <w:pPr>
              <w:pStyle w:val="ANormal"/>
            </w:pPr>
            <w:r>
              <w:tab/>
              <w:t>Denna lag träder i kraft den</w:t>
            </w:r>
          </w:p>
          <w:p w14:paraId="055EABF6" w14:textId="77777777" w:rsidR="00B367E5" w:rsidRDefault="00B367E5" w:rsidP="000F7D32">
            <w:pPr>
              <w:pStyle w:val="ANormal"/>
              <w:jc w:val="center"/>
            </w:pPr>
            <w:hyperlink w:anchor="_top" w:tooltip="Klicka för att gå till toppen av dokumentet" w:history="1">
              <w:r>
                <w:rPr>
                  <w:rStyle w:val="Hyperlnk"/>
                </w:rPr>
                <w:t>__________________</w:t>
              </w:r>
            </w:hyperlink>
          </w:p>
          <w:p w14:paraId="4056BC29" w14:textId="77777777" w:rsidR="00B367E5" w:rsidRDefault="00B367E5" w:rsidP="000F7D32">
            <w:pPr>
              <w:pStyle w:val="ANormal"/>
            </w:pPr>
          </w:p>
          <w:p w14:paraId="08723F86" w14:textId="77777777" w:rsidR="00CD6D0C" w:rsidRDefault="00CD6D0C" w:rsidP="000F7D32">
            <w:pPr>
              <w:pStyle w:val="ANormal"/>
            </w:pPr>
          </w:p>
        </w:tc>
      </w:tr>
    </w:tbl>
    <w:p w14:paraId="59FE799A" w14:textId="77777777" w:rsidR="00AE6ED6" w:rsidRPr="004414F2" w:rsidRDefault="00AE6ED6" w:rsidP="004414F2">
      <w:pPr>
        <w:pStyle w:val="ANormal"/>
      </w:pPr>
    </w:p>
    <w:p w14:paraId="623AE7BB" w14:textId="35FC2549" w:rsidR="00CD6D0C" w:rsidRDefault="00CD6D0C" w:rsidP="00CD6D0C">
      <w:pPr>
        <w:pStyle w:val="ANormal"/>
        <w:jc w:val="center"/>
      </w:pPr>
      <w:hyperlink w:anchor="_top" w:tooltip="Klicka för att gå till toppen av dokumentet" w:history="1">
        <w:r>
          <w:rPr>
            <w:rStyle w:val="Hyperlnk"/>
          </w:rPr>
          <w:t>__________________</w:t>
        </w:r>
      </w:hyperlink>
    </w:p>
    <w:p w14:paraId="5F28E767" w14:textId="77777777" w:rsidR="00B367E5" w:rsidRDefault="00B367E5">
      <w:pPr>
        <w:pStyle w:val="ANormal"/>
      </w:pPr>
    </w:p>
    <w:p w14:paraId="0C4E3E4F" w14:textId="0F38B7E3" w:rsidR="00B367E5" w:rsidRDefault="00E10F80" w:rsidP="00B367E5">
      <w:pPr>
        <w:pStyle w:val="ANormal"/>
        <w:rPr>
          <w:lang w:val="en-GB"/>
        </w:rPr>
      </w:pPr>
      <w:r>
        <w:rPr>
          <w:lang w:val="en-GB"/>
        </w:rPr>
        <w:t>3</w:t>
      </w:r>
      <w:r w:rsidR="00B367E5">
        <w:rPr>
          <w:lang w:val="en-GB"/>
        </w:rPr>
        <w:t>.</w:t>
      </w:r>
    </w:p>
    <w:p w14:paraId="2ED90764" w14:textId="77777777" w:rsidR="00AE6ED6" w:rsidRPr="00D13B66" w:rsidRDefault="00AE6ED6" w:rsidP="00B367E5">
      <w:pPr>
        <w:pStyle w:val="ANormal"/>
        <w:rPr>
          <w:lang w:val="en-GB"/>
        </w:rPr>
      </w:pPr>
    </w:p>
    <w:p w14:paraId="30B9034A" w14:textId="36CCA56A" w:rsidR="00B367E5" w:rsidRPr="00CD6D0C" w:rsidRDefault="00B367E5" w:rsidP="00B367E5">
      <w:pPr>
        <w:pStyle w:val="LagHuvRubr"/>
        <w:rPr>
          <w:lang w:val="sv-FI"/>
        </w:rPr>
      </w:pPr>
      <w:bookmarkStart w:id="4" w:name="_Toc207187947"/>
      <w:r w:rsidRPr="00CD6D0C">
        <w:rPr>
          <w:lang w:val="sv-FI"/>
        </w:rPr>
        <w:t>L A N D S K A P S L A G</w:t>
      </w:r>
      <w:r w:rsidRPr="00CD6D0C">
        <w:rPr>
          <w:lang w:val="sv-FI"/>
        </w:rPr>
        <w:br/>
      </w:r>
      <w:r w:rsidR="00C74731">
        <w:rPr>
          <w:lang w:val="sv-FI"/>
        </w:rPr>
        <w:t xml:space="preserve">om </w:t>
      </w:r>
      <w:r w:rsidR="00C74731" w:rsidRPr="00E4490B">
        <w:rPr>
          <w:lang w:val="sv-FI"/>
        </w:rPr>
        <w:t xml:space="preserve">ändring av </w:t>
      </w:r>
      <w:r w:rsidR="00446B04">
        <w:rPr>
          <w:lang w:val="sv-FI"/>
        </w:rPr>
        <w:t xml:space="preserve">4 § </w:t>
      </w:r>
      <w:r w:rsidR="00C74731" w:rsidRPr="00E4490B">
        <w:rPr>
          <w:lang w:val="sv-FI"/>
        </w:rPr>
        <w:t xml:space="preserve">landskapslagen </w:t>
      </w:r>
      <w:r w:rsidR="00C74731" w:rsidRPr="00E4490B">
        <w:t>om tillämpning av lagen om skydd av djur som används för vetenskapliga ändamål eller undervisningsändamål</w:t>
      </w:r>
      <w:bookmarkEnd w:id="4"/>
    </w:p>
    <w:p w14:paraId="44BFF643" w14:textId="77777777" w:rsidR="00B367E5" w:rsidRDefault="00B367E5" w:rsidP="00B367E5">
      <w:pPr>
        <w:pStyle w:val="ANormal"/>
        <w:rPr>
          <w:lang w:val="en-GB"/>
        </w:rPr>
      </w:pPr>
    </w:p>
    <w:p w14:paraId="5C3D54FF" w14:textId="77777777" w:rsidR="0094008C" w:rsidRPr="00104492" w:rsidRDefault="0094008C" w:rsidP="0094008C">
      <w:pPr>
        <w:pStyle w:val="ANormal"/>
        <w:rPr>
          <w:b/>
          <w:bCs/>
        </w:rPr>
      </w:pPr>
      <w:r w:rsidRPr="00104492">
        <w:tab/>
        <w:t xml:space="preserve">I enlighet med lagtingets beslut </w:t>
      </w:r>
      <w:r w:rsidRPr="00104492">
        <w:rPr>
          <w:b/>
          <w:bCs/>
        </w:rPr>
        <w:t xml:space="preserve">ändras </w:t>
      </w:r>
      <w:r w:rsidRPr="00104492">
        <w:t>4 § 1 mom.</w:t>
      </w:r>
      <w:r>
        <w:t xml:space="preserve"> 3 punkten</w:t>
      </w:r>
      <w:r w:rsidRPr="00104492">
        <w:t xml:space="preserve"> landskapslagen (2013:75) om tillämpning av lagen om skydd av djur som används för vetenskapliga ändamål eller undervisningsändamål</w:t>
      </w:r>
      <w:r>
        <w:t xml:space="preserve"> som följer:</w:t>
      </w:r>
    </w:p>
    <w:p w14:paraId="7DEF64A6" w14:textId="77777777" w:rsidR="00386479" w:rsidRDefault="00386479">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386479" w14:paraId="146FB76F" w14:textId="77777777" w:rsidTr="009B3A1A">
        <w:tc>
          <w:tcPr>
            <w:tcW w:w="2427" w:type="pct"/>
          </w:tcPr>
          <w:p w14:paraId="63F53C5F" w14:textId="77777777" w:rsidR="00386479" w:rsidRDefault="00386479">
            <w:pPr>
              <w:pStyle w:val="xCelltext"/>
              <w:jc w:val="center"/>
            </w:pPr>
            <w:r>
              <w:t>Gällande lydelse</w:t>
            </w:r>
          </w:p>
        </w:tc>
        <w:tc>
          <w:tcPr>
            <w:tcW w:w="146" w:type="pct"/>
          </w:tcPr>
          <w:p w14:paraId="521A0352" w14:textId="77777777" w:rsidR="00386479" w:rsidRDefault="00386479">
            <w:pPr>
              <w:pStyle w:val="xCelltext"/>
              <w:jc w:val="center"/>
            </w:pPr>
          </w:p>
        </w:tc>
        <w:tc>
          <w:tcPr>
            <w:tcW w:w="2427" w:type="pct"/>
          </w:tcPr>
          <w:p w14:paraId="4AFE2F77" w14:textId="77777777" w:rsidR="00386479" w:rsidRDefault="00386479">
            <w:pPr>
              <w:pStyle w:val="xCelltext"/>
              <w:jc w:val="center"/>
            </w:pPr>
            <w:r>
              <w:t>Föreslagen lydelse</w:t>
            </w:r>
          </w:p>
        </w:tc>
      </w:tr>
      <w:tr w:rsidR="00386479" w14:paraId="5E430612" w14:textId="77777777" w:rsidTr="009B3A1A">
        <w:tc>
          <w:tcPr>
            <w:tcW w:w="2427" w:type="pct"/>
          </w:tcPr>
          <w:p w14:paraId="1CDCD094" w14:textId="77777777" w:rsidR="00386479" w:rsidRDefault="00386479">
            <w:pPr>
              <w:pStyle w:val="ANormal"/>
            </w:pPr>
          </w:p>
          <w:p w14:paraId="5F55A087" w14:textId="1A626B94" w:rsidR="00386479" w:rsidRDefault="00F94149">
            <w:pPr>
              <w:pStyle w:val="LagParagraf"/>
            </w:pPr>
            <w:r>
              <w:t>4</w:t>
            </w:r>
            <w:r w:rsidR="001E3ADD">
              <w:t> §</w:t>
            </w:r>
          </w:p>
          <w:p w14:paraId="3A8276AE" w14:textId="531B2B16" w:rsidR="00386479" w:rsidRDefault="00F94149" w:rsidP="00386479">
            <w:pPr>
              <w:pStyle w:val="LagPararubrik"/>
            </w:pPr>
            <w:r>
              <w:t>Förhållande till annan lagstiftning</w:t>
            </w:r>
          </w:p>
          <w:p w14:paraId="08EAAFB5" w14:textId="5D46CFD6" w:rsidR="00F94149" w:rsidRDefault="00386479" w:rsidP="00F94149">
            <w:pPr>
              <w:pStyle w:val="ANormal"/>
            </w:pPr>
            <w:r w:rsidRPr="004415E9">
              <w:tab/>
            </w:r>
            <w:r w:rsidR="00F94149">
              <w:t>Hänvisningarna i 4</w:t>
            </w:r>
            <w:r w:rsidR="001E3ADD">
              <w:t> §</w:t>
            </w:r>
            <w:r w:rsidR="00F94149">
              <w:t xml:space="preserve"> rikslagen till andra rikslagar ska inom landskapets behörighet avse motsvarande landskapslagstiftning enligt följande:</w:t>
            </w:r>
          </w:p>
          <w:p w14:paraId="0255B69E" w14:textId="77777777" w:rsidR="0094008C" w:rsidRDefault="0094008C" w:rsidP="0094008C">
            <w:pPr>
              <w:pStyle w:val="ANormal"/>
            </w:pPr>
            <w:r w:rsidRPr="00E4490B">
              <w:t>- - - - - - - - - - - - - - - - - - - - - - - - - - - - - -</w:t>
            </w:r>
          </w:p>
          <w:p w14:paraId="70007942" w14:textId="181973C9" w:rsidR="00F94149" w:rsidRPr="00D52000" w:rsidRDefault="00F94149" w:rsidP="00F94149">
            <w:pPr>
              <w:pStyle w:val="ANormal"/>
              <w:rPr>
                <w:b/>
                <w:bCs/>
              </w:rPr>
            </w:pPr>
            <w:r w:rsidRPr="004415E9">
              <w:tab/>
            </w:r>
            <w:r>
              <w:t xml:space="preserve">3) Lagen om kosmetiska produkter (FFS 22/2005) ska enligt denna lag avse </w:t>
            </w:r>
            <w:r w:rsidRPr="00D52000">
              <w:rPr>
                <w:b/>
                <w:bCs/>
              </w:rPr>
              <w:t>landskapslagen (1988:8) om tillämpning i landskapet Åland av riksförfattningar om konsumentsäkerhet</w:t>
            </w:r>
            <w:r w:rsidRPr="00D52000">
              <w:t>.</w:t>
            </w:r>
          </w:p>
          <w:p w14:paraId="0E9B7A13" w14:textId="77777777" w:rsidR="00F94149" w:rsidRDefault="00F94149" w:rsidP="00F94149">
            <w:pPr>
              <w:pStyle w:val="ANormal"/>
            </w:pPr>
            <w:r w:rsidRPr="00E4490B">
              <w:t>- - - - - - - - - - - - - - - - - - - - - - - - - - - - - -</w:t>
            </w:r>
          </w:p>
          <w:p w14:paraId="5E3A7A88" w14:textId="527C8A2B" w:rsidR="00E10F80" w:rsidRPr="00386479" w:rsidRDefault="00E10F80" w:rsidP="00F94149">
            <w:pPr>
              <w:pStyle w:val="ANormal"/>
            </w:pPr>
          </w:p>
        </w:tc>
        <w:tc>
          <w:tcPr>
            <w:tcW w:w="146" w:type="pct"/>
          </w:tcPr>
          <w:p w14:paraId="047B992A" w14:textId="77777777" w:rsidR="00386479" w:rsidRDefault="00386479">
            <w:pPr>
              <w:pStyle w:val="ANormal"/>
            </w:pPr>
          </w:p>
        </w:tc>
        <w:tc>
          <w:tcPr>
            <w:tcW w:w="2427" w:type="pct"/>
          </w:tcPr>
          <w:p w14:paraId="4C33255D" w14:textId="77777777" w:rsidR="00F94149" w:rsidRDefault="00F94149" w:rsidP="00F94149">
            <w:pPr>
              <w:pStyle w:val="ANormal"/>
            </w:pPr>
          </w:p>
          <w:p w14:paraId="4E97735E" w14:textId="1A93E25D" w:rsidR="00F94149" w:rsidRDefault="00F94149" w:rsidP="00F94149">
            <w:pPr>
              <w:pStyle w:val="LagParagraf"/>
            </w:pPr>
            <w:r>
              <w:t>4</w:t>
            </w:r>
            <w:r w:rsidR="001E3ADD">
              <w:t> §</w:t>
            </w:r>
          </w:p>
          <w:p w14:paraId="1DA7EF63" w14:textId="47652124" w:rsidR="00F94149" w:rsidRDefault="00F94149" w:rsidP="00F94149">
            <w:pPr>
              <w:pStyle w:val="LagPararubrik"/>
            </w:pPr>
            <w:r>
              <w:t>Förhållande till annan lagstiftning</w:t>
            </w:r>
          </w:p>
          <w:p w14:paraId="2E0FB6AA" w14:textId="12C426D1" w:rsidR="00F94149" w:rsidRPr="00E4490B" w:rsidRDefault="00F94149" w:rsidP="00F94149">
            <w:pPr>
              <w:pStyle w:val="ANormal"/>
            </w:pPr>
            <w:r w:rsidRPr="00E4490B">
              <w:tab/>
              <w:t>Hänvisningarna i 4</w:t>
            </w:r>
            <w:r w:rsidR="001E3ADD">
              <w:t> §</w:t>
            </w:r>
            <w:r w:rsidRPr="00E4490B">
              <w:t xml:space="preserve"> rikslagen till andra rikslagar ska inom landskapets behörighet avse motsvarande landskapslagstiftning enligt följande:</w:t>
            </w:r>
          </w:p>
          <w:p w14:paraId="2D4B8FF6" w14:textId="77777777" w:rsidR="0094008C" w:rsidRDefault="0094008C" w:rsidP="0094008C">
            <w:pPr>
              <w:pStyle w:val="ANormal"/>
            </w:pPr>
            <w:r w:rsidRPr="00E4490B">
              <w:t>- - - - - - - - - - - - - - - - - - - - - - - - - - - - - -</w:t>
            </w:r>
          </w:p>
          <w:p w14:paraId="795CCDC4" w14:textId="77777777" w:rsidR="00F94149" w:rsidRPr="00D2045D" w:rsidRDefault="00F94149" w:rsidP="00F94149">
            <w:pPr>
              <w:pStyle w:val="ANormal"/>
              <w:rPr>
                <w:b/>
                <w:bCs/>
              </w:rPr>
            </w:pPr>
            <w:r w:rsidRPr="00D2045D">
              <w:tab/>
              <w:t xml:space="preserve">3) Lagen om kosmetiska produkter (FFS 22/2005) ska enligt denna lag avse </w:t>
            </w:r>
            <w:r w:rsidRPr="00D2045D">
              <w:rPr>
                <w:b/>
                <w:bCs/>
              </w:rPr>
              <w:t xml:space="preserve">landskapslagen </w:t>
            </w:r>
            <w:proofErr w:type="gramStart"/>
            <w:r w:rsidRPr="00D2045D">
              <w:rPr>
                <w:b/>
                <w:bCs/>
              </w:rPr>
              <w:t>(  :  )</w:t>
            </w:r>
            <w:proofErr w:type="gramEnd"/>
            <w:r w:rsidRPr="00D2045D">
              <w:rPr>
                <w:b/>
                <w:bCs/>
              </w:rPr>
              <w:t xml:space="preserve"> om tillämpning på Åland av riksförfattningar om konsumentsäkerhet</w:t>
            </w:r>
            <w:r w:rsidRPr="00D52000">
              <w:t>.</w:t>
            </w:r>
          </w:p>
          <w:p w14:paraId="04F60931" w14:textId="77777777" w:rsidR="00F94149" w:rsidRDefault="00F94149" w:rsidP="00386479">
            <w:pPr>
              <w:pStyle w:val="ANormal"/>
            </w:pPr>
            <w:r w:rsidRPr="00E4490B">
              <w:t>- - - - - - - - - - - - - - - - - - - - - - - - - - - - - -</w:t>
            </w:r>
          </w:p>
          <w:p w14:paraId="2CDABAF5" w14:textId="54EEAB9F" w:rsidR="00E10F80" w:rsidRPr="00386479" w:rsidRDefault="00E10F80" w:rsidP="00386479">
            <w:pPr>
              <w:pStyle w:val="ANormal"/>
            </w:pPr>
          </w:p>
        </w:tc>
      </w:tr>
      <w:tr w:rsidR="00386479" w14:paraId="60DEB672" w14:textId="77777777" w:rsidTr="009B3A1A">
        <w:tc>
          <w:tcPr>
            <w:tcW w:w="2427" w:type="pct"/>
          </w:tcPr>
          <w:p w14:paraId="360B1A0B" w14:textId="77777777" w:rsidR="00386479" w:rsidRDefault="00386479">
            <w:pPr>
              <w:pStyle w:val="ANormal"/>
            </w:pPr>
          </w:p>
        </w:tc>
        <w:tc>
          <w:tcPr>
            <w:tcW w:w="146" w:type="pct"/>
          </w:tcPr>
          <w:p w14:paraId="62F2DA28" w14:textId="77777777" w:rsidR="00386479" w:rsidRDefault="00386479">
            <w:pPr>
              <w:pStyle w:val="ANormal"/>
            </w:pPr>
          </w:p>
        </w:tc>
        <w:tc>
          <w:tcPr>
            <w:tcW w:w="2427" w:type="pct"/>
          </w:tcPr>
          <w:p w14:paraId="25A64EEA" w14:textId="77777777" w:rsidR="00386479" w:rsidRDefault="00386479">
            <w:pPr>
              <w:pStyle w:val="ANormal"/>
            </w:pPr>
          </w:p>
          <w:p w14:paraId="782E2652" w14:textId="77777777" w:rsidR="00386479" w:rsidRDefault="00386479">
            <w:pPr>
              <w:pStyle w:val="ANormal"/>
              <w:jc w:val="center"/>
            </w:pPr>
            <w:hyperlink w:anchor="_top" w:tooltip="Klicka för att gå till toppen av dokumentet" w:history="1">
              <w:r>
                <w:rPr>
                  <w:rStyle w:val="Hyperlnk"/>
                </w:rPr>
                <w:t>__________________</w:t>
              </w:r>
            </w:hyperlink>
          </w:p>
          <w:p w14:paraId="73771238" w14:textId="77777777" w:rsidR="00386479" w:rsidRDefault="00386479">
            <w:pPr>
              <w:pStyle w:val="ANormal"/>
            </w:pPr>
          </w:p>
          <w:p w14:paraId="70FF2A7D" w14:textId="77777777" w:rsidR="00386479" w:rsidRDefault="00386479">
            <w:pPr>
              <w:pStyle w:val="ANormal"/>
            </w:pPr>
            <w:r>
              <w:tab/>
              <w:t>Denna lag träder i kraft den</w:t>
            </w:r>
          </w:p>
          <w:p w14:paraId="14F398EC" w14:textId="77777777" w:rsidR="00386479" w:rsidRDefault="00386479">
            <w:pPr>
              <w:pStyle w:val="ANormal"/>
              <w:jc w:val="center"/>
            </w:pPr>
            <w:hyperlink w:anchor="_top" w:tooltip="Klicka för att gå till toppen av dokumentet" w:history="1">
              <w:r>
                <w:rPr>
                  <w:rStyle w:val="Hyperlnk"/>
                </w:rPr>
                <w:t>__________________</w:t>
              </w:r>
            </w:hyperlink>
          </w:p>
          <w:p w14:paraId="19A81949" w14:textId="2CA854E3" w:rsidR="00386479" w:rsidRDefault="00386479">
            <w:pPr>
              <w:pStyle w:val="ANormal"/>
            </w:pPr>
          </w:p>
        </w:tc>
      </w:tr>
    </w:tbl>
    <w:p w14:paraId="4C4CBBCD" w14:textId="77777777" w:rsidR="00386479" w:rsidRDefault="00386479">
      <w:pPr>
        <w:pStyle w:val="ANormal"/>
      </w:pPr>
    </w:p>
    <w:p w14:paraId="139CF3A4" w14:textId="77777777" w:rsidR="00A229A8" w:rsidRDefault="00A229A8" w:rsidP="00A229A8">
      <w:pPr>
        <w:pStyle w:val="ANormal"/>
        <w:jc w:val="center"/>
      </w:pPr>
      <w:hyperlink w:anchor="_top" w:tooltip="Klicka för att gå till toppen av dokumentet" w:history="1">
        <w:r>
          <w:rPr>
            <w:rStyle w:val="Hyperlnk"/>
          </w:rPr>
          <w:t>__________________</w:t>
        </w:r>
      </w:hyperlink>
    </w:p>
    <w:p w14:paraId="6E6AA524" w14:textId="77777777" w:rsidR="00B367E5" w:rsidRDefault="00B367E5" w:rsidP="00B367E5">
      <w:pPr>
        <w:pStyle w:val="ANormal"/>
      </w:pPr>
    </w:p>
    <w:sectPr w:rsidR="00B367E5">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FBE3" w14:textId="77777777" w:rsidR="00601E14" w:rsidRDefault="00601E14">
      <w:r>
        <w:separator/>
      </w:r>
    </w:p>
  </w:endnote>
  <w:endnote w:type="continuationSeparator" w:id="0">
    <w:p w14:paraId="1FE690F0" w14:textId="77777777" w:rsidR="00601E14" w:rsidRDefault="006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93A5"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A9D7" w14:textId="1E9CA131" w:rsidR="00E023D9" w:rsidRDefault="0060181D">
    <w:pPr>
      <w:pStyle w:val="Sidfot"/>
      <w:rPr>
        <w:lang w:val="fi-FI"/>
      </w:rPr>
    </w:pPr>
    <w:r>
      <w:t>LF</w:t>
    </w:r>
    <w:r w:rsidR="009B3A1A">
      <w:t>27</w:t>
    </w:r>
    <w:r>
      <w:t>20242025</w:t>
    </w:r>
    <w:r w:rsidR="00DC6BB1">
      <w:t>-P.docx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994C"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D566" w14:textId="77777777" w:rsidR="00601E14" w:rsidRDefault="00601E14">
      <w:r>
        <w:separator/>
      </w:r>
    </w:p>
  </w:footnote>
  <w:footnote w:type="continuationSeparator" w:id="0">
    <w:p w14:paraId="12D0756A" w14:textId="77777777" w:rsidR="00601E14" w:rsidRDefault="006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E81"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0B5D1C0"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BDD"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47994874">
    <w:abstractNumId w:val="6"/>
  </w:num>
  <w:num w:numId="2" w16cid:durableId="1025474136">
    <w:abstractNumId w:val="3"/>
  </w:num>
  <w:num w:numId="3" w16cid:durableId="1255359024">
    <w:abstractNumId w:val="2"/>
  </w:num>
  <w:num w:numId="4" w16cid:durableId="1811744574">
    <w:abstractNumId w:val="1"/>
  </w:num>
  <w:num w:numId="5" w16cid:durableId="124395861">
    <w:abstractNumId w:val="0"/>
  </w:num>
  <w:num w:numId="6" w16cid:durableId="1652441499">
    <w:abstractNumId w:val="7"/>
  </w:num>
  <w:num w:numId="7" w16cid:durableId="113719015">
    <w:abstractNumId w:val="5"/>
  </w:num>
  <w:num w:numId="8" w16cid:durableId="2003117097">
    <w:abstractNumId w:val="4"/>
  </w:num>
  <w:num w:numId="9" w16cid:durableId="15278980">
    <w:abstractNumId w:val="10"/>
  </w:num>
  <w:num w:numId="10" w16cid:durableId="976225905">
    <w:abstractNumId w:val="13"/>
  </w:num>
  <w:num w:numId="11" w16cid:durableId="1349719501">
    <w:abstractNumId w:val="12"/>
  </w:num>
  <w:num w:numId="12" w16cid:durableId="448204457">
    <w:abstractNumId w:val="16"/>
  </w:num>
  <w:num w:numId="13" w16cid:durableId="705907087">
    <w:abstractNumId w:val="11"/>
  </w:num>
  <w:num w:numId="14" w16cid:durableId="1099059456">
    <w:abstractNumId w:val="15"/>
  </w:num>
  <w:num w:numId="15" w16cid:durableId="892077726">
    <w:abstractNumId w:val="9"/>
  </w:num>
  <w:num w:numId="16" w16cid:durableId="116484337">
    <w:abstractNumId w:val="21"/>
  </w:num>
  <w:num w:numId="17" w16cid:durableId="1123577679">
    <w:abstractNumId w:val="8"/>
  </w:num>
  <w:num w:numId="18" w16cid:durableId="1739287051">
    <w:abstractNumId w:val="17"/>
  </w:num>
  <w:num w:numId="19" w16cid:durableId="111363516">
    <w:abstractNumId w:val="20"/>
  </w:num>
  <w:num w:numId="20" w16cid:durableId="1897234398">
    <w:abstractNumId w:val="23"/>
  </w:num>
  <w:num w:numId="21" w16cid:durableId="1156989258">
    <w:abstractNumId w:val="22"/>
  </w:num>
  <w:num w:numId="22" w16cid:durableId="1720395293">
    <w:abstractNumId w:val="14"/>
  </w:num>
  <w:num w:numId="23" w16cid:durableId="1741907247">
    <w:abstractNumId w:val="18"/>
  </w:num>
  <w:num w:numId="24" w16cid:durableId="1988508566">
    <w:abstractNumId w:val="18"/>
  </w:num>
  <w:num w:numId="25" w16cid:durableId="478038151">
    <w:abstractNumId w:val="19"/>
  </w:num>
  <w:num w:numId="26" w16cid:durableId="842668828">
    <w:abstractNumId w:val="14"/>
  </w:num>
  <w:num w:numId="27" w16cid:durableId="998079091">
    <w:abstractNumId w:val="14"/>
  </w:num>
  <w:num w:numId="28" w16cid:durableId="1400784883">
    <w:abstractNumId w:val="14"/>
  </w:num>
  <w:num w:numId="29" w16cid:durableId="2098597171">
    <w:abstractNumId w:val="14"/>
  </w:num>
  <w:num w:numId="30" w16cid:durableId="539628961">
    <w:abstractNumId w:val="14"/>
  </w:num>
  <w:num w:numId="31" w16cid:durableId="8068498">
    <w:abstractNumId w:val="14"/>
  </w:num>
  <w:num w:numId="32" w16cid:durableId="624316736">
    <w:abstractNumId w:val="14"/>
  </w:num>
  <w:num w:numId="33" w16cid:durableId="1488785156">
    <w:abstractNumId w:val="14"/>
  </w:num>
  <w:num w:numId="34" w16cid:durableId="844246669">
    <w:abstractNumId w:val="14"/>
  </w:num>
  <w:num w:numId="35" w16cid:durableId="30421834">
    <w:abstractNumId w:val="18"/>
  </w:num>
  <w:num w:numId="36" w16cid:durableId="1694066998">
    <w:abstractNumId w:val="19"/>
  </w:num>
  <w:num w:numId="37" w16cid:durableId="2085490811">
    <w:abstractNumId w:val="14"/>
  </w:num>
  <w:num w:numId="38" w16cid:durableId="2026126150">
    <w:abstractNumId w:val="14"/>
  </w:num>
  <w:num w:numId="39" w16cid:durableId="743642803">
    <w:abstractNumId w:val="14"/>
  </w:num>
  <w:num w:numId="40" w16cid:durableId="2024166041">
    <w:abstractNumId w:val="14"/>
  </w:num>
  <w:num w:numId="41" w16cid:durableId="52630752">
    <w:abstractNumId w:val="14"/>
  </w:num>
  <w:num w:numId="42" w16cid:durableId="256401857">
    <w:abstractNumId w:val="14"/>
  </w:num>
  <w:num w:numId="43" w16cid:durableId="1713844533">
    <w:abstractNumId w:val="14"/>
  </w:num>
  <w:num w:numId="44" w16cid:durableId="1944536457">
    <w:abstractNumId w:val="14"/>
  </w:num>
  <w:num w:numId="45" w16cid:durableId="1548838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7"/>
    <w:rsid w:val="000176D6"/>
    <w:rsid w:val="00052591"/>
    <w:rsid w:val="000660C7"/>
    <w:rsid w:val="00077D75"/>
    <w:rsid w:val="000954C1"/>
    <w:rsid w:val="00097EAB"/>
    <w:rsid w:val="00124723"/>
    <w:rsid w:val="00144CE8"/>
    <w:rsid w:val="001507D0"/>
    <w:rsid w:val="001610EB"/>
    <w:rsid w:val="001648F8"/>
    <w:rsid w:val="001911E3"/>
    <w:rsid w:val="00196B12"/>
    <w:rsid w:val="001B78D7"/>
    <w:rsid w:val="001C21E3"/>
    <w:rsid w:val="001E3ADD"/>
    <w:rsid w:val="001F5AFE"/>
    <w:rsid w:val="001F7D21"/>
    <w:rsid w:val="00223141"/>
    <w:rsid w:val="00246193"/>
    <w:rsid w:val="00262245"/>
    <w:rsid w:val="0026254D"/>
    <w:rsid w:val="00274E6A"/>
    <w:rsid w:val="00285A07"/>
    <w:rsid w:val="002A3F75"/>
    <w:rsid w:val="002E01F2"/>
    <w:rsid w:val="00304B9F"/>
    <w:rsid w:val="00345096"/>
    <w:rsid w:val="003552A5"/>
    <w:rsid w:val="0036564F"/>
    <w:rsid w:val="0037405A"/>
    <w:rsid w:val="00385581"/>
    <w:rsid w:val="00386479"/>
    <w:rsid w:val="003930A9"/>
    <w:rsid w:val="00407EFE"/>
    <w:rsid w:val="00411F65"/>
    <w:rsid w:val="004312C0"/>
    <w:rsid w:val="004414F2"/>
    <w:rsid w:val="004458BA"/>
    <w:rsid w:val="00445AEF"/>
    <w:rsid w:val="00446B04"/>
    <w:rsid w:val="0046773A"/>
    <w:rsid w:val="00473E68"/>
    <w:rsid w:val="0049586F"/>
    <w:rsid w:val="004A543B"/>
    <w:rsid w:val="004F5089"/>
    <w:rsid w:val="004F6963"/>
    <w:rsid w:val="00505C57"/>
    <w:rsid w:val="00507710"/>
    <w:rsid w:val="005655C2"/>
    <w:rsid w:val="00593820"/>
    <w:rsid w:val="005A0598"/>
    <w:rsid w:val="005C4514"/>
    <w:rsid w:val="005E639D"/>
    <w:rsid w:val="005F43D0"/>
    <w:rsid w:val="0060181D"/>
    <w:rsid w:val="00601E14"/>
    <w:rsid w:val="00665354"/>
    <w:rsid w:val="00671C15"/>
    <w:rsid w:val="006903F9"/>
    <w:rsid w:val="006D1513"/>
    <w:rsid w:val="006D57D9"/>
    <w:rsid w:val="006D69A9"/>
    <w:rsid w:val="006D6D13"/>
    <w:rsid w:val="006F0E5C"/>
    <w:rsid w:val="00700BAE"/>
    <w:rsid w:val="007428C6"/>
    <w:rsid w:val="00747130"/>
    <w:rsid w:val="00761107"/>
    <w:rsid w:val="00785FC2"/>
    <w:rsid w:val="00853470"/>
    <w:rsid w:val="008720BC"/>
    <w:rsid w:val="00873583"/>
    <w:rsid w:val="008A0028"/>
    <w:rsid w:val="008B164E"/>
    <w:rsid w:val="008F4528"/>
    <w:rsid w:val="009220EE"/>
    <w:rsid w:val="0094008C"/>
    <w:rsid w:val="00965C89"/>
    <w:rsid w:val="009A5F3F"/>
    <w:rsid w:val="009B3A1A"/>
    <w:rsid w:val="009E3B15"/>
    <w:rsid w:val="00A16FD1"/>
    <w:rsid w:val="00A229A8"/>
    <w:rsid w:val="00A36CC4"/>
    <w:rsid w:val="00A63FB2"/>
    <w:rsid w:val="00A76B51"/>
    <w:rsid w:val="00AA2792"/>
    <w:rsid w:val="00AD1F94"/>
    <w:rsid w:val="00AE09AC"/>
    <w:rsid w:val="00AE6ED6"/>
    <w:rsid w:val="00B356C1"/>
    <w:rsid w:val="00B367E5"/>
    <w:rsid w:val="00B7185C"/>
    <w:rsid w:val="00B71A80"/>
    <w:rsid w:val="00B85BD6"/>
    <w:rsid w:val="00BA41A2"/>
    <w:rsid w:val="00BE330F"/>
    <w:rsid w:val="00C22749"/>
    <w:rsid w:val="00C30496"/>
    <w:rsid w:val="00C643F1"/>
    <w:rsid w:val="00C66322"/>
    <w:rsid w:val="00C70607"/>
    <w:rsid w:val="00C70D89"/>
    <w:rsid w:val="00C74211"/>
    <w:rsid w:val="00C74731"/>
    <w:rsid w:val="00C97A68"/>
    <w:rsid w:val="00C97D9F"/>
    <w:rsid w:val="00CA1A47"/>
    <w:rsid w:val="00CC5EBD"/>
    <w:rsid w:val="00CD6D0C"/>
    <w:rsid w:val="00CF0967"/>
    <w:rsid w:val="00CF284D"/>
    <w:rsid w:val="00D13B66"/>
    <w:rsid w:val="00D2045D"/>
    <w:rsid w:val="00D52000"/>
    <w:rsid w:val="00DB0005"/>
    <w:rsid w:val="00DB4CF9"/>
    <w:rsid w:val="00DC2BA4"/>
    <w:rsid w:val="00DC2E60"/>
    <w:rsid w:val="00DC6BB1"/>
    <w:rsid w:val="00DD0E34"/>
    <w:rsid w:val="00DD1394"/>
    <w:rsid w:val="00E023D9"/>
    <w:rsid w:val="00E10F80"/>
    <w:rsid w:val="00E20C9E"/>
    <w:rsid w:val="00E314BD"/>
    <w:rsid w:val="00E71361"/>
    <w:rsid w:val="00E972C2"/>
    <w:rsid w:val="00E975B7"/>
    <w:rsid w:val="00F14DCF"/>
    <w:rsid w:val="00F83325"/>
    <w:rsid w:val="00F85437"/>
    <w:rsid w:val="00F94149"/>
    <w:rsid w:val="00F949FE"/>
    <w:rsid w:val="00FA27A6"/>
    <w:rsid w:val="00FA75F7"/>
    <w:rsid w:val="00FB5DE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1630"/>
  <w15:chartTrackingRefBased/>
  <w15:docId w15:val="{30A2990A-E7CC-4711-B2FB-85245AD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4F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Olstomnmnande">
    <w:name w:val="Unresolved Mention"/>
    <w:basedOn w:val="Standardstycketeckensnitt"/>
    <w:uiPriority w:val="99"/>
    <w:semiHidden/>
    <w:unhideWhenUsed/>
    <w:rsid w:val="00B3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5589">
      <w:bodyDiv w:val="1"/>
      <w:marLeft w:val="0"/>
      <w:marRight w:val="0"/>
      <w:marTop w:val="0"/>
      <w:marBottom w:val="0"/>
      <w:divBdr>
        <w:top w:val="none" w:sz="0" w:space="0" w:color="auto"/>
        <w:left w:val="none" w:sz="0" w:space="0" w:color="auto"/>
        <w:bottom w:val="none" w:sz="0" w:space="0" w:color="auto"/>
        <w:right w:val="none" w:sz="0" w:space="0" w:color="auto"/>
      </w:divBdr>
    </w:div>
    <w:div w:id="385690877">
      <w:bodyDiv w:val="1"/>
      <w:marLeft w:val="0"/>
      <w:marRight w:val="0"/>
      <w:marTop w:val="0"/>
      <w:marBottom w:val="0"/>
      <w:divBdr>
        <w:top w:val="none" w:sz="0" w:space="0" w:color="auto"/>
        <w:left w:val="none" w:sz="0" w:space="0" w:color="auto"/>
        <w:bottom w:val="none" w:sz="0" w:space="0" w:color="auto"/>
        <w:right w:val="none" w:sz="0" w:space="0" w:color="auto"/>
      </w:divBdr>
      <w:divsChild>
        <w:div w:id="1992558958">
          <w:marLeft w:val="0"/>
          <w:marRight w:val="0"/>
          <w:marTop w:val="0"/>
          <w:marBottom w:val="450"/>
          <w:divBdr>
            <w:top w:val="none" w:sz="0" w:space="0" w:color="auto"/>
            <w:left w:val="none" w:sz="0" w:space="0" w:color="auto"/>
            <w:bottom w:val="none" w:sz="0" w:space="0" w:color="auto"/>
            <w:right w:val="none" w:sz="0" w:space="0" w:color="auto"/>
          </w:divBdr>
        </w:div>
        <w:div w:id="1431511125">
          <w:marLeft w:val="0"/>
          <w:marRight w:val="0"/>
          <w:marTop w:val="0"/>
          <w:marBottom w:val="450"/>
          <w:divBdr>
            <w:top w:val="none" w:sz="0" w:space="0" w:color="auto"/>
            <w:left w:val="none" w:sz="0" w:space="0" w:color="auto"/>
            <w:bottom w:val="none" w:sz="0" w:space="0" w:color="auto"/>
            <w:right w:val="none" w:sz="0" w:space="0" w:color="auto"/>
          </w:divBdr>
        </w:div>
        <w:div w:id="1800680188">
          <w:marLeft w:val="0"/>
          <w:marRight w:val="0"/>
          <w:marTop w:val="0"/>
          <w:marBottom w:val="450"/>
          <w:divBdr>
            <w:top w:val="none" w:sz="0" w:space="0" w:color="auto"/>
            <w:left w:val="none" w:sz="0" w:space="0" w:color="auto"/>
            <w:bottom w:val="none" w:sz="0" w:space="0" w:color="auto"/>
            <w:right w:val="none" w:sz="0" w:space="0" w:color="auto"/>
          </w:divBdr>
        </w:div>
      </w:divsChild>
    </w:div>
    <w:div w:id="489489489">
      <w:bodyDiv w:val="1"/>
      <w:marLeft w:val="0"/>
      <w:marRight w:val="0"/>
      <w:marTop w:val="0"/>
      <w:marBottom w:val="0"/>
      <w:divBdr>
        <w:top w:val="none" w:sz="0" w:space="0" w:color="auto"/>
        <w:left w:val="none" w:sz="0" w:space="0" w:color="auto"/>
        <w:bottom w:val="none" w:sz="0" w:space="0" w:color="auto"/>
        <w:right w:val="none" w:sz="0" w:space="0" w:color="auto"/>
      </w:divBdr>
    </w:div>
    <w:div w:id="991568029">
      <w:bodyDiv w:val="1"/>
      <w:marLeft w:val="0"/>
      <w:marRight w:val="0"/>
      <w:marTop w:val="0"/>
      <w:marBottom w:val="0"/>
      <w:divBdr>
        <w:top w:val="none" w:sz="0" w:space="0" w:color="auto"/>
        <w:left w:val="none" w:sz="0" w:space="0" w:color="auto"/>
        <w:bottom w:val="none" w:sz="0" w:space="0" w:color="auto"/>
        <w:right w:val="none" w:sz="0" w:space="0" w:color="auto"/>
      </w:divBdr>
      <w:divsChild>
        <w:div w:id="821653486">
          <w:marLeft w:val="0"/>
          <w:marRight w:val="0"/>
          <w:marTop w:val="0"/>
          <w:marBottom w:val="450"/>
          <w:divBdr>
            <w:top w:val="none" w:sz="0" w:space="0" w:color="auto"/>
            <w:left w:val="none" w:sz="0" w:space="0" w:color="auto"/>
            <w:bottom w:val="none" w:sz="0" w:space="0" w:color="auto"/>
            <w:right w:val="none" w:sz="0" w:space="0" w:color="auto"/>
          </w:divBdr>
        </w:div>
        <w:div w:id="776100765">
          <w:marLeft w:val="0"/>
          <w:marRight w:val="0"/>
          <w:marTop w:val="0"/>
          <w:marBottom w:val="450"/>
          <w:divBdr>
            <w:top w:val="none" w:sz="0" w:space="0" w:color="auto"/>
            <w:left w:val="none" w:sz="0" w:space="0" w:color="auto"/>
            <w:bottom w:val="none" w:sz="0" w:space="0" w:color="auto"/>
            <w:right w:val="none" w:sz="0" w:space="0" w:color="auto"/>
          </w:divBdr>
        </w:div>
      </w:divsChild>
    </w:div>
    <w:div w:id="1151094696">
      <w:bodyDiv w:val="1"/>
      <w:marLeft w:val="0"/>
      <w:marRight w:val="0"/>
      <w:marTop w:val="0"/>
      <w:marBottom w:val="0"/>
      <w:divBdr>
        <w:top w:val="none" w:sz="0" w:space="0" w:color="auto"/>
        <w:left w:val="none" w:sz="0" w:space="0" w:color="auto"/>
        <w:bottom w:val="none" w:sz="0" w:space="0" w:color="auto"/>
        <w:right w:val="none" w:sz="0" w:space="0" w:color="auto"/>
      </w:divBdr>
    </w:div>
    <w:div w:id="1466434874">
      <w:bodyDiv w:val="1"/>
      <w:marLeft w:val="0"/>
      <w:marRight w:val="0"/>
      <w:marTop w:val="0"/>
      <w:marBottom w:val="0"/>
      <w:divBdr>
        <w:top w:val="none" w:sz="0" w:space="0" w:color="auto"/>
        <w:left w:val="none" w:sz="0" w:space="0" w:color="auto"/>
        <w:bottom w:val="none" w:sz="0" w:space="0" w:color="auto"/>
        <w:right w:val="none" w:sz="0" w:space="0" w:color="auto"/>
      </w:divBdr>
    </w:div>
    <w:div w:id="1663774258">
      <w:bodyDiv w:val="1"/>
      <w:marLeft w:val="0"/>
      <w:marRight w:val="0"/>
      <w:marTop w:val="0"/>
      <w:marBottom w:val="0"/>
      <w:divBdr>
        <w:top w:val="none" w:sz="0" w:space="0" w:color="auto"/>
        <w:left w:val="none" w:sz="0" w:space="0" w:color="auto"/>
        <w:bottom w:val="none" w:sz="0" w:space="0" w:color="auto"/>
        <w:right w:val="none" w:sz="0" w:space="0" w:color="auto"/>
      </w:divBdr>
    </w:div>
    <w:div w:id="1874921664">
      <w:bodyDiv w:val="1"/>
      <w:marLeft w:val="0"/>
      <w:marRight w:val="0"/>
      <w:marTop w:val="0"/>
      <w:marBottom w:val="0"/>
      <w:divBdr>
        <w:top w:val="none" w:sz="0" w:space="0" w:color="auto"/>
        <w:left w:val="none" w:sz="0" w:space="0" w:color="auto"/>
        <w:bottom w:val="none" w:sz="0" w:space="0" w:color="auto"/>
        <w:right w:val="none" w:sz="0" w:space="0" w:color="auto"/>
      </w:divBdr>
    </w:div>
    <w:div w:id="20827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6</Pages>
  <Words>2239</Words>
  <Characters>11663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13875</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Rickard Stenman</dc:creator>
  <cp:keywords/>
  <dc:description/>
  <cp:lastModifiedBy>Jessica Laaksonen</cp:lastModifiedBy>
  <cp:revision>2</cp:revision>
  <cp:lastPrinted>2001-02-13T09:44:00Z</cp:lastPrinted>
  <dcterms:created xsi:type="dcterms:W3CDTF">2025-09-04T09:19:00Z</dcterms:created>
  <dcterms:modified xsi:type="dcterms:W3CDTF">2025-09-04T09:19:00Z</dcterms:modified>
</cp:coreProperties>
</file>