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E176B5B" w14:textId="77777777">
        <w:trPr>
          <w:cantSplit/>
          <w:trHeight w:val="20"/>
        </w:trPr>
        <w:tc>
          <w:tcPr>
            <w:tcW w:w="861" w:type="dxa"/>
            <w:vMerge w:val="restart"/>
          </w:tcPr>
          <w:p w14:paraId="37BF42C3" w14:textId="746E016F" w:rsidR="00AF3004" w:rsidRDefault="00E533D8">
            <w:pPr>
              <w:pStyle w:val="xLedtext"/>
              <w:keepNext/>
              <w:rPr>
                <w:noProof/>
              </w:rPr>
            </w:pPr>
            <w:r>
              <w:rPr>
                <w:noProof/>
                <w:sz w:val="20"/>
              </w:rPr>
              <w:drawing>
                <wp:anchor distT="0" distB="0" distL="114300" distR="114300" simplePos="0" relativeHeight="251657728" behindDoc="0" locked="0" layoutInCell="1" allowOverlap="1" wp14:anchorId="0FAC3A5B" wp14:editId="3B39F7E2">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F71069C" w14:textId="7CF91E84" w:rsidR="00AF3004" w:rsidRDefault="00E533D8">
            <w:pPr>
              <w:pStyle w:val="xMellanrum"/>
            </w:pPr>
            <w:r>
              <w:rPr>
                <w:noProof/>
              </w:rPr>
              <w:drawing>
                <wp:inline distT="0" distB="0" distL="0" distR="0" wp14:anchorId="5D477412" wp14:editId="7F47B509">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23D4ED3" w14:textId="77777777">
        <w:trPr>
          <w:cantSplit/>
          <w:trHeight w:val="299"/>
        </w:trPr>
        <w:tc>
          <w:tcPr>
            <w:tcW w:w="861" w:type="dxa"/>
            <w:vMerge/>
          </w:tcPr>
          <w:p w14:paraId="137E765A" w14:textId="77777777" w:rsidR="00AF3004" w:rsidRDefault="00AF3004">
            <w:pPr>
              <w:pStyle w:val="xLedtext"/>
            </w:pPr>
          </w:p>
        </w:tc>
        <w:tc>
          <w:tcPr>
            <w:tcW w:w="4448" w:type="dxa"/>
            <w:vAlign w:val="bottom"/>
          </w:tcPr>
          <w:p w14:paraId="758F0A92" w14:textId="77777777" w:rsidR="00AF3004" w:rsidRDefault="00AF3004">
            <w:pPr>
              <w:pStyle w:val="xAvsandare1"/>
            </w:pPr>
          </w:p>
        </w:tc>
        <w:tc>
          <w:tcPr>
            <w:tcW w:w="4288" w:type="dxa"/>
            <w:gridSpan w:val="2"/>
            <w:vAlign w:val="bottom"/>
          </w:tcPr>
          <w:p w14:paraId="0B9585DE" w14:textId="3611811C" w:rsidR="00AF3004" w:rsidRDefault="00D745D5">
            <w:pPr>
              <w:pStyle w:val="xDokTypNr"/>
            </w:pPr>
            <w:r>
              <w:t>LAGFÖRSLAG</w:t>
            </w:r>
            <w:r w:rsidR="00AF3004">
              <w:t xml:space="preserve"> nr </w:t>
            </w:r>
            <w:r w:rsidR="005736C4">
              <w:t>24</w:t>
            </w:r>
            <w:r w:rsidR="00AF3004">
              <w:t>/</w:t>
            </w:r>
            <w:proofErr w:type="gramStart"/>
            <w:r w:rsidR="00AF3004">
              <w:t>20</w:t>
            </w:r>
            <w:r w:rsidR="005736C4">
              <w:t>24</w:t>
            </w:r>
            <w:r w:rsidR="00AF3004">
              <w:t>-20</w:t>
            </w:r>
            <w:r w:rsidR="005736C4">
              <w:t>25</w:t>
            </w:r>
            <w:proofErr w:type="gramEnd"/>
          </w:p>
        </w:tc>
      </w:tr>
      <w:tr w:rsidR="00AF3004" w14:paraId="748F1FC4" w14:textId="77777777">
        <w:trPr>
          <w:cantSplit/>
          <w:trHeight w:val="238"/>
        </w:trPr>
        <w:tc>
          <w:tcPr>
            <w:tcW w:w="861" w:type="dxa"/>
            <w:vMerge/>
          </w:tcPr>
          <w:p w14:paraId="05059879" w14:textId="77777777" w:rsidR="00AF3004" w:rsidRDefault="00AF3004">
            <w:pPr>
              <w:pStyle w:val="xLedtext"/>
            </w:pPr>
          </w:p>
        </w:tc>
        <w:tc>
          <w:tcPr>
            <w:tcW w:w="4448" w:type="dxa"/>
            <w:vAlign w:val="bottom"/>
          </w:tcPr>
          <w:p w14:paraId="42B706B1" w14:textId="77777777" w:rsidR="00AF3004" w:rsidRDefault="00AF3004">
            <w:pPr>
              <w:pStyle w:val="xLedtext"/>
            </w:pPr>
          </w:p>
        </w:tc>
        <w:tc>
          <w:tcPr>
            <w:tcW w:w="1725" w:type="dxa"/>
            <w:vAlign w:val="bottom"/>
          </w:tcPr>
          <w:p w14:paraId="02888FA2" w14:textId="77777777" w:rsidR="00AF3004" w:rsidRDefault="00AF3004">
            <w:pPr>
              <w:pStyle w:val="xLedtext"/>
              <w:rPr>
                <w:lang w:val="de-DE"/>
              </w:rPr>
            </w:pPr>
            <w:r>
              <w:rPr>
                <w:lang w:val="de-DE"/>
              </w:rPr>
              <w:t>Datum</w:t>
            </w:r>
          </w:p>
        </w:tc>
        <w:tc>
          <w:tcPr>
            <w:tcW w:w="2563" w:type="dxa"/>
            <w:vAlign w:val="bottom"/>
          </w:tcPr>
          <w:p w14:paraId="4BFAEE27" w14:textId="77777777" w:rsidR="00AF3004" w:rsidRDefault="00AF3004">
            <w:pPr>
              <w:pStyle w:val="xLedtext"/>
              <w:rPr>
                <w:lang w:val="de-DE"/>
              </w:rPr>
            </w:pPr>
          </w:p>
        </w:tc>
      </w:tr>
      <w:tr w:rsidR="00AF3004" w14:paraId="74DF4DA1" w14:textId="77777777">
        <w:trPr>
          <w:cantSplit/>
          <w:trHeight w:val="238"/>
        </w:trPr>
        <w:tc>
          <w:tcPr>
            <w:tcW w:w="861" w:type="dxa"/>
            <w:vMerge/>
          </w:tcPr>
          <w:p w14:paraId="31C28BA1" w14:textId="77777777" w:rsidR="00AF3004" w:rsidRDefault="00AF3004">
            <w:pPr>
              <w:pStyle w:val="xAvsandare2"/>
              <w:rPr>
                <w:lang w:val="de-DE"/>
              </w:rPr>
            </w:pPr>
          </w:p>
        </w:tc>
        <w:tc>
          <w:tcPr>
            <w:tcW w:w="4448" w:type="dxa"/>
            <w:vAlign w:val="center"/>
          </w:tcPr>
          <w:p w14:paraId="0F7368D9" w14:textId="77777777" w:rsidR="00AF3004" w:rsidRDefault="00AF3004">
            <w:pPr>
              <w:pStyle w:val="xAvsandare2"/>
              <w:rPr>
                <w:lang w:val="de-DE"/>
              </w:rPr>
            </w:pPr>
          </w:p>
        </w:tc>
        <w:tc>
          <w:tcPr>
            <w:tcW w:w="1725" w:type="dxa"/>
            <w:vAlign w:val="center"/>
          </w:tcPr>
          <w:p w14:paraId="5989F9A3" w14:textId="1386D1DB" w:rsidR="00AF3004" w:rsidRDefault="00AF3004">
            <w:pPr>
              <w:pStyle w:val="xDatum1"/>
              <w:rPr>
                <w:lang w:val="de-DE"/>
              </w:rPr>
            </w:pPr>
            <w:r>
              <w:rPr>
                <w:lang w:val="de-DE"/>
              </w:rPr>
              <w:t>20</w:t>
            </w:r>
            <w:r w:rsidR="00D9550E">
              <w:rPr>
                <w:lang w:val="de-DE"/>
              </w:rPr>
              <w:t>25</w:t>
            </w:r>
            <w:r>
              <w:rPr>
                <w:lang w:val="de-DE"/>
              </w:rPr>
              <w:t>-</w:t>
            </w:r>
            <w:r w:rsidR="00D9550E">
              <w:rPr>
                <w:lang w:val="de-DE"/>
              </w:rPr>
              <w:t>0</w:t>
            </w:r>
            <w:r w:rsidR="00D745D5">
              <w:rPr>
                <w:lang w:val="de-DE"/>
              </w:rPr>
              <w:t>5</w:t>
            </w:r>
            <w:r>
              <w:rPr>
                <w:lang w:val="de-DE"/>
              </w:rPr>
              <w:t>-</w:t>
            </w:r>
            <w:r w:rsidR="00D9550E">
              <w:rPr>
                <w:lang w:val="de-DE"/>
              </w:rPr>
              <w:t>2</w:t>
            </w:r>
            <w:r w:rsidR="005736C4">
              <w:rPr>
                <w:lang w:val="de-DE"/>
              </w:rPr>
              <w:t>8</w:t>
            </w:r>
          </w:p>
        </w:tc>
        <w:tc>
          <w:tcPr>
            <w:tcW w:w="2563" w:type="dxa"/>
            <w:vAlign w:val="center"/>
          </w:tcPr>
          <w:p w14:paraId="1D3AD3E2" w14:textId="77777777" w:rsidR="00AF3004" w:rsidRDefault="00AF3004">
            <w:pPr>
              <w:pStyle w:val="xBeteckning1"/>
              <w:rPr>
                <w:lang w:val="de-DE"/>
              </w:rPr>
            </w:pPr>
          </w:p>
        </w:tc>
      </w:tr>
      <w:tr w:rsidR="00AF3004" w14:paraId="01B3C6F0" w14:textId="77777777">
        <w:trPr>
          <w:cantSplit/>
          <w:trHeight w:val="238"/>
        </w:trPr>
        <w:tc>
          <w:tcPr>
            <w:tcW w:w="861" w:type="dxa"/>
            <w:vMerge/>
          </w:tcPr>
          <w:p w14:paraId="35B21319" w14:textId="77777777" w:rsidR="00AF3004" w:rsidRDefault="00AF3004">
            <w:pPr>
              <w:pStyle w:val="xLedtext"/>
              <w:rPr>
                <w:lang w:val="de-DE"/>
              </w:rPr>
            </w:pPr>
          </w:p>
        </w:tc>
        <w:tc>
          <w:tcPr>
            <w:tcW w:w="4448" w:type="dxa"/>
            <w:vAlign w:val="bottom"/>
          </w:tcPr>
          <w:p w14:paraId="0B93786F" w14:textId="77777777" w:rsidR="00AF3004" w:rsidRDefault="00AF3004">
            <w:pPr>
              <w:pStyle w:val="xLedtext"/>
              <w:rPr>
                <w:lang w:val="de-DE"/>
              </w:rPr>
            </w:pPr>
          </w:p>
        </w:tc>
        <w:tc>
          <w:tcPr>
            <w:tcW w:w="1725" w:type="dxa"/>
            <w:vAlign w:val="bottom"/>
          </w:tcPr>
          <w:p w14:paraId="337FDF57" w14:textId="77777777" w:rsidR="00AF3004" w:rsidRDefault="00AF3004">
            <w:pPr>
              <w:pStyle w:val="xLedtext"/>
              <w:rPr>
                <w:lang w:val="de-DE"/>
              </w:rPr>
            </w:pPr>
          </w:p>
        </w:tc>
        <w:tc>
          <w:tcPr>
            <w:tcW w:w="2563" w:type="dxa"/>
            <w:vAlign w:val="bottom"/>
          </w:tcPr>
          <w:p w14:paraId="4BA7DC1B" w14:textId="77777777" w:rsidR="00AF3004" w:rsidRDefault="00AF3004">
            <w:pPr>
              <w:pStyle w:val="xLedtext"/>
              <w:rPr>
                <w:lang w:val="de-DE"/>
              </w:rPr>
            </w:pPr>
          </w:p>
        </w:tc>
      </w:tr>
      <w:tr w:rsidR="00AF3004" w14:paraId="70F0907F" w14:textId="77777777">
        <w:trPr>
          <w:cantSplit/>
          <w:trHeight w:val="238"/>
        </w:trPr>
        <w:tc>
          <w:tcPr>
            <w:tcW w:w="861" w:type="dxa"/>
            <w:vMerge/>
            <w:tcBorders>
              <w:bottom w:val="single" w:sz="4" w:space="0" w:color="auto"/>
            </w:tcBorders>
          </w:tcPr>
          <w:p w14:paraId="68E39178" w14:textId="77777777" w:rsidR="00AF3004" w:rsidRDefault="00AF3004">
            <w:pPr>
              <w:pStyle w:val="xAvsandare3"/>
              <w:rPr>
                <w:lang w:val="de-DE"/>
              </w:rPr>
            </w:pPr>
          </w:p>
        </w:tc>
        <w:tc>
          <w:tcPr>
            <w:tcW w:w="4448" w:type="dxa"/>
            <w:tcBorders>
              <w:bottom w:val="single" w:sz="4" w:space="0" w:color="auto"/>
            </w:tcBorders>
            <w:vAlign w:val="center"/>
          </w:tcPr>
          <w:p w14:paraId="7D508FD8" w14:textId="77777777" w:rsidR="00AF3004" w:rsidRDefault="00AF3004">
            <w:pPr>
              <w:pStyle w:val="xAvsandare3"/>
              <w:rPr>
                <w:lang w:val="de-DE"/>
              </w:rPr>
            </w:pPr>
          </w:p>
        </w:tc>
        <w:tc>
          <w:tcPr>
            <w:tcW w:w="1725" w:type="dxa"/>
            <w:tcBorders>
              <w:bottom w:val="single" w:sz="4" w:space="0" w:color="auto"/>
            </w:tcBorders>
            <w:vAlign w:val="center"/>
          </w:tcPr>
          <w:p w14:paraId="16AB4DDA" w14:textId="77777777" w:rsidR="00AF3004" w:rsidRDefault="00AF3004">
            <w:pPr>
              <w:pStyle w:val="xDatum2"/>
              <w:rPr>
                <w:lang w:val="de-DE"/>
              </w:rPr>
            </w:pPr>
          </w:p>
        </w:tc>
        <w:tc>
          <w:tcPr>
            <w:tcW w:w="2563" w:type="dxa"/>
            <w:tcBorders>
              <w:bottom w:val="single" w:sz="4" w:space="0" w:color="auto"/>
            </w:tcBorders>
            <w:vAlign w:val="center"/>
          </w:tcPr>
          <w:p w14:paraId="44D66BC0" w14:textId="77777777" w:rsidR="00AF3004" w:rsidRDefault="00AF3004">
            <w:pPr>
              <w:pStyle w:val="xBeteckning2"/>
              <w:rPr>
                <w:lang w:val="de-DE"/>
              </w:rPr>
            </w:pPr>
          </w:p>
        </w:tc>
      </w:tr>
      <w:tr w:rsidR="00AF3004" w14:paraId="7C69E40D" w14:textId="77777777">
        <w:trPr>
          <w:cantSplit/>
          <w:trHeight w:val="238"/>
        </w:trPr>
        <w:tc>
          <w:tcPr>
            <w:tcW w:w="861" w:type="dxa"/>
            <w:tcBorders>
              <w:top w:val="single" w:sz="4" w:space="0" w:color="auto"/>
            </w:tcBorders>
            <w:vAlign w:val="bottom"/>
          </w:tcPr>
          <w:p w14:paraId="57E4399E" w14:textId="77777777" w:rsidR="00AF3004" w:rsidRDefault="00AF3004">
            <w:pPr>
              <w:pStyle w:val="xLedtext"/>
              <w:rPr>
                <w:lang w:val="de-DE"/>
              </w:rPr>
            </w:pPr>
          </w:p>
        </w:tc>
        <w:tc>
          <w:tcPr>
            <w:tcW w:w="4448" w:type="dxa"/>
            <w:tcBorders>
              <w:top w:val="single" w:sz="4" w:space="0" w:color="auto"/>
            </w:tcBorders>
            <w:vAlign w:val="bottom"/>
          </w:tcPr>
          <w:p w14:paraId="69834860" w14:textId="77777777" w:rsidR="00AF3004" w:rsidRDefault="00AF3004">
            <w:pPr>
              <w:pStyle w:val="xLedtext"/>
              <w:rPr>
                <w:lang w:val="de-DE"/>
              </w:rPr>
            </w:pPr>
          </w:p>
        </w:tc>
        <w:tc>
          <w:tcPr>
            <w:tcW w:w="4288" w:type="dxa"/>
            <w:gridSpan w:val="2"/>
            <w:tcBorders>
              <w:top w:val="single" w:sz="4" w:space="0" w:color="auto"/>
            </w:tcBorders>
            <w:vAlign w:val="bottom"/>
          </w:tcPr>
          <w:p w14:paraId="6C7C6CE1" w14:textId="77777777" w:rsidR="00AF3004" w:rsidRDefault="00AF3004">
            <w:pPr>
              <w:pStyle w:val="xLedtext"/>
              <w:rPr>
                <w:lang w:val="de-DE"/>
              </w:rPr>
            </w:pPr>
          </w:p>
        </w:tc>
      </w:tr>
      <w:tr w:rsidR="00AF3004" w14:paraId="56FACD51" w14:textId="77777777">
        <w:trPr>
          <w:cantSplit/>
          <w:trHeight w:val="238"/>
        </w:trPr>
        <w:tc>
          <w:tcPr>
            <w:tcW w:w="861" w:type="dxa"/>
          </w:tcPr>
          <w:p w14:paraId="055ED1B8" w14:textId="77777777" w:rsidR="00AF3004" w:rsidRDefault="00AF3004">
            <w:pPr>
              <w:pStyle w:val="xCelltext"/>
              <w:rPr>
                <w:lang w:val="de-DE"/>
              </w:rPr>
            </w:pPr>
          </w:p>
        </w:tc>
        <w:tc>
          <w:tcPr>
            <w:tcW w:w="4448" w:type="dxa"/>
            <w:vMerge w:val="restart"/>
          </w:tcPr>
          <w:p w14:paraId="21A03139" w14:textId="77777777" w:rsidR="00AF3004" w:rsidRDefault="00AF3004">
            <w:pPr>
              <w:pStyle w:val="xMottagare1"/>
            </w:pPr>
            <w:bookmarkStart w:id="0" w:name="_top"/>
            <w:bookmarkEnd w:id="0"/>
            <w:r>
              <w:t>Till Ålands lagting</w:t>
            </w:r>
          </w:p>
        </w:tc>
        <w:tc>
          <w:tcPr>
            <w:tcW w:w="4288" w:type="dxa"/>
            <w:gridSpan w:val="2"/>
            <w:vMerge w:val="restart"/>
          </w:tcPr>
          <w:p w14:paraId="198D2616" w14:textId="77777777" w:rsidR="00AF3004" w:rsidRDefault="00AF3004">
            <w:pPr>
              <w:pStyle w:val="xMottagare1"/>
              <w:tabs>
                <w:tab w:val="left" w:pos="2349"/>
              </w:tabs>
            </w:pPr>
          </w:p>
        </w:tc>
      </w:tr>
      <w:tr w:rsidR="00AF3004" w14:paraId="298286CD" w14:textId="77777777">
        <w:trPr>
          <w:cantSplit/>
          <w:trHeight w:val="238"/>
        </w:trPr>
        <w:tc>
          <w:tcPr>
            <w:tcW w:w="861" w:type="dxa"/>
          </w:tcPr>
          <w:p w14:paraId="6EA38686" w14:textId="77777777" w:rsidR="00AF3004" w:rsidRDefault="00AF3004">
            <w:pPr>
              <w:pStyle w:val="xCelltext"/>
            </w:pPr>
          </w:p>
        </w:tc>
        <w:tc>
          <w:tcPr>
            <w:tcW w:w="4448" w:type="dxa"/>
            <w:vMerge/>
            <w:vAlign w:val="center"/>
          </w:tcPr>
          <w:p w14:paraId="126CA450" w14:textId="77777777" w:rsidR="00AF3004" w:rsidRDefault="00AF3004">
            <w:pPr>
              <w:pStyle w:val="xCelltext"/>
            </w:pPr>
          </w:p>
        </w:tc>
        <w:tc>
          <w:tcPr>
            <w:tcW w:w="4288" w:type="dxa"/>
            <w:gridSpan w:val="2"/>
            <w:vMerge/>
            <w:vAlign w:val="center"/>
          </w:tcPr>
          <w:p w14:paraId="6CE85E9C" w14:textId="77777777" w:rsidR="00AF3004" w:rsidRDefault="00AF3004">
            <w:pPr>
              <w:pStyle w:val="xCelltext"/>
            </w:pPr>
          </w:p>
        </w:tc>
      </w:tr>
      <w:tr w:rsidR="00AF3004" w14:paraId="5420549C" w14:textId="77777777">
        <w:trPr>
          <w:cantSplit/>
          <w:trHeight w:val="238"/>
        </w:trPr>
        <w:tc>
          <w:tcPr>
            <w:tcW w:w="861" w:type="dxa"/>
          </w:tcPr>
          <w:p w14:paraId="0F7A3154" w14:textId="77777777" w:rsidR="00AF3004" w:rsidRDefault="00AF3004">
            <w:pPr>
              <w:pStyle w:val="xCelltext"/>
            </w:pPr>
          </w:p>
        </w:tc>
        <w:tc>
          <w:tcPr>
            <w:tcW w:w="4448" w:type="dxa"/>
            <w:vMerge/>
            <w:vAlign w:val="center"/>
          </w:tcPr>
          <w:p w14:paraId="5DC32899" w14:textId="77777777" w:rsidR="00AF3004" w:rsidRDefault="00AF3004">
            <w:pPr>
              <w:pStyle w:val="xCelltext"/>
            </w:pPr>
          </w:p>
        </w:tc>
        <w:tc>
          <w:tcPr>
            <w:tcW w:w="4288" w:type="dxa"/>
            <w:gridSpan w:val="2"/>
            <w:vMerge/>
            <w:vAlign w:val="center"/>
          </w:tcPr>
          <w:p w14:paraId="22F9618E" w14:textId="77777777" w:rsidR="00AF3004" w:rsidRDefault="00AF3004">
            <w:pPr>
              <w:pStyle w:val="xCelltext"/>
            </w:pPr>
          </w:p>
        </w:tc>
      </w:tr>
      <w:tr w:rsidR="00AF3004" w14:paraId="2C96CB2A" w14:textId="77777777">
        <w:trPr>
          <w:cantSplit/>
          <w:trHeight w:val="238"/>
        </w:trPr>
        <w:tc>
          <w:tcPr>
            <w:tcW w:w="861" w:type="dxa"/>
          </w:tcPr>
          <w:p w14:paraId="775ABE35" w14:textId="77777777" w:rsidR="00AF3004" w:rsidRDefault="00AF3004">
            <w:pPr>
              <w:pStyle w:val="xCelltext"/>
            </w:pPr>
          </w:p>
        </w:tc>
        <w:tc>
          <w:tcPr>
            <w:tcW w:w="4448" w:type="dxa"/>
            <w:vMerge/>
            <w:vAlign w:val="center"/>
          </w:tcPr>
          <w:p w14:paraId="6F3FF9C7" w14:textId="77777777" w:rsidR="00AF3004" w:rsidRDefault="00AF3004">
            <w:pPr>
              <w:pStyle w:val="xCelltext"/>
            </w:pPr>
          </w:p>
        </w:tc>
        <w:tc>
          <w:tcPr>
            <w:tcW w:w="4288" w:type="dxa"/>
            <w:gridSpan w:val="2"/>
            <w:vMerge/>
            <w:vAlign w:val="center"/>
          </w:tcPr>
          <w:p w14:paraId="045E3152" w14:textId="77777777" w:rsidR="00AF3004" w:rsidRDefault="00AF3004">
            <w:pPr>
              <w:pStyle w:val="xCelltext"/>
            </w:pPr>
          </w:p>
        </w:tc>
      </w:tr>
      <w:tr w:rsidR="00AF3004" w14:paraId="4CDAE4A4" w14:textId="77777777">
        <w:trPr>
          <w:cantSplit/>
          <w:trHeight w:val="238"/>
        </w:trPr>
        <w:tc>
          <w:tcPr>
            <w:tcW w:w="861" w:type="dxa"/>
          </w:tcPr>
          <w:p w14:paraId="2FFCE2D3" w14:textId="77777777" w:rsidR="00AF3004" w:rsidRDefault="00AF3004">
            <w:pPr>
              <w:pStyle w:val="xCelltext"/>
            </w:pPr>
          </w:p>
        </w:tc>
        <w:tc>
          <w:tcPr>
            <w:tcW w:w="4448" w:type="dxa"/>
            <w:vMerge/>
            <w:vAlign w:val="center"/>
          </w:tcPr>
          <w:p w14:paraId="139686F5" w14:textId="77777777" w:rsidR="00AF3004" w:rsidRDefault="00AF3004">
            <w:pPr>
              <w:pStyle w:val="xCelltext"/>
            </w:pPr>
          </w:p>
        </w:tc>
        <w:tc>
          <w:tcPr>
            <w:tcW w:w="4288" w:type="dxa"/>
            <w:gridSpan w:val="2"/>
            <w:vMerge/>
            <w:vAlign w:val="center"/>
          </w:tcPr>
          <w:p w14:paraId="10C4115D" w14:textId="77777777" w:rsidR="00AF3004" w:rsidRDefault="00AF3004">
            <w:pPr>
              <w:pStyle w:val="xCelltext"/>
            </w:pPr>
          </w:p>
        </w:tc>
      </w:tr>
    </w:tbl>
    <w:p w14:paraId="048248D7"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1575DC10" w14:textId="01241D05" w:rsidR="00AF3004" w:rsidRDefault="00D745D5" w:rsidP="00FB3B00">
      <w:pPr>
        <w:pStyle w:val="ArendeRubrik"/>
      </w:pPr>
      <w:r>
        <w:t>L</w:t>
      </w:r>
      <w:r w:rsidR="00FB3B00">
        <w:t>ag om handel med utsläppsrätter för</w:t>
      </w:r>
      <w:r w:rsidR="00CF5F35">
        <w:t xml:space="preserve"> </w:t>
      </w:r>
      <w:r w:rsidR="00FB3B00">
        <w:t>distribution av fossila bränslen</w:t>
      </w:r>
    </w:p>
    <w:p w14:paraId="65881EC3" w14:textId="77777777" w:rsidR="00AF3004" w:rsidRDefault="00AF3004">
      <w:pPr>
        <w:pStyle w:val="ANormal"/>
      </w:pPr>
    </w:p>
    <w:p w14:paraId="32110D96" w14:textId="77777777" w:rsidR="00AF3004" w:rsidRDefault="00AF3004">
      <w:pPr>
        <w:pStyle w:val="ANormal"/>
      </w:pPr>
    </w:p>
    <w:p w14:paraId="5342F8CD" w14:textId="77777777" w:rsidR="00AF3004" w:rsidRDefault="00AF3004">
      <w:pPr>
        <w:pStyle w:val="RubrikA"/>
      </w:pPr>
      <w:bookmarkStart w:id="1" w:name="_Toc199244144"/>
      <w:r>
        <w:t>Huvudsakligt innehåll</w:t>
      </w:r>
      <w:bookmarkEnd w:id="1"/>
    </w:p>
    <w:p w14:paraId="4B4FAAFC" w14:textId="77777777" w:rsidR="00AF3004" w:rsidRDefault="00AF3004">
      <w:pPr>
        <w:pStyle w:val="Rubrikmellanrum"/>
      </w:pPr>
    </w:p>
    <w:p w14:paraId="4A5F6F92" w14:textId="23861E51" w:rsidR="00FB3B00" w:rsidRDefault="00FB3B00" w:rsidP="00FB3B00">
      <w:pPr>
        <w:pStyle w:val="ANormal"/>
      </w:pPr>
      <w:r w:rsidRPr="00FB3B00">
        <w:t xml:space="preserve">Landskapsregeringen lämnar förslag till </w:t>
      </w:r>
      <w:r>
        <w:t>en blankettlag om handel med utsläppsrätter för distribution av fossila bränslen. Genom den föreslagna lagen genomförs det reviderade utsläppshandelsdirektivet till den del som gäller handeln med utsläppsrätter för sektorn för separat uppvärmning av byggnader, vägtransportsektorn samt vissa ytterligare sektorer</w:t>
      </w:r>
      <w:r w:rsidR="008B756A">
        <w:t xml:space="preserve"> (ETS 2)</w:t>
      </w:r>
      <w:r>
        <w:t>.</w:t>
      </w:r>
    </w:p>
    <w:p w14:paraId="4A480EB4" w14:textId="77777777" w:rsidR="00FB3B00" w:rsidRDefault="002A5343" w:rsidP="00FB3B00">
      <w:pPr>
        <w:pStyle w:val="ANormal"/>
      </w:pPr>
      <w:r>
        <w:tab/>
      </w:r>
      <w:r w:rsidR="00FB3B00">
        <w:t xml:space="preserve">Genom det reviderade utsläppshandelsdirektivet inrättas en ny utsläppshandel </w:t>
      </w:r>
      <w:r>
        <w:t xml:space="preserve">inom EU </w:t>
      </w:r>
      <w:r w:rsidR="00FB3B00">
        <w:t>som</w:t>
      </w:r>
      <w:r w:rsidR="00EB2752">
        <w:t xml:space="preserve"> </w:t>
      </w:r>
      <w:r w:rsidR="00FB3B00">
        <w:t>gäller bränsledistribution. Det nya utsläppshandelssystem som inrättas är i stort sett</w:t>
      </w:r>
      <w:r w:rsidR="00EB2752">
        <w:t xml:space="preserve"> </w:t>
      </w:r>
      <w:r w:rsidR="00FB3B00">
        <w:t xml:space="preserve">enhetligt med den befintliga utsläppshandeln. </w:t>
      </w:r>
      <w:r w:rsidR="00801CC7">
        <w:t>H</w:t>
      </w:r>
      <w:r w:rsidR="00FB3B00">
        <w:t>andeln med utsläppsrätter för bränsledistribution ska gälla</w:t>
      </w:r>
      <w:r w:rsidR="00801CC7">
        <w:t xml:space="preserve"> </w:t>
      </w:r>
      <w:r w:rsidR="00FB3B00">
        <w:t>fossila bränslen som frisläppts för konsumtion</w:t>
      </w:r>
      <w:r w:rsidR="00801CC7" w:rsidRPr="00801CC7">
        <w:t xml:space="preserve"> </w:t>
      </w:r>
      <w:r w:rsidR="00801CC7">
        <w:t>som är avsedda för förbränning.</w:t>
      </w:r>
      <w:r w:rsidR="00FB3B00">
        <w:t xml:space="preserve"> Lagen ska dock inte tillämpas på bränsle som är avsett för verksamhet som omfattas av </w:t>
      </w:r>
      <w:r w:rsidR="00801CC7">
        <w:t>landskaps</w:t>
      </w:r>
      <w:r w:rsidR="00FB3B00">
        <w:t>lagen</w:t>
      </w:r>
      <w:r w:rsidR="00801CC7">
        <w:t xml:space="preserve"> </w:t>
      </w:r>
      <w:r w:rsidR="00FB3B00">
        <w:t xml:space="preserve">om </w:t>
      </w:r>
      <w:r w:rsidR="00801CC7">
        <w:t xml:space="preserve">tillämpning av riksförfattningar om </w:t>
      </w:r>
      <w:r w:rsidR="00FB3B00">
        <w:t>utsläppshandel eller på bränsle som levereras till flygtransporter eller kommersiella sjötransporter genom separat distribution. Bränslen med</w:t>
      </w:r>
      <w:r w:rsidR="00801CC7">
        <w:t xml:space="preserve"> </w:t>
      </w:r>
      <w:r w:rsidR="00FB3B00">
        <w:t>nollutsläpp ska inte heller omfattas av lagens tillämpningsområde.</w:t>
      </w:r>
    </w:p>
    <w:p w14:paraId="4968E0FD" w14:textId="6B45BDB9" w:rsidR="00FB3B00" w:rsidRDefault="002A5343" w:rsidP="0069695D">
      <w:pPr>
        <w:pStyle w:val="ANormal"/>
      </w:pPr>
      <w:r>
        <w:tab/>
        <w:t>Enligt</w:t>
      </w:r>
      <w:r w:rsidR="00FB3B00">
        <w:t xml:space="preserve"> </w:t>
      </w:r>
      <w:r>
        <w:t xml:space="preserve">rikslagen som görs tillämplig på Åland ska </w:t>
      </w:r>
      <w:r w:rsidR="00FB3B00">
        <w:t>en reglerad enhet</w:t>
      </w:r>
      <w:r w:rsidR="0069695D">
        <w:t>, det vill säga en verksamhetsutövare</w:t>
      </w:r>
      <w:r w:rsidR="00FB3B00">
        <w:t xml:space="preserve"> som frisläpper bränsle för konsumtion</w:t>
      </w:r>
      <w:r w:rsidR="006D54BA">
        <w:t>,</w:t>
      </w:r>
      <w:r w:rsidR="00FB3B00">
        <w:t xml:space="preserve"> ha</w:t>
      </w:r>
      <w:r>
        <w:t xml:space="preserve"> </w:t>
      </w:r>
      <w:r w:rsidR="00FB3B00">
        <w:t>ett utsläppstillstånd och en plan för övervakning av utsläpp</w:t>
      </w:r>
      <w:r w:rsidR="0069695D">
        <w:t>. Den</w:t>
      </w:r>
      <w:r w:rsidR="00FB3B00">
        <w:t xml:space="preserve"> reglerade enhete</w:t>
      </w:r>
      <w:r w:rsidR="0069695D">
        <w:t>n</w:t>
      </w:r>
      <w:r w:rsidR="00FB3B00">
        <w:t xml:space="preserve"> ska</w:t>
      </w:r>
      <w:r w:rsidR="0069695D">
        <w:t xml:space="preserve"> </w:t>
      </w:r>
      <w:r w:rsidR="00FB3B00">
        <w:t>övervaka och låta verifiera sina utsläpp från och med 2025.</w:t>
      </w:r>
    </w:p>
    <w:p w14:paraId="578C1C55" w14:textId="6D8C5A2A" w:rsidR="0069695D" w:rsidRDefault="0069695D" w:rsidP="0069695D">
      <w:pPr>
        <w:pStyle w:val="ANormal"/>
      </w:pPr>
      <w:r>
        <w:tab/>
        <w:t xml:space="preserve">I riket är det </w:t>
      </w:r>
      <w:r w:rsidR="00FB3B00">
        <w:t xml:space="preserve">Energimyndigheten </w:t>
      </w:r>
      <w:r>
        <w:t xml:space="preserve">som </w:t>
      </w:r>
      <w:r w:rsidR="00FB3B00">
        <w:t>svara</w:t>
      </w:r>
      <w:r>
        <w:t>r</w:t>
      </w:r>
      <w:r w:rsidR="00FB3B00">
        <w:t xml:space="preserve"> för tillsynen över handeln med utsläppsrätter för</w:t>
      </w:r>
      <w:r>
        <w:t xml:space="preserve"> </w:t>
      </w:r>
      <w:r w:rsidR="00FB3B00">
        <w:t>bränsledistribution</w:t>
      </w:r>
      <w:r>
        <w:t>,</w:t>
      </w:r>
      <w:r w:rsidR="00FB3B00">
        <w:t xml:space="preserve"> </w:t>
      </w:r>
      <w:r>
        <w:t>är</w:t>
      </w:r>
      <w:r w:rsidR="00FB3B00">
        <w:t xml:space="preserve"> registermyndighet och auktionsförrättare. </w:t>
      </w:r>
      <w:r>
        <w:t>På Åland kommer Ålands energimyndighet att ha den rollen men avsikten är att genom en överenskommelseförordning överföra uppgifterna på riket.</w:t>
      </w:r>
    </w:p>
    <w:p w14:paraId="3527BB3A" w14:textId="14CDB64A" w:rsidR="00AF3004" w:rsidRDefault="0069695D" w:rsidP="0069695D">
      <w:pPr>
        <w:pStyle w:val="ANormal"/>
      </w:pPr>
      <w:r>
        <w:tab/>
      </w:r>
      <w:r w:rsidRPr="00B01687">
        <w:t>Lagförslaget bör behandlas så snabbt som möjligt då direktivets genomförandetid gick ut den</w:t>
      </w:r>
      <w:r>
        <w:t xml:space="preserve"> </w:t>
      </w:r>
      <w:r w:rsidR="003409F6" w:rsidRPr="003409F6">
        <w:t>30</w:t>
      </w:r>
      <w:r w:rsidR="00CF5F35">
        <w:t xml:space="preserve"> </w:t>
      </w:r>
      <w:r w:rsidR="003409F6" w:rsidRPr="003409F6">
        <w:t>juni 2024</w:t>
      </w:r>
      <w:r w:rsidRPr="00B01687">
        <w:t>.</w:t>
      </w:r>
    </w:p>
    <w:p w14:paraId="43EC74EB" w14:textId="77777777" w:rsidR="000E5E45" w:rsidRDefault="000E5E45" w:rsidP="00FB3B00">
      <w:pPr>
        <w:pStyle w:val="ANormal"/>
      </w:pPr>
    </w:p>
    <w:p w14:paraId="614E2E04" w14:textId="77777777" w:rsidR="00AF3004" w:rsidRDefault="00AF3004">
      <w:pPr>
        <w:pStyle w:val="ANormal"/>
        <w:jc w:val="center"/>
      </w:pPr>
      <w:hyperlink w:anchor="_top" w:tooltip="Klicka för att gå till toppen av dokumentet" w:history="1">
        <w:r>
          <w:rPr>
            <w:rStyle w:val="Hyperlnk"/>
          </w:rPr>
          <w:t>__________________</w:t>
        </w:r>
      </w:hyperlink>
    </w:p>
    <w:p w14:paraId="0F4836B5" w14:textId="77777777" w:rsidR="00AF3004" w:rsidRDefault="00AF3004">
      <w:pPr>
        <w:pStyle w:val="ANormal"/>
      </w:pPr>
    </w:p>
    <w:p w14:paraId="60677CC4" w14:textId="77777777" w:rsidR="00AF3004" w:rsidRDefault="00AF3004">
      <w:pPr>
        <w:pStyle w:val="ANormal"/>
      </w:pPr>
      <w:r>
        <w:br w:type="page"/>
      </w:r>
    </w:p>
    <w:p w14:paraId="7D2A6230" w14:textId="77777777" w:rsidR="00AF3004" w:rsidRDefault="00AF3004">
      <w:pPr>
        <w:pStyle w:val="Innehll1"/>
      </w:pPr>
      <w:r>
        <w:lastRenderedPageBreak/>
        <w:t>INNEHÅLL</w:t>
      </w:r>
    </w:p>
    <w:p w14:paraId="2A5426C6" w14:textId="269FA1B7" w:rsidR="00C517A4"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9244144" w:history="1">
        <w:r w:rsidR="00C517A4" w:rsidRPr="00870555">
          <w:rPr>
            <w:rStyle w:val="Hyperlnk"/>
          </w:rPr>
          <w:t>Huvudsakligt innehåll</w:t>
        </w:r>
        <w:r w:rsidR="00C517A4">
          <w:rPr>
            <w:webHidden/>
          </w:rPr>
          <w:tab/>
        </w:r>
        <w:r w:rsidR="00C517A4">
          <w:rPr>
            <w:webHidden/>
          </w:rPr>
          <w:fldChar w:fldCharType="begin"/>
        </w:r>
        <w:r w:rsidR="00C517A4">
          <w:rPr>
            <w:webHidden/>
          </w:rPr>
          <w:instrText xml:space="preserve"> PAGEREF _Toc199244144 \h </w:instrText>
        </w:r>
        <w:r w:rsidR="00C517A4">
          <w:rPr>
            <w:webHidden/>
          </w:rPr>
        </w:r>
        <w:r w:rsidR="00C517A4">
          <w:rPr>
            <w:webHidden/>
          </w:rPr>
          <w:fldChar w:fldCharType="separate"/>
        </w:r>
        <w:r w:rsidR="00C517A4">
          <w:rPr>
            <w:webHidden/>
          </w:rPr>
          <w:t>1</w:t>
        </w:r>
        <w:r w:rsidR="00C517A4">
          <w:rPr>
            <w:webHidden/>
          </w:rPr>
          <w:fldChar w:fldCharType="end"/>
        </w:r>
      </w:hyperlink>
    </w:p>
    <w:p w14:paraId="79604B86" w14:textId="2B775C2D" w:rsidR="00C517A4" w:rsidRDefault="00C517A4">
      <w:pPr>
        <w:pStyle w:val="Innehll1"/>
        <w:rPr>
          <w:rFonts w:asciiTheme="minorHAnsi" w:eastAsiaTheme="minorEastAsia" w:hAnsiTheme="minorHAnsi" w:cstheme="minorBidi"/>
          <w:kern w:val="2"/>
          <w:sz w:val="24"/>
          <w:szCs w:val="24"/>
          <w:lang w:val="sv-FI" w:eastAsia="sv-FI"/>
          <w14:ligatures w14:val="standardContextual"/>
        </w:rPr>
      </w:pPr>
      <w:hyperlink w:anchor="_Toc199244145" w:history="1">
        <w:r w:rsidRPr="00870555">
          <w:rPr>
            <w:rStyle w:val="Hyperlnk"/>
          </w:rPr>
          <w:t>Allmän motivering</w:t>
        </w:r>
        <w:r>
          <w:rPr>
            <w:webHidden/>
          </w:rPr>
          <w:tab/>
        </w:r>
        <w:r>
          <w:rPr>
            <w:webHidden/>
          </w:rPr>
          <w:fldChar w:fldCharType="begin"/>
        </w:r>
        <w:r>
          <w:rPr>
            <w:webHidden/>
          </w:rPr>
          <w:instrText xml:space="preserve"> PAGEREF _Toc199244145 \h </w:instrText>
        </w:r>
        <w:r>
          <w:rPr>
            <w:webHidden/>
          </w:rPr>
        </w:r>
        <w:r>
          <w:rPr>
            <w:webHidden/>
          </w:rPr>
          <w:fldChar w:fldCharType="separate"/>
        </w:r>
        <w:r>
          <w:rPr>
            <w:webHidden/>
          </w:rPr>
          <w:t>3</w:t>
        </w:r>
        <w:r>
          <w:rPr>
            <w:webHidden/>
          </w:rPr>
          <w:fldChar w:fldCharType="end"/>
        </w:r>
      </w:hyperlink>
    </w:p>
    <w:p w14:paraId="7E3E4C76" w14:textId="7CE1831D"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46" w:history="1">
        <w:r w:rsidRPr="00870555">
          <w:rPr>
            <w:rStyle w:val="Hyperlnk"/>
          </w:rPr>
          <w:t>1. Bakgrund</w:t>
        </w:r>
        <w:r>
          <w:rPr>
            <w:webHidden/>
          </w:rPr>
          <w:tab/>
        </w:r>
        <w:r>
          <w:rPr>
            <w:webHidden/>
          </w:rPr>
          <w:fldChar w:fldCharType="begin"/>
        </w:r>
        <w:r>
          <w:rPr>
            <w:webHidden/>
          </w:rPr>
          <w:instrText xml:space="preserve"> PAGEREF _Toc199244146 \h </w:instrText>
        </w:r>
        <w:r>
          <w:rPr>
            <w:webHidden/>
          </w:rPr>
        </w:r>
        <w:r>
          <w:rPr>
            <w:webHidden/>
          </w:rPr>
          <w:fldChar w:fldCharType="separate"/>
        </w:r>
        <w:r>
          <w:rPr>
            <w:webHidden/>
          </w:rPr>
          <w:t>3</w:t>
        </w:r>
        <w:r>
          <w:rPr>
            <w:webHidden/>
          </w:rPr>
          <w:fldChar w:fldCharType="end"/>
        </w:r>
      </w:hyperlink>
    </w:p>
    <w:p w14:paraId="37084394" w14:textId="4D31F31B"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47" w:history="1">
        <w:r w:rsidRPr="00870555">
          <w:rPr>
            <w:rStyle w:val="Hyperlnk"/>
          </w:rPr>
          <w:t>2.Implementering och lagstiftningsåtgärder</w:t>
        </w:r>
        <w:r>
          <w:rPr>
            <w:webHidden/>
          </w:rPr>
          <w:tab/>
        </w:r>
        <w:r>
          <w:rPr>
            <w:webHidden/>
          </w:rPr>
          <w:fldChar w:fldCharType="begin"/>
        </w:r>
        <w:r>
          <w:rPr>
            <w:webHidden/>
          </w:rPr>
          <w:instrText xml:space="preserve"> PAGEREF _Toc199244147 \h </w:instrText>
        </w:r>
        <w:r>
          <w:rPr>
            <w:webHidden/>
          </w:rPr>
        </w:r>
        <w:r>
          <w:rPr>
            <w:webHidden/>
          </w:rPr>
          <w:fldChar w:fldCharType="separate"/>
        </w:r>
        <w:r>
          <w:rPr>
            <w:webHidden/>
          </w:rPr>
          <w:t>4</w:t>
        </w:r>
        <w:r>
          <w:rPr>
            <w:webHidden/>
          </w:rPr>
          <w:fldChar w:fldCharType="end"/>
        </w:r>
      </w:hyperlink>
    </w:p>
    <w:p w14:paraId="53155038" w14:textId="617174D2"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48" w:history="1">
        <w:r w:rsidRPr="00870555">
          <w:rPr>
            <w:rStyle w:val="Hyperlnk"/>
          </w:rPr>
          <w:t>2.1 Lagstiftning i riket</w:t>
        </w:r>
        <w:r>
          <w:rPr>
            <w:webHidden/>
          </w:rPr>
          <w:tab/>
        </w:r>
        <w:r>
          <w:rPr>
            <w:webHidden/>
          </w:rPr>
          <w:fldChar w:fldCharType="begin"/>
        </w:r>
        <w:r>
          <w:rPr>
            <w:webHidden/>
          </w:rPr>
          <w:instrText xml:space="preserve"> PAGEREF _Toc199244148 \h </w:instrText>
        </w:r>
        <w:r>
          <w:rPr>
            <w:webHidden/>
          </w:rPr>
        </w:r>
        <w:r>
          <w:rPr>
            <w:webHidden/>
          </w:rPr>
          <w:fldChar w:fldCharType="separate"/>
        </w:r>
        <w:r>
          <w:rPr>
            <w:webHidden/>
          </w:rPr>
          <w:t>4</w:t>
        </w:r>
        <w:r>
          <w:rPr>
            <w:webHidden/>
          </w:rPr>
          <w:fldChar w:fldCharType="end"/>
        </w:r>
      </w:hyperlink>
    </w:p>
    <w:p w14:paraId="73B34ACF" w14:textId="4DBE06CC"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49" w:history="1">
        <w:r w:rsidRPr="00870555">
          <w:rPr>
            <w:rStyle w:val="Hyperlnk"/>
          </w:rPr>
          <w:t>2.2 Gällande regelverk på Åland</w:t>
        </w:r>
        <w:r>
          <w:rPr>
            <w:webHidden/>
          </w:rPr>
          <w:tab/>
        </w:r>
        <w:r>
          <w:rPr>
            <w:webHidden/>
          </w:rPr>
          <w:fldChar w:fldCharType="begin"/>
        </w:r>
        <w:r>
          <w:rPr>
            <w:webHidden/>
          </w:rPr>
          <w:instrText xml:space="preserve"> PAGEREF _Toc199244149 \h </w:instrText>
        </w:r>
        <w:r>
          <w:rPr>
            <w:webHidden/>
          </w:rPr>
        </w:r>
        <w:r>
          <w:rPr>
            <w:webHidden/>
          </w:rPr>
          <w:fldChar w:fldCharType="separate"/>
        </w:r>
        <w:r>
          <w:rPr>
            <w:webHidden/>
          </w:rPr>
          <w:t>4</w:t>
        </w:r>
        <w:r>
          <w:rPr>
            <w:webHidden/>
          </w:rPr>
          <w:fldChar w:fldCharType="end"/>
        </w:r>
      </w:hyperlink>
    </w:p>
    <w:p w14:paraId="4049D891" w14:textId="3B4A2F9E"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50" w:history="1">
        <w:r w:rsidRPr="00870555">
          <w:rPr>
            <w:rStyle w:val="Hyperlnk"/>
          </w:rPr>
          <w:t>3. Lagstiftningsbehörigheten</w:t>
        </w:r>
        <w:r>
          <w:rPr>
            <w:webHidden/>
          </w:rPr>
          <w:tab/>
        </w:r>
        <w:r>
          <w:rPr>
            <w:webHidden/>
          </w:rPr>
          <w:fldChar w:fldCharType="begin"/>
        </w:r>
        <w:r>
          <w:rPr>
            <w:webHidden/>
          </w:rPr>
          <w:instrText xml:space="preserve"> PAGEREF _Toc199244150 \h </w:instrText>
        </w:r>
        <w:r>
          <w:rPr>
            <w:webHidden/>
          </w:rPr>
        </w:r>
        <w:r>
          <w:rPr>
            <w:webHidden/>
          </w:rPr>
          <w:fldChar w:fldCharType="separate"/>
        </w:r>
        <w:r>
          <w:rPr>
            <w:webHidden/>
          </w:rPr>
          <w:t>4</w:t>
        </w:r>
        <w:r>
          <w:rPr>
            <w:webHidden/>
          </w:rPr>
          <w:fldChar w:fldCharType="end"/>
        </w:r>
      </w:hyperlink>
    </w:p>
    <w:p w14:paraId="6C0605C5" w14:textId="5814267B"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51" w:history="1">
        <w:r w:rsidRPr="00870555">
          <w:rPr>
            <w:rStyle w:val="Hyperlnk"/>
          </w:rPr>
          <w:t>4. Landskapsregeringens förslag</w:t>
        </w:r>
        <w:r>
          <w:rPr>
            <w:webHidden/>
          </w:rPr>
          <w:tab/>
        </w:r>
        <w:r>
          <w:rPr>
            <w:webHidden/>
          </w:rPr>
          <w:fldChar w:fldCharType="begin"/>
        </w:r>
        <w:r>
          <w:rPr>
            <w:webHidden/>
          </w:rPr>
          <w:instrText xml:space="preserve"> PAGEREF _Toc199244151 \h </w:instrText>
        </w:r>
        <w:r>
          <w:rPr>
            <w:webHidden/>
          </w:rPr>
        </w:r>
        <w:r>
          <w:rPr>
            <w:webHidden/>
          </w:rPr>
          <w:fldChar w:fldCharType="separate"/>
        </w:r>
        <w:r>
          <w:rPr>
            <w:webHidden/>
          </w:rPr>
          <w:t>5</w:t>
        </w:r>
        <w:r>
          <w:rPr>
            <w:webHidden/>
          </w:rPr>
          <w:fldChar w:fldCharType="end"/>
        </w:r>
      </w:hyperlink>
    </w:p>
    <w:p w14:paraId="3E184144" w14:textId="7E3CEEA5"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2" w:history="1">
        <w:r w:rsidRPr="00870555">
          <w:rPr>
            <w:rStyle w:val="Hyperlnk"/>
          </w:rPr>
          <w:t>4.1 Eventuella avvikelser för Åland</w:t>
        </w:r>
        <w:r>
          <w:rPr>
            <w:webHidden/>
          </w:rPr>
          <w:tab/>
        </w:r>
        <w:r>
          <w:rPr>
            <w:webHidden/>
          </w:rPr>
          <w:fldChar w:fldCharType="begin"/>
        </w:r>
        <w:r>
          <w:rPr>
            <w:webHidden/>
          </w:rPr>
          <w:instrText xml:space="preserve"> PAGEREF _Toc199244152 \h </w:instrText>
        </w:r>
        <w:r>
          <w:rPr>
            <w:webHidden/>
          </w:rPr>
        </w:r>
        <w:r>
          <w:rPr>
            <w:webHidden/>
          </w:rPr>
          <w:fldChar w:fldCharType="separate"/>
        </w:r>
        <w:r>
          <w:rPr>
            <w:webHidden/>
          </w:rPr>
          <w:t>5</w:t>
        </w:r>
        <w:r>
          <w:rPr>
            <w:webHidden/>
          </w:rPr>
          <w:fldChar w:fldCharType="end"/>
        </w:r>
      </w:hyperlink>
    </w:p>
    <w:p w14:paraId="438C9A5B" w14:textId="2C100BA5"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53" w:history="1">
        <w:r w:rsidRPr="00870555">
          <w:rPr>
            <w:rStyle w:val="Hyperlnk"/>
          </w:rPr>
          <w:t>5.Konsekvenser</w:t>
        </w:r>
        <w:r>
          <w:rPr>
            <w:webHidden/>
          </w:rPr>
          <w:tab/>
        </w:r>
        <w:r>
          <w:rPr>
            <w:webHidden/>
          </w:rPr>
          <w:fldChar w:fldCharType="begin"/>
        </w:r>
        <w:r>
          <w:rPr>
            <w:webHidden/>
          </w:rPr>
          <w:instrText xml:space="preserve"> PAGEREF _Toc199244153 \h </w:instrText>
        </w:r>
        <w:r>
          <w:rPr>
            <w:webHidden/>
          </w:rPr>
        </w:r>
        <w:r>
          <w:rPr>
            <w:webHidden/>
          </w:rPr>
          <w:fldChar w:fldCharType="separate"/>
        </w:r>
        <w:r>
          <w:rPr>
            <w:webHidden/>
          </w:rPr>
          <w:t>5</w:t>
        </w:r>
        <w:r>
          <w:rPr>
            <w:webHidden/>
          </w:rPr>
          <w:fldChar w:fldCharType="end"/>
        </w:r>
      </w:hyperlink>
    </w:p>
    <w:p w14:paraId="040A67EF" w14:textId="3C208ECD"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4" w:history="1">
        <w:r w:rsidRPr="00870555">
          <w:rPr>
            <w:rStyle w:val="Hyperlnk"/>
          </w:rPr>
          <w:t>5.1 Ekonomiska konsekvenser</w:t>
        </w:r>
        <w:r>
          <w:rPr>
            <w:webHidden/>
          </w:rPr>
          <w:tab/>
        </w:r>
        <w:r>
          <w:rPr>
            <w:webHidden/>
          </w:rPr>
          <w:fldChar w:fldCharType="begin"/>
        </w:r>
        <w:r>
          <w:rPr>
            <w:webHidden/>
          </w:rPr>
          <w:instrText xml:space="preserve"> PAGEREF _Toc199244154 \h </w:instrText>
        </w:r>
        <w:r>
          <w:rPr>
            <w:webHidden/>
          </w:rPr>
        </w:r>
        <w:r>
          <w:rPr>
            <w:webHidden/>
          </w:rPr>
          <w:fldChar w:fldCharType="separate"/>
        </w:r>
        <w:r>
          <w:rPr>
            <w:webHidden/>
          </w:rPr>
          <w:t>5</w:t>
        </w:r>
        <w:r>
          <w:rPr>
            <w:webHidden/>
          </w:rPr>
          <w:fldChar w:fldCharType="end"/>
        </w:r>
      </w:hyperlink>
    </w:p>
    <w:p w14:paraId="1E41EB42" w14:textId="2FBCB49A"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5" w:history="1">
        <w:r w:rsidRPr="00870555">
          <w:rPr>
            <w:rStyle w:val="Hyperlnk"/>
          </w:rPr>
          <w:t>5.2 Administrativa konsekvenser</w:t>
        </w:r>
        <w:r>
          <w:rPr>
            <w:webHidden/>
          </w:rPr>
          <w:tab/>
        </w:r>
        <w:r>
          <w:rPr>
            <w:webHidden/>
          </w:rPr>
          <w:fldChar w:fldCharType="begin"/>
        </w:r>
        <w:r>
          <w:rPr>
            <w:webHidden/>
          </w:rPr>
          <w:instrText xml:space="preserve"> PAGEREF _Toc199244155 \h </w:instrText>
        </w:r>
        <w:r>
          <w:rPr>
            <w:webHidden/>
          </w:rPr>
        </w:r>
        <w:r>
          <w:rPr>
            <w:webHidden/>
          </w:rPr>
          <w:fldChar w:fldCharType="separate"/>
        </w:r>
        <w:r>
          <w:rPr>
            <w:webHidden/>
          </w:rPr>
          <w:t>6</w:t>
        </w:r>
        <w:r>
          <w:rPr>
            <w:webHidden/>
          </w:rPr>
          <w:fldChar w:fldCharType="end"/>
        </w:r>
      </w:hyperlink>
    </w:p>
    <w:p w14:paraId="61EAF5A0" w14:textId="71F7D066"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6" w:history="1">
        <w:r w:rsidRPr="00870555">
          <w:rPr>
            <w:rStyle w:val="Hyperlnk"/>
          </w:rPr>
          <w:t>5.3 Miljökonsekvenser</w:t>
        </w:r>
        <w:r>
          <w:rPr>
            <w:webHidden/>
          </w:rPr>
          <w:tab/>
        </w:r>
        <w:r>
          <w:rPr>
            <w:webHidden/>
          </w:rPr>
          <w:fldChar w:fldCharType="begin"/>
        </w:r>
        <w:r>
          <w:rPr>
            <w:webHidden/>
          </w:rPr>
          <w:instrText xml:space="preserve"> PAGEREF _Toc199244156 \h </w:instrText>
        </w:r>
        <w:r>
          <w:rPr>
            <w:webHidden/>
          </w:rPr>
        </w:r>
        <w:r>
          <w:rPr>
            <w:webHidden/>
          </w:rPr>
          <w:fldChar w:fldCharType="separate"/>
        </w:r>
        <w:r>
          <w:rPr>
            <w:webHidden/>
          </w:rPr>
          <w:t>6</w:t>
        </w:r>
        <w:r>
          <w:rPr>
            <w:webHidden/>
          </w:rPr>
          <w:fldChar w:fldCharType="end"/>
        </w:r>
      </w:hyperlink>
    </w:p>
    <w:p w14:paraId="0DDDF33D" w14:textId="2FC1B3DC"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7" w:history="1">
        <w:r w:rsidRPr="00870555">
          <w:rPr>
            <w:rStyle w:val="Hyperlnk"/>
          </w:rPr>
          <w:t>5.4 Jämställdhet och konsekvenser för barn</w:t>
        </w:r>
        <w:r>
          <w:rPr>
            <w:webHidden/>
          </w:rPr>
          <w:tab/>
        </w:r>
        <w:r>
          <w:rPr>
            <w:webHidden/>
          </w:rPr>
          <w:fldChar w:fldCharType="begin"/>
        </w:r>
        <w:r>
          <w:rPr>
            <w:webHidden/>
          </w:rPr>
          <w:instrText xml:space="preserve"> PAGEREF _Toc199244157 \h </w:instrText>
        </w:r>
        <w:r>
          <w:rPr>
            <w:webHidden/>
          </w:rPr>
        </w:r>
        <w:r>
          <w:rPr>
            <w:webHidden/>
          </w:rPr>
          <w:fldChar w:fldCharType="separate"/>
        </w:r>
        <w:r>
          <w:rPr>
            <w:webHidden/>
          </w:rPr>
          <w:t>6</w:t>
        </w:r>
        <w:r>
          <w:rPr>
            <w:webHidden/>
          </w:rPr>
          <w:fldChar w:fldCharType="end"/>
        </w:r>
      </w:hyperlink>
    </w:p>
    <w:p w14:paraId="16C92528" w14:textId="4D089212"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8" w:history="1">
        <w:r w:rsidRPr="00870555">
          <w:rPr>
            <w:rStyle w:val="Hyperlnk"/>
          </w:rPr>
          <w:t>5.5 Konsekvenser för sysselsättningen och arbetslivet</w:t>
        </w:r>
        <w:r>
          <w:rPr>
            <w:webHidden/>
          </w:rPr>
          <w:tab/>
        </w:r>
        <w:r>
          <w:rPr>
            <w:webHidden/>
          </w:rPr>
          <w:fldChar w:fldCharType="begin"/>
        </w:r>
        <w:r>
          <w:rPr>
            <w:webHidden/>
          </w:rPr>
          <w:instrText xml:space="preserve"> PAGEREF _Toc199244158 \h </w:instrText>
        </w:r>
        <w:r>
          <w:rPr>
            <w:webHidden/>
          </w:rPr>
        </w:r>
        <w:r>
          <w:rPr>
            <w:webHidden/>
          </w:rPr>
          <w:fldChar w:fldCharType="separate"/>
        </w:r>
        <w:r>
          <w:rPr>
            <w:webHidden/>
          </w:rPr>
          <w:t>6</w:t>
        </w:r>
        <w:r>
          <w:rPr>
            <w:webHidden/>
          </w:rPr>
          <w:fldChar w:fldCharType="end"/>
        </w:r>
      </w:hyperlink>
    </w:p>
    <w:p w14:paraId="3DA339A3" w14:textId="78B83877" w:rsidR="00C517A4" w:rsidRDefault="00C517A4">
      <w:pPr>
        <w:pStyle w:val="Innehll3"/>
        <w:rPr>
          <w:rFonts w:asciiTheme="minorHAnsi" w:eastAsiaTheme="minorEastAsia" w:hAnsiTheme="minorHAnsi" w:cstheme="minorBidi"/>
          <w:kern w:val="2"/>
          <w:sz w:val="24"/>
          <w:szCs w:val="24"/>
          <w:lang w:val="sv-FI" w:eastAsia="sv-FI"/>
          <w14:ligatures w14:val="standardContextual"/>
        </w:rPr>
      </w:pPr>
      <w:hyperlink w:anchor="_Toc199244159" w:history="1">
        <w:r w:rsidRPr="00870555">
          <w:rPr>
            <w:rStyle w:val="Hyperlnk"/>
          </w:rPr>
          <w:t>5.6 Andra samhälleliga konsekvenser</w:t>
        </w:r>
        <w:r>
          <w:rPr>
            <w:webHidden/>
          </w:rPr>
          <w:tab/>
        </w:r>
        <w:r>
          <w:rPr>
            <w:webHidden/>
          </w:rPr>
          <w:fldChar w:fldCharType="begin"/>
        </w:r>
        <w:r>
          <w:rPr>
            <w:webHidden/>
          </w:rPr>
          <w:instrText xml:space="preserve"> PAGEREF _Toc199244159 \h </w:instrText>
        </w:r>
        <w:r>
          <w:rPr>
            <w:webHidden/>
          </w:rPr>
        </w:r>
        <w:r>
          <w:rPr>
            <w:webHidden/>
          </w:rPr>
          <w:fldChar w:fldCharType="separate"/>
        </w:r>
        <w:r>
          <w:rPr>
            <w:webHidden/>
          </w:rPr>
          <w:t>6</w:t>
        </w:r>
        <w:r>
          <w:rPr>
            <w:webHidden/>
          </w:rPr>
          <w:fldChar w:fldCharType="end"/>
        </w:r>
      </w:hyperlink>
    </w:p>
    <w:p w14:paraId="39E6EE58" w14:textId="09E184F5" w:rsidR="00C517A4" w:rsidRDefault="00C517A4">
      <w:pPr>
        <w:pStyle w:val="Innehll1"/>
        <w:rPr>
          <w:rFonts w:asciiTheme="minorHAnsi" w:eastAsiaTheme="minorEastAsia" w:hAnsiTheme="minorHAnsi" w:cstheme="minorBidi"/>
          <w:kern w:val="2"/>
          <w:sz w:val="24"/>
          <w:szCs w:val="24"/>
          <w:lang w:val="sv-FI" w:eastAsia="sv-FI"/>
          <w14:ligatures w14:val="standardContextual"/>
        </w:rPr>
      </w:pPr>
      <w:hyperlink w:anchor="_Toc199244160" w:history="1">
        <w:r w:rsidRPr="00870555">
          <w:rPr>
            <w:rStyle w:val="Hyperlnk"/>
          </w:rPr>
          <w:t>Detaljmotivering</w:t>
        </w:r>
        <w:r>
          <w:rPr>
            <w:webHidden/>
          </w:rPr>
          <w:tab/>
        </w:r>
        <w:r>
          <w:rPr>
            <w:webHidden/>
          </w:rPr>
          <w:fldChar w:fldCharType="begin"/>
        </w:r>
        <w:r>
          <w:rPr>
            <w:webHidden/>
          </w:rPr>
          <w:instrText xml:space="preserve"> PAGEREF _Toc199244160 \h </w:instrText>
        </w:r>
        <w:r>
          <w:rPr>
            <w:webHidden/>
          </w:rPr>
        </w:r>
        <w:r>
          <w:rPr>
            <w:webHidden/>
          </w:rPr>
          <w:fldChar w:fldCharType="separate"/>
        </w:r>
        <w:r>
          <w:rPr>
            <w:webHidden/>
          </w:rPr>
          <w:t>7</w:t>
        </w:r>
        <w:r>
          <w:rPr>
            <w:webHidden/>
          </w:rPr>
          <w:fldChar w:fldCharType="end"/>
        </w:r>
      </w:hyperlink>
    </w:p>
    <w:p w14:paraId="6B526E6C" w14:textId="55E49ABB"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61" w:history="1">
        <w:r w:rsidRPr="00870555">
          <w:rPr>
            <w:rStyle w:val="Hyperlnk"/>
          </w:rPr>
          <w:t>1. Landskapslag om tillämpning av lagen om handel med utsläppsrätter för distribution av fossila bränslen</w:t>
        </w:r>
        <w:r>
          <w:rPr>
            <w:webHidden/>
          </w:rPr>
          <w:tab/>
        </w:r>
        <w:r>
          <w:rPr>
            <w:webHidden/>
          </w:rPr>
          <w:fldChar w:fldCharType="begin"/>
        </w:r>
        <w:r>
          <w:rPr>
            <w:webHidden/>
          </w:rPr>
          <w:instrText xml:space="preserve"> PAGEREF _Toc199244161 \h </w:instrText>
        </w:r>
        <w:r>
          <w:rPr>
            <w:webHidden/>
          </w:rPr>
        </w:r>
        <w:r>
          <w:rPr>
            <w:webHidden/>
          </w:rPr>
          <w:fldChar w:fldCharType="separate"/>
        </w:r>
        <w:r>
          <w:rPr>
            <w:webHidden/>
          </w:rPr>
          <w:t>7</w:t>
        </w:r>
        <w:r>
          <w:rPr>
            <w:webHidden/>
          </w:rPr>
          <w:fldChar w:fldCharType="end"/>
        </w:r>
      </w:hyperlink>
    </w:p>
    <w:p w14:paraId="546317E0" w14:textId="52C2A3B2"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62" w:history="1">
        <w:r w:rsidRPr="00870555">
          <w:rPr>
            <w:rStyle w:val="Hyperlnk"/>
          </w:rPr>
          <w:t>2. Landskapslag om ändring av 1 § landskapslagen om Ålands energimyndighet</w:t>
        </w:r>
        <w:r>
          <w:rPr>
            <w:webHidden/>
          </w:rPr>
          <w:tab/>
        </w:r>
        <w:r>
          <w:rPr>
            <w:webHidden/>
          </w:rPr>
          <w:fldChar w:fldCharType="begin"/>
        </w:r>
        <w:r>
          <w:rPr>
            <w:webHidden/>
          </w:rPr>
          <w:instrText xml:space="preserve"> PAGEREF _Toc199244162 \h </w:instrText>
        </w:r>
        <w:r>
          <w:rPr>
            <w:webHidden/>
          </w:rPr>
        </w:r>
        <w:r>
          <w:rPr>
            <w:webHidden/>
          </w:rPr>
          <w:fldChar w:fldCharType="separate"/>
        </w:r>
        <w:r>
          <w:rPr>
            <w:webHidden/>
          </w:rPr>
          <w:t>7</w:t>
        </w:r>
        <w:r>
          <w:rPr>
            <w:webHidden/>
          </w:rPr>
          <w:fldChar w:fldCharType="end"/>
        </w:r>
      </w:hyperlink>
    </w:p>
    <w:p w14:paraId="7897C2EA" w14:textId="458D7CE8" w:rsidR="00C517A4" w:rsidRDefault="00C517A4">
      <w:pPr>
        <w:pStyle w:val="Innehll1"/>
        <w:rPr>
          <w:rFonts w:asciiTheme="minorHAnsi" w:eastAsiaTheme="minorEastAsia" w:hAnsiTheme="minorHAnsi" w:cstheme="minorBidi"/>
          <w:kern w:val="2"/>
          <w:sz w:val="24"/>
          <w:szCs w:val="24"/>
          <w:lang w:val="sv-FI" w:eastAsia="sv-FI"/>
          <w14:ligatures w14:val="standardContextual"/>
        </w:rPr>
      </w:pPr>
      <w:hyperlink w:anchor="_Toc199244163" w:history="1">
        <w:r w:rsidRPr="00870555">
          <w:rPr>
            <w:rStyle w:val="Hyperlnk"/>
          </w:rPr>
          <w:t>Lagtext</w:t>
        </w:r>
        <w:r>
          <w:rPr>
            <w:webHidden/>
          </w:rPr>
          <w:tab/>
        </w:r>
        <w:r>
          <w:rPr>
            <w:webHidden/>
          </w:rPr>
          <w:fldChar w:fldCharType="begin"/>
        </w:r>
        <w:r>
          <w:rPr>
            <w:webHidden/>
          </w:rPr>
          <w:instrText xml:space="preserve"> PAGEREF _Toc199244163 \h </w:instrText>
        </w:r>
        <w:r>
          <w:rPr>
            <w:webHidden/>
          </w:rPr>
        </w:r>
        <w:r>
          <w:rPr>
            <w:webHidden/>
          </w:rPr>
          <w:fldChar w:fldCharType="separate"/>
        </w:r>
        <w:r>
          <w:rPr>
            <w:webHidden/>
          </w:rPr>
          <w:t>9</w:t>
        </w:r>
        <w:r>
          <w:rPr>
            <w:webHidden/>
          </w:rPr>
          <w:fldChar w:fldCharType="end"/>
        </w:r>
      </w:hyperlink>
    </w:p>
    <w:p w14:paraId="711D8357" w14:textId="7CE538E9"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64" w:history="1">
        <w:r w:rsidRPr="00870555">
          <w:rPr>
            <w:rStyle w:val="Hyperlnk"/>
          </w:rPr>
          <w:t>L A N D S K A P S L A G om tillämpning av lagen om handel med utsläppsrätter för distribution av fossila bränslen</w:t>
        </w:r>
        <w:r>
          <w:rPr>
            <w:webHidden/>
          </w:rPr>
          <w:tab/>
        </w:r>
        <w:r>
          <w:rPr>
            <w:webHidden/>
          </w:rPr>
          <w:fldChar w:fldCharType="begin"/>
        </w:r>
        <w:r>
          <w:rPr>
            <w:webHidden/>
          </w:rPr>
          <w:instrText xml:space="preserve"> PAGEREF _Toc199244164 \h </w:instrText>
        </w:r>
        <w:r>
          <w:rPr>
            <w:webHidden/>
          </w:rPr>
        </w:r>
        <w:r>
          <w:rPr>
            <w:webHidden/>
          </w:rPr>
          <w:fldChar w:fldCharType="separate"/>
        </w:r>
        <w:r>
          <w:rPr>
            <w:webHidden/>
          </w:rPr>
          <w:t>9</w:t>
        </w:r>
        <w:r>
          <w:rPr>
            <w:webHidden/>
          </w:rPr>
          <w:fldChar w:fldCharType="end"/>
        </w:r>
      </w:hyperlink>
    </w:p>
    <w:p w14:paraId="14449605" w14:textId="5B08DA99" w:rsidR="00C517A4" w:rsidRDefault="00C517A4">
      <w:pPr>
        <w:pStyle w:val="Innehll2"/>
        <w:rPr>
          <w:rFonts w:asciiTheme="minorHAnsi" w:eastAsiaTheme="minorEastAsia" w:hAnsiTheme="minorHAnsi" w:cstheme="minorBidi"/>
          <w:kern w:val="2"/>
          <w:sz w:val="24"/>
          <w:szCs w:val="24"/>
          <w:lang w:val="sv-FI" w:eastAsia="sv-FI"/>
          <w14:ligatures w14:val="standardContextual"/>
        </w:rPr>
      </w:pPr>
      <w:hyperlink w:anchor="_Toc199244165" w:history="1">
        <w:r w:rsidRPr="00870555">
          <w:rPr>
            <w:rStyle w:val="Hyperlnk"/>
            <w:lang w:val="en-GB"/>
          </w:rPr>
          <w:t xml:space="preserve">L A N D S K A P S L A G </w:t>
        </w:r>
        <w:r w:rsidRPr="00870555">
          <w:rPr>
            <w:rStyle w:val="Hyperlnk"/>
          </w:rPr>
          <w:t>om ändring av 1 § landskapslagen om Ålands energimyndighet</w:t>
        </w:r>
        <w:r>
          <w:rPr>
            <w:webHidden/>
          </w:rPr>
          <w:tab/>
        </w:r>
        <w:r>
          <w:rPr>
            <w:webHidden/>
          </w:rPr>
          <w:fldChar w:fldCharType="begin"/>
        </w:r>
        <w:r>
          <w:rPr>
            <w:webHidden/>
          </w:rPr>
          <w:instrText xml:space="preserve"> PAGEREF _Toc199244165 \h </w:instrText>
        </w:r>
        <w:r>
          <w:rPr>
            <w:webHidden/>
          </w:rPr>
        </w:r>
        <w:r>
          <w:rPr>
            <w:webHidden/>
          </w:rPr>
          <w:fldChar w:fldCharType="separate"/>
        </w:r>
        <w:r>
          <w:rPr>
            <w:webHidden/>
          </w:rPr>
          <w:t>10</w:t>
        </w:r>
        <w:r>
          <w:rPr>
            <w:webHidden/>
          </w:rPr>
          <w:fldChar w:fldCharType="end"/>
        </w:r>
      </w:hyperlink>
    </w:p>
    <w:p w14:paraId="263C0992" w14:textId="48241649" w:rsidR="00C517A4" w:rsidRDefault="00C517A4">
      <w:pPr>
        <w:pStyle w:val="Innehll1"/>
        <w:rPr>
          <w:rFonts w:asciiTheme="minorHAnsi" w:eastAsiaTheme="minorEastAsia" w:hAnsiTheme="minorHAnsi" w:cstheme="minorBidi"/>
          <w:kern w:val="2"/>
          <w:sz w:val="24"/>
          <w:szCs w:val="24"/>
          <w:lang w:val="sv-FI" w:eastAsia="sv-FI"/>
          <w14:ligatures w14:val="standardContextual"/>
        </w:rPr>
      </w:pPr>
      <w:hyperlink w:anchor="_Toc199244166" w:history="1">
        <w:r w:rsidRPr="00870555">
          <w:rPr>
            <w:rStyle w:val="Hyperlnk"/>
          </w:rPr>
          <w:t>Parallelltexter</w:t>
        </w:r>
        <w:r>
          <w:rPr>
            <w:webHidden/>
          </w:rPr>
          <w:tab/>
        </w:r>
        <w:r>
          <w:rPr>
            <w:webHidden/>
          </w:rPr>
          <w:fldChar w:fldCharType="begin"/>
        </w:r>
        <w:r>
          <w:rPr>
            <w:webHidden/>
          </w:rPr>
          <w:instrText xml:space="preserve"> PAGEREF _Toc199244166 \h </w:instrText>
        </w:r>
        <w:r>
          <w:rPr>
            <w:webHidden/>
          </w:rPr>
        </w:r>
        <w:r>
          <w:rPr>
            <w:webHidden/>
          </w:rPr>
          <w:fldChar w:fldCharType="separate"/>
        </w:r>
        <w:r>
          <w:rPr>
            <w:webHidden/>
          </w:rPr>
          <w:t>12</w:t>
        </w:r>
        <w:r>
          <w:rPr>
            <w:webHidden/>
          </w:rPr>
          <w:fldChar w:fldCharType="end"/>
        </w:r>
      </w:hyperlink>
    </w:p>
    <w:p w14:paraId="243E19D3" w14:textId="6847F204" w:rsidR="00AF3004" w:rsidRDefault="00AF3004">
      <w:pPr>
        <w:pStyle w:val="ANormal"/>
        <w:rPr>
          <w:noProof/>
        </w:rPr>
      </w:pPr>
      <w:r>
        <w:rPr>
          <w:rFonts w:ascii="Verdana" w:hAnsi="Verdana"/>
          <w:noProof/>
          <w:sz w:val="16"/>
          <w:szCs w:val="36"/>
        </w:rPr>
        <w:fldChar w:fldCharType="end"/>
      </w:r>
    </w:p>
    <w:p w14:paraId="7D7173DD" w14:textId="77777777" w:rsidR="00AF3004" w:rsidRDefault="00AF3004">
      <w:pPr>
        <w:pStyle w:val="ANormal"/>
      </w:pPr>
      <w:r>
        <w:br w:type="page"/>
      </w:r>
    </w:p>
    <w:p w14:paraId="0476D8AE" w14:textId="77777777" w:rsidR="00AF3004" w:rsidRDefault="00AF3004">
      <w:pPr>
        <w:pStyle w:val="RubrikA"/>
      </w:pPr>
      <w:bookmarkStart w:id="2" w:name="_Toc199244145"/>
      <w:r>
        <w:lastRenderedPageBreak/>
        <w:t>Allmän motivering</w:t>
      </w:r>
      <w:bookmarkEnd w:id="2"/>
    </w:p>
    <w:p w14:paraId="5E633432" w14:textId="77777777" w:rsidR="00AF3004" w:rsidRDefault="00AF3004">
      <w:pPr>
        <w:pStyle w:val="Rubrikmellanrum"/>
      </w:pPr>
    </w:p>
    <w:p w14:paraId="1ED649B8" w14:textId="77777777" w:rsidR="00AF3004" w:rsidRDefault="00AF3004" w:rsidP="004F5C01">
      <w:pPr>
        <w:pStyle w:val="RubrikB"/>
      </w:pPr>
      <w:bookmarkStart w:id="3" w:name="_Toc199244146"/>
      <w:r>
        <w:t>1. Bakgrund</w:t>
      </w:r>
      <w:bookmarkEnd w:id="3"/>
    </w:p>
    <w:p w14:paraId="1DD6CC5F" w14:textId="77777777" w:rsidR="00AF3004" w:rsidRDefault="00AF3004">
      <w:pPr>
        <w:pStyle w:val="Rubrikmellanrum"/>
      </w:pPr>
    </w:p>
    <w:p w14:paraId="546B18A6" w14:textId="77777777" w:rsidR="00251FE7" w:rsidRDefault="00592B42">
      <w:pPr>
        <w:pStyle w:val="ANormal"/>
      </w:pPr>
      <w:r w:rsidRPr="00592B42">
        <w:t>EU:s utsläppshandelssystem är en viktig unionsomfattande politisk åtgärd för att nå utsläppsminskningsmålen. Till tillämpningsområdet för EU:s utsläppshandel hör för närvarande stora industri</w:t>
      </w:r>
      <w:r w:rsidR="003E7B6B">
        <w:t xml:space="preserve">- </w:t>
      </w:r>
      <w:r w:rsidRPr="00592B42">
        <w:t>och energiproduktionsanläggningar samt luftfarten inom europeiska ekonomiska samarbetsområdet.</w:t>
      </w:r>
    </w:p>
    <w:p w14:paraId="2B9D84BA" w14:textId="32D7031C" w:rsidR="00251FE7" w:rsidRDefault="00251FE7">
      <w:pPr>
        <w:pStyle w:val="ANormal"/>
      </w:pPr>
      <w:r>
        <w:tab/>
      </w:r>
      <w:r w:rsidR="00592B42" w:rsidRPr="00592B42">
        <w:t>Den 14 juli 2021 antog Europeiska kommissionen det så kallade 55-procentspaketet, som innehåller förslag till grund för genomförandet av skyldigheterna enligt EU:s klimatlag att minska EU:s nettoutsläpp av växthusgaser med minst 55 procent från 1990 års nivå före 2030 samt att uppnå klimatneutralitet på EU-nivå före 2050. Inom ramen för 55-procentspaketet antog kommissionen ett förslag till direktiv om ändring av EU:s utsläppshandelsdirektiv (COM (2021) 551 final). I trepartsförhandlingar nåddes samförstånd om uppdateringen av utsläppshandelsdirektivet i december 2022, och det uppdaterade direktivet publicerades den 10 maj 2023 ((EU) 2023/959)</w:t>
      </w:r>
      <w:r w:rsidR="003409F6">
        <w:rPr>
          <w:rStyle w:val="Fotnotsreferens"/>
        </w:rPr>
        <w:footnoteReference w:id="1"/>
      </w:r>
      <w:r w:rsidR="00592B42" w:rsidRPr="00592B42">
        <w:t>, hädanefter ”utsläppshandelsdirektivet”.</w:t>
      </w:r>
    </w:p>
    <w:p w14:paraId="54F9A70A" w14:textId="7D9F14EC" w:rsidR="00251FE7" w:rsidRDefault="00251FE7">
      <w:pPr>
        <w:pStyle w:val="ANormal"/>
      </w:pPr>
      <w:r>
        <w:tab/>
      </w:r>
      <w:r w:rsidR="00592B42" w:rsidRPr="00592B42">
        <w:t>I och med uppdateringen av utsläppshandelsdirektivet inrättades en ny utsläppshandel för distribution av fossila bränslen. Det nya systemet i utsläppshandelsdirektivet kallas systemet för handel med utsläppsrätter för byggnads- och vägtransportsektorerna samt ytterligare sektorer. Den nya utsläppshandeln för distributörer omfattar vägtransport, separat uppvärmning av byggnader, byggande och det fossila bränslet inom industrin och energiproduktionen som inte omfattas av den nuvarande allmänna utsläppshandeln.</w:t>
      </w:r>
    </w:p>
    <w:p w14:paraId="088A11D0" w14:textId="5AF29413" w:rsidR="00251FE7" w:rsidRDefault="00251FE7">
      <w:pPr>
        <w:pStyle w:val="ANormal"/>
      </w:pPr>
      <w:r>
        <w:tab/>
      </w:r>
      <w:r w:rsidR="00592B42" w:rsidRPr="00592B42">
        <w:t>Inom ramen för förhandlingarna om 55-procentspaketet kom man också överens om ändringar i ansvarsfördelningsförordningen. Enligt den ändrade förordningen är EU:s gemensamma utsläppsminskningsmål 40 % fram till 2030. Medlemsstaternas åtaganden för utsläppsminskning varierar mellan 10 och 50 %. Enligt den uppdaterade förordningen ska Finland minska sina utsläpp i sektorer utanför utsläppshandeln med minst 50 % från nivån 2005 före 2030. För de sektorer som omfattas av utsläppshandeln för distributörer gäller också de nationella skyldigheterna för ansvarsfördelningssektorn. Enligt ansvarsfördelningsförordningen ska utsläppsminskningarna följa en nedåtgående bana som blir striktare år för år.</w:t>
      </w:r>
    </w:p>
    <w:p w14:paraId="33DA109C" w14:textId="27277DF0" w:rsidR="00251FE7" w:rsidRDefault="00251FE7">
      <w:pPr>
        <w:pStyle w:val="ANormal"/>
      </w:pPr>
      <w:r>
        <w:tab/>
      </w:r>
      <w:r w:rsidR="00592B42" w:rsidRPr="00592B42">
        <w:t xml:space="preserve">I samband med förhandlingarna om den nya utsläppshandeln för distribution av fossila bränslen kom man också överens om en förordning om en ny social klimatfond (Social </w:t>
      </w:r>
      <w:proofErr w:type="spellStart"/>
      <w:r w:rsidR="00592B42" w:rsidRPr="00592B42">
        <w:t>Climate</w:t>
      </w:r>
      <w:proofErr w:type="spellEnd"/>
      <w:r w:rsidR="00592B42" w:rsidRPr="00592B42">
        <w:t xml:space="preserve"> </w:t>
      </w:r>
      <w:proofErr w:type="spellStart"/>
      <w:r w:rsidR="00592B42" w:rsidRPr="00592B42">
        <w:t>Fund</w:t>
      </w:r>
      <w:proofErr w:type="spellEnd"/>
      <w:r w:rsidR="00592B42" w:rsidRPr="00592B42">
        <w:t xml:space="preserve">, </w:t>
      </w:r>
      <w:r w:rsidR="00F43B16">
        <w:t>(</w:t>
      </w:r>
      <w:r w:rsidR="00592B42" w:rsidRPr="00592B42">
        <w:t>SCF) (EU) 2023/955). Den sociala klimatfondens syfte är att minska de negativa effekterna av det nya systemet för utsläppshandel för utsatta hushåll, mikroföretag och personer som använder transporterna samt att främja minskningen av fossila bränslen. Fonden genomförs för perioden 2026–2032.</w:t>
      </w:r>
    </w:p>
    <w:p w14:paraId="4FBC056A" w14:textId="31171C48" w:rsidR="00251FE7" w:rsidRDefault="00251FE7">
      <w:pPr>
        <w:pStyle w:val="ANormal"/>
      </w:pPr>
      <w:r>
        <w:tab/>
      </w:r>
      <w:r w:rsidR="00592B42" w:rsidRPr="00592B42">
        <w:t xml:space="preserve">Bestämmelser om det sammanlagda antalet utsläppsrätter och om den linjära minskningsfaktor som ska tillämpas på dem finns i artikel 30c i utsläppshandelsdirektivet. Till skillnad från den nuvarande utsläppshandeln finns i det nya systemet för utsläppshandel inget procentuellt mål för utsläppsminskning för ett visst år. Inom ramen för den allmänna utsläppshandeln minskas utsläppen med 62 % fram till 2030 jämfört med nivån 2005. Den procentuella utsläppsminskningen uppnås genom att antalet utsläppsrätter minskas enligt den linjära minskningsfaktorn från och med jämförelseåret. Antalet utsläppsrätter i det nya systemet för utsläppshandel för distributörer </w:t>
      </w:r>
      <w:r w:rsidR="00592B42" w:rsidRPr="00592B42">
        <w:lastRenderedPageBreak/>
        <w:t>minskas på samma sätt genom en linjär minskningsfaktor, men ingen procentuell utsläppsminskning fram till 2030 har ställts upp.</w:t>
      </w:r>
    </w:p>
    <w:p w14:paraId="7B289E0D" w14:textId="5EA4C38E" w:rsidR="00251FE7" w:rsidRDefault="00251FE7">
      <w:pPr>
        <w:pStyle w:val="ANormal"/>
      </w:pPr>
      <w:r>
        <w:tab/>
      </w:r>
      <w:r w:rsidR="00592B42" w:rsidRPr="00592B42">
        <w:t>De utsläppsrätter som auktioneras fördelas mellan medlemsstaterna i enlighet med de genomförand</w:t>
      </w:r>
      <w:r>
        <w:t>e</w:t>
      </w:r>
      <w:r w:rsidR="00592B42" w:rsidRPr="00592B42">
        <w:t>akter som antagits med stöd av artikel 4 i förordning (EU) 2018/842, där de årliga utsläppskvoterna för perioden 2021–2030 fastställs. I utsläppshandelsdirektivet föreskrivs såväl om de andelar som ska gå till fonderna som om krav på medlemsstaterna angående användningen av auktionsintäkterna. Medlemsstaterna ska använda intäkterna, eller ett belopp av statens medel som motsvarar intäkterna, för åtminstone ett syfte som anges i artikel 10.3.</w:t>
      </w:r>
    </w:p>
    <w:p w14:paraId="6044642A" w14:textId="77777777" w:rsidR="00251FE7" w:rsidRDefault="00251FE7">
      <w:pPr>
        <w:pStyle w:val="ANormal"/>
      </w:pPr>
    </w:p>
    <w:p w14:paraId="3AC37A72" w14:textId="71EF10C6" w:rsidR="00251FE7" w:rsidRDefault="00592B42" w:rsidP="004F5C01">
      <w:pPr>
        <w:pStyle w:val="RubrikB"/>
      </w:pPr>
      <w:bookmarkStart w:id="4" w:name="_Toc199244147"/>
      <w:r w:rsidRPr="00592B42">
        <w:t>2.Implementering och lagstiftningsåtgärder</w:t>
      </w:r>
      <w:bookmarkEnd w:id="4"/>
    </w:p>
    <w:p w14:paraId="783D436C" w14:textId="77777777" w:rsidR="004F5C01" w:rsidRPr="004F5C01" w:rsidRDefault="004F5C01" w:rsidP="004F5C01">
      <w:pPr>
        <w:pStyle w:val="Rubrikmellanrum"/>
      </w:pPr>
    </w:p>
    <w:p w14:paraId="61508888" w14:textId="7B63753C" w:rsidR="00251FE7" w:rsidRDefault="004F5C01" w:rsidP="004F5C01">
      <w:pPr>
        <w:pStyle w:val="RubrikC"/>
      </w:pPr>
      <w:bookmarkStart w:id="5" w:name="_Toc199244148"/>
      <w:r>
        <w:t xml:space="preserve">2.1 </w:t>
      </w:r>
      <w:r w:rsidR="00592B42" w:rsidRPr="00592B42">
        <w:t>Lagstiftning i riket</w:t>
      </w:r>
      <w:bookmarkEnd w:id="5"/>
    </w:p>
    <w:p w14:paraId="6992C4D0" w14:textId="77777777" w:rsidR="004F5C01" w:rsidRPr="004F5C01" w:rsidRDefault="004F5C01" w:rsidP="004F5C01">
      <w:pPr>
        <w:pStyle w:val="Rubrikmellanrum"/>
      </w:pPr>
    </w:p>
    <w:p w14:paraId="3E953F9F" w14:textId="18980588" w:rsidR="00251FE7" w:rsidRDefault="00592B42">
      <w:pPr>
        <w:pStyle w:val="ANormal"/>
      </w:pPr>
      <w:r w:rsidRPr="00592B42">
        <w:t xml:space="preserve">I riket </w:t>
      </w:r>
      <w:r w:rsidR="004F5C01">
        <w:t xml:space="preserve">trädde en ny </w:t>
      </w:r>
      <w:r w:rsidRPr="00592B42">
        <w:t>lag om handel med utsläppsrätter för distribution av fossila bränslen</w:t>
      </w:r>
      <w:r w:rsidR="004F5C01">
        <w:t xml:space="preserve"> (FFS 1066/2024) i kraft </w:t>
      </w:r>
      <w:r w:rsidR="00DA305E">
        <w:t>den 1 januari</w:t>
      </w:r>
      <w:r w:rsidRPr="00592B42">
        <w:t>. Genom den lagen genomförs utsläppshandelsdirektivet till den del som gäller handeln med utsläppsrätter för sektorn separat uppvärmning av byggnader, vägtransporter och vissa ytterligare sektorer.</w:t>
      </w:r>
    </w:p>
    <w:p w14:paraId="7EB68B5A" w14:textId="77777777" w:rsidR="00251FE7" w:rsidRDefault="00251FE7">
      <w:pPr>
        <w:pStyle w:val="ANormal"/>
      </w:pPr>
      <w:r>
        <w:tab/>
      </w:r>
      <w:r w:rsidR="00592B42" w:rsidRPr="00592B42">
        <w:t xml:space="preserve">Genom det </w:t>
      </w:r>
      <w:r w:rsidR="00DA305E">
        <w:t>uppdaterade</w:t>
      </w:r>
      <w:r w:rsidR="00592B42" w:rsidRPr="00592B42">
        <w:t xml:space="preserve"> utsläppshandelsdirektivet inrättas en ny utsläppshandel för bränsledistribution</w:t>
      </w:r>
      <w:r w:rsidR="00DA305E" w:rsidRPr="00DA305E">
        <w:t xml:space="preserve"> </w:t>
      </w:r>
      <w:r w:rsidR="00DA305E" w:rsidRPr="00592B42">
        <w:t>inom EU</w:t>
      </w:r>
      <w:r w:rsidR="00217449">
        <w:t xml:space="preserve"> med</w:t>
      </w:r>
      <w:r w:rsidR="00592B42" w:rsidRPr="00592B42">
        <w:t xml:space="preserve"> syfte är att sätta ett pris på koldioxidutsläpp. Det nya utsläppshandelssystemet är i stor utsträckning förenligt med den gällande allmänna utsläppshandeln</w:t>
      </w:r>
      <w:r w:rsidR="00217449">
        <w:t xml:space="preserve"> men </w:t>
      </w:r>
      <w:r w:rsidR="00592B42" w:rsidRPr="00592B42">
        <w:t xml:space="preserve">medger ett </w:t>
      </w:r>
      <w:r w:rsidR="00217449">
        <w:t xml:space="preserve">större </w:t>
      </w:r>
      <w:r w:rsidR="00592B42" w:rsidRPr="00592B42">
        <w:t>nationellt handlingsutrymme vid genomförandet av direktivet. Lagen tillämpas inte på bränsle som är avsett för verksamhet som omfattas av lagen om utsläppshandel eller på bränsle som levereras till Försvarsmakten, den spårbundna trafiken eller kommersiella sjötransporter.</w:t>
      </w:r>
    </w:p>
    <w:p w14:paraId="3C0CFEAC" w14:textId="319581FF" w:rsidR="00251FE7" w:rsidRDefault="00251FE7">
      <w:pPr>
        <w:pStyle w:val="ANormal"/>
      </w:pPr>
      <w:r>
        <w:tab/>
      </w:r>
      <w:r w:rsidR="00592B42" w:rsidRPr="00592B42">
        <w:t>Den som driver en tillståndspliktig verksamhet inom ramen för ETS 2 benämns i utsläppshandelsdirektivet reglerad enhet. Den reglerade enheten är en fysisk eller juridisk person som frisläpper bränslen för konsumtion. Det är endast frisläppande av bränslen för konsumtion, vars innebörd finns i artikel 6.3 i punktskattedirektivet, som omfattas av verksamhetsbeskrivningen i bilaga III i utsläppshandelsdirektivet.</w:t>
      </w:r>
    </w:p>
    <w:p w14:paraId="5992D371" w14:textId="4FA8EF93" w:rsidR="00251FE7" w:rsidRDefault="00251FE7">
      <w:pPr>
        <w:pStyle w:val="ANormal"/>
      </w:pPr>
      <w:r>
        <w:tab/>
      </w:r>
      <w:r w:rsidR="00217449">
        <w:t>E</w:t>
      </w:r>
      <w:r w:rsidR="00592B42" w:rsidRPr="00592B42">
        <w:t xml:space="preserve">n reglerad enhet som frisläpper bränsle för konsumtion ska vara punktskattskyldig, ha ett utsläppstillstånd och ha en plan för övervakning av utsläpp. Den reglerade enheten ska även övervaka och låta verifiera sina utsläpp från och med 2025. </w:t>
      </w:r>
      <w:r w:rsidR="00217449">
        <w:t xml:space="preserve">Enligt rikslagen är </w:t>
      </w:r>
      <w:r w:rsidR="00592B42" w:rsidRPr="00592B42">
        <w:t>det möjligt att genom avtal överföra skyldigheterna enligt utsläppshandeln på en annan reglerad enhet.</w:t>
      </w:r>
    </w:p>
    <w:p w14:paraId="70C67069" w14:textId="77777777" w:rsidR="00251FE7" w:rsidRDefault="00251FE7">
      <w:pPr>
        <w:pStyle w:val="ANormal"/>
      </w:pPr>
    </w:p>
    <w:p w14:paraId="07D36E99" w14:textId="77777777" w:rsidR="00251FE7" w:rsidRDefault="005420C2" w:rsidP="005420C2">
      <w:pPr>
        <w:pStyle w:val="RubrikC"/>
      </w:pPr>
      <w:bookmarkStart w:id="6" w:name="_Toc199244149"/>
      <w:r>
        <w:t xml:space="preserve">2.2 </w:t>
      </w:r>
      <w:r w:rsidR="00592B42" w:rsidRPr="00592B42">
        <w:t>Gällande regelverk på Åland</w:t>
      </w:r>
      <w:bookmarkEnd w:id="6"/>
    </w:p>
    <w:p w14:paraId="5546A033" w14:textId="77777777" w:rsidR="005420C2" w:rsidRPr="005420C2" w:rsidRDefault="005420C2" w:rsidP="005420C2">
      <w:pPr>
        <w:pStyle w:val="Rubrikmellanrum"/>
      </w:pPr>
    </w:p>
    <w:p w14:paraId="117C9C59" w14:textId="77777777" w:rsidR="006307FE" w:rsidRDefault="00592B42" w:rsidP="006307FE">
      <w:pPr>
        <w:pStyle w:val="ANormal"/>
      </w:pPr>
      <w:r w:rsidRPr="00592B42">
        <w:t>Den gällande utsläppshandeln, vilken omfattar industriella anläggningar och framöver även sjöfarten (ETS1), regleras genom landskapslag (2009:31) om tillämpning i landskapet Åland av riksförfattningar om utsläppshandel</w:t>
      </w:r>
      <w:r w:rsidR="001D4607">
        <w:t>. En ändring av den lagen för att inkludera sjöfarten i utsläppshandeln skickades till lagtinget i maj 2024</w:t>
      </w:r>
      <w:r w:rsidR="001D4607">
        <w:rPr>
          <w:rStyle w:val="Fotnotsreferens"/>
        </w:rPr>
        <w:footnoteReference w:id="2"/>
      </w:r>
      <w:r w:rsidR="001D4607">
        <w:t xml:space="preserve">. </w:t>
      </w:r>
      <w:r w:rsidR="00EA2CF6">
        <w:t xml:space="preserve">För närvarande förhandlar </w:t>
      </w:r>
      <w:r w:rsidRPr="00592B42">
        <w:t xml:space="preserve">riket och </w:t>
      </w:r>
      <w:r w:rsidR="006307FE">
        <w:t>Åland</w:t>
      </w:r>
      <w:r w:rsidRPr="00592B42">
        <w:t xml:space="preserve"> </w:t>
      </w:r>
      <w:r w:rsidR="00EA2CF6">
        <w:t xml:space="preserve">om </w:t>
      </w:r>
      <w:r w:rsidR="006307FE">
        <w:t xml:space="preserve">storleken på landskapets andel av den totala kvantiteten </w:t>
      </w:r>
      <w:proofErr w:type="spellStart"/>
      <w:r w:rsidR="006307FE">
        <w:t>utauktionerade</w:t>
      </w:r>
      <w:proofErr w:type="spellEnd"/>
      <w:r w:rsidR="006307FE">
        <w:t xml:space="preserve"> utsläppsrätter och hur intäkterna från auktioneringen av utsläppsrätter ska </w:t>
      </w:r>
      <w:r w:rsidR="006307FE" w:rsidRPr="00592B42">
        <w:t>fördel</w:t>
      </w:r>
      <w:r w:rsidR="006307FE">
        <w:t>as</w:t>
      </w:r>
      <w:r w:rsidR="001175A4">
        <w:t xml:space="preserve"> mellan Åland och riket</w:t>
      </w:r>
      <w:r w:rsidR="006307FE">
        <w:t xml:space="preserve">. Resultatet av den förhandlingen kommer sedan att regleras </w:t>
      </w:r>
      <w:r w:rsidR="005420C2">
        <w:t>i</w:t>
      </w:r>
      <w:r w:rsidR="006307FE">
        <w:t xml:space="preserve"> en ny överenskommelseförordning.</w:t>
      </w:r>
    </w:p>
    <w:p w14:paraId="7486B14F" w14:textId="77777777" w:rsidR="006307FE" w:rsidRDefault="006307FE" w:rsidP="006307FE">
      <w:pPr>
        <w:pStyle w:val="ANormal"/>
      </w:pPr>
    </w:p>
    <w:p w14:paraId="6E4D1FA1" w14:textId="77777777" w:rsidR="00217449" w:rsidRDefault="005420C2" w:rsidP="00217449">
      <w:pPr>
        <w:pStyle w:val="RubrikB"/>
      </w:pPr>
      <w:bookmarkStart w:id="7" w:name="_Toc199244150"/>
      <w:r>
        <w:t xml:space="preserve">3. </w:t>
      </w:r>
      <w:r w:rsidR="00592B42" w:rsidRPr="00592B42">
        <w:t>Lagstiftningsbehörigheten</w:t>
      </w:r>
      <w:bookmarkEnd w:id="7"/>
    </w:p>
    <w:p w14:paraId="1FC34E1D" w14:textId="77777777" w:rsidR="00217449" w:rsidRPr="00217449" w:rsidRDefault="00217449" w:rsidP="00217449">
      <w:pPr>
        <w:pStyle w:val="Rubrikmellanrum"/>
      </w:pPr>
    </w:p>
    <w:p w14:paraId="2298744C" w14:textId="114FCC87" w:rsidR="006D54BA" w:rsidRDefault="00592B42">
      <w:pPr>
        <w:pStyle w:val="ANormal"/>
      </w:pPr>
      <w:r w:rsidRPr="00592B42">
        <w:t xml:space="preserve">Vid genomförandet av de gällande åländska författningarna om utsläppshandel har Ålandsdelegationen (nr 4/05, D 10 05 01 4, daterat </w:t>
      </w:r>
      <w:r w:rsidRPr="005736C4">
        <w:t>17.5.2005 samt</w:t>
      </w:r>
      <w:r w:rsidRPr="00592B42">
        <w:t xml:space="preserve"> </w:t>
      </w:r>
      <w:r w:rsidRPr="00592B42">
        <w:lastRenderedPageBreak/>
        <w:t xml:space="preserve">Nr 9/09, D 10 09 01 4 </w:t>
      </w:r>
      <w:r w:rsidRPr="005736C4">
        <w:t xml:space="preserve">daterat 4.3.2009) och Högsta domstolen (utlåtande OH 2005/61 daterat 29.6.2005) prövat behörigheten och konstaterat att utsläppshandeln främst berör natur- och miljövård och således </w:t>
      </w:r>
      <w:r w:rsidR="006D54BA" w:rsidRPr="005736C4">
        <w:t>enligt 18</w:t>
      </w:r>
      <w:r w:rsidR="00CF5F35" w:rsidRPr="005736C4">
        <w:t> §</w:t>
      </w:r>
      <w:r w:rsidR="006D54BA" w:rsidRPr="005736C4">
        <w:t xml:space="preserve"> 10</w:t>
      </w:r>
      <w:r w:rsidR="00CF5F35" w:rsidRPr="005736C4">
        <w:t> punkt</w:t>
      </w:r>
      <w:r w:rsidR="006D54BA" w:rsidRPr="005736C4">
        <w:t xml:space="preserve">en självstyrelselagen </w:t>
      </w:r>
      <w:r w:rsidRPr="005736C4">
        <w:t>är landskap</w:t>
      </w:r>
      <w:r w:rsidR="006D54BA" w:rsidRPr="005736C4">
        <w:t xml:space="preserve">ets </w:t>
      </w:r>
      <w:r w:rsidRPr="005736C4">
        <w:t xml:space="preserve">behörighet. </w:t>
      </w:r>
      <w:r w:rsidR="0091096B" w:rsidRPr="005736C4">
        <w:t>Lagen berör även näringsverksamhet som också är landskapets behörighet enligt 18</w:t>
      </w:r>
      <w:r w:rsidR="00CF5F35" w:rsidRPr="005736C4">
        <w:t> §</w:t>
      </w:r>
      <w:r w:rsidR="0091096B" w:rsidRPr="005736C4">
        <w:t xml:space="preserve"> 22 punkten självstyrelselagen. </w:t>
      </w:r>
      <w:r w:rsidRPr="005736C4">
        <w:t>Ålandsdelegationen prövade även om utsläppshandel inom handelssjöfarten är rikets eller landskapets behörighet i sitt utlåtande nr 12/23, D 10 23 05 2 daterat 10.2.2023.</w:t>
      </w:r>
    </w:p>
    <w:p w14:paraId="4DB23F35" w14:textId="77777777" w:rsidR="006D54BA" w:rsidRDefault="006D54BA">
      <w:pPr>
        <w:pStyle w:val="ANormal"/>
      </w:pPr>
    </w:p>
    <w:p w14:paraId="4A2FA58D" w14:textId="4DF37EAF" w:rsidR="00251FE7" w:rsidRDefault="00217449" w:rsidP="00217449">
      <w:pPr>
        <w:pStyle w:val="RubrikB"/>
      </w:pPr>
      <w:bookmarkStart w:id="8" w:name="_Toc199244151"/>
      <w:r>
        <w:t xml:space="preserve">4. </w:t>
      </w:r>
      <w:r w:rsidR="00592B42" w:rsidRPr="00592B42">
        <w:t>La</w:t>
      </w:r>
      <w:r>
        <w:t>ndskapsregeringens förslag</w:t>
      </w:r>
      <w:bookmarkEnd w:id="8"/>
    </w:p>
    <w:p w14:paraId="20EEEF23" w14:textId="77777777" w:rsidR="00217449" w:rsidRPr="00217449" w:rsidRDefault="00217449" w:rsidP="00217449">
      <w:pPr>
        <w:pStyle w:val="Rubrikmellanrum"/>
      </w:pPr>
    </w:p>
    <w:p w14:paraId="0958CE30" w14:textId="36361054" w:rsidR="00251FE7" w:rsidRDefault="00592B42">
      <w:pPr>
        <w:pStyle w:val="ANormal"/>
      </w:pPr>
      <w:r w:rsidRPr="00592B42">
        <w:t>Utvidgning av handeln med utsläppsrätter som omfattar utsläpp från byggnader och vägtransporter, ETS</w:t>
      </w:r>
      <w:r w:rsidR="00217449">
        <w:t xml:space="preserve"> </w:t>
      </w:r>
      <w:r w:rsidRPr="00592B42">
        <w:t>2, regleras i likhet med ETS</w:t>
      </w:r>
      <w:r w:rsidR="00217449">
        <w:t xml:space="preserve"> </w:t>
      </w:r>
      <w:r w:rsidRPr="00592B42">
        <w:t xml:space="preserve">1 genom separat lag och </w:t>
      </w:r>
      <w:r w:rsidR="00217449">
        <w:t xml:space="preserve">förslaget är </w:t>
      </w:r>
      <w:r w:rsidRPr="00592B42">
        <w:t xml:space="preserve">att </w:t>
      </w:r>
      <w:r w:rsidR="001175A4">
        <w:t xml:space="preserve">rikets lag </w:t>
      </w:r>
      <w:r w:rsidR="001175A4" w:rsidRPr="008A223E">
        <w:t xml:space="preserve">om handel med utsläppsrätter för distribution av fossila bränslen </w:t>
      </w:r>
      <w:r w:rsidRPr="00592B42">
        <w:t>görs gällande på Åland</w:t>
      </w:r>
      <w:r w:rsidR="001175A4">
        <w:t>.</w:t>
      </w:r>
      <w:r w:rsidRPr="00592B42">
        <w:t xml:space="preserve"> </w:t>
      </w:r>
      <w:r w:rsidR="00217449">
        <w:t>V</w:t>
      </w:r>
      <w:r w:rsidRPr="00592B42">
        <w:t>issa av de administrati</w:t>
      </w:r>
      <w:r w:rsidR="00217449">
        <w:t xml:space="preserve">va </w:t>
      </w:r>
      <w:r w:rsidRPr="00592B42">
        <w:t xml:space="preserve">uppgifter som är åländsk behörighet bör hanteras av </w:t>
      </w:r>
      <w:r w:rsidR="00217449">
        <w:t>E</w:t>
      </w:r>
      <w:r w:rsidRPr="00592B42">
        <w:t xml:space="preserve">nergimyndigheten i riket. Därmed finns behov av en </w:t>
      </w:r>
      <w:r w:rsidR="001175A4">
        <w:t xml:space="preserve">ny </w:t>
      </w:r>
      <w:r w:rsidRPr="00592B42">
        <w:t>överenskommelseförordning.</w:t>
      </w:r>
    </w:p>
    <w:p w14:paraId="2EEAAAF4" w14:textId="77777777" w:rsidR="00251FE7" w:rsidRDefault="00251FE7">
      <w:pPr>
        <w:pStyle w:val="ANormal"/>
      </w:pPr>
    </w:p>
    <w:p w14:paraId="7BAD3039" w14:textId="2A92515F" w:rsidR="00251FE7" w:rsidRDefault="00217449" w:rsidP="00217449">
      <w:pPr>
        <w:pStyle w:val="RubrikC"/>
      </w:pPr>
      <w:bookmarkStart w:id="9" w:name="_Toc199244152"/>
      <w:r>
        <w:t xml:space="preserve">4.1 </w:t>
      </w:r>
      <w:r w:rsidR="00592B42" w:rsidRPr="00592B42">
        <w:t>Eventuella avvikelser för Åland</w:t>
      </w:r>
      <w:bookmarkEnd w:id="9"/>
    </w:p>
    <w:p w14:paraId="3E1FF5E4" w14:textId="77777777" w:rsidR="00217449" w:rsidRPr="00217449" w:rsidRDefault="00217449" w:rsidP="00217449">
      <w:pPr>
        <w:pStyle w:val="Rubrikmellanrum"/>
      </w:pPr>
    </w:p>
    <w:p w14:paraId="6B28F6FB" w14:textId="4A487EEE" w:rsidR="00251FE7" w:rsidRDefault="00592B42">
      <w:pPr>
        <w:pStyle w:val="ANormal"/>
      </w:pPr>
      <w:r w:rsidRPr="00592B42">
        <w:t>En reglerad enhet kan ges rätt att hantera administrationen av de genererade utsläppen själv. Det innebär att den inte ingår i systemet där de större bränslebolagen administrerar handeln med utsläppsrätter kopplade till sin bränsleförsäljning. En reglerad enhet som finner det ändamålsenligt att själv hantera administrationen får köpa bränsle utan merkostnaden för utsläppsrätter som ingår i försäljningspriset.</w:t>
      </w:r>
    </w:p>
    <w:p w14:paraId="1D97DC25" w14:textId="5A3A4CFF" w:rsidR="00251FE7" w:rsidRDefault="00251FE7">
      <w:pPr>
        <w:pStyle w:val="ANormal"/>
      </w:pPr>
      <w:r>
        <w:tab/>
      </w:r>
      <w:r w:rsidR="00592B42" w:rsidRPr="00592B42">
        <w:t xml:space="preserve">Det är ännu oklart i vilken utsträckning det förekommer separata reglerade enheter på Åland. Skattemyndigheten har identifierat </w:t>
      </w:r>
      <w:r w:rsidR="00217449">
        <w:t>åtta</w:t>
      </w:r>
      <w:r w:rsidR="00592B42" w:rsidRPr="00592B42">
        <w:t xml:space="preserve"> företag på Åland som innehar skattefritt lager för bränsle eller annan roll gällande skattskyldigheten. Det är dock troligt att de flesta av dessa företag inte tar rollen som reglerade enheter och att de genom avtal överför skyldigheterna på en annan reglerad enhet. Omfattningen av administrationsuppgifter kopplade till ETS 2 är svåra att uppskatta, men antalet uppgifter kommer </w:t>
      </w:r>
      <w:r w:rsidR="00217449">
        <w:t xml:space="preserve">att </w:t>
      </w:r>
      <w:r w:rsidR="00592B42" w:rsidRPr="00592B42">
        <w:t>öka. I riket hanterar Energimyndigheten registerfunktioner och utövar kontroll av rapporter och tillstånd. Då i princip all bränsleförsäljning på Åland sker via lokala distributörer med bränsle från riket är det ändamålsenligt att administrationsavgifter regleras med en överenskommelseförordning mellan landskapsregeringen och Energimyndigheten i riket.</w:t>
      </w:r>
    </w:p>
    <w:p w14:paraId="65E52CB7" w14:textId="09A8B8FE" w:rsidR="00251FE7" w:rsidRDefault="00251FE7">
      <w:pPr>
        <w:pStyle w:val="ANormal"/>
      </w:pPr>
      <w:r>
        <w:tab/>
      </w:r>
      <w:r w:rsidR="00592B42" w:rsidRPr="00592B42">
        <w:t>Infogandet av sjöfarten i ETS 1 innebär förändringar i intäkterna från utsläppsauktionerna. I samband med förändringen argumenterar landskapsregeringen för att intäktsfördelningen ska beakta de nya ingående sektorerna. Gällande intäkterna från utsläppsauktionerna i ETS 2-systemet är landskapsregeringens åsikt att den andel som sålts för konsumtion i landskapet ska tillfalla Åland. Enligt 59b</w:t>
      </w:r>
      <w:r w:rsidR="00CF5F35">
        <w:t> §</w:t>
      </w:r>
      <w:r w:rsidR="00592B42" w:rsidRPr="00592B42">
        <w:t xml:space="preserve"> i självstyrelselagen ska Åland och riket komma överens om lämplig fördelningsgrund för intäkter från auktioner som hänför sig till det finska utsläppshandelssystemet.</w:t>
      </w:r>
    </w:p>
    <w:p w14:paraId="23F147F1" w14:textId="77777777" w:rsidR="00251FE7" w:rsidRDefault="00251FE7">
      <w:pPr>
        <w:pStyle w:val="ANormal"/>
      </w:pPr>
    </w:p>
    <w:p w14:paraId="7A61ABC2" w14:textId="28CDA065" w:rsidR="00251FE7" w:rsidRDefault="0072551F" w:rsidP="0072551F">
      <w:pPr>
        <w:pStyle w:val="RubrikB"/>
      </w:pPr>
      <w:bookmarkStart w:id="10" w:name="_Toc199244153"/>
      <w:r>
        <w:t>5</w:t>
      </w:r>
      <w:r w:rsidR="00592B42" w:rsidRPr="00592B42">
        <w:t>.Konsekvenser</w:t>
      </w:r>
      <w:bookmarkEnd w:id="10"/>
    </w:p>
    <w:p w14:paraId="10072F0F" w14:textId="77777777" w:rsidR="0072551F" w:rsidRPr="0072551F" w:rsidRDefault="0072551F" w:rsidP="0072551F">
      <w:pPr>
        <w:pStyle w:val="Rubrikmellanrum"/>
      </w:pPr>
    </w:p>
    <w:p w14:paraId="7EA51668" w14:textId="738F1E67" w:rsidR="00251FE7" w:rsidRDefault="0072551F" w:rsidP="0072551F">
      <w:pPr>
        <w:pStyle w:val="RubrikC"/>
      </w:pPr>
      <w:bookmarkStart w:id="11" w:name="_Toc199244154"/>
      <w:r>
        <w:t xml:space="preserve">5.1 </w:t>
      </w:r>
      <w:r w:rsidR="00592B42" w:rsidRPr="00592B42">
        <w:t>Ekonomiska konsekvenser</w:t>
      </w:r>
      <w:bookmarkEnd w:id="11"/>
    </w:p>
    <w:p w14:paraId="1E598A52" w14:textId="77777777" w:rsidR="0072551F" w:rsidRPr="0072551F" w:rsidRDefault="0072551F" w:rsidP="0072551F">
      <w:pPr>
        <w:pStyle w:val="Rubrikmellanrum"/>
      </w:pPr>
    </w:p>
    <w:p w14:paraId="6C1C2D0D" w14:textId="77777777" w:rsidR="00251FE7" w:rsidRDefault="00592B42">
      <w:pPr>
        <w:pStyle w:val="ANormal"/>
      </w:pPr>
      <w:r w:rsidRPr="00592B42">
        <w:t xml:space="preserve">När ETS 1 och ETS 2 är fullt implementerade omfattas i princip all försäljning av fossila bränslen i handeln </w:t>
      </w:r>
      <w:r w:rsidR="009A7D73">
        <w:t xml:space="preserve">med </w:t>
      </w:r>
      <w:r w:rsidRPr="00592B42">
        <w:t xml:space="preserve">utsläppsrätter. Kostnaderna kopplade till ETS beror på hur priset för utsläppsrätter utvecklas och troligen kommer priset gå upp i framtiden i och med att antalet utsläppsrätter minskar med ca 5% årligen enligt den linjära minskningsfaktorn. Hur mycket kostnaderna för fossila bränslen kommer öka är oklart och </w:t>
      </w:r>
      <w:r w:rsidR="009A7D73">
        <w:t xml:space="preserve">det är även oklart </w:t>
      </w:r>
      <w:r w:rsidRPr="00592B42">
        <w:t xml:space="preserve">om staten kommer </w:t>
      </w:r>
      <w:r w:rsidR="009A7D73">
        <w:t xml:space="preserve">att </w:t>
      </w:r>
      <w:r w:rsidRPr="00592B42">
        <w:t>kompensera prisökningen med skattereducering i någon omfattning.</w:t>
      </w:r>
    </w:p>
    <w:p w14:paraId="0FF92D95" w14:textId="548E3BD8" w:rsidR="00251FE7" w:rsidRDefault="00251FE7">
      <w:pPr>
        <w:pStyle w:val="ANormal"/>
      </w:pPr>
      <w:r>
        <w:lastRenderedPageBreak/>
        <w:tab/>
      </w:r>
      <w:r w:rsidR="00592B42" w:rsidRPr="00592B42">
        <w:t xml:space="preserve">En uppskattning av kostnaderna för ETS 2 kan göras baserad på den årliga förbrukningen av fossila bränslen i landskapet och en gissning på det framtida priset på utsläppsrätter. I likhet med ETS 1 är utvecklingen av priset på utsläppsrätter, antalet utsläppsrätter och medlemsländernas andel av antalet utsläppsrätter som auktioneras ut förenade med stora osäkerhetsfaktorer. Prisuppskattningarna för utsläppsrätterna baseras på de bedömningar kommissionen framfört i samband med förhandlingarna om egna medel samt på </w:t>
      </w:r>
      <w:r w:rsidR="00592B42" w:rsidRPr="00410D9A">
        <w:t xml:space="preserve">kommissionens anvisning </w:t>
      </w:r>
      <w:r w:rsidR="00410D9A" w:rsidRPr="00410D9A">
        <w:t>och</w:t>
      </w:r>
      <w:r w:rsidR="00592B42" w:rsidRPr="00410D9A">
        <w:t xml:space="preserve"> bedömningar i samband med energi- och klimatplaner.</w:t>
      </w:r>
      <w:r w:rsidR="00592B42" w:rsidRPr="00592B42">
        <w:t xml:space="preserve"> </w:t>
      </w:r>
      <w:r w:rsidR="009A7D73">
        <w:t>Även</w:t>
      </w:r>
      <w:r w:rsidR="00592B42" w:rsidRPr="00592B42">
        <w:t xml:space="preserve"> andra tillgängliga prisuppskattningar </w:t>
      </w:r>
      <w:r w:rsidR="009A7D73" w:rsidRPr="00592B42">
        <w:t xml:space="preserve">tyder </w:t>
      </w:r>
      <w:r w:rsidR="00592B42" w:rsidRPr="00592B42">
        <w:t>på att priserna under de första åren kommer att vara låga, men att de kommer att stiga närmare år 2030.</w:t>
      </w:r>
    </w:p>
    <w:p w14:paraId="6556694B" w14:textId="77777777" w:rsidR="00251FE7" w:rsidRDefault="00251FE7">
      <w:pPr>
        <w:pStyle w:val="ANormal"/>
      </w:pPr>
    </w:p>
    <w:p w14:paraId="3F125CFB" w14:textId="6F9AB2FE" w:rsidR="00251FE7" w:rsidRDefault="00592B42">
      <w:pPr>
        <w:pStyle w:val="ANormal"/>
      </w:pPr>
      <w:r w:rsidRPr="00592B42">
        <w:t>Tabell 1. Uppskattning av kostnader för ETS 2 på Åland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532"/>
        <w:gridCol w:w="2525"/>
        <w:gridCol w:w="1679"/>
      </w:tblGrid>
      <w:tr w:rsidR="00251FE7" w14:paraId="39AE794D" w14:textId="77777777" w:rsidTr="0066703C">
        <w:tc>
          <w:tcPr>
            <w:tcW w:w="959" w:type="dxa"/>
            <w:shd w:val="clear" w:color="auto" w:fill="auto"/>
          </w:tcPr>
          <w:p w14:paraId="3E85D0E4" w14:textId="77777777" w:rsidR="00251FE7" w:rsidRDefault="00251FE7">
            <w:pPr>
              <w:pStyle w:val="ANormal"/>
            </w:pPr>
            <w:r w:rsidRPr="00592B42">
              <w:t>År</w:t>
            </w:r>
          </w:p>
        </w:tc>
        <w:tc>
          <w:tcPr>
            <w:tcW w:w="1559" w:type="dxa"/>
            <w:shd w:val="clear" w:color="auto" w:fill="auto"/>
          </w:tcPr>
          <w:p w14:paraId="2EAB8E26" w14:textId="77777777" w:rsidR="00251FE7" w:rsidRDefault="00251FE7">
            <w:pPr>
              <w:pStyle w:val="ANormal"/>
            </w:pPr>
            <w:r w:rsidRPr="00592B42">
              <w:t>Euro/ton CO2</w:t>
            </w:r>
          </w:p>
        </w:tc>
        <w:tc>
          <w:tcPr>
            <w:tcW w:w="2604" w:type="dxa"/>
            <w:shd w:val="clear" w:color="auto" w:fill="auto"/>
          </w:tcPr>
          <w:p w14:paraId="0679210C" w14:textId="77777777" w:rsidR="00251FE7" w:rsidRDefault="00251FE7">
            <w:pPr>
              <w:pStyle w:val="ANormal"/>
            </w:pPr>
            <w:r w:rsidRPr="00592B42">
              <w:t>Ton CO2-utsläpp i ETS 2</w:t>
            </w:r>
          </w:p>
        </w:tc>
        <w:tc>
          <w:tcPr>
            <w:tcW w:w="1708" w:type="dxa"/>
            <w:shd w:val="clear" w:color="auto" w:fill="auto"/>
          </w:tcPr>
          <w:p w14:paraId="6FF589A5" w14:textId="77777777" w:rsidR="00251FE7" w:rsidRDefault="00E53A3B">
            <w:pPr>
              <w:pStyle w:val="ANormal"/>
            </w:pPr>
            <w:r w:rsidRPr="00592B42">
              <w:t>K</w:t>
            </w:r>
            <w:r w:rsidR="00251FE7" w:rsidRPr="00592B42">
              <w:t>ostnad</w:t>
            </w:r>
            <w:r>
              <w:t>/år</w:t>
            </w:r>
          </w:p>
        </w:tc>
      </w:tr>
      <w:tr w:rsidR="00251FE7" w14:paraId="30E82ACC" w14:textId="77777777" w:rsidTr="0066703C">
        <w:tc>
          <w:tcPr>
            <w:tcW w:w="959" w:type="dxa"/>
            <w:shd w:val="clear" w:color="auto" w:fill="auto"/>
          </w:tcPr>
          <w:p w14:paraId="75704A46" w14:textId="77777777" w:rsidR="00251FE7" w:rsidRDefault="00251FE7">
            <w:pPr>
              <w:pStyle w:val="ANormal"/>
            </w:pPr>
            <w:r w:rsidRPr="00592B42">
              <w:t>2027</w:t>
            </w:r>
          </w:p>
        </w:tc>
        <w:tc>
          <w:tcPr>
            <w:tcW w:w="1559" w:type="dxa"/>
            <w:shd w:val="clear" w:color="auto" w:fill="auto"/>
          </w:tcPr>
          <w:p w14:paraId="6FDE4E52" w14:textId="77777777" w:rsidR="00251FE7" w:rsidRDefault="00251FE7">
            <w:pPr>
              <w:pStyle w:val="ANormal"/>
            </w:pPr>
            <w:r w:rsidRPr="00592B42">
              <w:t>30</w:t>
            </w:r>
          </w:p>
        </w:tc>
        <w:tc>
          <w:tcPr>
            <w:tcW w:w="2604" w:type="dxa"/>
            <w:shd w:val="clear" w:color="auto" w:fill="auto"/>
          </w:tcPr>
          <w:p w14:paraId="3E6F9966" w14:textId="77777777" w:rsidR="00251FE7" w:rsidRDefault="00251FE7">
            <w:pPr>
              <w:pStyle w:val="ANormal"/>
            </w:pPr>
            <w:r w:rsidRPr="00592B42">
              <w:t>120</w:t>
            </w:r>
            <w:r>
              <w:t> </w:t>
            </w:r>
            <w:r w:rsidRPr="00592B42">
              <w:t>000</w:t>
            </w:r>
          </w:p>
        </w:tc>
        <w:tc>
          <w:tcPr>
            <w:tcW w:w="1708" w:type="dxa"/>
            <w:shd w:val="clear" w:color="auto" w:fill="auto"/>
          </w:tcPr>
          <w:p w14:paraId="5A5CB066" w14:textId="27D235AB" w:rsidR="00251FE7" w:rsidRDefault="00251FE7">
            <w:pPr>
              <w:pStyle w:val="ANormal"/>
            </w:pPr>
            <w:r w:rsidRPr="00592B42">
              <w:t>3</w:t>
            </w:r>
            <w:r w:rsidR="00C517A4">
              <w:t> </w:t>
            </w:r>
            <w:r w:rsidRPr="00592B42">
              <w:t>600</w:t>
            </w:r>
            <w:r w:rsidR="00C517A4">
              <w:t> </w:t>
            </w:r>
            <w:r w:rsidRPr="00592B42">
              <w:t>000</w:t>
            </w:r>
          </w:p>
        </w:tc>
      </w:tr>
      <w:tr w:rsidR="00251FE7" w14:paraId="4628FE2A" w14:textId="77777777" w:rsidTr="0066703C">
        <w:tc>
          <w:tcPr>
            <w:tcW w:w="959" w:type="dxa"/>
            <w:shd w:val="clear" w:color="auto" w:fill="auto"/>
          </w:tcPr>
          <w:p w14:paraId="55BEA39B" w14:textId="77777777" w:rsidR="00251FE7" w:rsidRDefault="00251FE7">
            <w:pPr>
              <w:pStyle w:val="ANormal"/>
            </w:pPr>
            <w:r w:rsidRPr="00592B42">
              <w:t>2028</w:t>
            </w:r>
          </w:p>
        </w:tc>
        <w:tc>
          <w:tcPr>
            <w:tcW w:w="1559" w:type="dxa"/>
            <w:shd w:val="clear" w:color="auto" w:fill="auto"/>
          </w:tcPr>
          <w:p w14:paraId="0D9766CD" w14:textId="77777777" w:rsidR="00251FE7" w:rsidRDefault="00251FE7">
            <w:pPr>
              <w:pStyle w:val="ANormal"/>
            </w:pPr>
            <w:r w:rsidRPr="00592B42">
              <w:t>50</w:t>
            </w:r>
          </w:p>
        </w:tc>
        <w:tc>
          <w:tcPr>
            <w:tcW w:w="2604" w:type="dxa"/>
            <w:shd w:val="clear" w:color="auto" w:fill="auto"/>
          </w:tcPr>
          <w:p w14:paraId="044F72C2" w14:textId="77777777" w:rsidR="00251FE7" w:rsidRDefault="00251FE7">
            <w:pPr>
              <w:pStyle w:val="ANormal"/>
            </w:pPr>
            <w:r w:rsidRPr="00592B42">
              <w:t>115</w:t>
            </w:r>
            <w:r>
              <w:t> </w:t>
            </w:r>
            <w:r w:rsidRPr="00592B42">
              <w:t>000</w:t>
            </w:r>
          </w:p>
        </w:tc>
        <w:tc>
          <w:tcPr>
            <w:tcW w:w="1708" w:type="dxa"/>
            <w:shd w:val="clear" w:color="auto" w:fill="auto"/>
          </w:tcPr>
          <w:p w14:paraId="76F23D5D" w14:textId="1C3432B4" w:rsidR="00251FE7" w:rsidRDefault="00251FE7">
            <w:pPr>
              <w:pStyle w:val="ANormal"/>
            </w:pPr>
            <w:r w:rsidRPr="00592B42">
              <w:t>5</w:t>
            </w:r>
            <w:r w:rsidR="00C517A4">
              <w:t> </w:t>
            </w:r>
            <w:r w:rsidRPr="00592B42">
              <w:t>750</w:t>
            </w:r>
            <w:r w:rsidR="00C517A4">
              <w:t> </w:t>
            </w:r>
            <w:r w:rsidRPr="00592B42">
              <w:t>000</w:t>
            </w:r>
          </w:p>
        </w:tc>
      </w:tr>
      <w:tr w:rsidR="00251FE7" w14:paraId="00572A18" w14:textId="77777777" w:rsidTr="0066703C">
        <w:tc>
          <w:tcPr>
            <w:tcW w:w="959" w:type="dxa"/>
            <w:shd w:val="clear" w:color="auto" w:fill="auto"/>
          </w:tcPr>
          <w:p w14:paraId="2DAB61F5" w14:textId="77777777" w:rsidR="00251FE7" w:rsidRDefault="00251FE7">
            <w:pPr>
              <w:pStyle w:val="ANormal"/>
            </w:pPr>
            <w:r w:rsidRPr="00592B42">
              <w:t>2029</w:t>
            </w:r>
          </w:p>
        </w:tc>
        <w:tc>
          <w:tcPr>
            <w:tcW w:w="1559" w:type="dxa"/>
            <w:shd w:val="clear" w:color="auto" w:fill="auto"/>
          </w:tcPr>
          <w:p w14:paraId="22D9BF89" w14:textId="77777777" w:rsidR="00251FE7" w:rsidRDefault="00251FE7">
            <w:pPr>
              <w:pStyle w:val="ANormal"/>
            </w:pPr>
            <w:r w:rsidRPr="00592B42">
              <w:t>55</w:t>
            </w:r>
          </w:p>
        </w:tc>
        <w:tc>
          <w:tcPr>
            <w:tcW w:w="2604" w:type="dxa"/>
            <w:shd w:val="clear" w:color="auto" w:fill="auto"/>
          </w:tcPr>
          <w:p w14:paraId="1695A1D8" w14:textId="77777777" w:rsidR="00251FE7" w:rsidRDefault="00251FE7">
            <w:pPr>
              <w:pStyle w:val="ANormal"/>
            </w:pPr>
            <w:r w:rsidRPr="00592B42">
              <w:t>110</w:t>
            </w:r>
            <w:r>
              <w:t> </w:t>
            </w:r>
            <w:r w:rsidRPr="00592B42">
              <w:t>000</w:t>
            </w:r>
          </w:p>
        </w:tc>
        <w:tc>
          <w:tcPr>
            <w:tcW w:w="1708" w:type="dxa"/>
            <w:shd w:val="clear" w:color="auto" w:fill="auto"/>
          </w:tcPr>
          <w:p w14:paraId="056EA25B" w14:textId="44BF99E1" w:rsidR="00251FE7" w:rsidRDefault="00251FE7">
            <w:pPr>
              <w:pStyle w:val="ANormal"/>
            </w:pPr>
            <w:r w:rsidRPr="00592B42">
              <w:t>6</w:t>
            </w:r>
            <w:r w:rsidR="00C517A4">
              <w:t> </w:t>
            </w:r>
            <w:r w:rsidRPr="00592B42">
              <w:t>050</w:t>
            </w:r>
            <w:r w:rsidR="00C517A4">
              <w:t> </w:t>
            </w:r>
            <w:r w:rsidRPr="00592B42">
              <w:t>000</w:t>
            </w:r>
          </w:p>
        </w:tc>
      </w:tr>
      <w:tr w:rsidR="00251FE7" w14:paraId="5E4B70E3" w14:textId="77777777" w:rsidTr="0066703C">
        <w:tc>
          <w:tcPr>
            <w:tcW w:w="959" w:type="dxa"/>
            <w:shd w:val="clear" w:color="auto" w:fill="auto"/>
          </w:tcPr>
          <w:p w14:paraId="2AF69491" w14:textId="77777777" w:rsidR="00251FE7" w:rsidRDefault="00251FE7">
            <w:pPr>
              <w:pStyle w:val="ANormal"/>
            </w:pPr>
            <w:r w:rsidRPr="00592B42">
              <w:t>2030</w:t>
            </w:r>
          </w:p>
        </w:tc>
        <w:tc>
          <w:tcPr>
            <w:tcW w:w="1559" w:type="dxa"/>
            <w:shd w:val="clear" w:color="auto" w:fill="auto"/>
          </w:tcPr>
          <w:p w14:paraId="50AE3AD8" w14:textId="77777777" w:rsidR="00251FE7" w:rsidRDefault="00251FE7">
            <w:pPr>
              <w:pStyle w:val="ANormal"/>
            </w:pPr>
            <w:r w:rsidRPr="00592B42">
              <w:t>55</w:t>
            </w:r>
          </w:p>
        </w:tc>
        <w:tc>
          <w:tcPr>
            <w:tcW w:w="2604" w:type="dxa"/>
            <w:shd w:val="clear" w:color="auto" w:fill="auto"/>
          </w:tcPr>
          <w:p w14:paraId="47145339" w14:textId="77777777" w:rsidR="00251FE7" w:rsidRDefault="00251FE7">
            <w:pPr>
              <w:pStyle w:val="ANormal"/>
            </w:pPr>
            <w:r w:rsidRPr="00592B42">
              <w:t>105</w:t>
            </w:r>
            <w:r>
              <w:t> </w:t>
            </w:r>
            <w:r w:rsidRPr="00592B42">
              <w:t>000</w:t>
            </w:r>
          </w:p>
        </w:tc>
        <w:tc>
          <w:tcPr>
            <w:tcW w:w="1708" w:type="dxa"/>
            <w:shd w:val="clear" w:color="auto" w:fill="auto"/>
          </w:tcPr>
          <w:p w14:paraId="71C99AFB" w14:textId="1B53CD3B" w:rsidR="00251FE7" w:rsidRDefault="00251FE7">
            <w:pPr>
              <w:pStyle w:val="ANormal"/>
            </w:pPr>
            <w:r w:rsidRPr="00592B42">
              <w:t>5</w:t>
            </w:r>
            <w:r w:rsidR="00C517A4">
              <w:t> </w:t>
            </w:r>
            <w:r w:rsidRPr="00592B42">
              <w:t>775</w:t>
            </w:r>
            <w:r w:rsidR="00C517A4">
              <w:t> </w:t>
            </w:r>
            <w:r w:rsidRPr="00592B42">
              <w:t>000</w:t>
            </w:r>
          </w:p>
        </w:tc>
      </w:tr>
    </w:tbl>
    <w:p w14:paraId="0F36AF47" w14:textId="77777777" w:rsidR="00251FE7" w:rsidRDefault="00251FE7">
      <w:pPr>
        <w:pStyle w:val="ANormal"/>
      </w:pPr>
    </w:p>
    <w:p w14:paraId="3FEEDF1B" w14:textId="78F521F4" w:rsidR="00E53A3B" w:rsidRDefault="0072551F" w:rsidP="0072551F">
      <w:pPr>
        <w:pStyle w:val="RubrikC"/>
      </w:pPr>
      <w:bookmarkStart w:id="12" w:name="_Toc199244155"/>
      <w:r>
        <w:t xml:space="preserve">5.2 </w:t>
      </w:r>
      <w:r w:rsidR="00592B42" w:rsidRPr="00592B42">
        <w:t>Administrativa konsekvenser</w:t>
      </w:r>
      <w:bookmarkEnd w:id="12"/>
    </w:p>
    <w:p w14:paraId="49F1DE02" w14:textId="77777777" w:rsidR="0072551F" w:rsidRPr="0072551F" w:rsidRDefault="0072551F" w:rsidP="0072551F">
      <w:pPr>
        <w:pStyle w:val="Rubrikmellanrum"/>
      </w:pPr>
    </w:p>
    <w:p w14:paraId="5EDECC57" w14:textId="6F247F74" w:rsidR="00E53A3B" w:rsidRDefault="00592B42">
      <w:pPr>
        <w:pStyle w:val="ANormal"/>
      </w:pPr>
      <w:r w:rsidRPr="00592B42">
        <w:t>Ålands energimyndighet har tillsynsansvaret för ETS 2 och beroende på hur mycket som omfattas i en överenskommelseförordning med Energimyndigheten i riket kan det innebära utökade administrativa uppgifter.</w:t>
      </w:r>
    </w:p>
    <w:p w14:paraId="245208BD" w14:textId="77777777" w:rsidR="00E53A3B" w:rsidRDefault="00E53A3B">
      <w:pPr>
        <w:pStyle w:val="ANormal"/>
      </w:pPr>
    </w:p>
    <w:p w14:paraId="7A25FA0C" w14:textId="663A820B" w:rsidR="00E53A3B" w:rsidRDefault="0072551F" w:rsidP="0072551F">
      <w:pPr>
        <w:pStyle w:val="RubrikC"/>
      </w:pPr>
      <w:bookmarkStart w:id="13" w:name="_Toc199244156"/>
      <w:r>
        <w:t xml:space="preserve">5.3 </w:t>
      </w:r>
      <w:r w:rsidR="00592B42" w:rsidRPr="00592B42">
        <w:t>Miljökonsekvenser</w:t>
      </w:r>
      <w:bookmarkEnd w:id="13"/>
    </w:p>
    <w:p w14:paraId="1DF691D4" w14:textId="77777777" w:rsidR="0072551F" w:rsidRPr="0072551F" w:rsidRDefault="0072551F" w:rsidP="0072551F">
      <w:pPr>
        <w:pStyle w:val="Rubrikmellanrum"/>
      </w:pPr>
    </w:p>
    <w:p w14:paraId="1745220C" w14:textId="6D9BD867" w:rsidR="00E53A3B" w:rsidRDefault="00592B42">
      <w:pPr>
        <w:pStyle w:val="ANormal"/>
      </w:pPr>
      <w:r w:rsidRPr="00592B42">
        <w:t>Syftet med systemet för handeln med utsläppsrätter är att prissätta utsläpp av koldioxid från fossila bränslen inom unionen. Detta medför att fossilfria alternativ ges konkurrensfördelar i omställningen mot ett koldioxidneutralt samhälle.</w:t>
      </w:r>
    </w:p>
    <w:p w14:paraId="5237EA65" w14:textId="77777777" w:rsidR="00E53A3B" w:rsidRDefault="00E53A3B">
      <w:pPr>
        <w:pStyle w:val="ANormal"/>
      </w:pPr>
    </w:p>
    <w:p w14:paraId="4627FBD5" w14:textId="77777777" w:rsidR="00E53A3B" w:rsidRDefault="0072551F" w:rsidP="0072551F">
      <w:pPr>
        <w:pStyle w:val="RubrikC"/>
      </w:pPr>
      <w:bookmarkStart w:id="14" w:name="_Toc199244157"/>
      <w:r>
        <w:t xml:space="preserve">5.4 </w:t>
      </w:r>
      <w:r w:rsidR="00592B42" w:rsidRPr="00592B42">
        <w:t>Jämställdhet och konsekvenser för barn</w:t>
      </w:r>
      <w:bookmarkEnd w:id="14"/>
    </w:p>
    <w:p w14:paraId="06F4FDBD" w14:textId="77777777" w:rsidR="0072551F" w:rsidRPr="0072551F" w:rsidRDefault="0072551F" w:rsidP="0072551F">
      <w:pPr>
        <w:pStyle w:val="Rubrikmellanrum"/>
      </w:pPr>
    </w:p>
    <w:p w14:paraId="7FB6E996" w14:textId="77777777" w:rsidR="00E53A3B" w:rsidRDefault="00592B42">
      <w:pPr>
        <w:pStyle w:val="ANormal"/>
      </w:pPr>
      <w:r w:rsidRPr="00592B42">
        <w:t xml:space="preserve">ETS 2 påverkar prissättningen av fossila bränslen inom unionen. Uppvärmning och transporter riskerar att bli dyrare och det kan drabba ekonomiskt utsatta grupper i samhället. Direkta konsekvenser för </w:t>
      </w:r>
      <w:r w:rsidR="00410D9A">
        <w:t>j</w:t>
      </w:r>
      <w:r w:rsidRPr="00592B42">
        <w:t>ämställdheten eller barn ses ej</w:t>
      </w:r>
      <w:r w:rsidR="00410D9A">
        <w:t xml:space="preserve"> men målet med lagstiftningen är en sund miljö för framtida generationer</w:t>
      </w:r>
      <w:r w:rsidRPr="00592B42">
        <w:t>.</w:t>
      </w:r>
    </w:p>
    <w:p w14:paraId="272C2CF5" w14:textId="77777777" w:rsidR="00E53A3B" w:rsidRDefault="00E53A3B">
      <w:pPr>
        <w:pStyle w:val="ANormal"/>
      </w:pPr>
    </w:p>
    <w:p w14:paraId="64C58A71" w14:textId="77777777" w:rsidR="00E53A3B" w:rsidRDefault="0072551F" w:rsidP="0072551F">
      <w:pPr>
        <w:pStyle w:val="RubrikC"/>
      </w:pPr>
      <w:bookmarkStart w:id="15" w:name="_Toc199244158"/>
      <w:r>
        <w:t xml:space="preserve">5.5 </w:t>
      </w:r>
      <w:r w:rsidR="00592B42" w:rsidRPr="00592B42">
        <w:t>Konsekvenser för sysselsättningen och arbetslivet</w:t>
      </w:r>
      <w:bookmarkEnd w:id="15"/>
    </w:p>
    <w:p w14:paraId="095D1048" w14:textId="77777777" w:rsidR="0072551F" w:rsidRPr="0072551F" w:rsidRDefault="0072551F" w:rsidP="0072551F">
      <w:pPr>
        <w:pStyle w:val="Rubrikmellanrum"/>
      </w:pPr>
    </w:p>
    <w:p w14:paraId="52465DF7" w14:textId="0EC9E3A7" w:rsidR="00E53A3B" w:rsidRDefault="00592B42">
      <w:pPr>
        <w:pStyle w:val="ANormal"/>
      </w:pPr>
      <w:r w:rsidRPr="00592B42">
        <w:t>ETS 2 kommer öka arbetsbelastningen hos Ålands Energimyndighet och hos de reglerade enheterna som måste köpa utsläppsrätter. Idag finns administrativa rutiner kring ETS 1 och även om systemen är separata finns stora likheter i uppbyggnad och tillämning.</w:t>
      </w:r>
    </w:p>
    <w:p w14:paraId="708FB554" w14:textId="77777777" w:rsidR="00E53A3B" w:rsidRDefault="00E53A3B">
      <w:pPr>
        <w:pStyle w:val="ANormal"/>
      </w:pPr>
    </w:p>
    <w:p w14:paraId="542C473C" w14:textId="722F376F" w:rsidR="00E53A3B" w:rsidRDefault="0072551F" w:rsidP="0072551F">
      <w:pPr>
        <w:pStyle w:val="RubrikC"/>
      </w:pPr>
      <w:bookmarkStart w:id="16" w:name="_Toc199244159"/>
      <w:r>
        <w:t xml:space="preserve">5.6 </w:t>
      </w:r>
      <w:r w:rsidR="00592B42" w:rsidRPr="00592B42">
        <w:t>Andra samhälleliga konsekvenser</w:t>
      </w:r>
      <w:bookmarkEnd w:id="16"/>
    </w:p>
    <w:p w14:paraId="41B59C0B" w14:textId="77777777" w:rsidR="0072551F" w:rsidRPr="0072551F" w:rsidRDefault="0072551F" w:rsidP="0072551F">
      <w:pPr>
        <w:pStyle w:val="Rubrikmellanrum"/>
      </w:pPr>
    </w:p>
    <w:p w14:paraId="6F302444" w14:textId="186E9F41" w:rsidR="006226C6" w:rsidRDefault="00592B42" w:rsidP="006226C6">
      <w:pPr>
        <w:pStyle w:val="ANormal"/>
      </w:pPr>
      <w:r w:rsidRPr="00592B42">
        <w:t xml:space="preserve">Den nya utsläppshandelns konsekvenser drabbar i huvudsak slutanvändare av bränslen till följd av stigande bränslepriser. ETS 2 omfattar uppvärmning av byggnader, vägtransportsektorn samt vissa ytterligare sektorer. Då ETS 1 och ETS 2 är fullt </w:t>
      </w:r>
      <w:r w:rsidR="006226C6">
        <w:t>genomförd</w:t>
      </w:r>
      <w:r w:rsidRPr="00592B42">
        <w:t xml:space="preserve"> omfattas i princip all försäljning av fossila bränslen av systemet. Kostnaderna för slutanvändare står i direkt förhållande till mängden bränsle som används. Konsekvenserna påverkas i väsentlig grad av i vilken mån slutanvändarna av bränsle kan ändra sitt beteende och minska användningen av bränsle som omfattas av utsläppshandeln.</w:t>
      </w:r>
    </w:p>
    <w:p w14:paraId="24EC2F7A" w14:textId="77777777" w:rsidR="006226C6" w:rsidRDefault="006226C6" w:rsidP="006226C6">
      <w:pPr>
        <w:pStyle w:val="ANormal"/>
      </w:pPr>
      <w:r>
        <w:tab/>
      </w:r>
      <w:r w:rsidRPr="00592B42">
        <w:t xml:space="preserve">Landskapsregeringen konstaterar att intäkterna från utsläppsauktionerna i ETS 2-systemet, till den del bränsle sålts för konsumtion i landskapet, ska </w:t>
      </w:r>
      <w:r w:rsidRPr="00592B42">
        <w:lastRenderedPageBreak/>
        <w:t>tillfalla Åland. Enligt 59b§ i självstyrelselagen ska Åland och riket komma överens om en lämplig fördelningsgrund för intäkter från auktioner som hänför sig till det finska utsläppshandelssystemet.</w:t>
      </w:r>
    </w:p>
    <w:p w14:paraId="13E62F05" w14:textId="77777777" w:rsidR="006226C6" w:rsidRDefault="006226C6" w:rsidP="00C517A4">
      <w:pPr>
        <w:pStyle w:val="ANormal"/>
      </w:pPr>
    </w:p>
    <w:p w14:paraId="00A6822D" w14:textId="77777777" w:rsidR="00AF3004" w:rsidRDefault="00AF3004">
      <w:pPr>
        <w:pStyle w:val="RubrikA"/>
      </w:pPr>
      <w:bookmarkStart w:id="17" w:name="_Toc199244160"/>
      <w:r>
        <w:t>Detaljmotivering</w:t>
      </w:r>
      <w:bookmarkEnd w:id="17"/>
    </w:p>
    <w:p w14:paraId="05755060" w14:textId="77777777" w:rsidR="00513874" w:rsidRPr="00513874" w:rsidRDefault="00513874" w:rsidP="00513874">
      <w:pPr>
        <w:pStyle w:val="Rubrikmellanrum"/>
      </w:pPr>
    </w:p>
    <w:p w14:paraId="6635C2D4" w14:textId="13F71102" w:rsidR="00513874" w:rsidRPr="00513874" w:rsidRDefault="00513874" w:rsidP="00513874">
      <w:pPr>
        <w:pStyle w:val="RubrikB"/>
      </w:pPr>
      <w:bookmarkStart w:id="18" w:name="_Toc199244161"/>
      <w:r w:rsidRPr="00513874">
        <w:rPr>
          <w:sz w:val="22"/>
        </w:rPr>
        <w:t>1.</w:t>
      </w:r>
      <w:r w:rsidRPr="00513874">
        <w:t xml:space="preserve"> Landskapslag </w:t>
      </w:r>
      <w:r>
        <w:t>om tillämpning av lagen om handel med utsläppsrätter för distribution av fossila bränslen</w:t>
      </w:r>
      <w:bookmarkEnd w:id="18"/>
    </w:p>
    <w:p w14:paraId="0EDCA409" w14:textId="77777777" w:rsidR="00AF3004" w:rsidRDefault="00AF3004">
      <w:pPr>
        <w:pStyle w:val="Rubrikmellanrum"/>
      </w:pPr>
    </w:p>
    <w:p w14:paraId="418D9CC7" w14:textId="0F3D105D" w:rsidR="00AF3004" w:rsidRDefault="00804CC0">
      <w:pPr>
        <w:pStyle w:val="ANormal"/>
      </w:pPr>
      <w:r>
        <w:t>1</w:t>
      </w:r>
      <w:r w:rsidR="00CF5F35">
        <w:t> §</w:t>
      </w:r>
      <w:r w:rsidR="00AF3004">
        <w:t xml:space="preserve"> </w:t>
      </w:r>
      <w:r w:rsidRPr="00804CC0">
        <w:rPr>
          <w:i/>
          <w:iCs/>
        </w:rPr>
        <w:t>Lagens tillämpningsområde</w:t>
      </w:r>
      <w:r w:rsidR="00AF3004">
        <w:rPr>
          <w:i/>
          <w:iCs/>
        </w:rPr>
        <w:t>.</w:t>
      </w:r>
      <w:r w:rsidR="00AF3004">
        <w:t xml:space="preserve"> </w:t>
      </w:r>
      <w:r w:rsidR="00DE2356" w:rsidRPr="00DE2356">
        <w:t xml:space="preserve">Enligt paragrafen antas lagen </w:t>
      </w:r>
      <w:r w:rsidR="00DE2356" w:rsidRPr="008A223E">
        <w:t xml:space="preserve">om handel med utsläppsrätter för distribution av fossila bränslen </w:t>
      </w:r>
      <w:r w:rsidR="00DE2356" w:rsidRPr="00DE2356">
        <w:t>som en blankettlag. Lagen ska tillämpas på Åland i den lydelse den har i riket med de undantag som följer av denna lag. De framtida ändringar som görs av lagen blir genast gällande lag på Åland så länge de rör de delar av lagen som gäller här.</w:t>
      </w:r>
    </w:p>
    <w:p w14:paraId="70C44369" w14:textId="77777777" w:rsidR="00AF3004" w:rsidRDefault="00AF3004">
      <w:pPr>
        <w:pStyle w:val="ANormal"/>
      </w:pPr>
    </w:p>
    <w:p w14:paraId="345B15D2" w14:textId="65B197C0" w:rsidR="00804CC0" w:rsidRDefault="00804CC0" w:rsidP="007A0636">
      <w:pPr>
        <w:pStyle w:val="ANormal"/>
      </w:pPr>
      <w:r>
        <w:t>2</w:t>
      </w:r>
      <w:r w:rsidR="00CF5F35">
        <w:t> §</w:t>
      </w:r>
      <w:r>
        <w:t xml:space="preserve"> </w:t>
      </w:r>
      <w:r w:rsidRPr="00804CC0">
        <w:rPr>
          <w:i/>
          <w:iCs/>
        </w:rPr>
        <w:t>Skötseln av vissa uppgifter på Åland</w:t>
      </w:r>
      <w:r>
        <w:rPr>
          <w:i/>
          <w:iCs/>
        </w:rPr>
        <w:t>.</w:t>
      </w:r>
      <w:r>
        <w:t xml:space="preserve"> </w:t>
      </w:r>
      <w:r w:rsidR="00DE2356">
        <w:t xml:space="preserve">Enligt paragrafen ska uppgifter som enligt lagen om </w:t>
      </w:r>
      <w:r w:rsidR="00DE2356" w:rsidRPr="008A223E">
        <w:t>handel med utsläppsrätter för distribution av fossila bränslen</w:t>
      </w:r>
      <w:r w:rsidR="00DE2356">
        <w:t xml:space="preserve"> sköts av </w:t>
      </w:r>
      <w:r w:rsidR="00DE2356" w:rsidRPr="00390909">
        <w:t xml:space="preserve">Arbets- och näringsministeriet </w:t>
      </w:r>
      <w:r w:rsidR="00DE2356">
        <w:t xml:space="preserve">skötas av landskapsregeringen och </w:t>
      </w:r>
      <w:r w:rsidR="00DE2356" w:rsidRPr="00DE2356">
        <w:t>uppgifter som enligt rikslagen sköts av Energimyndigheten sköt</w:t>
      </w:r>
      <w:r w:rsidR="000D6C3C">
        <w:t>as</w:t>
      </w:r>
      <w:r w:rsidR="00DE2356" w:rsidRPr="00DE2356">
        <w:t xml:space="preserve"> av Ålands energimyndighet.</w:t>
      </w:r>
      <w:r w:rsidR="00DE2356">
        <w:t xml:space="preserve"> Avsikten är dock att uppgifterna genom en överenskommelseförordning </w:t>
      </w:r>
      <w:r w:rsidR="007A0636">
        <w:t>återförs till riksmyndigheterna.</w:t>
      </w:r>
    </w:p>
    <w:p w14:paraId="2560EABD" w14:textId="77777777" w:rsidR="00804CC0" w:rsidRDefault="00804CC0">
      <w:pPr>
        <w:pStyle w:val="ANormal"/>
      </w:pPr>
    </w:p>
    <w:p w14:paraId="121A1926" w14:textId="477175DA" w:rsidR="00804CC0" w:rsidRDefault="00804CC0" w:rsidP="00804CC0">
      <w:pPr>
        <w:pStyle w:val="ANormal"/>
      </w:pPr>
      <w:r>
        <w:t>3</w:t>
      </w:r>
      <w:r w:rsidR="00CF5F35">
        <w:t> §</w:t>
      </w:r>
      <w:r>
        <w:t xml:space="preserve"> </w:t>
      </w:r>
      <w:r w:rsidRPr="00804CC0">
        <w:rPr>
          <w:i/>
          <w:iCs/>
        </w:rPr>
        <w:t>Avvikelser från bestämmelserna i rikslagstiftningen</w:t>
      </w:r>
      <w:r>
        <w:rPr>
          <w:i/>
          <w:iCs/>
        </w:rPr>
        <w:t>.</w:t>
      </w:r>
      <w:r>
        <w:t xml:space="preserve"> </w:t>
      </w:r>
      <w:r w:rsidR="00DE2356" w:rsidRPr="00DE2356">
        <w:t xml:space="preserve">I paragrafen anges att </w:t>
      </w:r>
      <w:r w:rsidR="00DE2356">
        <w:t xml:space="preserve">om en reglerad enhet åläggs att betala avgift för överskriden utsläppsrätt ska avgiften </w:t>
      </w:r>
      <w:r w:rsidR="00DE2356" w:rsidRPr="00DE2356">
        <w:t>tillfalla Åland.</w:t>
      </w:r>
      <w:r w:rsidR="00DE2356">
        <w:t xml:space="preserve"> I rikslagen avges att avgiften ska tillfalla staten.</w:t>
      </w:r>
    </w:p>
    <w:p w14:paraId="0E437B08" w14:textId="69E27381" w:rsidR="00804CC0" w:rsidRDefault="00311463">
      <w:pPr>
        <w:pStyle w:val="ANormal"/>
      </w:pPr>
      <w:r>
        <w:tab/>
      </w:r>
      <w:r w:rsidRPr="00D745D5">
        <w:t>För Ålands energimyndighets redovisning är det viktigt att de reglerade enheter med hemvist på Åland redovisar mängden bränsle som släppts ut på marknaden under året samt för vilka bränslevolymer de köpt utsläppsrätter.</w:t>
      </w:r>
    </w:p>
    <w:p w14:paraId="1D29DBD0" w14:textId="77777777" w:rsidR="00311463" w:rsidRDefault="00311463">
      <w:pPr>
        <w:pStyle w:val="ANormal"/>
      </w:pPr>
    </w:p>
    <w:p w14:paraId="4DD3AC89" w14:textId="604D35A6" w:rsidR="00804CC0" w:rsidRDefault="00804CC0" w:rsidP="00804CC0">
      <w:pPr>
        <w:pStyle w:val="ANormal"/>
      </w:pPr>
      <w:r>
        <w:t>4</w:t>
      </w:r>
      <w:r w:rsidR="00CF5F35">
        <w:t> §</w:t>
      </w:r>
      <w:r>
        <w:t xml:space="preserve"> </w:t>
      </w:r>
      <w:r w:rsidRPr="00804CC0">
        <w:rPr>
          <w:i/>
          <w:iCs/>
        </w:rPr>
        <w:t>Myndigheternas avgiftsbelagda prestationer</w:t>
      </w:r>
      <w:r>
        <w:rPr>
          <w:i/>
          <w:iCs/>
        </w:rPr>
        <w:t>.</w:t>
      </w:r>
      <w:r>
        <w:t xml:space="preserve"> </w:t>
      </w:r>
      <w:r w:rsidR="007A0636" w:rsidRPr="007A0636">
        <w:t>Bestämmelsen är av informativ karaktär</w:t>
      </w:r>
      <w:r w:rsidR="007A0636">
        <w:t xml:space="preserve"> och h</w:t>
      </w:r>
      <w:r w:rsidR="007A0636" w:rsidRPr="007A0636">
        <w:t>änvis</w:t>
      </w:r>
      <w:r w:rsidR="007A0636">
        <w:t>ar</w:t>
      </w:r>
      <w:r w:rsidR="007A0636" w:rsidRPr="007A0636">
        <w:t xml:space="preserve"> till </w:t>
      </w:r>
      <w:r w:rsidR="0011260A">
        <w:t xml:space="preserve">den </w:t>
      </w:r>
      <w:r w:rsidR="007A0636" w:rsidRPr="007A0636">
        <w:t>lag</w:t>
      </w:r>
      <w:r w:rsidR="0011260A">
        <w:t>stiftning</w:t>
      </w:r>
      <w:r w:rsidR="007A0636" w:rsidRPr="007A0636">
        <w:t xml:space="preserve"> som</w:t>
      </w:r>
      <w:r w:rsidR="007A0636">
        <w:t xml:space="preserve"> anger grunderna för avgifter som landskapet och underlydande myndigheter får ta ut </w:t>
      </w:r>
      <w:r w:rsidR="0011260A">
        <w:t>för olika prestationer.</w:t>
      </w:r>
    </w:p>
    <w:p w14:paraId="4C8EDA50" w14:textId="77777777" w:rsidR="00804CC0" w:rsidRDefault="00804CC0" w:rsidP="00804CC0">
      <w:pPr>
        <w:pStyle w:val="ANormal"/>
      </w:pPr>
    </w:p>
    <w:p w14:paraId="1F5A0109" w14:textId="3DF0D4C3" w:rsidR="00804CC0" w:rsidRDefault="00804CC0" w:rsidP="00804CC0">
      <w:pPr>
        <w:pStyle w:val="ANormal"/>
      </w:pPr>
      <w:r>
        <w:t>5</w:t>
      </w:r>
      <w:r w:rsidR="00CF5F35">
        <w:t> §</w:t>
      </w:r>
      <w:r>
        <w:t xml:space="preserve"> </w:t>
      </w:r>
      <w:r w:rsidRPr="00804CC0">
        <w:rPr>
          <w:i/>
          <w:iCs/>
        </w:rPr>
        <w:t>Ändringssökande</w:t>
      </w:r>
      <w:r>
        <w:rPr>
          <w:i/>
          <w:iCs/>
        </w:rPr>
        <w:t>.</w:t>
      </w:r>
      <w:r>
        <w:t xml:space="preserve"> </w:t>
      </w:r>
      <w:r w:rsidR="0011260A">
        <w:t xml:space="preserve">Vill man överklaga ett beslut som </w:t>
      </w:r>
      <w:r w:rsidR="0011260A" w:rsidRPr="0011260A">
        <w:t xml:space="preserve">Ålands energimyndighet fattat söks </w:t>
      </w:r>
      <w:r w:rsidR="0011260A">
        <w:t>ändringen</w:t>
      </w:r>
      <w:r w:rsidR="0011260A" w:rsidRPr="0011260A">
        <w:t xml:space="preserve"> hos Ålands förvaltningsdomstol</w:t>
      </w:r>
      <w:r w:rsidR="0011260A">
        <w:t xml:space="preserve">. Ändringar av andra myndigheters beslut </w:t>
      </w:r>
      <w:r w:rsidR="0011260A" w:rsidRPr="0011260A">
        <w:t>som fattats med stöd av denna lag kan sökas enligt de bestämmelser som a</w:t>
      </w:r>
      <w:r w:rsidR="00023BE7">
        <w:t>ng</w:t>
      </w:r>
      <w:r w:rsidR="0011260A" w:rsidRPr="0011260A">
        <w:t>es i rikslagen.</w:t>
      </w:r>
    </w:p>
    <w:p w14:paraId="5AE6852B" w14:textId="77777777" w:rsidR="00804CC0" w:rsidRDefault="00804CC0" w:rsidP="00804CC0">
      <w:pPr>
        <w:pStyle w:val="ANormal"/>
      </w:pPr>
    </w:p>
    <w:p w14:paraId="588FA6B9" w14:textId="4DCC6072" w:rsidR="00804CC0" w:rsidRDefault="00804CC0" w:rsidP="0011260A">
      <w:pPr>
        <w:pStyle w:val="ANormal"/>
      </w:pPr>
      <w:r>
        <w:t>6</w:t>
      </w:r>
      <w:r w:rsidR="00CF5F35">
        <w:t> §</w:t>
      </w:r>
      <w:r>
        <w:t xml:space="preserve"> </w:t>
      </w:r>
      <w:r w:rsidRPr="00804CC0">
        <w:rPr>
          <w:i/>
          <w:iCs/>
        </w:rPr>
        <w:t>Landskapsförordning</w:t>
      </w:r>
      <w:r>
        <w:rPr>
          <w:i/>
          <w:iCs/>
        </w:rPr>
        <w:t>.</w:t>
      </w:r>
      <w:r>
        <w:t xml:space="preserve"> </w:t>
      </w:r>
      <w:r w:rsidR="0011260A">
        <w:t xml:space="preserve">I paragrafen ges landskapsregeringen ett bemyndigande att utfärda landskapsförordningar i angelägenheter som hör till landskapets behörighet. I det här fallet begränsas fullmakten till att </w:t>
      </w:r>
      <w:r w:rsidR="0011260A" w:rsidRPr="0011260A">
        <w:t>besluta att författningar som utfärdats med stöd av rikslagen ska tillämpas oförändrade eller med de avvikelser som landskapsregeringen föreskriver.</w:t>
      </w:r>
    </w:p>
    <w:p w14:paraId="19FBFAD3" w14:textId="77777777" w:rsidR="00804CC0" w:rsidRDefault="00804CC0" w:rsidP="00804CC0">
      <w:pPr>
        <w:pStyle w:val="ANormal"/>
      </w:pPr>
    </w:p>
    <w:p w14:paraId="72D22E8A" w14:textId="54B47E37" w:rsidR="00804CC0" w:rsidRDefault="00804CC0" w:rsidP="00804CC0">
      <w:pPr>
        <w:pStyle w:val="ANormal"/>
      </w:pPr>
      <w:r>
        <w:t>7</w:t>
      </w:r>
      <w:r w:rsidR="00CF5F35">
        <w:t> §</w:t>
      </w:r>
      <w:r>
        <w:t xml:space="preserve"> </w:t>
      </w:r>
      <w:r w:rsidRPr="00804CC0">
        <w:rPr>
          <w:i/>
          <w:iCs/>
        </w:rPr>
        <w:t>Ikraftträdande</w:t>
      </w:r>
      <w:r>
        <w:rPr>
          <w:i/>
          <w:iCs/>
        </w:rPr>
        <w:t>.</w:t>
      </w:r>
      <w:r>
        <w:t xml:space="preserve"> </w:t>
      </w:r>
      <w:r w:rsidR="000D6C3C">
        <w:t>I paragrafen görs en avvikelse från rikslagen vad gäller den tid en reglerad enhet har på sig att lämna in a</w:t>
      </w:r>
      <w:r w:rsidR="000D6C3C" w:rsidRPr="000D6C3C">
        <w:t>nsökan om utsläppstillstånd</w:t>
      </w:r>
      <w:r w:rsidR="000D6C3C">
        <w:t xml:space="preserve"> och a</w:t>
      </w:r>
      <w:r w:rsidR="000D6C3C" w:rsidRPr="000D6C3C">
        <w:t>nsökan om godkännande av en plan för övervakning av utsläpp</w:t>
      </w:r>
      <w:r w:rsidR="000D6C3C">
        <w:t>.</w:t>
      </w:r>
    </w:p>
    <w:p w14:paraId="045065B0" w14:textId="77777777" w:rsidR="00641397" w:rsidRDefault="00641397" w:rsidP="00804CC0">
      <w:pPr>
        <w:pStyle w:val="ANormal"/>
      </w:pPr>
      <w:r>
        <w:t>Ansökan ska göras senast två månader efter att denna lag har trätt i kraft</w:t>
      </w:r>
      <w:r w:rsidRPr="00641397">
        <w:t xml:space="preserve"> </w:t>
      </w:r>
      <w:r w:rsidRPr="003D4FC3">
        <w:t xml:space="preserve">om den verksamhet som </w:t>
      </w:r>
      <w:r>
        <w:t>omfattas av</w:t>
      </w:r>
      <w:r w:rsidRPr="003D4FC3">
        <w:t xml:space="preserve"> </w:t>
      </w:r>
      <w:r>
        <w:t>rikslagen</w:t>
      </w:r>
      <w:r w:rsidRPr="003D4FC3">
        <w:t xml:space="preserve"> har inletts före ikraftträdandet av denna lag</w:t>
      </w:r>
      <w:r>
        <w:t>.</w:t>
      </w:r>
    </w:p>
    <w:p w14:paraId="1B59C6AA" w14:textId="77777777" w:rsidR="00804CC0" w:rsidRDefault="00804CC0" w:rsidP="00804CC0">
      <w:pPr>
        <w:pStyle w:val="ANormal"/>
      </w:pPr>
    </w:p>
    <w:p w14:paraId="76A19D50" w14:textId="58754D87" w:rsidR="00513874" w:rsidRDefault="00513874" w:rsidP="00513874">
      <w:pPr>
        <w:pStyle w:val="RubrikB"/>
      </w:pPr>
      <w:bookmarkStart w:id="19" w:name="_Toc199244162"/>
      <w:r>
        <w:t xml:space="preserve">2. </w:t>
      </w:r>
      <w:r w:rsidR="00FC4AA1" w:rsidRPr="00513874">
        <w:t xml:space="preserve">Landskapslag </w:t>
      </w:r>
      <w:r w:rsidR="00FC4AA1">
        <w:t>om ä</w:t>
      </w:r>
      <w:r>
        <w:t>ndring av 1</w:t>
      </w:r>
      <w:r w:rsidR="00CF5F35">
        <w:t> §</w:t>
      </w:r>
      <w:r>
        <w:t xml:space="preserve"> landskapslagen om Ålands energimyndighet</w:t>
      </w:r>
      <w:bookmarkEnd w:id="19"/>
    </w:p>
    <w:p w14:paraId="0D054C05" w14:textId="77777777" w:rsidR="00513874" w:rsidRDefault="00513874" w:rsidP="00513874">
      <w:pPr>
        <w:pStyle w:val="Rubrikmellanrum"/>
      </w:pPr>
    </w:p>
    <w:p w14:paraId="2BD47CEA" w14:textId="01E9BE35" w:rsidR="00513874" w:rsidRDefault="00513874" w:rsidP="00513874">
      <w:pPr>
        <w:pStyle w:val="ANormal"/>
      </w:pPr>
      <w:r>
        <w:t>1</w:t>
      </w:r>
      <w:r w:rsidR="00CF5F35">
        <w:t> §</w:t>
      </w:r>
      <w:r>
        <w:t xml:space="preserve"> </w:t>
      </w:r>
      <w:r w:rsidRPr="00513874">
        <w:rPr>
          <w:i/>
          <w:iCs/>
        </w:rPr>
        <w:t>Uppgifter</w:t>
      </w:r>
      <w:r>
        <w:t>. I paragrafens 2</w:t>
      </w:r>
      <w:r w:rsidR="00CF5F35">
        <w:t> mom.</w:t>
      </w:r>
      <w:r>
        <w:t xml:space="preserve"> infogas en ny 6</w:t>
      </w:r>
      <w:r w:rsidR="00CF5F35">
        <w:t> punkt</w:t>
      </w:r>
      <w:r>
        <w:t xml:space="preserve"> </w:t>
      </w:r>
      <w:r w:rsidR="00E73219">
        <w:t xml:space="preserve">som anger att </w:t>
      </w:r>
      <w:r w:rsidR="00E73219" w:rsidRPr="00E73219">
        <w:t>Ålands energimyndighet sköter tillsyns- och övervakningsuppgifter</w:t>
      </w:r>
      <w:r w:rsidR="00E73219">
        <w:t xml:space="preserve"> </w:t>
      </w:r>
      <w:r w:rsidR="00E73219" w:rsidRPr="00E73219">
        <w:t xml:space="preserve">som </w:t>
      </w:r>
      <w:r w:rsidR="00E73219" w:rsidRPr="00E73219">
        <w:lastRenderedPageBreak/>
        <w:t>avses i</w:t>
      </w:r>
      <w:r w:rsidR="00E73219">
        <w:t xml:space="preserve"> </w:t>
      </w:r>
      <w:r>
        <w:t xml:space="preserve">landskapslagen </w:t>
      </w:r>
      <w:r w:rsidR="00E73219" w:rsidRPr="00E73219">
        <w:t>om tillämpning av lagen om handel med utsläppsrätter för distribution av fossila bränslen</w:t>
      </w:r>
      <w:r>
        <w:t xml:space="preserve">. </w:t>
      </w:r>
      <w:r w:rsidR="002434D6">
        <w:t>Punkt</w:t>
      </w:r>
      <w:r w:rsidR="00C517A4">
        <w:t> </w:t>
      </w:r>
      <w:r w:rsidR="002434D6">
        <w:t xml:space="preserve">5 </w:t>
      </w:r>
      <w:r w:rsidR="00CA72D7">
        <w:t xml:space="preserve">har </w:t>
      </w:r>
      <w:r w:rsidR="002434D6" w:rsidRPr="002434D6">
        <w:t>ändra</w:t>
      </w:r>
      <w:r w:rsidR="00CA72D7">
        <w:t>t</w:t>
      </w:r>
      <w:r w:rsidR="002434D6" w:rsidRPr="002434D6">
        <w:t xml:space="preserve">s </w:t>
      </w:r>
      <w:r w:rsidR="00CA72D7">
        <w:t>genom</w:t>
      </w:r>
      <w:r w:rsidR="002434D6" w:rsidRPr="002434D6">
        <w:t xml:space="preserve"> </w:t>
      </w:r>
      <w:bookmarkStart w:id="20" w:name="_Hlk199238481"/>
      <w:r w:rsidR="002434D6" w:rsidRPr="002434D6">
        <w:t>LF nr 15/</w:t>
      </w:r>
      <w:bookmarkEnd w:id="20"/>
      <w:r w:rsidR="006D2FAC" w:rsidRPr="002434D6">
        <w:t>2024–2025</w:t>
      </w:r>
      <w:r w:rsidR="002434D6" w:rsidRPr="002434D6">
        <w:t xml:space="preserve"> som </w:t>
      </w:r>
      <w:r w:rsidR="00CA72D7">
        <w:t xml:space="preserve">är under behandling i </w:t>
      </w:r>
      <w:r w:rsidR="002434D6" w:rsidRPr="002434D6">
        <w:t>lagtinget</w:t>
      </w:r>
      <w:r w:rsidR="00CA72D7">
        <w:t>.</w:t>
      </w:r>
    </w:p>
    <w:p w14:paraId="50CA8B41" w14:textId="77777777" w:rsidR="00C517A4" w:rsidRDefault="00C517A4" w:rsidP="00513874">
      <w:pPr>
        <w:pStyle w:val="ANormal"/>
      </w:pPr>
    </w:p>
    <w:p w14:paraId="333110A8" w14:textId="269B8DF2" w:rsidR="00C517A4" w:rsidRDefault="00C517A4">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38A1490B" w14:textId="77777777" w:rsidR="00973C2F" w:rsidRDefault="00973C2F" w:rsidP="00C517A4">
      <w:pPr>
        <w:pStyle w:val="ANormal"/>
      </w:pPr>
    </w:p>
    <w:p w14:paraId="5E27244C" w14:textId="7D514E2D" w:rsidR="00D02D14" w:rsidRDefault="00D02D14" w:rsidP="00D02D14">
      <w:pPr>
        <w:pStyle w:val="RubrikA"/>
      </w:pPr>
      <w:bookmarkStart w:id="21" w:name="_Toc199244163"/>
      <w:r>
        <w:t>Lagtext</w:t>
      </w:r>
      <w:bookmarkEnd w:id="21"/>
    </w:p>
    <w:p w14:paraId="1EA86ED3" w14:textId="77777777" w:rsidR="00D02D14" w:rsidRDefault="00D02D14" w:rsidP="00D02D14">
      <w:pPr>
        <w:pStyle w:val="Rubrikmellanrum"/>
      </w:pPr>
    </w:p>
    <w:p w14:paraId="3EB047C1" w14:textId="17000D30" w:rsidR="00D02D14" w:rsidRDefault="00D02D14" w:rsidP="00D02D14">
      <w:pPr>
        <w:pStyle w:val="ANormal"/>
      </w:pPr>
      <w:r>
        <w:t>Landskapsregeringen föreslår att följande lag</w:t>
      </w:r>
      <w:r w:rsidR="00704023">
        <w:t>ar</w:t>
      </w:r>
      <w:r>
        <w:t xml:space="preserve"> antas.</w:t>
      </w:r>
    </w:p>
    <w:p w14:paraId="488868F5" w14:textId="1E7BF374" w:rsidR="00704023" w:rsidRDefault="00704023">
      <w:pPr>
        <w:autoSpaceDE/>
        <w:autoSpaceDN/>
        <w:adjustRightInd/>
        <w:spacing w:line="240" w:lineRule="auto"/>
        <w:textAlignment w:val="auto"/>
        <w:rPr>
          <w:rFonts w:ascii="Times New Roman" w:eastAsia="Times New Roman" w:hAnsi="Times New Roman" w:cs="Times New Roman"/>
          <w:sz w:val="22"/>
          <w:lang w:eastAsia="sv-SE"/>
        </w:rPr>
      </w:pPr>
    </w:p>
    <w:p w14:paraId="01BC7A56" w14:textId="52A2BF0E" w:rsidR="00D02D14" w:rsidRPr="00D02D14" w:rsidRDefault="00027F85" w:rsidP="00D02D14">
      <w:pPr>
        <w:pStyle w:val="ANormal"/>
      </w:pPr>
      <w:r>
        <w:t>1.</w:t>
      </w:r>
    </w:p>
    <w:p w14:paraId="36ADDB3B" w14:textId="77777777" w:rsidR="00D02D14" w:rsidRPr="00305EF0" w:rsidRDefault="00D02D14" w:rsidP="00D02D14">
      <w:pPr>
        <w:pStyle w:val="LagHuvRubr"/>
      </w:pPr>
      <w:bookmarkStart w:id="22" w:name="_Toc199244164"/>
      <w:r w:rsidRPr="00305EF0">
        <w:t>L A N D S K A P S L A G</w:t>
      </w:r>
      <w:r w:rsidRPr="00305EF0">
        <w:br/>
      </w:r>
      <w:r>
        <w:t xml:space="preserve">om </w:t>
      </w:r>
      <w:r w:rsidRPr="00305EF0">
        <w:t xml:space="preserve">tillämpning av </w:t>
      </w:r>
      <w:r>
        <w:t xml:space="preserve">lagen </w:t>
      </w:r>
      <w:r w:rsidRPr="00D02D14">
        <w:t>om handel med utsläppsrätter för distribution av fossila bränslen</w:t>
      </w:r>
      <w:bookmarkEnd w:id="22"/>
    </w:p>
    <w:p w14:paraId="46C043CC" w14:textId="77777777" w:rsidR="00D02D14" w:rsidRPr="00305EF0" w:rsidRDefault="00D02D14" w:rsidP="00D02D14">
      <w:pPr>
        <w:pStyle w:val="ANormal"/>
      </w:pPr>
    </w:p>
    <w:p w14:paraId="58F5C006" w14:textId="77777777" w:rsidR="00D02D14" w:rsidRDefault="00D02D14" w:rsidP="00D02D14">
      <w:pPr>
        <w:pStyle w:val="ANormal"/>
      </w:pPr>
      <w:r w:rsidRPr="00305EF0">
        <w:tab/>
      </w:r>
      <w:r>
        <w:t xml:space="preserve">I enlighet med lagtingets beslut </w:t>
      </w:r>
      <w:r w:rsidRPr="00D02D14">
        <w:t>föreskrivs</w:t>
      </w:r>
      <w:r>
        <w:t>:</w:t>
      </w:r>
    </w:p>
    <w:p w14:paraId="66D49AFE" w14:textId="77777777" w:rsidR="00D02D14" w:rsidRDefault="00D02D14" w:rsidP="00D02D14">
      <w:pPr>
        <w:pStyle w:val="ANormal"/>
      </w:pPr>
    </w:p>
    <w:p w14:paraId="24F0AA71" w14:textId="32E4827E" w:rsidR="00D02D14" w:rsidRDefault="00D02D14" w:rsidP="00D02D14">
      <w:pPr>
        <w:pStyle w:val="LagParagraf"/>
      </w:pPr>
      <w:r>
        <w:t>1</w:t>
      </w:r>
      <w:r w:rsidR="00CF5F35">
        <w:t> §</w:t>
      </w:r>
    </w:p>
    <w:p w14:paraId="3FC76CB2" w14:textId="77777777" w:rsidR="00D02D14" w:rsidRDefault="00D02D14" w:rsidP="00D02D14">
      <w:pPr>
        <w:pStyle w:val="LagPararubrik"/>
      </w:pPr>
      <w:r>
        <w:t>Lagens ti</w:t>
      </w:r>
      <w:r w:rsidRPr="00305EF0">
        <w:t>llämpning</w:t>
      </w:r>
      <w:r>
        <w:t>sområde</w:t>
      </w:r>
    </w:p>
    <w:p w14:paraId="60A1B29E" w14:textId="77777777" w:rsidR="00D02D14" w:rsidRDefault="00D02D14" w:rsidP="00D02D14">
      <w:pPr>
        <w:pStyle w:val="ANormal"/>
      </w:pPr>
      <w:r>
        <w:tab/>
        <w:t xml:space="preserve">Lagen </w:t>
      </w:r>
      <w:r w:rsidRPr="008A223E">
        <w:t xml:space="preserve">om handel med utsläppsrätter för distribution av fossila bränslen </w:t>
      </w:r>
      <w:r>
        <w:t>(FFS 1066/2024) ska tillämpas på Åland med de avvikelser som anges i denna lag.</w:t>
      </w:r>
    </w:p>
    <w:p w14:paraId="364E3BF4" w14:textId="77777777" w:rsidR="00D02D14" w:rsidRDefault="00D02D14" w:rsidP="00D02D14">
      <w:pPr>
        <w:pStyle w:val="ANormal"/>
      </w:pPr>
      <w:r>
        <w:tab/>
        <w:t>Ändringar som görs i rikslagen träder i kraft vid tidpunkten för deras ikraftträdande i riket, om inte annat följer av denna lag.</w:t>
      </w:r>
    </w:p>
    <w:p w14:paraId="725ED056" w14:textId="77777777" w:rsidR="00D02D14" w:rsidRDefault="00D02D14" w:rsidP="00D02D14">
      <w:pPr>
        <w:pStyle w:val="ANormal"/>
      </w:pPr>
    </w:p>
    <w:p w14:paraId="3A6B6522" w14:textId="4E6A8C67" w:rsidR="00D02D14" w:rsidRDefault="00D02D14" w:rsidP="00D02D14">
      <w:pPr>
        <w:pStyle w:val="LagParagraf"/>
      </w:pPr>
      <w:r>
        <w:t>2</w:t>
      </w:r>
      <w:r w:rsidR="00CF5F35">
        <w:t> §</w:t>
      </w:r>
    </w:p>
    <w:p w14:paraId="4513A6CA" w14:textId="77777777" w:rsidR="00D02D14" w:rsidRDefault="00D02D14" w:rsidP="00D02D14">
      <w:pPr>
        <w:pStyle w:val="LagPararubrik"/>
      </w:pPr>
      <w:r w:rsidRPr="00D02D14">
        <w:t>Skötseln av vissa uppgifter på Åland</w:t>
      </w:r>
    </w:p>
    <w:p w14:paraId="1DF25A44" w14:textId="77383ED2" w:rsidR="00D02D14" w:rsidRPr="00D02D14" w:rsidRDefault="00D02D14" w:rsidP="00D02D14">
      <w:pPr>
        <w:pStyle w:val="ANormal"/>
      </w:pPr>
      <w:r>
        <w:tab/>
      </w:r>
      <w:r w:rsidR="00390909">
        <w:t>Förvaltningsu</w:t>
      </w:r>
      <w:r>
        <w:t xml:space="preserve">ppgifter som enligt lagen </w:t>
      </w:r>
      <w:r w:rsidR="00CE0617">
        <w:t xml:space="preserve">om </w:t>
      </w:r>
      <w:r w:rsidRPr="008A223E">
        <w:t>handel med utsläppsrätter för distribution av fossila bränslen</w:t>
      </w:r>
      <w:r>
        <w:t xml:space="preserve"> sköts av </w:t>
      </w:r>
      <w:r w:rsidR="00C517A4" w:rsidRPr="005736C4">
        <w:t>a</w:t>
      </w:r>
      <w:r w:rsidR="00390909" w:rsidRPr="005736C4">
        <w:t>rbets- och näringsministeriet</w:t>
      </w:r>
      <w:r w:rsidR="00390909" w:rsidRPr="00390909">
        <w:t xml:space="preserve"> </w:t>
      </w:r>
      <w:r w:rsidR="00390909">
        <w:t xml:space="preserve">sköts på Åland av landskapsregeringen </w:t>
      </w:r>
      <w:r>
        <w:t xml:space="preserve">och </w:t>
      </w:r>
      <w:r w:rsidR="00390909">
        <w:t xml:space="preserve">uppgifter som enligt rikslagen sköts av Energimyndigheten sköts på Åland </w:t>
      </w:r>
      <w:r>
        <w:t xml:space="preserve">av </w:t>
      </w:r>
      <w:r w:rsidR="00390909" w:rsidRPr="00390909">
        <w:t>Ålands energimyndighet</w:t>
      </w:r>
      <w:r>
        <w:t>.</w:t>
      </w:r>
    </w:p>
    <w:p w14:paraId="757DB618" w14:textId="77777777" w:rsidR="00D02D14" w:rsidRDefault="00D02D14" w:rsidP="00D02D14">
      <w:pPr>
        <w:pStyle w:val="ANormal"/>
      </w:pPr>
    </w:p>
    <w:p w14:paraId="72BFBD4A" w14:textId="56C6E02E" w:rsidR="00D02D14" w:rsidRDefault="00D02D14" w:rsidP="00D02D14">
      <w:pPr>
        <w:pStyle w:val="LagParagraf"/>
      </w:pPr>
      <w:r>
        <w:t>3</w:t>
      </w:r>
      <w:r w:rsidR="00CF5F35">
        <w:t> §</w:t>
      </w:r>
    </w:p>
    <w:p w14:paraId="40CDA26A" w14:textId="77777777" w:rsidR="00D02D14" w:rsidRDefault="00D02D14" w:rsidP="00D02D14">
      <w:pPr>
        <w:pStyle w:val="LagPararubrik"/>
      </w:pPr>
      <w:r w:rsidRPr="006719BC">
        <w:t>Avvikelser från bestämmelserna i rikslagstiftningen</w:t>
      </w:r>
    </w:p>
    <w:p w14:paraId="2BDC90F4" w14:textId="31F0C618" w:rsidR="009E0E10" w:rsidRDefault="00C517A4" w:rsidP="00D02D14">
      <w:pPr>
        <w:pStyle w:val="ANormal"/>
      </w:pPr>
      <w:r>
        <w:tab/>
      </w:r>
      <w:r w:rsidR="00034AE6" w:rsidRPr="00034AE6">
        <w:t xml:space="preserve">Om </w:t>
      </w:r>
      <w:r w:rsidR="00034AE6">
        <w:t>en reglerad enhet</w:t>
      </w:r>
      <w:r w:rsidR="00034AE6" w:rsidRPr="00034AE6">
        <w:t xml:space="preserve"> åläggs att betala avgift för överskriden utsläppsrätt ska åläggandet avse betalning till landskapet.</w:t>
      </w:r>
    </w:p>
    <w:p w14:paraId="58EFD36A" w14:textId="3BF8BC87" w:rsidR="00D569CD" w:rsidRDefault="00D569CD" w:rsidP="00D569CD">
      <w:pPr>
        <w:pStyle w:val="ANormal"/>
      </w:pPr>
      <w:r>
        <w:tab/>
      </w:r>
      <w:r w:rsidRPr="00D745D5">
        <w:t xml:space="preserve">Ålands </w:t>
      </w:r>
      <w:r w:rsidR="005007DD">
        <w:t>landskapsregering</w:t>
      </w:r>
      <w:r w:rsidRPr="00D745D5">
        <w:t xml:space="preserve"> har trots sekretessbestämmelserna rätt att av reglerade enheter med hemvist på Åland årligen få uppgifter om </w:t>
      </w:r>
      <w:r w:rsidR="00311463" w:rsidRPr="00D745D5">
        <w:t xml:space="preserve">den </w:t>
      </w:r>
      <w:r w:rsidRPr="00D745D5">
        <w:t xml:space="preserve">mängd beskattade bränslen och </w:t>
      </w:r>
      <w:r w:rsidR="00311463" w:rsidRPr="00D745D5">
        <w:t xml:space="preserve">den mängd </w:t>
      </w:r>
      <w:r w:rsidRPr="00D745D5">
        <w:t>skattefria bränslen som de frisläppt för konsumtion samt för vilka bränslevolymer de köpt utsläppsrätter.</w:t>
      </w:r>
    </w:p>
    <w:p w14:paraId="47B1AF51" w14:textId="77777777" w:rsidR="009E0E10" w:rsidRDefault="009E0E10" w:rsidP="00D02D14">
      <w:pPr>
        <w:pStyle w:val="ANormal"/>
      </w:pPr>
    </w:p>
    <w:p w14:paraId="069F85A1" w14:textId="78943006" w:rsidR="009E0E10" w:rsidRDefault="009E0E10" w:rsidP="009E0E10">
      <w:pPr>
        <w:pStyle w:val="LagParagraf"/>
      </w:pPr>
      <w:r>
        <w:t>4</w:t>
      </w:r>
      <w:r w:rsidR="00CF5F35">
        <w:t> §</w:t>
      </w:r>
    </w:p>
    <w:p w14:paraId="30D624BE" w14:textId="77777777" w:rsidR="009E0E10" w:rsidRDefault="009E0E10" w:rsidP="009E0E10">
      <w:pPr>
        <w:pStyle w:val="LagPararubrik"/>
      </w:pPr>
      <w:r w:rsidRPr="009E0E10">
        <w:t>Myndigheternas avgiftsbelagda prestationer</w:t>
      </w:r>
    </w:p>
    <w:p w14:paraId="224C49CB" w14:textId="77777777" w:rsidR="009E0E10" w:rsidRPr="009E0E10" w:rsidRDefault="009E0E10" w:rsidP="009E0E10">
      <w:pPr>
        <w:pStyle w:val="ANormal"/>
      </w:pPr>
      <w:r>
        <w:tab/>
        <w:t>Bestämmelser om avgifter för landskapsregeringens prestationer finns i landskapslagen (1993:27) om grunderna för avgifter till landskapet.</w:t>
      </w:r>
    </w:p>
    <w:p w14:paraId="63B7B022" w14:textId="77777777" w:rsidR="009E0E10" w:rsidRDefault="009E0E10" w:rsidP="00D02D14">
      <w:pPr>
        <w:pStyle w:val="ANormal"/>
      </w:pPr>
    </w:p>
    <w:p w14:paraId="18ECFBD2" w14:textId="6354FC80" w:rsidR="009E0E10" w:rsidRDefault="009E0E10" w:rsidP="009E0E10">
      <w:pPr>
        <w:pStyle w:val="LagParagraf"/>
      </w:pPr>
      <w:r>
        <w:t>5</w:t>
      </w:r>
      <w:r w:rsidR="00CF5F35">
        <w:t> §</w:t>
      </w:r>
    </w:p>
    <w:p w14:paraId="5685573E" w14:textId="77777777" w:rsidR="009E0E10" w:rsidRDefault="009E0E10" w:rsidP="009E0E10">
      <w:pPr>
        <w:pStyle w:val="LagPararubrik"/>
      </w:pPr>
      <w:r>
        <w:t>Ändringssökande</w:t>
      </w:r>
    </w:p>
    <w:p w14:paraId="5470C8F4" w14:textId="77777777" w:rsidR="009E0E10" w:rsidRDefault="009E0E10" w:rsidP="00D02D14">
      <w:pPr>
        <w:pStyle w:val="ANormal"/>
      </w:pPr>
      <w:r>
        <w:tab/>
      </w:r>
      <w:r w:rsidRPr="009E0E10">
        <w:t>Ändring i beslut som fattats med stöd av denna landskapslag kan sökas enligt de bestämmelser som avses i rikslagen</w:t>
      </w:r>
      <w:r w:rsidR="00CE0617">
        <w:t>.</w:t>
      </w:r>
      <w:r w:rsidRPr="009E0E10">
        <w:t xml:space="preserve"> </w:t>
      </w:r>
      <w:r w:rsidR="00CE0617">
        <w:t>Ä</w:t>
      </w:r>
      <w:r w:rsidRPr="009E0E10">
        <w:t xml:space="preserve">ndring i beslut som Ålands energimyndighet fattat söks </w:t>
      </w:r>
      <w:r w:rsidR="00CE0617">
        <w:t xml:space="preserve">dock </w:t>
      </w:r>
      <w:r w:rsidRPr="009E0E10">
        <w:t>hos Ålands förvaltningsdomstol.</w:t>
      </w:r>
    </w:p>
    <w:p w14:paraId="05DA13E8" w14:textId="77777777" w:rsidR="009E0E10" w:rsidRDefault="009E0E10" w:rsidP="00D02D14">
      <w:pPr>
        <w:pStyle w:val="ANormal"/>
      </w:pPr>
    </w:p>
    <w:p w14:paraId="1A3A67E7" w14:textId="7B55C9DD" w:rsidR="009E0E10" w:rsidRDefault="009E0E10" w:rsidP="009E0E10">
      <w:pPr>
        <w:pStyle w:val="LagParagraf"/>
      </w:pPr>
      <w:r>
        <w:t>6</w:t>
      </w:r>
      <w:r w:rsidR="00CF5F35">
        <w:t> §</w:t>
      </w:r>
    </w:p>
    <w:p w14:paraId="4DB0BA5F" w14:textId="77777777" w:rsidR="009E0E10" w:rsidRPr="009E0E10" w:rsidRDefault="009E0E10" w:rsidP="009E0E10">
      <w:pPr>
        <w:pStyle w:val="LagPararubrik"/>
      </w:pPr>
      <w:r w:rsidRPr="009E0E10">
        <w:t>Landskapsförordning</w:t>
      </w:r>
    </w:p>
    <w:p w14:paraId="0FEAA3DC" w14:textId="77777777" w:rsidR="009E0E10" w:rsidRDefault="009E0E10" w:rsidP="009E0E10">
      <w:pPr>
        <w:pStyle w:val="ANormal"/>
      </w:pPr>
      <w:r>
        <w:tab/>
        <w:t>Landskapsregeringen kan inom landskapets behörighet genom landskapsförordning besluta att författningar som utfärdats med stöd av rikslagen ska tillämpas oförändrade eller med de avvikelser som landskapsregeringen föreskriver.</w:t>
      </w:r>
    </w:p>
    <w:p w14:paraId="379CDE21" w14:textId="77777777" w:rsidR="00D02D14" w:rsidRDefault="00D02D14" w:rsidP="00D02D14">
      <w:pPr>
        <w:pStyle w:val="ANormal"/>
      </w:pPr>
    </w:p>
    <w:p w14:paraId="18025C1A" w14:textId="73E97D30" w:rsidR="003D4FC3" w:rsidRDefault="003D4FC3" w:rsidP="003D4FC3">
      <w:pPr>
        <w:pStyle w:val="LagParagraf"/>
      </w:pPr>
      <w:r>
        <w:t>7</w:t>
      </w:r>
      <w:r w:rsidR="00CF5F35">
        <w:t> §</w:t>
      </w:r>
    </w:p>
    <w:p w14:paraId="2D940932" w14:textId="77777777" w:rsidR="003D4FC3" w:rsidRPr="009E0E10" w:rsidRDefault="003D4FC3" w:rsidP="003D4FC3">
      <w:pPr>
        <w:pStyle w:val="LagPararubrik"/>
      </w:pPr>
      <w:r>
        <w:t>Ikraftträdande</w:t>
      </w:r>
    </w:p>
    <w:p w14:paraId="23317C09" w14:textId="77777777" w:rsidR="00D02D14" w:rsidRDefault="00D02D14" w:rsidP="00D02D14">
      <w:pPr>
        <w:pStyle w:val="ANormal"/>
      </w:pPr>
      <w:r>
        <w:tab/>
        <w:t>Denna lag träder i kraft den</w:t>
      </w:r>
      <w:r w:rsidR="003D4FC3">
        <w:t>…</w:t>
      </w:r>
    </w:p>
    <w:p w14:paraId="3C7039F0" w14:textId="6965458F" w:rsidR="003D4FC3" w:rsidRDefault="003D4FC3" w:rsidP="00D02D14">
      <w:pPr>
        <w:pStyle w:val="ANormal"/>
      </w:pPr>
      <w:r>
        <w:lastRenderedPageBreak/>
        <w:tab/>
      </w:r>
      <w:r w:rsidRPr="003D4FC3">
        <w:t xml:space="preserve">Med avvikelse från vad som föreskrivs i </w:t>
      </w:r>
      <w:r w:rsidR="00A726D7">
        <w:t>43</w:t>
      </w:r>
      <w:r w:rsidR="00CF5F35">
        <w:t> §</w:t>
      </w:r>
      <w:r w:rsidRPr="003D4FC3">
        <w:t xml:space="preserve"> </w:t>
      </w:r>
      <w:r w:rsidR="00A726D7">
        <w:t>2</w:t>
      </w:r>
      <w:r w:rsidR="00CF5F35">
        <w:t> mom.</w:t>
      </w:r>
      <w:r w:rsidRPr="003D4FC3">
        <w:t xml:space="preserve"> </w:t>
      </w:r>
      <w:r>
        <w:t xml:space="preserve">i </w:t>
      </w:r>
      <w:r w:rsidR="005007DD">
        <w:t xml:space="preserve">lagen om </w:t>
      </w:r>
      <w:r w:rsidR="005007DD" w:rsidRPr="008A223E">
        <w:t>handel med utsläppsrätter för distribution av fossila bränslen</w:t>
      </w:r>
      <w:r w:rsidR="005007DD" w:rsidRPr="003D4FC3">
        <w:t xml:space="preserve"> </w:t>
      </w:r>
      <w:r w:rsidRPr="003D4FC3">
        <w:t xml:space="preserve">ska de ansökningar som avses i </w:t>
      </w:r>
      <w:r w:rsidR="00A726D7" w:rsidRPr="00A726D7">
        <w:t>8</w:t>
      </w:r>
      <w:r w:rsidR="00CF5F35">
        <w:t> §</w:t>
      </w:r>
      <w:r w:rsidR="00A726D7" w:rsidRPr="00A726D7">
        <w:t xml:space="preserve"> 3</w:t>
      </w:r>
      <w:r w:rsidR="00CF5F35">
        <w:t> mom.</w:t>
      </w:r>
      <w:r w:rsidR="00A726D7" w:rsidRPr="00A726D7">
        <w:t xml:space="preserve"> och 9</w:t>
      </w:r>
      <w:r w:rsidR="00CF5F35">
        <w:t> §</w:t>
      </w:r>
      <w:r w:rsidR="00A726D7" w:rsidRPr="00A726D7">
        <w:t xml:space="preserve"> 3</w:t>
      </w:r>
      <w:r w:rsidR="00CF5F35">
        <w:t> mom.</w:t>
      </w:r>
      <w:r w:rsidR="00A726D7" w:rsidRPr="00A726D7">
        <w:t xml:space="preserve"> </w:t>
      </w:r>
      <w:r w:rsidR="00A726D7">
        <w:t xml:space="preserve">i rikslagen </w:t>
      </w:r>
      <w:r w:rsidRPr="003D4FC3">
        <w:t>göras senast</w:t>
      </w:r>
      <w:r>
        <w:t xml:space="preserve"> </w:t>
      </w:r>
      <w:r w:rsidRPr="003D4FC3">
        <w:t xml:space="preserve">den </w:t>
      </w:r>
      <w:r>
        <w:t>xxx</w:t>
      </w:r>
      <w:r w:rsidRPr="003D4FC3">
        <w:t xml:space="preserve"> 2025, om den verksamhet som avses i </w:t>
      </w:r>
      <w:r>
        <w:t>rikslagen</w:t>
      </w:r>
      <w:r w:rsidRPr="003D4FC3">
        <w:t xml:space="preserve"> har inletts före ikraftträdandet av denna lag.</w:t>
      </w:r>
    </w:p>
    <w:p w14:paraId="386B8FC5" w14:textId="77777777" w:rsidR="003D4FC3" w:rsidRDefault="003D4FC3" w:rsidP="00D02D14">
      <w:pPr>
        <w:pStyle w:val="ANormal"/>
      </w:pPr>
    </w:p>
    <w:p w14:paraId="69820C18" w14:textId="77777777" w:rsidR="00D02D14" w:rsidRDefault="00D02D14" w:rsidP="00D02D14">
      <w:pPr>
        <w:pStyle w:val="ANormal"/>
        <w:jc w:val="center"/>
      </w:pPr>
      <w:hyperlink w:anchor="_top" w:tooltip="Klicka för att gå till toppen av dokumentet" w:history="1">
        <w:r>
          <w:rPr>
            <w:rStyle w:val="Hyperlnk"/>
          </w:rPr>
          <w:t>__________________</w:t>
        </w:r>
      </w:hyperlink>
    </w:p>
    <w:p w14:paraId="3D16E962" w14:textId="77777777" w:rsidR="00D02D14" w:rsidRDefault="00D02D14" w:rsidP="00D02D14">
      <w:pPr>
        <w:pStyle w:val="ANormal"/>
      </w:pPr>
    </w:p>
    <w:p w14:paraId="692F5B89" w14:textId="77777777" w:rsidR="00027F85" w:rsidRDefault="00027F85" w:rsidP="00D02D14">
      <w:pPr>
        <w:pStyle w:val="ANormal"/>
      </w:pPr>
    </w:p>
    <w:p w14:paraId="5FD376A1" w14:textId="5DB2332E" w:rsidR="00027F85" w:rsidRPr="00027F85" w:rsidRDefault="00027F85" w:rsidP="00D02D14">
      <w:pPr>
        <w:pStyle w:val="ANormal"/>
        <w:rPr>
          <w:lang w:val="en-GB"/>
        </w:rPr>
      </w:pPr>
      <w:r w:rsidRPr="00027F85">
        <w:rPr>
          <w:lang w:val="en-GB"/>
        </w:rPr>
        <w:t>2.</w:t>
      </w:r>
    </w:p>
    <w:p w14:paraId="6FACDF99" w14:textId="10BD3C98" w:rsidR="00027F85" w:rsidRDefault="00027F85" w:rsidP="00027F85">
      <w:pPr>
        <w:pStyle w:val="LagHuvRubr"/>
      </w:pPr>
      <w:bookmarkStart w:id="23" w:name="_Toc199244165"/>
      <w:r w:rsidRPr="00027F85">
        <w:rPr>
          <w:lang w:val="en-GB"/>
        </w:rPr>
        <w:t>L A N D S K A P S L A G</w:t>
      </w:r>
      <w:r w:rsidR="00C517A4">
        <w:rPr>
          <w:lang w:val="en-GB"/>
        </w:rPr>
        <w:br/>
      </w:r>
      <w:r>
        <w:t>om ändring av 1</w:t>
      </w:r>
      <w:r w:rsidR="00CF5F35">
        <w:t> §</w:t>
      </w:r>
      <w:r>
        <w:t xml:space="preserve"> landskapslagen om Ålands energimyndighet</w:t>
      </w:r>
      <w:bookmarkEnd w:id="23"/>
    </w:p>
    <w:p w14:paraId="7C6824E7" w14:textId="4AFAE5EE" w:rsidR="00027F85" w:rsidRDefault="00027F85" w:rsidP="00027F85">
      <w:pPr>
        <w:pStyle w:val="ANormal"/>
      </w:pPr>
    </w:p>
    <w:p w14:paraId="09F2BFCC" w14:textId="77C393F3" w:rsidR="00973C2F" w:rsidRDefault="00C517A4" w:rsidP="00027F85">
      <w:pPr>
        <w:pStyle w:val="ANormal"/>
      </w:pPr>
      <w:r>
        <w:tab/>
      </w:r>
      <w:r w:rsidR="00027F85">
        <w:t>I enlighet med lagtingets beslut</w:t>
      </w:r>
    </w:p>
    <w:p w14:paraId="56826AE1" w14:textId="6EDB3AAF" w:rsidR="00973C2F" w:rsidRDefault="00973C2F" w:rsidP="00973C2F">
      <w:pPr>
        <w:pStyle w:val="ANormal"/>
      </w:pPr>
      <w:r>
        <w:tab/>
      </w:r>
      <w:r w:rsidRPr="00973C2F">
        <w:rPr>
          <w:b/>
          <w:bCs/>
        </w:rPr>
        <w:t>ändras</w:t>
      </w:r>
      <w:r>
        <w:t xml:space="preserve"> 1</w:t>
      </w:r>
      <w:r w:rsidR="00CF5F35">
        <w:t> §</w:t>
      </w:r>
      <w:r>
        <w:t xml:space="preserve"> 2</w:t>
      </w:r>
      <w:r w:rsidR="00CF5F35">
        <w:t> mom.</w:t>
      </w:r>
      <w:r>
        <w:t xml:space="preserve"> 4 och 5</w:t>
      </w:r>
      <w:r w:rsidR="00CF5F35">
        <w:t> punkt</w:t>
      </w:r>
      <w:r>
        <w:t>en landskapslagen (2015:103) om Ålands energimyndighet sådana de lyder i landskapslag 2018/42 samt</w:t>
      </w:r>
    </w:p>
    <w:p w14:paraId="6F7D5F99" w14:textId="2E003A10" w:rsidR="00973C2F" w:rsidRDefault="00C517A4" w:rsidP="00973C2F">
      <w:pPr>
        <w:pStyle w:val="ANormal"/>
      </w:pPr>
      <w:r>
        <w:rPr>
          <w:b/>
          <w:bCs/>
        </w:rPr>
        <w:tab/>
      </w:r>
      <w:r w:rsidR="00973C2F" w:rsidRPr="00973C2F">
        <w:rPr>
          <w:b/>
          <w:bCs/>
        </w:rPr>
        <w:t>fogas</w:t>
      </w:r>
      <w:r w:rsidR="00973C2F">
        <w:t xml:space="preserve"> till 1</w:t>
      </w:r>
      <w:r w:rsidR="00CF5F35">
        <w:t> §</w:t>
      </w:r>
      <w:r w:rsidR="00973C2F">
        <w:t xml:space="preserve"> 2</w:t>
      </w:r>
      <w:r w:rsidR="00CF5F35">
        <w:t> mom.</w:t>
      </w:r>
      <w:r w:rsidR="00973C2F">
        <w:t xml:space="preserve"> en ny 6</w:t>
      </w:r>
      <w:r w:rsidR="00CF5F35">
        <w:t> punkt</w:t>
      </w:r>
      <w:r w:rsidR="00973C2F">
        <w:t xml:space="preserve"> som följer:</w:t>
      </w:r>
    </w:p>
    <w:p w14:paraId="276179FD" w14:textId="77777777" w:rsidR="00027F85" w:rsidRDefault="00027F85" w:rsidP="00027F85">
      <w:pPr>
        <w:pStyle w:val="ANormal"/>
      </w:pPr>
    </w:p>
    <w:p w14:paraId="7A353DDD" w14:textId="2DD23027" w:rsidR="00AE32F6" w:rsidRPr="00AE32F6" w:rsidRDefault="00027F85" w:rsidP="00AE32F6">
      <w:pPr>
        <w:pStyle w:val="LagParagraf"/>
      </w:pPr>
      <w:r>
        <w:t>1</w:t>
      </w:r>
      <w:r w:rsidR="00CF5F35">
        <w:t> §</w:t>
      </w:r>
    </w:p>
    <w:p w14:paraId="00FE41FE" w14:textId="475B44E3" w:rsidR="00027F85" w:rsidRDefault="00027F85" w:rsidP="00027F85">
      <w:pPr>
        <w:pStyle w:val="LagPararubrik"/>
      </w:pPr>
      <w:r>
        <w:t>Uppgifter</w:t>
      </w:r>
    </w:p>
    <w:p w14:paraId="17C81DAD" w14:textId="77777777" w:rsidR="00027F85" w:rsidRDefault="00027F85">
      <w:pPr>
        <w:pStyle w:val="ANormal"/>
      </w:pPr>
      <w:r>
        <w:t>- - - - - - - - - - - - - - - - - - - - - - - - - - - - - - - - - - - - - - - - - - - - - - - - - - - -</w:t>
      </w:r>
    </w:p>
    <w:p w14:paraId="114C0A67" w14:textId="022A690D" w:rsidR="00027F85" w:rsidRDefault="00FC4AA1" w:rsidP="00027F85">
      <w:pPr>
        <w:pStyle w:val="ANormal"/>
      </w:pPr>
      <w:r>
        <w:tab/>
      </w:r>
      <w:r w:rsidRPr="00FC4AA1">
        <w:t>Ålands energimyndighet sköter tillsyns- och övervakningsuppgifter samt beslutar i de ärenden som avses i landskapslagen (2015:102) om tillämpning i landskapet Åland av riksförfattningar om elmarknaden. Om inte annat särskilt stadgas är Ålands energimyndighet dessutom den myndighet som sköter tillsyns- och övervakningsuppgifter som avses i</w:t>
      </w:r>
    </w:p>
    <w:p w14:paraId="29FCC103" w14:textId="77777777" w:rsidR="00FC4AA1" w:rsidRDefault="00FC4AA1">
      <w:pPr>
        <w:pStyle w:val="ANormal"/>
      </w:pPr>
      <w:r>
        <w:t>- - - - - - - - - - - - - - - - - - - - - - - - - - - - - - - - - - - - - - - - - - - - - - - - - - - -</w:t>
      </w:r>
    </w:p>
    <w:p w14:paraId="010C145C" w14:textId="02A68003" w:rsidR="00973C2F" w:rsidRDefault="00973C2F" w:rsidP="00973C2F">
      <w:pPr>
        <w:pStyle w:val="ANormal"/>
      </w:pPr>
      <w:r>
        <w:tab/>
        <w:t>4) landskapslagen (2011:80) om tillämpning i landskapet Åland av bestämmelser om krav på ekodesign för och energimärkning av produkter,</w:t>
      </w:r>
    </w:p>
    <w:p w14:paraId="27C0D3D1" w14:textId="5208264B" w:rsidR="00973C2F" w:rsidRDefault="00973C2F" w:rsidP="00973C2F">
      <w:pPr>
        <w:pStyle w:val="ANormal"/>
      </w:pPr>
      <w:r>
        <w:tab/>
        <w:t>5) landskapslagen (</w:t>
      </w:r>
      <w:proofErr w:type="spellStart"/>
      <w:r w:rsidR="002434D6">
        <w:t>x</w:t>
      </w:r>
      <w:r>
        <w:t>:</w:t>
      </w:r>
      <w:r w:rsidR="002434D6">
        <w:t>x</w:t>
      </w:r>
      <w:proofErr w:type="spellEnd"/>
      <w:r>
        <w:t>) om tillämpning på Åland av rikslagstiftning om biodrivmedel</w:t>
      </w:r>
      <w:r w:rsidR="002434D6">
        <w:t>,</w:t>
      </w:r>
      <w:r>
        <w:t xml:space="preserve"> flytande biobränsle </w:t>
      </w:r>
      <w:r w:rsidR="002434D6">
        <w:t>och biomassabränslen</w:t>
      </w:r>
      <w:r>
        <w:t>,</w:t>
      </w:r>
    </w:p>
    <w:p w14:paraId="744F870C" w14:textId="054EB2F1" w:rsidR="00FC4AA1" w:rsidRPr="00027F85" w:rsidRDefault="00973C2F" w:rsidP="00027F85">
      <w:pPr>
        <w:pStyle w:val="ANormal"/>
      </w:pPr>
      <w:r>
        <w:tab/>
      </w:r>
      <w:r w:rsidR="00FC4AA1">
        <w:t>6) l</w:t>
      </w:r>
      <w:r w:rsidR="00FC4AA1" w:rsidRPr="00FC4AA1">
        <w:t>andskapslag om tillämpning av lagen om handel med utsläppsrätter för distribution av fossila bränslen</w:t>
      </w:r>
      <w:r>
        <w:t>.</w:t>
      </w:r>
    </w:p>
    <w:p w14:paraId="5341D9A7" w14:textId="77777777" w:rsidR="00973C2F" w:rsidRDefault="00973C2F">
      <w:pPr>
        <w:pStyle w:val="ANormal"/>
      </w:pPr>
      <w:r>
        <w:t>- - - - - - - - - - - - - - - - - - - - - - - - - - - - - - - - - - - - - - - - - - - - - - - - - - - -</w:t>
      </w:r>
    </w:p>
    <w:p w14:paraId="3E3DB10D" w14:textId="77777777" w:rsidR="00C517A4" w:rsidRDefault="00C517A4">
      <w:pPr>
        <w:pStyle w:val="ANormal"/>
      </w:pPr>
    </w:p>
    <w:p w14:paraId="43C08FF3" w14:textId="77777777" w:rsidR="00973C2F" w:rsidRDefault="00973C2F">
      <w:pPr>
        <w:pStyle w:val="ANormal"/>
        <w:jc w:val="center"/>
      </w:pPr>
      <w:hyperlink w:anchor="_top" w:tooltip="Klicka för att gå till toppen av dokumentet" w:history="1">
        <w:r>
          <w:rPr>
            <w:rStyle w:val="Hyperlnk"/>
          </w:rPr>
          <w:t>__________________</w:t>
        </w:r>
      </w:hyperlink>
    </w:p>
    <w:p w14:paraId="3F271D08" w14:textId="77777777" w:rsidR="00027F85" w:rsidRDefault="00027F85" w:rsidP="00027F85">
      <w:pPr>
        <w:pStyle w:val="ANormal"/>
      </w:pPr>
    </w:p>
    <w:p w14:paraId="1BE538CB" w14:textId="77777777" w:rsidR="00973C2F" w:rsidRDefault="00973C2F" w:rsidP="00973C2F">
      <w:pPr>
        <w:pStyle w:val="ANormal"/>
      </w:pPr>
      <w:r>
        <w:tab/>
        <w:t>Denna lag träder i kraft den…</w:t>
      </w:r>
    </w:p>
    <w:p w14:paraId="1DF9B442" w14:textId="77777777" w:rsidR="00027F85" w:rsidRDefault="00027F85" w:rsidP="00027F85">
      <w:pPr>
        <w:pStyle w:val="ANormal"/>
      </w:pPr>
    </w:p>
    <w:p w14:paraId="62D1044F" w14:textId="77777777" w:rsidR="00973C2F" w:rsidRDefault="00973C2F">
      <w:pPr>
        <w:pStyle w:val="ANormal"/>
        <w:jc w:val="center"/>
      </w:pPr>
      <w:hyperlink w:anchor="_top" w:tooltip="Klicka för att gå till toppen av dokumentet" w:history="1">
        <w:r>
          <w:rPr>
            <w:rStyle w:val="Hyperlnk"/>
          </w:rPr>
          <w:t>__________________</w:t>
        </w:r>
      </w:hyperlink>
    </w:p>
    <w:p w14:paraId="005E0CE3" w14:textId="77777777" w:rsidR="00027F85" w:rsidRDefault="00027F85" w:rsidP="00027F85">
      <w:pPr>
        <w:pStyle w:val="ANormal"/>
      </w:pPr>
    </w:p>
    <w:p w14:paraId="3F346E42" w14:textId="378D053D" w:rsidR="00513874" w:rsidRPr="00513874" w:rsidRDefault="00513874" w:rsidP="00513874">
      <w:pPr>
        <w:autoSpaceDE/>
        <w:autoSpaceDN/>
        <w:adjustRightInd/>
        <w:spacing w:line="240" w:lineRule="auto"/>
        <w:textAlignment w:val="auto"/>
        <w:rPr>
          <w:rFonts w:ascii="Times New Roman" w:eastAsia="Times New Roman" w:hAnsi="Times New Roman" w:cs="Times New Roman"/>
          <w:sz w:val="22"/>
          <w:lang w:eastAsia="sv-SE"/>
        </w:rPr>
      </w:pPr>
    </w:p>
    <w:tbl>
      <w:tblPr>
        <w:tblW w:w="7931" w:type="dxa"/>
        <w:tblCellMar>
          <w:left w:w="0" w:type="dxa"/>
          <w:right w:w="0" w:type="dxa"/>
        </w:tblCellMar>
        <w:tblLook w:val="0000" w:firstRow="0" w:lastRow="0" w:firstColumn="0" w:lastColumn="0" w:noHBand="0" w:noVBand="0"/>
      </w:tblPr>
      <w:tblGrid>
        <w:gridCol w:w="4454"/>
        <w:gridCol w:w="3477"/>
      </w:tblGrid>
      <w:tr w:rsidR="00D02D14" w14:paraId="699424FB" w14:textId="77777777" w:rsidTr="0066703C">
        <w:trPr>
          <w:cantSplit/>
        </w:trPr>
        <w:tc>
          <w:tcPr>
            <w:tcW w:w="7931" w:type="dxa"/>
            <w:gridSpan w:val="2"/>
          </w:tcPr>
          <w:p w14:paraId="41656302" w14:textId="6C55D12F" w:rsidR="00D02D14" w:rsidRDefault="00D02D14" w:rsidP="0066703C">
            <w:pPr>
              <w:pStyle w:val="ANormal"/>
              <w:keepNext/>
            </w:pPr>
            <w:r>
              <w:t xml:space="preserve">Mariehamn </w:t>
            </w:r>
            <w:r w:rsidR="005736C4">
              <w:t>den 28 maj 2025</w:t>
            </w:r>
          </w:p>
        </w:tc>
      </w:tr>
      <w:tr w:rsidR="00D02D14" w14:paraId="40C638B0" w14:textId="77777777" w:rsidTr="0066703C">
        <w:tc>
          <w:tcPr>
            <w:tcW w:w="4454" w:type="dxa"/>
            <w:vAlign w:val="bottom"/>
          </w:tcPr>
          <w:p w14:paraId="735BA88B" w14:textId="77777777" w:rsidR="00D02D14" w:rsidRDefault="00D02D14" w:rsidP="0066703C">
            <w:pPr>
              <w:pStyle w:val="ANormal"/>
              <w:keepNext/>
            </w:pPr>
          </w:p>
          <w:p w14:paraId="1E5DC3E6" w14:textId="77777777" w:rsidR="00D02D14" w:rsidRDefault="00D02D14" w:rsidP="0066703C">
            <w:pPr>
              <w:pStyle w:val="ANormal"/>
              <w:keepNext/>
            </w:pPr>
          </w:p>
          <w:p w14:paraId="0E311B82" w14:textId="77777777" w:rsidR="00D02D14" w:rsidRDefault="00D02D14" w:rsidP="0066703C">
            <w:pPr>
              <w:pStyle w:val="ANormal"/>
              <w:keepNext/>
            </w:pPr>
            <w:r>
              <w:t>L a n t r å d</w:t>
            </w:r>
          </w:p>
        </w:tc>
        <w:tc>
          <w:tcPr>
            <w:tcW w:w="3477" w:type="dxa"/>
            <w:vAlign w:val="bottom"/>
          </w:tcPr>
          <w:p w14:paraId="0CF9129C" w14:textId="77777777" w:rsidR="00D02D14" w:rsidRDefault="00D02D14" w:rsidP="0066703C">
            <w:pPr>
              <w:pStyle w:val="ANormal"/>
              <w:keepNext/>
            </w:pPr>
          </w:p>
          <w:p w14:paraId="54AB0AB2" w14:textId="2CBE43F4" w:rsidR="00D02D14" w:rsidRDefault="005736C4" w:rsidP="0066703C">
            <w:pPr>
              <w:pStyle w:val="ANormal"/>
              <w:keepNext/>
            </w:pPr>
            <w:r>
              <w:t>Katrin Sjögren</w:t>
            </w:r>
          </w:p>
        </w:tc>
      </w:tr>
      <w:tr w:rsidR="00D02D14" w14:paraId="0F6B3662" w14:textId="77777777" w:rsidTr="0066703C">
        <w:tc>
          <w:tcPr>
            <w:tcW w:w="4454" w:type="dxa"/>
            <w:vAlign w:val="bottom"/>
          </w:tcPr>
          <w:p w14:paraId="0F79929B" w14:textId="77777777" w:rsidR="00D02D14" w:rsidRDefault="00D02D14" w:rsidP="0066703C">
            <w:pPr>
              <w:pStyle w:val="ANormal"/>
              <w:keepNext/>
            </w:pPr>
          </w:p>
          <w:p w14:paraId="45F9EF8B" w14:textId="77777777" w:rsidR="00D02D14" w:rsidRDefault="00D02D14" w:rsidP="0066703C">
            <w:pPr>
              <w:pStyle w:val="ANormal"/>
              <w:keepNext/>
            </w:pPr>
          </w:p>
          <w:p w14:paraId="206779EB" w14:textId="77777777" w:rsidR="00D02D14" w:rsidRDefault="00D02D14" w:rsidP="0066703C">
            <w:pPr>
              <w:pStyle w:val="ANormal"/>
              <w:keepNext/>
            </w:pPr>
            <w:r>
              <w:t>Föredragande minister</w:t>
            </w:r>
          </w:p>
        </w:tc>
        <w:tc>
          <w:tcPr>
            <w:tcW w:w="3477" w:type="dxa"/>
            <w:vAlign w:val="bottom"/>
          </w:tcPr>
          <w:p w14:paraId="309CEE35" w14:textId="55A4F9EC" w:rsidR="00D02D14" w:rsidRDefault="005736C4" w:rsidP="0066703C">
            <w:pPr>
              <w:pStyle w:val="ANormal"/>
              <w:keepNext/>
            </w:pPr>
            <w:r>
              <w:t>Jesper Josefsson</w:t>
            </w:r>
          </w:p>
        </w:tc>
      </w:tr>
    </w:tbl>
    <w:p w14:paraId="1F11F9E3" w14:textId="77777777" w:rsidR="00D02D14" w:rsidRDefault="00D02D14" w:rsidP="00C85DA9">
      <w:pPr>
        <w:autoSpaceDE/>
        <w:autoSpaceDN/>
        <w:adjustRightInd/>
        <w:spacing w:line="240" w:lineRule="auto"/>
        <w:textAlignment w:val="auto"/>
        <w:rPr>
          <w:rFonts w:ascii="Times New Roman" w:eastAsia="Times New Roman" w:hAnsi="Times New Roman" w:cs="Times New Roman"/>
          <w:sz w:val="22"/>
          <w:lang w:eastAsia="sv-SE"/>
        </w:rPr>
      </w:pPr>
    </w:p>
    <w:p w14:paraId="3013AB0C" w14:textId="7D95CB44" w:rsidR="00A074B9" w:rsidRDefault="00A074B9">
      <w:pPr>
        <w:autoSpaceDE/>
        <w:autoSpaceDN/>
        <w:adjustRightInd/>
        <w:spacing w:line="240" w:lineRule="auto"/>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br w:type="page"/>
      </w:r>
    </w:p>
    <w:p w14:paraId="76A3DCB9" w14:textId="3293C895"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lastRenderedPageBreak/>
        <w:t>Bilaga</w:t>
      </w:r>
    </w:p>
    <w:p w14:paraId="3809C042" w14:textId="77777777"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p>
    <w:p w14:paraId="3C644496" w14:textId="5BD225AD"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t xml:space="preserve">Länk till </w:t>
      </w:r>
      <w:r w:rsidRPr="00A074B9">
        <w:rPr>
          <w:rFonts w:ascii="Times New Roman" w:eastAsia="Times New Roman" w:hAnsi="Times New Roman" w:cs="Times New Roman"/>
          <w:sz w:val="22"/>
          <w:lang w:eastAsia="sv-SE"/>
        </w:rPr>
        <w:t>lagen om handel med utsläppsrätter för distribution av fossila bränslen</w:t>
      </w:r>
      <w:r>
        <w:rPr>
          <w:rFonts w:ascii="Times New Roman" w:eastAsia="Times New Roman" w:hAnsi="Times New Roman" w:cs="Times New Roman"/>
          <w:sz w:val="22"/>
          <w:lang w:eastAsia="sv-SE"/>
        </w:rPr>
        <w:t xml:space="preserve"> (FFS </w:t>
      </w:r>
      <w:r w:rsidRPr="00A074B9">
        <w:rPr>
          <w:rFonts w:ascii="Times New Roman" w:eastAsia="Times New Roman" w:hAnsi="Times New Roman" w:cs="Times New Roman"/>
          <w:sz w:val="22"/>
          <w:lang w:eastAsia="sv-SE"/>
        </w:rPr>
        <w:t>1066/2024</w:t>
      </w:r>
      <w:r>
        <w:rPr>
          <w:rFonts w:ascii="Times New Roman" w:eastAsia="Times New Roman" w:hAnsi="Times New Roman" w:cs="Times New Roman"/>
          <w:sz w:val="22"/>
          <w:lang w:eastAsia="sv-SE"/>
        </w:rPr>
        <w:t>)</w:t>
      </w:r>
    </w:p>
    <w:p w14:paraId="13417D7B" w14:textId="77777777"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p>
    <w:p w14:paraId="614642B5" w14:textId="3060B966"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hyperlink r:id="rId12" w:history="1">
        <w:r w:rsidRPr="00836A5F">
          <w:rPr>
            <w:rStyle w:val="Hyperlnk"/>
            <w:rFonts w:ascii="Times New Roman" w:eastAsia="Times New Roman" w:hAnsi="Times New Roman" w:cs="Times New Roman"/>
            <w:sz w:val="22"/>
            <w:lang w:eastAsia="sv-SE"/>
          </w:rPr>
          <w:t>https://www.finlex.fi/sv/lagstiftning/2024/1066?language=swe</w:t>
        </w:r>
      </w:hyperlink>
    </w:p>
    <w:p w14:paraId="518C79C3" w14:textId="77777777" w:rsidR="00A074B9" w:rsidRDefault="00A074B9" w:rsidP="00C85DA9">
      <w:pPr>
        <w:autoSpaceDE/>
        <w:autoSpaceDN/>
        <w:adjustRightInd/>
        <w:spacing w:line="240" w:lineRule="auto"/>
        <w:textAlignment w:val="auto"/>
        <w:rPr>
          <w:rFonts w:ascii="Times New Roman" w:eastAsia="Times New Roman" w:hAnsi="Times New Roman" w:cs="Times New Roman"/>
          <w:sz w:val="22"/>
          <w:lang w:eastAsia="sv-SE"/>
        </w:rPr>
      </w:pPr>
    </w:p>
    <w:p w14:paraId="1C9C6754" w14:textId="3734CE51" w:rsidR="00C517A4" w:rsidRDefault="00C517A4">
      <w:pPr>
        <w:autoSpaceDE/>
        <w:autoSpaceDN/>
        <w:adjustRightInd/>
        <w:spacing w:line="240" w:lineRule="auto"/>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br w:type="page"/>
      </w:r>
    </w:p>
    <w:p w14:paraId="7FDBDA3B" w14:textId="6216762F" w:rsidR="00C517A4" w:rsidRDefault="00C517A4" w:rsidP="00C517A4">
      <w:pPr>
        <w:pStyle w:val="RubrikA"/>
      </w:pPr>
      <w:bookmarkStart w:id="24" w:name="_Toc199244166"/>
      <w:r>
        <w:lastRenderedPageBreak/>
        <w:t>Parallelltexter</w:t>
      </w:r>
      <w:bookmarkEnd w:id="24"/>
    </w:p>
    <w:p w14:paraId="08E57277" w14:textId="77777777" w:rsidR="00C517A4" w:rsidRDefault="00C517A4" w:rsidP="00C517A4">
      <w:pPr>
        <w:pStyle w:val="Rubrikmellanrum"/>
      </w:pPr>
    </w:p>
    <w:p w14:paraId="6FA29A30" w14:textId="003C7F72" w:rsidR="00C517A4" w:rsidRPr="00C517A4" w:rsidRDefault="00C517A4" w:rsidP="00C517A4">
      <w:pPr>
        <w:pStyle w:val="ArendeUnderRubrik"/>
      </w:pPr>
      <w:r>
        <w:t xml:space="preserve">Parallelltexter till landskapsregeringens lagförslag nr </w:t>
      </w:r>
      <w:r w:rsidR="005736C4">
        <w:t>24</w:t>
      </w:r>
      <w:r>
        <w:t>/2024-2025</w:t>
      </w:r>
    </w:p>
    <w:sectPr w:rsidR="00C517A4" w:rsidRPr="00C517A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B411" w14:textId="77777777" w:rsidR="008F4D8F" w:rsidRDefault="008F4D8F">
      <w:r>
        <w:separator/>
      </w:r>
    </w:p>
  </w:endnote>
  <w:endnote w:type="continuationSeparator" w:id="0">
    <w:p w14:paraId="42F2985C" w14:textId="77777777" w:rsidR="008F4D8F" w:rsidRDefault="008F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314A"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042D" w14:textId="65BDF632" w:rsidR="00AF3004" w:rsidRPr="00311463" w:rsidRDefault="00AF3004">
    <w:pPr>
      <w:pStyle w:val="Sidfot"/>
    </w:pPr>
    <w:r>
      <w:fldChar w:fldCharType="begin"/>
    </w:r>
    <w:r w:rsidRPr="00311463">
      <w:instrText xml:space="preserve"> FILENAME  \* MERGEFORMAT </w:instrText>
    </w:r>
    <w:r>
      <w:fldChar w:fldCharType="separate"/>
    </w:r>
    <w:r w:rsidR="00C517A4">
      <w:rPr>
        <w:noProof/>
      </w:rPr>
      <w:t>LF</w:t>
    </w:r>
    <w:r w:rsidR="005736C4">
      <w:rPr>
        <w:noProof/>
      </w:rPr>
      <w:t>24</w:t>
    </w:r>
    <w:r w:rsidR="00C517A4">
      <w:rPr>
        <w:noProof/>
      </w:rPr>
      <w:t>20242025</w:t>
    </w:r>
    <w:r w:rsidR="00AE32F6">
      <w:rPr>
        <w:noProof/>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637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EF11" w14:textId="77777777" w:rsidR="008F4D8F" w:rsidRDefault="008F4D8F">
      <w:r>
        <w:separator/>
      </w:r>
    </w:p>
  </w:footnote>
  <w:footnote w:type="continuationSeparator" w:id="0">
    <w:p w14:paraId="659CCD2F" w14:textId="77777777" w:rsidR="008F4D8F" w:rsidRDefault="008F4D8F">
      <w:r>
        <w:continuationSeparator/>
      </w:r>
    </w:p>
  </w:footnote>
  <w:footnote w:id="1">
    <w:p w14:paraId="1477A446" w14:textId="77777777" w:rsidR="003409F6" w:rsidRPr="003409F6" w:rsidRDefault="003409F6" w:rsidP="003409F6">
      <w:pPr>
        <w:pStyle w:val="Fotnotstext"/>
        <w:rPr>
          <w:lang w:val="sv-FI"/>
        </w:rPr>
      </w:pPr>
      <w:r>
        <w:rPr>
          <w:rStyle w:val="Fotnotsreferens"/>
        </w:rPr>
        <w:footnoteRef/>
      </w:r>
      <w:r>
        <w:t xml:space="preserve"> Europaparlamentets och rådets direktiv (EU) 2023/959 av den 10 maj 2023 om ändring av direktiv 2003/87/EG om ett system för handel med utsläppsrätter för växthusgaser inom unionen och beslut (EU) 2015/1814 om upprättande och användning av en reserv för marknadsstabilitet för unionens utsläppshandelssystem.</w:t>
      </w:r>
    </w:p>
  </w:footnote>
  <w:footnote w:id="2">
    <w:p w14:paraId="4CE5C8F3" w14:textId="77777777" w:rsidR="001D4607" w:rsidRPr="001D4607" w:rsidRDefault="001D4607">
      <w:pPr>
        <w:pStyle w:val="Fotnotstext"/>
        <w:rPr>
          <w:lang w:val="sv-FI"/>
        </w:rPr>
      </w:pPr>
      <w:r>
        <w:rPr>
          <w:rStyle w:val="Fotnotsreferens"/>
        </w:rPr>
        <w:footnoteRef/>
      </w:r>
      <w:r>
        <w:t xml:space="preserve"> </w:t>
      </w:r>
      <w:r>
        <w:rPr>
          <w:lang w:val="sv-FI"/>
        </w:rPr>
        <w:t>LF 12/</w:t>
      </w:r>
      <w:proofErr w:type="gramStart"/>
      <w:r>
        <w:rPr>
          <w:lang w:val="sv-FI"/>
        </w:rPr>
        <w:t>2023-2024</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FEA9"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097DA13E"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2BBA"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AA3B6F"/>
    <w:multiLevelType w:val="hybridMultilevel"/>
    <w:tmpl w:val="441EA0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26776675">
    <w:abstractNumId w:val="6"/>
  </w:num>
  <w:num w:numId="2" w16cid:durableId="1245069218">
    <w:abstractNumId w:val="3"/>
  </w:num>
  <w:num w:numId="3" w16cid:durableId="1982230498">
    <w:abstractNumId w:val="2"/>
  </w:num>
  <w:num w:numId="4" w16cid:durableId="181893415">
    <w:abstractNumId w:val="1"/>
  </w:num>
  <w:num w:numId="5" w16cid:durableId="347801640">
    <w:abstractNumId w:val="0"/>
  </w:num>
  <w:num w:numId="6" w16cid:durableId="631057215">
    <w:abstractNumId w:val="7"/>
  </w:num>
  <w:num w:numId="7" w16cid:durableId="1408990063">
    <w:abstractNumId w:val="5"/>
  </w:num>
  <w:num w:numId="8" w16cid:durableId="434208514">
    <w:abstractNumId w:val="4"/>
  </w:num>
  <w:num w:numId="9" w16cid:durableId="872155586">
    <w:abstractNumId w:val="10"/>
  </w:num>
  <w:num w:numId="10" w16cid:durableId="151652453">
    <w:abstractNumId w:val="13"/>
  </w:num>
  <w:num w:numId="11" w16cid:durableId="951864526">
    <w:abstractNumId w:val="12"/>
  </w:num>
  <w:num w:numId="12" w16cid:durableId="1109467765">
    <w:abstractNumId w:val="17"/>
  </w:num>
  <w:num w:numId="13" w16cid:durableId="526138816">
    <w:abstractNumId w:val="11"/>
  </w:num>
  <w:num w:numId="14" w16cid:durableId="629095203">
    <w:abstractNumId w:val="16"/>
  </w:num>
  <w:num w:numId="15" w16cid:durableId="1979261784">
    <w:abstractNumId w:val="9"/>
  </w:num>
  <w:num w:numId="16" w16cid:durableId="405150640">
    <w:abstractNumId w:val="22"/>
  </w:num>
  <w:num w:numId="17" w16cid:durableId="1770349354">
    <w:abstractNumId w:val="8"/>
  </w:num>
  <w:num w:numId="18" w16cid:durableId="546257077">
    <w:abstractNumId w:val="18"/>
  </w:num>
  <w:num w:numId="19" w16cid:durableId="747187292">
    <w:abstractNumId w:val="21"/>
  </w:num>
  <w:num w:numId="20" w16cid:durableId="193463572">
    <w:abstractNumId w:val="24"/>
  </w:num>
  <w:num w:numId="21" w16cid:durableId="2143839328">
    <w:abstractNumId w:val="23"/>
  </w:num>
  <w:num w:numId="22" w16cid:durableId="1901355912">
    <w:abstractNumId w:val="15"/>
  </w:num>
  <w:num w:numId="23" w16cid:durableId="544679950">
    <w:abstractNumId w:val="19"/>
  </w:num>
  <w:num w:numId="24" w16cid:durableId="1411267269">
    <w:abstractNumId w:val="19"/>
  </w:num>
  <w:num w:numId="25" w16cid:durableId="1609122918">
    <w:abstractNumId w:val="20"/>
  </w:num>
  <w:num w:numId="26" w16cid:durableId="1376809447">
    <w:abstractNumId w:val="15"/>
  </w:num>
  <w:num w:numId="27" w16cid:durableId="664921">
    <w:abstractNumId w:val="15"/>
  </w:num>
  <w:num w:numId="28" w16cid:durableId="1963920786">
    <w:abstractNumId w:val="15"/>
  </w:num>
  <w:num w:numId="29" w16cid:durableId="1247692518">
    <w:abstractNumId w:val="15"/>
  </w:num>
  <w:num w:numId="30" w16cid:durableId="518810440">
    <w:abstractNumId w:val="15"/>
  </w:num>
  <w:num w:numId="31" w16cid:durableId="2013677354">
    <w:abstractNumId w:val="15"/>
  </w:num>
  <w:num w:numId="32" w16cid:durableId="1289705353">
    <w:abstractNumId w:val="15"/>
  </w:num>
  <w:num w:numId="33" w16cid:durableId="1734742266">
    <w:abstractNumId w:val="15"/>
  </w:num>
  <w:num w:numId="34" w16cid:durableId="1902670039">
    <w:abstractNumId w:val="15"/>
  </w:num>
  <w:num w:numId="35" w16cid:durableId="718742716">
    <w:abstractNumId w:val="19"/>
  </w:num>
  <w:num w:numId="36" w16cid:durableId="45225908">
    <w:abstractNumId w:val="20"/>
  </w:num>
  <w:num w:numId="37" w16cid:durableId="2061243347">
    <w:abstractNumId w:val="15"/>
  </w:num>
  <w:num w:numId="38" w16cid:durableId="1118522636">
    <w:abstractNumId w:val="15"/>
  </w:num>
  <w:num w:numId="39" w16cid:durableId="119611440">
    <w:abstractNumId w:val="15"/>
  </w:num>
  <w:num w:numId="40" w16cid:durableId="271522504">
    <w:abstractNumId w:val="15"/>
  </w:num>
  <w:num w:numId="41" w16cid:durableId="300693242">
    <w:abstractNumId w:val="15"/>
  </w:num>
  <w:num w:numId="42" w16cid:durableId="1383596115">
    <w:abstractNumId w:val="15"/>
  </w:num>
  <w:num w:numId="43" w16cid:durableId="218246557">
    <w:abstractNumId w:val="15"/>
  </w:num>
  <w:num w:numId="44" w16cid:durableId="159201588">
    <w:abstractNumId w:val="15"/>
  </w:num>
  <w:num w:numId="45" w16cid:durableId="883562265">
    <w:abstractNumId w:val="15"/>
  </w:num>
  <w:num w:numId="46" w16cid:durableId="402065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00"/>
    <w:rsid w:val="00023BE7"/>
    <w:rsid w:val="00027F85"/>
    <w:rsid w:val="00034AE6"/>
    <w:rsid w:val="000D1EC3"/>
    <w:rsid w:val="000D583D"/>
    <w:rsid w:val="000D6C3C"/>
    <w:rsid w:val="000E5E45"/>
    <w:rsid w:val="0011260A"/>
    <w:rsid w:val="001175A4"/>
    <w:rsid w:val="0013577F"/>
    <w:rsid w:val="00136C58"/>
    <w:rsid w:val="00154112"/>
    <w:rsid w:val="001D4607"/>
    <w:rsid w:val="001F6FC5"/>
    <w:rsid w:val="00202894"/>
    <w:rsid w:val="00216AD8"/>
    <w:rsid w:val="00217449"/>
    <w:rsid w:val="002434D6"/>
    <w:rsid w:val="0024691C"/>
    <w:rsid w:val="00251FE7"/>
    <w:rsid w:val="002A5343"/>
    <w:rsid w:val="002C42D3"/>
    <w:rsid w:val="00311463"/>
    <w:rsid w:val="003409F6"/>
    <w:rsid w:val="00342FC4"/>
    <w:rsid w:val="0035409C"/>
    <w:rsid w:val="00390909"/>
    <w:rsid w:val="003B2165"/>
    <w:rsid w:val="003D4FC3"/>
    <w:rsid w:val="003E7B6B"/>
    <w:rsid w:val="00410D9A"/>
    <w:rsid w:val="00464E03"/>
    <w:rsid w:val="004A6BA1"/>
    <w:rsid w:val="004F5C01"/>
    <w:rsid w:val="005007DD"/>
    <w:rsid w:val="00513874"/>
    <w:rsid w:val="005257A7"/>
    <w:rsid w:val="00530020"/>
    <w:rsid w:val="005420C2"/>
    <w:rsid w:val="005736C4"/>
    <w:rsid w:val="00592B42"/>
    <w:rsid w:val="005F1DF9"/>
    <w:rsid w:val="006226C6"/>
    <w:rsid w:val="006307FE"/>
    <w:rsid w:val="00641397"/>
    <w:rsid w:val="0066703C"/>
    <w:rsid w:val="0069695D"/>
    <w:rsid w:val="006B633C"/>
    <w:rsid w:val="006D2FAC"/>
    <w:rsid w:val="006D54BA"/>
    <w:rsid w:val="006F2DB7"/>
    <w:rsid w:val="00704023"/>
    <w:rsid w:val="00715564"/>
    <w:rsid w:val="00722128"/>
    <w:rsid w:val="0072551F"/>
    <w:rsid w:val="007A0636"/>
    <w:rsid w:val="00801CC7"/>
    <w:rsid w:val="00804CC0"/>
    <w:rsid w:val="008450DA"/>
    <w:rsid w:val="00867CCE"/>
    <w:rsid w:val="00870FB4"/>
    <w:rsid w:val="008A223E"/>
    <w:rsid w:val="008B756A"/>
    <w:rsid w:val="008F4D8F"/>
    <w:rsid w:val="0091096B"/>
    <w:rsid w:val="00970525"/>
    <w:rsid w:val="00973C2F"/>
    <w:rsid w:val="009A7D73"/>
    <w:rsid w:val="009E0E10"/>
    <w:rsid w:val="00A074B9"/>
    <w:rsid w:val="00A32351"/>
    <w:rsid w:val="00A726D7"/>
    <w:rsid w:val="00A94AE3"/>
    <w:rsid w:val="00AB0DAE"/>
    <w:rsid w:val="00AE32F6"/>
    <w:rsid w:val="00AF3004"/>
    <w:rsid w:val="00BF6F1E"/>
    <w:rsid w:val="00C517A4"/>
    <w:rsid w:val="00C67435"/>
    <w:rsid w:val="00C85DA9"/>
    <w:rsid w:val="00CA72D7"/>
    <w:rsid w:val="00CC58EA"/>
    <w:rsid w:val="00CE0617"/>
    <w:rsid w:val="00CF274F"/>
    <w:rsid w:val="00CF5F35"/>
    <w:rsid w:val="00D02D14"/>
    <w:rsid w:val="00D569CD"/>
    <w:rsid w:val="00D745D5"/>
    <w:rsid w:val="00D9550E"/>
    <w:rsid w:val="00DA305E"/>
    <w:rsid w:val="00DD4690"/>
    <w:rsid w:val="00DD5E39"/>
    <w:rsid w:val="00DE2356"/>
    <w:rsid w:val="00DF1EF9"/>
    <w:rsid w:val="00E472CF"/>
    <w:rsid w:val="00E533D8"/>
    <w:rsid w:val="00E53A3B"/>
    <w:rsid w:val="00E73219"/>
    <w:rsid w:val="00EA2CF6"/>
    <w:rsid w:val="00EB2752"/>
    <w:rsid w:val="00EE0ECB"/>
    <w:rsid w:val="00F115BE"/>
    <w:rsid w:val="00F43B16"/>
    <w:rsid w:val="00F8330D"/>
    <w:rsid w:val="00FB3B00"/>
    <w:rsid w:val="00FC4AA1"/>
    <w:rsid w:val="00FD4D45"/>
    <w:rsid w:val="00FD6449"/>
    <w:rsid w:val="00FF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3F15"/>
  <w15:chartTrackingRefBased/>
  <w15:docId w15:val="{3D2B663B-FA2B-4898-997A-55E7A366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A9"/>
    <w:pPr>
      <w:autoSpaceDE w:val="0"/>
      <w:autoSpaceDN w:val="0"/>
      <w:adjustRightInd w:val="0"/>
      <w:spacing w:line="300" w:lineRule="auto"/>
      <w:textAlignment w:val="center"/>
    </w:pPr>
    <w:rPr>
      <w:rFonts w:ascii="Calibri" w:eastAsia="Calibri" w:hAnsi="Calibri" w:cs="Open Sans"/>
      <w:lang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table" w:styleId="Tabellrutnt">
    <w:name w:val="Table Grid"/>
    <w:basedOn w:val="Normaltabell"/>
    <w:uiPriority w:val="59"/>
    <w:rsid w:val="0025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semiHidden/>
    <w:unhideWhenUsed/>
    <w:rsid w:val="003D4FC3"/>
    <w:rPr>
      <w:sz w:val="16"/>
      <w:szCs w:val="16"/>
    </w:rPr>
  </w:style>
  <w:style w:type="paragraph" w:styleId="Kommentarer">
    <w:name w:val="annotation text"/>
    <w:basedOn w:val="Normal"/>
    <w:link w:val="KommentarerChar"/>
    <w:uiPriority w:val="99"/>
    <w:unhideWhenUsed/>
    <w:rsid w:val="003D4FC3"/>
  </w:style>
  <w:style w:type="character" w:customStyle="1" w:styleId="KommentarerChar">
    <w:name w:val="Kommentarer Char"/>
    <w:link w:val="Kommentarer"/>
    <w:uiPriority w:val="99"/>
    <w:rsid w:val="003D4FC3"/>
    <w:rPr>
      <w:rFonts w:ascii="Calibri" w:eastAsia="Calibri" w:hAnsi="Calibri" w:cs="Open Sans"/>
      <w:lang w:eastAsia="en-US"/>
    </w:rPr>
  </w:style>
  <w:style w:type="paragraph" w:styleId="Kommentarsmne">
    <w:name w:val="annotation subject"/>
    <w:basedOn w:val="Kommentarer"/>
    <w:next w:val="Kommentarer"/>
    <w:link w:val="KommentarsmneChar"/>
    <w:uiPriority w:val="99"/>
    <w:semiHidden/>
    <w:unhideWhenUsed/>
    <w:rsid w:val="003D4FC3"/>
    <w:rPr>
      <w:b/>
      <w:bCs/>
    </w:rPr>
  </w:style>
  <w:style w:type="character" w:customStyle="1" w:styleId="KommentarsmneChar">
    <w:name w:val="Kommentarsämne Char"/>
    <w:link w:val="Kommentarsmne"/>
    <w:uiPriority w:val="99"/>
    <w:semiHidden/>
    <w:rsid w:val="003D4FC3"/>
    <w:rPr>
      <w:rFonts w:ascii="Calibri" w:eastAsia="Calibri" w:hAnsi="Calibri" w:cs="Open Sans"/>
      <w:b/>
      <w:bCs/>
      <w:lang w:eastAsia="en-US"/>
    </w:rPr>
  </w:style>
  <w:style w:type="paragraph" w:styleId="Fotnotstext">
    <w:name w:val="footnote text"/>
    <w:basedOn w:val="Normal"/>
    <w:link w:val="FotnotstextChar"/>
    <w:uiPriority w:val="99"/>
    <w:semiHidden/>
    <w:unhideWhenUsed/>
    <w:rsid w:val="001D4607"/>
  </w:style>
  <w:style w:type="character" w:customStyle="1" w:styleId="FotnotstextChar">
    <w:name w:val="Fotnotstext Char"/>
    <w:link w:val="Fotnotstext"/>
    <w:uiPriority w:val="99"/>
    <w:semiHidden/>
    <w:rsid w:val="001D4607"/>
    <w:rPr>
      <w:rFonts w:ascii="Calibri" w:eastAsia="Calibri" w:hAnsi="Calibri" w:cs="Open Sans"/>
      <w:lang w:eastAsia="en-US"/>
    </w:rPr>
  </w:style>
  <w:style w:type="character" w:styleId="Fotnotsreferens">
    <w:name w:val="footnote reference"/>
    <w:uiPriority w:val="99"/>
    <w:semiHidden/>
    <w:unhideWhenUsed/>
    <w:rsid w:val="001D4607"/>
    <w:rPr>
      <w:vertAlign w:val="superscript"/>
    </w:rPr>
  </w:style>
  <w:style w:type="character" w:styleId="Olstomnmnande">
    <w:name w:val="Unresolved Mention"/>
    <w:basedOn w:val="Standardstycketeckensnitt"/>
    <w:uiPriority w:val="99"/>
    <w:semiHidden/>
    <w:unhideWhenUsed/>
    <w:rsid w:val="0097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4244">
      <w:bodyDiv w:val="1"/>
      <w:marLeft w:val="0"/>
      <w:marRight w:val="0"/>
      <w:marTop w:val="0"/>
      <w:marBottom w:val="0"/>
      <w:divBdr>
        <w:top w:val="none" w:sz="0" w:space="0" w:color="auto"/>
        <w:left w:val="none" w:sz="0" w:space="0" w:color="auto"/>
        <w:bottom w:val="none" w:sz="0" w:space="0" w:color="auto"/>
        <w:right w:val="none" w:sz="0" w:space="0" w:color="auto"/>
      </w:divBdr>
    </w:div>
    <w:div w:id="226262515">
      <w:bodyDiv w:val="1"/>
      <w:marLeft w:val="0"/>
      <w:marRight w:val="0"/>
      <w:marTop w:val="0"/>
      <w:marBottom w:val="0"/>
      <w:divBdr>
        <w:top w:val="none" w:sz="0" w:space="0" w:color="auto"/>
        <w:left w:val="none" w:sz="0" w:space="0" w:color="auto"/>
        <w:bottom w:val="none" w:sz="0" w:space="0" w:color="auto"/>
        <w:right w:val="none" w:sz="0" w:space="0" w:color="auto"/>
      </w:divBdr>
    </w:div>
    <w:div w:id="700515756">
      <w:bodyDiv w:val="1"/>
      <w:marLeft w:val="0"/>
      <w:marRight w:val="0"/>
      <w:marTop w:val="0"/>
      <w:marBottom w:val="0"/>
      <w:divBdr>
        <w:top w:val="none" w:sz="0" w:space="0" w:color="auto"/>
        <w:left w:val="none" w:sz="0" w:space="0" w:color="auto"/>
        <w:bottom w:val="none" w:sz="0" w:space="0" w:color="auto"/>
        <w:right w:val="none" w:sz="0" w:space="0" w:color="auto"/>
      </w:divBdr>
    </w:div>
    <w:div w:id="1085111211">
      <w:bodyDiv w:val="1"/>
      <w:marLeft w:val="0"/>
      <w:marRight w:val="0"/>
      <w:marTop w:val="0"/>
      <w:marBottom w:val="0"/>
      <w:divBdr>
        <w:top w:val="none" w:sz="0" w:space="0" w:color="auto"/>
        <w:left w:val="none" w:sz="0" w:space="0" w:color="auto"/>
        <w:bottom w:val="none" w:sz="0" w:space="0" w:color="auto"/>
        <w:right w:val="none" w:sz="0" w:space="0" w:color="auto"/>
      </w:divBdr>
    </w:div>
    <w:div w:id="1162355398">
      <w:bodyDiv w:val="1"/>
      <w:marLeft w:val="0"/>
      <w:marRight w:val="0"/>
      <w:marTop w:val="0"/>
      <w:marBottom w:val="0"/>
      <w:divBdr>
        <w:top w:val="none" w:sz="0" w:space="0" w:color="auto"/>
        <w:left w:val="none" w:sz="0" w:space="0" w:color="auto"/>
        <w:bottom w:val="none" w:sz="0" w:space="0" w:color="auto"/>
        <w:right w:val="none" w:sz="0" w:space="0" w:color="auto"/>
      </w:divBdr>
    </w:div>
    <w:div w:id="14127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lex.fi/sv/lagstiftning/2024/1066?language=sw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5598-BB2C-44C8-8565-144333E8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12</Pages>
  <Words>3363</Words>
  <Characters>21881</Characters>
  <Application>Microsoft Office Word</Application>
  <DocSecurity>0</DocSecurity>
  <Lines>182</Lines>
  <Paragraphs>50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25194</CharactersWithSpaces>
  <SharedDoc>false</SharedDoc>
  <HLinks>
    <vt:vector size="126" baseType="variant">
      <vt:variant>
        <vt:i4>262192</vt:i4>
      </vt:variant>
      <vt:variant>
        <vt:i4>120</vt:i4>
      </vt:variant>
      <vt:variant>
        <vt:i4>0</vt:i4>
      </vt:variant>
      <vt:variant>
        <vt:i4>5</vt:i4>
      </vt:variant>
      <vt:variant>
        <vt:lpwstr/>
      </vt:variant>
      <vt:variant>
        <vt:lpwstr>_top</vt:lpwstr>
      </vt:variant>
      <vt:variant>
        <vt:i4>1638453</vt:i4>
      </vt:variant>
      <vt:variant>
        <vt:i4>113</vt:i4>
      </vt:variant>
      <vt:variant>
        <vt:i4>0</vt:i4>
      </vt:variant>
      <vt:variant>
        <vt:i4>5</vt:i4>
      </vt:variant>
      <vt:variant>
        <vt:lpwstr/>
      </vt:variant>
      <vt:variant>
        <vt:lpwstr>_Toc191366320</vt:lpwstr>
      </vt:variant>
      <vt:variant>
        <vt:i4>1703989</vt:i4>
      </vt:variant>
      <vt:variant>
        <vt:i4>107</vt:i4>
      </vt:variant>
      <vt:variant>
        <vt:i4>0</vt:i4>
      </vt:variant>
      <vt:variant>
        <vt:i4>5</vt:i4>
      </vt:variant>
      <vt:variant>
        <vt:lpwstr/>
      </vt:variant>
      <vt:variant>
        <vt:lpwstr>_Toc191366319</vt:lpwstr>
      </vt:variant>
      <vt:variant>
        <vt:i4>1703989</vt:i4>
      </vt:variant>
      <vt:variant>
        <vt:i4>101</vt:i4>
      </vt:variant>
      <vt:variant>
        <vt:i4>0</vt:i4>
      </vt:variant>
      <vt:variant>
        <vt:i4>5</vt:i4>
      </vt:variant>
      <vt:variant>
        <vt:lpwstr/>
      </vt:variant>
      <vt:variant>
        <vt:lpwstr>_Toc191366318</vt:lpwstr>
      </vt:variant>
      <vt:variant>
        <vt:i4>1703989</vt:i4>
      </vt:variant>
      <vt:variant>
        <vt:i4>95</vt:i4>
      </vt:variant>
      <vt:variant>
        <vt:i4>0</vt:i4>
      </vt:variant>
      <vt:variant>
        <vt:i4>5</vt:i4>
      </vt:variant>
      <vt:variant>
        <vt:lpwstr/>
      </vt:variant>
      <vt:variant>
        <vt:lpwstr>_Toc191366317</vt:lpwstr>
      </vt:variant>
      <vt:variant>
        <vt:i4>1703989</vt:i4>
      </vt:variant>
      <vt:variant>
        <vt:i4>89</vt:i4>
      </vt:variant>
      <vt:variant>
        <vt:i4>0</vt:i4>
      </vt:variant>
      <vt:variant>
        <vt:i4>5</vt:i4>
      </vt:variant>
      <vt:variant>
        <vt:lpwstr/>
      </vt:variant>
      <vt:variant>
        <vt:lpwstr>_Toc191366316</vt:lpwstr>
      </vt:variant>
      <vt:variant>
        <vt:i4>1703989</vt:i4>
      </vt:variant>
      <vt:variant>
        <vt:i4>83</vt:i4>
      </vt:variant>
      <vt:variant>
        <vt:i4>0</vt:i4>
      </vt:variant>
      <vt:variant>
        <vt:i4>5</vt:i4>
      </vt:variant>
      <vt:variant>
        <vt:lpwstr/>
      </vt:variant>
      <vt:variant>
        <vt:lpwstr>_Toc191366315</vt:lpwstr>
      </vt:variant>
      <vt:variant>
        <vt:i4>1703989</vt:i4>
      </vt:variant>
      <vt:variant>
        <vt:i4>77</vt:i4>
      </vt:variant>
      <vt:variant>
        <vt:i4>0</vt:i4>
      </vt:variant>
      <vt:variant>
        <vt:i4>5</vt:i4>
      </vt:variant>
      <vt:variant>
        <vt:lpwstr/>
      </vt:variant>
      <vt:variant>
        <vt:lpwstr>_Toc191366314</vt:lpwstr>
      </vt:variant>
      <vt:variant>
        <vt:i4>1703989</vt:i4>
      </vt:variant>
      <vt:variant>
        <vt:i4>71</vt:i4>
      </vt:variant>
      <vt:variant>
        <vt:i4>0</vt:i4>
      </vt:variant>
      <vt:variant>
        <vt:i4>5</vt:i4>
      </vt:variant>
      <vt:variant>
        <vt:lpwstr/>
      </vt:variant>
      <vt:variant>
        <vt:lpwstr>_Toc191366313</vt:lpwstr>
      </vt:variant>
      <vt:variant>
        <vt:i4>1703989</vt:i4>
      </vt:variant>
      <vt:variant>
        <vt:i4>65</vt:i4>
      </vt:variant>
      <vt:variant>
        <vt:i4>0</vt:i4>
      </vt:variant>
      <vt:variant>
        <vt:i4>5</vt:i4>
      </vt:variant>
      <vt:variant>
        <vt:lpwstr/>
      </vt:variant>
      <vt:variant>
        <vt:lpwstr>_Toc191366312</vt:lpwstr>
      </vt:variant>
      <vt:variant>
        <vt:i4>1703989</vt:i4>
      </vt:variant>
      <vt:variant>
        <vt:i4>59</vt:i4>
      </vt:variant>
      <vt:variant>
        <vt:i4>0</vt:i4>
      </vt:variant>
      <vt:variant>
        <vt:i4>5</vt:i4>
      </vt:variant>
      <vt:variant>
        <vt:lpwstr/>
      </vt:variant>
      <vt:variant>
        <vt:lpwstr>_Toc191366311</vt:lpwstr>
      </vt:variant>
      <vt:variant>
        <vt:i4>1703989</vt:i4>
      </vt:variant>
      <vt:variant>
        <vt:i4>53</vt:i4>
      </vt:variant>
      <vt:variant>
        <vt:i4>0</vt:i4>
      </vt:variant>
      <vt:variant>
        <vt:i4>5</vt:i4>
      </vt:variant>
      <vt:variant>
        <vt:lpwstr/>
      </vt:variant>
      <vt:variant>
        <vt:lpwstr>_Toc191366310</vt:lpwstr>
      </vt:variant>
      <vt:variant>
        <vt:i4>1769525</vt:i4>
      </vt:variant>
      <vt:variant>
        <vt:i4>47</vt:i4>
      </vt:variant>
      <vt:variant>
        <vt:i4>0</vt:i4>
      </vt:variant>
      <vt:variant>
        <vt:i4>5</vt:i4>
      </vt:variant>
      <vt:variant>
        <vt:lpwstr/>
      </vt:variant>
      <vt:variant>
        <vt:lpwstr>_Toc191366309</vt:lpwstr>
      </vt:variant>
      <vt:variant>
        <vt:i4>1769525</vt:i4>
      </vt:variant>
      <vt:variant>
        <vt:i4>41</vt:i4>
      </vt:variant>
      <vt:variant>
        <vt:i4>0</vt:i4>
      </vt:variant>
      <vt:variant>
        <vt:i4>5</vt:i4>
      </vt:variant>
      <vt:variant>
        <vt:lpwstr/>
      </vt:variant>
      <vt:variant>
        <vt:lpwstr>_Toc191366308</vt:lpwstr>
      </vt:variant>
      <vt:variant>
        <vt:i4>1769525</vt:i4>
      </vt:variant>
      <vt:variant>
        <vt:i4>35</vt:i4>
      </vt:variant>
      <vt:variant>
        <vt:i4>0</vt:i4>
      </vt:variant>
      <vt:variant>
        <vt:i4>5</vt:i4>
      </vt:variant>
      <vt:variant>
        <vt:lpwstr/>
      </vt:variant>
      <vt:variant>
        <vt:lpwstr>_Toc191366307</vt:lpwstr>
      </vt:variant>
      <vt:variant>
        <vt:i4>1769525</vt:i4>
      </vt:variant>
      <vt:variant>
        <vt:i4>29</vt:i4>
      </vt:variant>
      <vt:variant>
        <vt:i4>0</vt:i4>
      </vt:variant>
      <vt:variant>
        <vt:i4>5</vt:i4>
      </vt:variant>
      <vt:variant>
        <vt:lpwstr/>
      </vt:variant>
      <vt:variant>
        <vt:lpwstr>_Toc191366306</vt:lpwstr>
      </vt:variant>
      <vt:variant>
        <vt:i4>1769525</vt:i4>
      </vt:variant>
      <vt:variant>
        <vt:i4>23</vt:i4>
      </vt:variant>
      <vt:variant>
        <vt:i4>0</vt:i4>
      </vt:variant>
      <vt:variant>
        <vt:i4>5</vt:i4>
      </vt:variant>
      <vt:variant>
        <vt:lpwstr/>
      </vt:variant>
      <vt:variant>
        <vt:lpwstr>_Toc191366305</vt:lpwstr>
      </vt:variant>
      <vt:variant>
        <vt:i4>1769525</vt:i4>
      </vt:variant>
      <vt:variant>
        <vt:i4>17</vt:i4>
      </vt:variant>
      <vt:variant>
        <vt:i4>0</vt:i4>
      </vt:variant>
      <vt:variant>
        <vt:i4>5</vt:i4>
      </vt:variant>
      <vt:variant>
        <vt:lpwstr/>
      </vt:variant>
      <vt:variant>
        <vt:lpwstr>_Toc191366304</vt:lpwstr>
      </vt:variant>
      <vt:variant>
        <vt:i4>1769525</vt:i4>
      </vt:variant>
      <vt:variant>
        <vt:i4>11</vt:i4>
      </vt:variant>
      <vt:variant>
        <vt:i4>0</vt:i4>
      </vt:variant>
      <vt:variant>
        <vt:i4>5</vt:i4>
      </vt:variant>
      <vt:variant>
        <vt:lpwstr/>
      </vt:variant>
      <vt:variant>
        <vt:lpwstr>_Toc191366303</vt:lpwstr>
      </vt:variant>
      <vt:variant>
        <vt:i4>1769525</vt:i4>
      </vt:variant>
      <vt:variant>
        <vt:i4>5</vt:i4>
      </vt:variant>
      <vt:variant>
        <vt:i4>0</vt:i4>
      </vt:variant>
      <vt:variant>
        <vt:i4>5</vt:i4>
      </vt:variant>
      <vt:variant>
        <vt:lpwstr/>
      </vt:variant>
      <vt:variant>
        <vt:lpwstr>_Toc191366302</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Patrik Lönngren</dc:creator>
  <cp:keywords/>
  <dc:description/>
  <cp:lastModifiedBy>Jessica Laaksonen</cp:lastModifiedBy>
  <cp:revision>2</cp:revision>
  <cp:lastPrinted>2025-05-27T07:02:00Z</cp:lastPrinted>
  <dcterms:created xsi:type="dcterms:W3CDTF">2025-05-28T08:01:00Z</dcterms:created>
  <dcterms:modified xsi:type="dcterms:W3CDTF">2025-05-28T08:01:00Z</dcterms:modified>
</cp:coreProperties>
</file>