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851"/>
        <w:gridCol w:w="4449"/>
        <w:gridCol w:w="1722"/>
        <w:gridCol w:w="2559"/>
      </w:tblGrid>
      <w:tr w:rsidR="000B3F00" w14:paraId="326392C0" w14:textId="77777777" w:rsidTr="00AB63E6">
        <w:trPr>
          <w:cantSplit/>
          <w:trHeight w:val="20"/>
        </w:trPr>
        <w:tc>
          <w:tcPr>
            <w:tcW w:w="851" w:type="dxa"/>
            <w:vMerge w:val="restart"/>
          </w:tcPr>
          <w:p w14:paraId="62EF5CC0" w14:textId="5F3EE8F2" w:rsidR="000B3F00" w:rsidRDefault="008F4CAD">
            <w:pPr>
              <w:pStyle w:val="xLedtext"/>
              <w:rPr>
                <w:noProof/>
              </w:rPr>
            </w:pPr>
            <w:bookmarkStart w:id="0" w:name="_top"/>
            <w:bookmarkEnd w:id="0"/>
            <w:r>
              <w:rPr>
                <w:noProof/>
              </w:rPr>
              <w:drawing>
                <wp:inline distT="0" distB="0" distL="0" distR="0" wp14:anchorId="04D91A6B" wp14:editId="3AD02C43">
                  <wp:extent cx="476250" cy="685800"/>
                  <wp:effectExtent l="0" t="0" r="0"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krivning: LSvap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685800"/>
                          </a:xfrm>
                          <a:prstGeom prst="rect">
                            <a:avLst/>
                          </a:prstGeom>
                          <a:noFill/>
                          <a:ln>
                            <a:noFill/>
                          </a:ln>
                        </pic:spPr>
                      </pic:pic>
                    </a:graphicData>
                  </a:graphic>
                </wp:inline>
              </w:drawing>
            </w:r>
          </w:p>
        </w:tc>
        <w:tc>
          <w:tcPr>
            <w:tcW w:w="8730" w:type="dxa"/>
            <w:gridSpan w:val="3"/>
            <w:vAlign w:val="bottom"/>
          </w:tcPr>
          <w:p w14:paraId="13C61D6D" w14:textId="6D97CF90" w:rsidR="000B3F00" w:rsidRDefault="008F4CAD">
            <w:pPr>
              <w:pStyle w:val="xMellanrum"/>
            </w:pPr>
            <w:r>
              <w:rPr>
                <w:noProof/>
              </w:rPr>
              <w:drawing>
                <wp:inline distT="0" distB="0" distL="0" distR="0" wp14:anchorId="17D72A4E" wp14:editId="35CF525F">
                  <wp:extent cx="47625" cy="47625"/>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skrivning: 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0B3F00" w14:paraId="22EBC788" w14:textId="77777777" w:rsidTr="00AB63E6">
        <w:trPr>
          <w:cantSplit/>
          <w:trHeight w:val="299"/>
        </w:trPr>
        <w:tc>
          <w:tcPr>
            <w:tcW w:w="851" w:type="dxa"/>
            <w:vMerge/>
          </w:tcPr>
          <w:p w14:paraId="31019369" w14:textId="77777777" w:rsidR="000B3F00" w:rsidRDefault="000B3F00">
            <w:pPr>
              <w:pStyle w:val="xLedtext"/>
            </w:pPr>
          </w:p>
        </w:tc>
        <w:tc>
          <w:tcPr>
            <w:tcW w:w="4449" w:type="dxa"/>
            <w:vAlign w:val="bottom"/>
          </w:tcPr>
          <w:p w14:paraId="2480FDCF" w14:textId="77777777" w:rsidR="000B3F00" w:rsidRDefault="000B3F00">
            <w:pPr>
              <w:pStyle w:val="xAvsandare1"/>
            </w:pPr>
            <w:r>
              <w:t>Ålands lagting</w:t>
            </w:r>
          </w:p>
        </w:tc>
        <w:tc>
          <w:tcPr>
            <w:tcW w:w="4281" w:type="dxa"/>
            <w:gridSpan w:val="2"/>
            <w:vAlign w:val="bottom"/>
          </w:tcPr>
          <w:p w14:paraId="0395BFCD" w14:textId="77777777" w:rsidR="000B3F00" w:rsidRDefault="00D34F0A" w:rsidP="00377141">
            <w:pPr>
              <w:pStyle w:val="xDokTypNr"/>
            </w:pPr>
            <w:r>
              <w:t>RESERVATION</w:t>
            </w:r>
          </w:p>
        </w:tc>
      </w:tr>
      <w:tr w:rsidR="000B3F00" w14:paraId="3A43203C" w14:textId="77777777" w:rsidTr="00AB63E6">
        <w:trPr>
          <w:cantSplit/>
          <w:trHeight w:val="238"/>
        </w:trPr>
        <w:tc>
          <w:tcPr>
            <w:tcW w:w="851" w:type="dxa"/>
            <w:vMerge/>
          </w:tcPr>
          <w:p w14:paraId="4A527EC1" w14:textId="77777777" w:rsidR="000B3F00" w:rsidRDefault="000B3F00">
            <w:pPr>
              <w:pStyle w:val="xLedtext"/>
            </w:pPr>
          </w:p>
        </w:tc>
        <w:tc>
          <w:tcPr>
            <w:tcW w:w="4449" w:type="dxa"/>
            <w:vAlign w:val="bottom"/>
          </w:tcPr>
          <w:p w14:paraId="59D57D7D" w14:textId="77777777" w:rsidR="000B3F00" w:rsidRDefault="000B3F00">
            <w:pPr>
              <w:pStyle w:val="xLedtext"/>
            </w:pPr>
            <w:r>
              <w:t xml:space="preserve">Lagtingsledamot </w:t>
            </w:r>
          </w:p>
        </w:tc>
        <w:tc>
          <w:tcPr>
            <w:tcW w:w="1722" w:type="dxa"/>
            <w:vAlign w:val="bottom"/>
          </w:tcPr>
          <w:p w14:paraId="6E3C1A45" w14:textId="77777777" w:rsidR="000B3F00" w:rsidRDefault="000B3F00">
            <w:pPr>
              <w:pStyle w:val="xLedtext"/>
            </w:pPr>
            <w:r>
              <w:t>Datum</w:t>
            </w:r>
          </w:p>
        </w:tc>
        <w:tc>
          <w:tcPr>
            <w:tcW w:w="2559" w:type="dxa"/>
            <w:vAlign w:val="bottom"/>
          </w:tcPr>
          <w:p w14:paraId="12C8BE8F" w14:textId="77777777" w:rsidR="000B3F00" w:rsidRDefault="000B3F00">
            <w:pPr>
              <w:pStyle w:val="xLedtext"/>
            </w:pPr>
          </w:p>
        </w:tc>
      </w:tr>
      <w:tr w:rsidR="000B3F00" w14:paraId="713869E5" w14:textId="77777777" w:rsidTr="00AB63E6">
        <w:trPr>
          <w:cantSplit/>
          <w:trHeight w:val="238"/>
        </w:trPr>
        <w:tc>
          <w:tcPr>
            <w:tcW w:w="851" w:type="dxa"/>
            <w:vMerge/>
          </w:tcPr>
          <w:p w14:paraId="3C385EAF" w14:textId="77777777" w:rsidR="000B3F00" w:rsidRDefault="000B3F00">
            <w:pPr>
              <w:pStyle w:val="xAvsandare2"/>
            </w:pPr>
          </w:p>
        </w:tc>
        <w:tc>
          <w:tcPr>
            <w:tcW w:w="4449" w:type="dxa"/>
            <w:vAlign w:val="center"/>
          </w:tcPr>
          <w:p w14:paraId="599544F3" w14:textId="18B6D8DE" w:rsidR="000B3F00" w:rsidRDefault="00293016" w:rsidP="00377141">
            <w:pPr>
              <w:pStyle w:val="xAvsandare2"/>
            </w:pPr>
            <w:r w:rsidRPr="001F13E2">
              <w:t>Johan Lindström</w:t>
            </w:r>
            <w:r w:rsidR="0079752D">
              <w:t xml:space="preserve"> </w:t>
            </w:r>
            <w:r w:rsidR="006C3497">
              <w:t xml:space="preserve">m.f.l </w:t>
            </w:r>
          </w:p>
        </w:tc>
        <w:tc>
          <w:tcPr>
            <w:tcW w:w="1722" w:type="dxa"/>
            <w:vAlign w:val="center"/>
          </w:tcPr>
          <w:p w14:paraId="4E831543" w14:textId="0D5DD44A" w:rsidR="000B3F00" w:rsidRDefault="00293016" w:rsidP="0012085E">
            <w:pPr>
              <w:pStyle w:val="xDatum1"/>
            </w:pPr>
            <w:r w:rsidRPr="00962677">
              <w:t>2025-09-0</w:t>
            </w:r>
            <w:r w:rsidR="00C35BED">
              <w:t>4</w:t>
            </w:r>
          </w:p>
        </w:tc>
        <w:tc>
          <w:tcPr>
            <w:tcW w:w="2559" w:type="dxa"/>
            <w:vAlign w:val="center"/>
          </w:tcPr>
          <w:p w14:paraId="15D39644" w14:textId="77777777" w:rsidR="000B3F00" w:rsidRDefault="000B3F00">
            <w:pPr>
              <w:pStyle w:val="xBeteckning1"/>
            </w:pPr>
          </w:p>
        </w:tc>
      </w:tr>
      <w:tr w:rsidR="000B3F00" w14:paraId="245DDD29" w14:textId="77777777" w:rsidTr="00AB63E6">
        <w:trPr>
          <w:cantSplit/>
          <w:trHeight w:val="238"/>
        </w:trPr>
        <w:tc>
          <w:tcPr>
            <w:tcW w:w="851" w:type="dxa"/>
            <w:vMerge/>
          </w:tcPr>
          <w:p w14:paraId="1C436311" w14:textId="77777777" w:rsidR="000B3F00" w:rsidRDefault="000B3F00">
            <w:pPr>
              <w:pStyle w:val="xLedtext"/>
            </w:pPr>
          </w:p>
        </w:tc>
        <w:tc>
          <w:tcPr>
            <w:tcW w:w="4449" w:type="dxa"/>
            <w:vAlign w:val="bottom"/>
          </w:tcPr>
          <w:p w14:paraId="603C33CD" w14:textId="77777777" w:rsidR="000B3F00" w:rsidRDefault="000B3F00">
            <w:pPr>
              <w:pStyle w:val="xLedtext"/>
            </w:pPr>
          </w:p>
        </w:tc>
        <w:tc>
          <w:tcPr>
            <w:tcW w:w="1722" w:type="dxa"/>
            <w:vAlign w:val="bottom"/>
          </w:tcPr>
          <w:p w14:paraId="009C3B42" w14:textId="77777777" w:rsidR="000B3F00" w:rsidRDefault="000B3F00">
            <w:pPr>
              <w:pStyle w:val="xLedtext"/>
            </w:pPr>
          </w:p>
        </w:tc>
        <w:tc>
          <w:tcPr>
            <w:tcW w:w="2559" w:type="dxa"/>
            <w:vAlign w:val="bottom"/>
          </w:tcPr>
          <w:p w14:paraId="049A0927" w14:textId="77777777" w:rsidR="000B3F00" w:rsidRDefault="000B3F00">
            <w:pPr>
              <w:pStyle w:val="xLedtext"/>
            </w:pPr>
          </w:p>
        </w:tc>
      </w:tr>
      <w:tr w:rsidR="000B3F00" w14:paraId="36964093" w14:textId="77777777" w:rsidTr="00AB63E6">
        <w:trPr>
          <w:cantSplit/>
          <w:trHeight w:val="238"/>
        </w:trPr>
        <w:tc>
          <w:tcPr>
            <w:tcW w:w="851" w:type="dxa"/>
            <w:vMerge/>
            <w:tcBorders>
              <w:bottom w:val="single" w:sz="4" w:space="0" w:color="auto"/>
            </w:tcBorders>
          </w:tcPr>
          <w:p w14:paraId="3FFA3183" w14:textId="77777777" w:rsidR="000B3F00" w:rsidRDefault="000B3F00">
            <w:pPr>
              <w:pStyle w:val="xAvsandare3"/>
            </w:pPr>
          </w:p>
        </w:tc>
        <w:tc>
          <w:tcPr>
            <w:tcW w:w="4449" w:type="dxa"/>
            <w:tcBorders>
              <w:bottom w:val="single" w:sz="4" w:space="0" w:color="auto"/>
            </w:tcBorders>
            <w:vAlign w:val="center"/>
          </w:tcPr>
          <w:p w14:paraId="7C4A514E" w14:textId="77777777" w:rsidR="000B3F00" w:rsidRDefault="000B3F00">
            <w:pPr>
              <w:pStyle w:val="xAvsandare3"/>
            </w:pPr>
          </w:p>
        </w:tc>
        <w:tc>
          <w:tcPr>
            <w:tcW w:w="1722" w:type="dxa"/>
            <w:tcBorders>
              <w:bottom w:val="single" w:sz="4" w:space="0" w:color="auto"/>
            </w:tcBorders>
            <w:vAlign w:val="center"/>
          </w:tcPr>
          <w:p w14:paraId="4A1E1645" w14:textId="77777777" w:rsidR="000B3F00" w:rsidRDefault="000B3F00">
            <w:pPr>
              <w:pStyle w:val="xDatum2"/>
            </w:pPr>
          </w:p>
        </w:tc>
        <w:tc>
          <w:tcPr>
            <w:tcW w:w="2559" w:type="dxa"/>
            <w:tcBorders>
              <w:bottom w:val="single" w:sz="4" w:space="0" w:color="auto"/>
            </w:tcBorders>
            <w:vAlign w:val="center"/>
          </w:tcPr>
          <w:p w14:paraId="7F49357F" w14:textId="77777777" w:rsidR="000B3F00" w:rsidRDefault="000B3F00">
            <w:pPr>
              <w:pStyle w:val="xBeteckning2"/>
            </w:pPr>
          </w:p>
        </w:tc>
      </w:tr>
      <w:tr w:rsidR="000B3F00" w14:paraId="25FE61F6" w14:textId="77777777" w:rsidTr="00AB63E6">
        <w:trPr>
          <w:cantSplit/>
          <w:trHeight w:val="238"/>
        </w:trPr>
        <w:tc>
          <w:tcPr>
            <w:tcW w:w="851" w:type="dxa"/>
            <w:tcBorders>
              <w:top w:val="single" w:sz="4" w:space="0" w:color="auto"/>
            </w:tcBorders>
            <w:vAlign w:val="bottom"/>
          </w:tcPr>
          <w:p w14:paraId="3D380F8F" w14:textId="77777777" w:rsidR="000B3F00" w:rsidRDefault="000B3F00">
            <w:pPr>
              <w:pStyle w:val="xLedtext"/>
            </w:pPr>
          </w:p>
        </w:tc>
        <w:tc>
          <w:tcPr>
            <w:tcW w:w="4449" w:type="dxa"/>
            <w:tcBorders>
              <w:top w:val="single" w:sz="4" w:space="0" w:color="auto"/>
            </w:tcBorders>
            <w:vAlign w:val="bottom"/>
          </w:tcPr>
          <w:p w14:paraId="2AB9B7B8" w14:textId="77777777" w:rsidR="000B3F00" w:rsidRDefault="000B3F00">
            <w:pPr>
              <w:pStyle w:val="xLedtext"/>
            </w:pPr>
          </w:p>
        </w:tc>
        <w:tc>
          <w:tcPr>
            <w:tcW w:w="4281" w:type="dxa"/>
            <w:gridSpan w:val="2"/>
            <w:tcBorders>
              <w:top w:val="single" w:sz="4" w:space="0" w:color="auto"/>
            </w:tcBorders>
            <w:vAlign w:val="bottom"/>
          </w:tcPr>
          <w:p w14:paraId="31C9CE5C" w14:textId="77777777" w:rsidR="000B3F00" w:rsidRDefault="000B3F00">
            <w:pPr>
              <w:pStyle w:val="xLedtext"/>
            </w:pPr>
          </w:p>
        </w:tc>
      </w:tr>
      <w:tr w:rsidR="000B3F00" w14:paraId="0C599FA5" w14:textId="77777777" w:rsidTr="00AB63E6">
        <w:trPr>
          <w:cantSplit/>
          <w:trHeight w:val="238"/>
        </w:trPr>
        <w:tc>
          <w:tcPr>
            <w:tcW w:w="851" w:type="dxa"/>
          </w:tcPr>
          <w:p w14:paraId="2B00D93C" w14:textId="77777777" w:rsidR="000B3F00" w:rsidRDefault="000B3F00">
            <w:pPr>
              <w:pStyle w:val="xCelltext"/>
            </w:pPr>
          </w:p>
        </w:tc>
        <w:tc>
          <w:tcPr>
            <w:tcW w:w="4449" w:type="dxa"/>
            <w:vMerge w:val="restart"/>
          </w:tcPr>
          <w:p w14:paraId="5A9A957B" w14:textId="77777777" w:rsidR="000B3F00" w:rsidRDefault="000B3F00">
            <w:pPr>
              <w:pStyle w:val="xMottagare1"/>
            </w:pPr>
            <w:r>
              <w:t>Till Ålands lagting</w:t>
            </w:r>
          </w:p>
        </w:tc>
        <w:tc>
          <w:tcPr>
            <w:tcW w:w="4281" w:type="dxa"/>
            <w:gridSpan w:val="2"/>
            <w:vMerge w:val="restart"/>
          </w:tcPr>
          <w:p w14:paraId="776582D8" w14:textId="77777777" w:rsidR="000B3F00" w:rsidRDefault="000B3F00">
            <w:pPr>
              <w:pStyle w:val="xMottagare1"/>
              <w:tabs>
                <w:tab w:val="left" w:pos="2349"/>
              </w:tabs>
            </w:pPr>
          </w:p>
        </w:tc>
      </w:tr>
      <w:tr w:rsidR="000B3F00" w14:paraId="35D56471" w14:textId="77777777" w:rsidTr="00AB63E6">
        <w:trPr>
          <w:cantSplit/>
          <w:trHeight w:val="238"/>
        </w:trPr>
        <w:tc>
          <w:tcPr>
            <w:tcW w:w="851" w:type="dxa"/>
          </w:tcPr>
          <w:p w14:paraId="654E2421" w14:textId="77777777" w:rsidR="000B3F00" w:rsidRDefault="000B3F00">
            <w:pPr>
              <w:pStyle w:val="xCelltext"/>
            </w:pPr>
          </w:p>
        </w:tc>
        <w:tc>
          <w:tcPr>
            <w:tcW w:w="4449" w:type="dxa"/>
            <w:vMerge/>
            <w:vAlign w:val="center"/>
          </w:tcPr>
          <w:p w14:paraId="01CCDFC2" w14:textId="77777777" w:rsidR="000B3F00" w:rsidRDefault="000B3F00">
            <w:pPr>
              <w:pStyle w:val="xCelltext"/>
            </w:pPr>
          </w:p>
        </w:tc>
        <w:tc>
          <w:tcPr>
            <w:tcW w:w="4281" w:type="dxa"/>
            <w:gridSpan w:val="2"/>
            <w:vMerge/>
            <w:vAlign w:val="center"/>
          </w:tcPr>
          <w:p w14:paraId="2BB0B9D1" w14:textId="77777777" w:rsidR="000B3F00" w:rsidRDefault="000B3F00">
            <w:pPr>
              <w:pStyle w:val="xCelltext"/>
            </w:pPr>
          </w:p>
        </w:tc>
      </w:tr>
      <w:tr w:rsidR="000B3F00" w14:paraId="0144920C" w14:textId="77777777" w:rsidTr="00AB63E6">
        <w:trPr>
          <w:cantSplit/>
          <w:trHeight w:val="238"/>
        </w:trPr>
        <w:tc>
          <w:tcPr>
            <w:tcW w:w="851" w:type="dxa"/>
          </w:tcPr>
          <w:p w14:paraId="567B018A" w14:textId="77777777" w:rsidR="000B3F00" w:rsidRDefault="000B3F00">
            <w:pPr>
              <w:pStyle w:val="xCelltext"/>
            </w:pPr>
          </w:p>
        </w:tc>
        <w:tc>
          <w:tcPr>
            <w:tcW w:w="4449" w:type="dxa"/>
            <w:vMerge/>
            <w:vAlign w:val="center"/>
          </w:tcPr>
          <w:p w14:paraId="47F6F7B4" w14:textId="77777777" w:rsidR="000B3F00" w:rsidRDefault="000B3F00">
            <w:pPr>
              <w:pStyle w:val="xCelltext"/>
            </w:pPr>
          </w:p>
        </w:tc>
        <w:tc>
          <w:tcPr>
            <w:tcW w:w="4281" w:type="dxa"/>
            <w:gridSpan w:val="2"/>
            <w:vMerge/>
            <w:vAlign w:val="center"/>
          </w:tcPr>
          <w:p w14:paraId="688995CC" w14:textId="77777777" w:rsidR="000B3F00" w:rsidRDefault="000B3F00">
            <w:pPr>
              <w:pStyle w:val="xCelltext"/>
            </w:pPr>
          </w:p>
        </w:tc>
      </w:tr>
      <w:tr w:rsidR="000B3F00" w14:paraId="62522763" w14:textId="77777777" w:rsidTr="00AB63E6">
        <w:trPr>
          <w:cantSplit/>
          <w:trHeight w:val="238"/>
        </w:trPr>
        <w:tc>
          <w:tcPr>
            <w:tcW w:w="851" w:type="dxa"/>
          </w:tcPr>
          <w:p w14:paraId="3EA38F28" w14:textId="77777777" w:rsidR="000B3F00" w:rsidRDefault="000B3F00">
            <w:pPr>
              <w:pStyle w:val="xCelltext"/>
            </w:pPr>
          </w:p>
        </w:tc>
        <w:tc>
          <w:tcPr>
            <w:tcW w:w="4449" w:type="dxa"/>
            <w:vMerge/>
            <w:vAlign w:val="center"/>
          </w:tcPr>
          <w:p w14:paraId="23B7BF3C" w14:textId="77777777" w:rsidR="000B3F00" w:rsidRDefault="000B3F00">
            <w:pPr>
              <w:pStyle w:val="xCelltext"/>
            </w:pPr>
          </w:p>
        </w:tc>
        <w:tc>
          <w:tcPr>
            <w:tcW w:w="4281" w:type="dxa"/>
            <w:gridSpan w:val="2"/>
            <w:vMerge/>
            <w:vAlign w:val="center"/>
          </w:tcPr>
          <w:p w14:paraId="5B302D99" w14:textId="77777777" w:rsidR="000B3F00" w:rsidRDefault="000B3F00">
            <w:pPr>
              <w:pStyle w:val="xCelltext"/>
            </w:pPr>
          </w:p>
        </w:tc>
      </w:tr>
      <w:tr w:rsidR="000B3F00" w14:paraId="3C5A7830" w14:textId="77777777" w:rsidTr="00AB63E6">
        <w:trPr>
          <w:cantSplit/>
          <w:trHeight w:val="238"/>
        </w:trPr>
        <w:tc>
          <w:tcPr>
            <w:tcW w:w="851" w:type="dxa"/>
          </w:tcPr>
          <w:p w14:paraId="04BDF4E2" w14:textId="77777777" w:rsidR="000B3F00" w:rsidRDefault="000B3F00">
            <w:pPr>
              <w:pStyle w:val="xCelltext"/>
            </w:pPr>
          </w:p>
        </w:tc>
        <w:tc>
          <w:tcPr>
            <w:tcW w:w="4449" w:type="dxa"/>
            <w:vMerge/>
            <w:vAlign w:val="center"/>
          </w:tcPr>
          <w:p w14:paraId="06683582" w14:textId="77777777" w:rsidR="000B3F00" w:rsidRDefault="000B3F00">
            <w:pPr>
              <w:pStyle w:val="xCelltext"/>
            </w:pPr>
          </w:p>
        </w:tc>
        <w:tc>
          <w:tcPr>
            <w:tcW w:w="4281" w:type="dxa"/>
            <w:gridSpan w:val="2"/>
            <w:vMerge/>
            <w:vAlign w:val="center"/>
          </w:tcPr>
          <w:p w14:paraId="66D96091" w14:textId="77777777" w:rsidR="000B3F00" w:rsidRDefault="000B3F00">
            <w:pPr>
              <w:pStyle w:val="xCelltext"/>
            </w:pPr>
          </w:p>
        </w:tc>
      </w:tr>
    </w:tbl>
    <w:p w14:paraId="75C19749" w14:textId="77777777" w:rsidR="000B3F00" w:rsidRDefault="000B3F00">
      <w:pPr>
        <w:rPr>
          <w:b/>
          <w:bCs/>
        </w:rPr>
        <w:sectPr w:rsidR="000B3F00">
          <w:headerReference w:type="even" r:id="rId9"/>
          <w:headerReference w:type="default" r:id="rId10"/>
          <w:footerReference w:type="even" r:id="rId11"/>
          <w:footerReference w:type="default" r:id="rId12"/>
          <w:headerReference w:type="first" r:id="rId13"/>
          <w:footerReference w:type="first" r:id="rId14"/>
          <w:pgSz w:w="11906" w:h="16838" w:code="9"/>
          <w:pgMar w:top="567" w:right="1134" w:bottom="1134" w:left="1191" w:header="624" w:footer="737" w:gutter="0"/>
          <w:cols w:space="708"/>
          <w:docGrid w:linePitch="360"/>
        </w:sectPr>
      </w:pPr>
    </w:p>
    <w:p w14:paraId="4D563E6D" w14:textId="368D6499" w:rsidR="00504184" w:rsidRPr="00AB63E6" w:rsidRDefault="00293016" w:rsidP="00AB63E6">
      <w:pPr>
        <w:pStyle w:val="Rubrik3"/>
        <w:numPr>
          <w:ilvl w:val="0"/>
          <w:numId w:val="0"/>
        </w:numPr>
        <w:shd w:val="clear" w:color="auto" w:fill="FFFFFF"/>
        <w:spacing w:before="75" w:after="165" w:line="405" w:lineRule="atLeast"/>
        <w:rPr>
          <w:rFonts w:ascii="Open Sans" w:hAnsi="Open Sans" w:cs="Open Sans"/>
          <w:b w:val="0"/>
          <w:bCs w:val="0"/>
          <w:color w:val="555555"/>
          <w:sz w:val="22"/>
          <w:szCs w:val="22"/>
          <w:lang w:val="sv-FI" w:eastAsia="sv-FI"/>
        </w:rPr>
      </w:pPr>
      <w:r w:rsidRPr="00AB63E6">
        <w:rPr>
          <w:sz w:val="22"/>
          <w:szCs w:val="22"/>
        </w:rPr>
        <w:t>Reservation mot Lag- och kulturutskottet betänkande nr</w:t>
      </w:r>
      <w:r w:rsidR="006C3497" w:rsidRPr="00AB63E6">
        <w:rPr>
          <w:sz w:val="22"/>
          <w:szCs w:val="22"/>
        </w:rPr>
        <w:t xml:space="preserve"> </w:t>
      </w:r>
      <w:r w:rsidR="00C35BED">
        <w:rPr>
          <w:sz w:val="22"/>
          <w:szCs w:val="22"/>
        </w:rPr>
        <w:t>14</w:t>
      </w:r>
      <w:r w:rsidR="006C3497" w:rsidRPr="00AB63E6">
        <w:rPr>
          <w:sz w:val="22"/>
          <w:szCs w:val="22"/>
        </w:rPr>
        <w:t xml:space="preserve"> </w:t>
      </w:r>
      <w:r w:rsidRPr="00AB63E6">
        <w:rPr>
          <w:sz w:val="22"/>
          <w:szCs w:val="22"/>
        </w:rPr>
        <w:t xml:space="preserve">gällande </w:t>
      </w:r>
      <w:r w:rsidR="00860A11" w:rsidRPr="00AB63E6">
        <w:rPr>
          <w:sz w:val="22"/>
          <w:szCs w:val="22"/>
        </w:rPr>
        <w:t>Tryggande av kommunal service</w:t>
      </w:r>
      <w:r w:rsidR="00495032" w:rsidRPr="00AB63E6">
        <w:rPr>
          <w:sz w:val="22"/>
          <w:szCs w:val="22"/>
        </w:rPr>
        <w:t xml:space="preserve"> </w:t>
      </w:r>
      <w:r w:rsidR="00495032" w:rsidRPr="00AB63E6">
        <w:rPr>
          <w:rFonts w:ascii="Open Sans" w:hAnsi="Open Sans" w:cs="Open Sans"/>
          <w:color w:val="555555"/>
          <w:sz w:val="22"/>
          <w:szCs w:val="22"/>
          <w:lang w:val="sv-FI" w:eastAsia="sv-FI"/>
        </w:rPr>
        <w:t>LF 20/2024-2025</w:t>
      </w:r>
    </w:p>
    <w:p w14:paraId="3B772F7E" w14:textId="77777777" w:rsidR="005E2361" w:rsidRPr="00AB63E6" w:rsidRDefault="008F292B" w:rsidP="00E70B7B">
      <w:pPr>
        <w:spacing w:before="100" w:beforeAutospacing="1" w:after="100" w:afterAutospacing="1"/>
        <w:rPr>
          <w:sz w:val="22"/>
          <w:szCs w:val="22"/>
          <w:lang w:val="sv-FI" w:eastAsia="sv-FI"/>
        </w:rPr>
      </w:pPr>
      <w:r w:rsidRPr="00AB63E6">
        <w:rPr>
          <w:b/>
          <w:bCs/>
          <w:sz w:val="22"/>
          <w:szCs w:val="22"/>
          <w:lang w:val="sv-FI" w:eastAsia="sv-FI"/>
        </w:rPr>
        <w:t>Motivering</w:t>
      </w:r>
    </w:p>
    <w:p w14:paraId="6010E69D" w14:textId="24FDE642" w:rsidR="008F292B" w:rsidRPr="00AB63E6" w:rsidRDefault="000E4D7E" w:rsidP="00E70B7B">
      <w:pPr>
        <w:spacing w:before="100" w:beforeAutospacing="1" w:after="100" w:afterAutospacing="1"/>
        <w:rPr>
          <w:sz w:val="22"/>
          <w:szCs w:val="22"/>
          <w:lang w:val="sv-FI" w:eastAsia="sv-FI"/>
        </w:rPr>
      </w:pPr>
      <w:r w:rsidRPr="00AB63E6">
        <w:rPr>
          <w:sz w:val="22"/>
          <w:szCs w:val="22"/>
          <w:lang w:val="sv-FI" w:eastAsia="sv-FI"/>
        </w:rPr>
        <w:t>Vi</w:t>
      </w:r>
      <w:r w:rsidR="008F292B" w:rsidRPr="00AB63E6">
        <w:rPr>
          <w:sz w:val="22"/>
          <w:szCs w:val="22"/>
          <w:lang w:val="sv-FI" w:eastAsia="sv-FI"/>
        </w:rPr>
        <w:t xml:space="preserve"> ser i grunden ett värde i försök</w:t>
      </w:r>
      <w:r w:rsidR="00C50830" w:rsidRPr="00AB63E6">
        <w:rPr>
          <w:sz w:val="22"/>
          <w:szCs w:val="22"/>
          <w:lang w:val="sv-FI" w:eastAsia="sv-FI"/>
        </w:rPr>
        <w:t>et</w:t>
      </w:r>
      <w:r w:rsidR="007E6F82" w:rsidRPr="00AB63E6">
        <w:rPr>
          <w:sz w:val="22"/>
          <w:szCs w:val="22"/>
          <w:lang w:val="sv-FI" w:eastAsia="sv-FI"/>
        </w:rPr>
        <w:t xml:space="preserve"> att</w:t>
      </w:r>
      <w:r w:rsidR="008F292B" w:rsidRPr="00AB63E6">
        <w:rPr>
          <w:sz w:val="22"/>
          <w:szCs w:val="22"/>
          <w:lang w:val="sv-FI" w:eastAsia="sv-FI"/>
        </w:rPr>
        <w:t xml:space="preserve"> ta fram en lagstiftning som stärker den kommunala servicen och långsiktigt tryggar välfärden för medborgarna. Dock är det aktuella lagförslaget i sin nuvarande form undermåligt och bör förkastas i sin helhet av föl</w:t>
      </w:r>
      <w:r w:rsidR="00FD62BC" w:rsidRPr="00AB63E6">
        <w:rPr>
          <w:sz w:val="22"/>
          <w:szCs w:val="22"/>
          <w:lang w:val="sv-FI" w:eastAsia="sv-FI"/>
        </w:rPr>
        <w:t>j</w:t>
      </w:r>
      <w:r w:rsidR="008F292B" w:rsidRPr="00AB63E6">
        <w:rPr>
          <w:sz w:val="22"/>
          <w:szCs w:val="22"/>
          <w:lang w:val="sv-FI" w:eastAsia="sv-FI"/>
        </w:rPr>
        <w:t>ande skäl:</w:t>
      </w:r>
    </w:p>
    <w:p w14:paraId="036C086E" w14:textId="77777777" w:rsidR="008F292B" w:rsidRPr="00AB63E6" w:rsidRDefault="008F292B" w:rsidP="00E70B7B">
      <w:pPr>
        <w:spacing w:before="100" w:beforeAutospacing="1" w:after="100" w:afterAutospacing="1"/>
        <w:rPr>
          <w:sz w:val="22"/>
          <w:szCs w:val="22"/>
          <w:lang w:val="sv-FI" w:eastAsia="sv-FI"/>
        </w:rPr>
      </w:pPr>
      <w:r w:rsidRPr="00AB63E6">
        <w:rPr>
          <w:b/>
          <w:bCs/>
          <w:sz w:val="22"/>
          <w:szCs w:val="22"/>
          <w:lang w:val="sv-FI" w:eastAsia="sv-FI"/>
        </w:rPr>
        <w:t>Kommunalt självbestämmande</w:t>
      </w:r>
      <w:r w:rsidRPr="00AB63E6">
        <w:rPr>
          <w:sz w:val="22"/>
          <w:szCs w:val="22"/>
          <w:lang w:val="sv-FI" w:eastAsia="sv-FI"/>
        </w:rPr>
        <w:br/>
        <w:t>Lagförslaget riskerar att urholka det grundlagsskyddade kommunala självstyret. Genom att kombinera minskade landskapsandelar med ökade lagstadgade åtaganden skapas i praktiken ”kriskommuner”, vilket tvingar fram sammanslagningar. Detta är ett indirekt tvång som står i strid med principen om kommunernas självbestämmande.</w:t>
      </w:r>
    </w:p>
    <w:p w14:paraId="628C0CF2" w14:textId="60B9942B" w:rsidR="008F292B" w:rsidRPr="00AB63E6" w:rsidRDefault="008F292B" w:rsidP="00E70B7B">
      <w:pPr>
        <w:spacing w:before="100" w:beforeAutospacing="1" w:after="100" w:afterAutospacing="1"/>
        <w:rPr>
          <w:sz w:val="22"/>
          <w:szCs w:val="22"/>
          <w:lang w:val="sv-FI" w:eastAsia="sv-FI"/>
        </w:rPr>
      </w:pPr>
      <w:r w:rsidRPr="00AB63E6">
        <w:rPr>
          <w:b/>
          <w:bCs/>
          <w:sz w:val="22"/>
          <w:szCs w:val="22"/>
          <w:lang w:val="sv-FI" w:eastAsia="sv-FI"/>
        </w:rPr>
        <w:t>Avsaknad av</w:t>
      </w:r>
      <w:r w:rsidR="00E755C1" w:rsidRPr="00AB63E6">
        <w:rPr>
          <w:b/>
          <w:bCs/>
          <w:sz w:val="22"/>
          <w:szCs w:val="22"/>
          <w:lang w:val="sv-FI" w:eastAsia="sv-FI"/>
        </w:rPr>
        <w:t xml:space="preserve"> ekonomisk</w:t>
      </w:r>
      <w:r w:rsidRPr="00AB63E6">
        <w:rPr>
          <w:b/>
          <w:bCs/>
          <w:sz w:val="22"/>
          <w:szCs w:val="22"/>
          <w:lang w:val="sv-FI" w:eastAsia="sv-FI"/>
        </w:rPr>
        <w:t xml:space="preserve"> helhetsbild</w:t>
      </w:r>
      <w:r w:rsidRPr="00AB63E6">
        <w:rPr>
          <w:sz w:val="22"/>
          <w:szCs w:val="22"/>
          <w:lang w:val="sv-FI" w:eastAsia="sv-FI"/>
        </w:rPr>
        <w:br/>
        <w:t>Förslaget behandlar inte kommunernas ekonomi i sin helhet eftersom kommunalförbundens roll och ansvar lämnats utanför. Detta ger en skev bild av den verkliga ekonomiska situationen och riskerar leda till felaktiga slutsatser och åtgärder.</w:t>
      </w:r>
    </w:p>
    <w:p w14:paraId="31D98777" w14:textId="77777777" w:rsidR="008F292B" w:rsidRPr="00AB63E6" w:rsidRDefault="008F292B" w:rsidP="00E70B7B">
      <w:pPr>
        <w:spacing w:before="100" w:beforeAutospacing="1" w:after="100" w:afterAutospacing="1"/>
        <w:rPr>
          <w:sz w:val="22"/>
          <w:szCs w:val="22"/>
          <w:lang w:val="sv-FI" w:eastAsia="sv-FI"/>
        </w:rPr>
      </w:pPr>
      <w:r w:rsidRPr="00AB63E6">
        <w:rPr>
          <w:b/>
          <w:bCs/>
          <w:sz w:val="22"/>
          <w:szCs w:val="22"/>
          <w:lang w:val="sv-FI" w:eastAsia="sv-FI"/>
        </w:rPr>
        <w:t>Finansieringsprincipen åsidosätts</w:t>
      </w:r>
      <w:r w:rsidRPr="00AB63E6">
        <w:rPr>
          <w:sz w:val="22"/>
          <w:szCs w:val="22"/>
          <w:lang w:val="sv-FI" w:eastAsia="sv-FI"/>
        </w:rPr>
        <w:br/>
        <w:t>Finansieringsprincipen innebär att kommunerna ska ges faktiska förutsättningar att finansiera de uppgifter de åläggs. Lagförslaget tar inte fasta på detta, utan bygger i stället på mekanismer för att hantera situationer där principen inte uppfyllts. Detta innebär att problemet angrips först när det redan uppstått, snarare än att säkerställa rimliga förutsättningar från början.</w:t>
      </w:r>
    </w:p>
    <w:p w14:paraId="3326F280" w14:textId="2EC5FBD9" w:rsidR="00225821" w:rsidRPr="00AB63E6" w:rsidRDefault="008F292B" w:rsidP="00E70B7B">
      <w:pPr>
        <w:spacing w:before="100" w:beforeAutospacing="1" w:after="100" w:afterAutospacing="1"/>
        <w:rPr>
          <w:sz w:val="22"/>
          <w:szCs w:val="22"/>
          <w:lang w:val="sv-FI" w:eastAsia="sv-FI"/>
        </w:rPr>
      </w:pPr>
      <w:r w:rsidRPr="00AB63E6">
        <w:rPr>
          <w:b/>
          <w:bCs/>
          <w:sz w:val="22"/>
          <w:szCs w:val="22"/>
          <w:lang w:val="sv-FI" w:eastAsia="sv-FI"/>
        </w:rPr>
        <w:t>Otillräckliga åtgärdsförslag</w:t>
      </w:r>
      <w:r w:rsidRPr="00AB63E6">
        <w:rPr>
          <w:sz w:val="22"/>
          <w:szCs w:val="22"/>
          <w:lang w:val="sv-FI" w:eastAsia="sv-FI"/>
        </w:rPr>
        <w:br/>
        <w:t>De åtgärder som presenteras för att stötta kommuner i kris är vaga och saknar en tydlig målbild eller vision. Vad händer efter en konst</w:t>
      </w:r>
      <w:r w:rsidR="00F32C18" w:rsidRPr="00AB63E6">
        <w:rPr>
          <w:sz w:val="22"/>
          <w:szCs w:val="22"/>
          <w:lang w:val="sv-FI" w:eastAsia="sv-FI"/>
        </w:rPr>
        <w:t>at</w:t>
      </w:r>
      <w:r w:rsidRPr="00AB63E6">
        <w:rPr>
          <w:sz w:val="22"/>
          <w:szCs w:val="22"/>
          <w:lang w:val="sv-FI" w:eastAsia="sv-FI"/>
        </w:rPr>
        <w:t>erad kris och ett åtgärdsprogram? Utan en konkret plan blir lagförslaget ett tomt skal.</w:t>
      </w:r>
    </w:p>
    <w:p w14:paraId="78CD5466" w14:textId="2ACE8D58" w:rsidR="008F292B" w:rsidRPr="00AB63E6" w:rsidRDefault="00CF56E5" w:rsidP="00E70B7B">
      <w:pPr>
        <w:spacing w:before="100" w:beforeAutospacing="1" w:after="100" w:afterAutospacing="1"/>
        <w:rPr>
          <w:sz w:val="22"/>
          <w:szCs w:val="22"/>
          <w:lang w:val="sv-FI" w:eastAsia="sv-FI"/>
        </w:rPr>
      </w:pPr>
      <w:r w:rsidRPr="00AB63E6">
        <w:rPr>
          <w:b/>
          <w:bCs/>
          <w:sz w:val="22"/>
          <w:szCs w:val="22"/>
          <w:lang w:val="sv-FI" w:eastAsia="sv-FI"/>
        </w:rPr>
        <w:t>Verksamheter centraliseras</w:t>
      </w:r>
      <w:r w:rsidR="008F292B" w:rsidRPr="00AB63E6">
        <w:rPr>
          <w:sz w:val="22"/>
          <w:szCs w:val="22"/>
          <w:lang w:val="sv-FI" w:eastAsia="sv-FI"/>
        </w:rPr>
        <w:br/>
        <w:t>Internationella och nationella erfarenheter visar att kommunsammanslagningar inte per automatik leder till bättre service. Tvärtom finns det starka belägg för att servicenivån på landsbygden ofta försämras när verksamheter centraliseras. Detta riskerar att förvärra snarare än förbättra medborgarnas vardag.</w:t>
      </w:r>
    </w:p>
    <w:p w14:paraId="08154E47" w14:textId="77777777" w:rsidR="00CD4468" w:rsidRPr="00AB63E6" w:rsidRDefault="008F292B" w:rsidP="00E70B7B">
      <w:pPr>
        <w:spacing w:before="100" w:beforeAutospacing="1" w:after="100" w:afterAutospacing="1"/>
        <w:rPr>
          <w:sz w:val="22"/>
          <w:szCs w:val="22"/>
          <w:lang w:val="sv-FI" w:eastAsia="sv-FI"/>
        </w:rPr>
      </w:pPr>
      <w:r w:rsidRPr="00AB63E6">
        <w:rPr>
          <w:b/>
          <w:bCs/>
          <w:sz w:val="22"/>
          <w:szCs w:val="22"/>
          <w:lang w:val="sv-FI" w:eastAsia="sv-FI"/>
        </w:rPr>
        <w:t>Stora diskrepanser i förslaget</w:t>
      </w:r>
      <w:r w:rsidRPr="00AB63E6">
        <w:rPr>
          <w:sz w:val="22"/>
          <w:szCs w:val="22"/>
          <w:lang w:val="sv-FI" w:eastAsia="sv-FI"/>
        </w:rPr>
        <w:br/>
        <w:t xml:space="preserve">Det finns en påtaglig diskrepans mellan de teoretiska intentionerna och den </w:t>
      </w:r>
      <w:r w:rsidRPr="00AB63E6">
        <w:rPr>
          <w:sz w:val="22"/>
          <w:szCs w:val="22"/>
          <w:lang w:val="sv-FI" w:eastAsia="sv-FI"/>
        </w:rPr>
        <w:lastRenderedPageBreak/>
        <w:t>praktiska verkligheten. Lagtexten framstår som idealistisk utan att förhålla sig till de faktiska förutsättningarna i våra kommuner.</w:t>
      </w:r>
    </w:p>
    <w:p w14:paraId="21DF65A3" w14:textId="77777777" w:rsidR="00F32DAC" w:rsidRPr="00AB63E6" w:rsidRDefault="00F32DAC" w:rsidP="00F32DAC">
      <w:pPr>
        <w:pStyle w:val="Normalwebb"/>
        <w:rPr>
          <w:sz w:val="22"/>
          <w:szCs w:val="22"/>
        </w:rPr>
      </w:pPr>
      <w:r w:rsidRPr="00AB63E6">
        <w:rPr>
          <w:rStyle w:val="Stark"/>
          <w:sz w:val="22"/>
          <w:szCs w:val="22"/>
        </w:rPr>
        <w:t>Administrativt tungrott</w:t>
      </w:r>
      <w:r w:rsidRPr="00AB63E6">
        <w:rPr>
          <w:sz w:val="22"/>
          <w:szCs w:val="22"/>
        </w:rPr>
        <w:br/>
        <w:t>När ett utvärderingsförfarande väl har inletts uppstår en betydande administrativ börda oavsett om särskilda omständigheter senare gör det möjligt för landskapsregeringen att snabbt avsluta processen. En utvärderingsgrupp med tre parter – en representant från landskapet, en från kommunen samt en oberoende ordförande – måste tillsättas, med tillhörande möten, underlag och kostnader. Detta innebär att både kommunen och landskapet belastas med tid och resurser som kunde användas för faktisk serviceproduktion.</w:t>
      </w:r>
    </w:p>
    <w:p w14:paraId="124AE2C7" w14:textId="77777777" w:rsidR="00F32DAC" w:rsidRPr="00AB63E6" w:rsidRDefault="00F32DAC" w:rsidP="00F32DAC">
      <w:pPr>
        <w:pStyle w:val="Normalwebb"/>
        <w:rPr>
          <w:sz w:val="22"/>
          <w:szCs w:val="22"/>
        </w:rPr>
      </w:pPr>
      <w:r w:rsidRPr="00AB63E6">
        <w:rPr>
          <w:sz w:val="22"/>
          <w:szCs w:val="22"/>
        </w:rPr>
        <w:t>Lagförslaget är därmed ineffektivt: även kortvariga eller tillfälliga ekonomiska svängningar triggar igång en process som redan från start skapar merkostnader och byråkrati. En mer rationell ordning vore att redan innan ett utvärderingsförfarande inleds pröva om kommunens situation verkligen uppfyller kriterierna i praktisk mening, och därmed undvika att i onödan belasta både kommuner och landskap med en formell och resurskrävande utredning.</w:t>
      </w:r>
    </w:p>
    <w:p w14:paraId="430B9051" w14:textId="2B2A891E" w:rsidR="0042215E" w:rsidRPr="00AB63E6" w:rsidRDefault="008F292B" w:rsidP="00E70B7B">
      <w:pPr>
        <w:spacing w:before="100" w:beforeAutospacing="1" w:after="100" w:afterAutospacing="1"/>
        <w:rPr>
          <w:sz w:val="22"/>
          <w:szCs w:val="22"/>
          <w:lang w:val="sv-FI" w:eastAsia="sv-FI"/>
        </w:rPr>
      </w:pPr>
      <w:r w:rsidRPr="00AB63E6">
        <w:rPr>
          <w:b/>
          <w:bCs/>
          <w:sz w:val="22"/>
          <w:szCs w:val="22"/>
          <w:lang w:val="sv-FI" w:eastAsia="sv-FI"/>
        </w:rPr>
        <w:t>Slutsats</w:t>
      </w:r>
    </w:p>
    <w:p w14:paraId="55ED05AD" w14:textId="4F09B903" w:rsidR="00E70B7B" w:rsidRPr="00AB63E6" w:rsidRDefault="008F292B" w:rsidP="00E70B7B">
      <w:pPr>
        <w:spacing w:before="100" w:beforeAutospacing="1" w:after="100" w:afterAutospacing="1"/>
        <w:rPr>
          <w:sz w:val="22"/>
          <w:szCs w:val="22"/>
          <w:lang w:val="sv-FI" w:eastAsia="sv-FI"/>
        </w:rPr>
      </w:pPr>
      <w:r w:rsidRPr="00AB63E6">
        <w:rPr>
          <w:sz w:val="22"/>
          <w:szCs w:val="22"/>
          <w:lang w:val="sv-FI" w:eastAsia="sv-FI"/>
        </w:rPr>
        <w:t>Det är positivt att regeringen lyfter kommunernas framtida utmaningar och vill ge dem stöd genom lagstiftning. Men det aktuella lagförslaget är bristfälligt, saknar en helhetsanalys och riskerar att leda till centralisering, försämrad service och undergrävande av det kommunala självstyret.</w:t>
      </w:r>
    </w:p>
    <w:p w14:paraId="2581CF49" w14:textId="77777777" w:rsidR="00C35BED" w:rsidRDefault="00C35BED" w:rsidP="00E70B7B">
      <w:pPr>
        <w:spacing w:before="100" w:beforeAutospacing="1" w:after="100" w:afterAutospacing="1"/>
        <w:rPr>
          <w:sz w:val="22"/>
          <w:szCs w:val="22"/>
          <w:lang w:val="sv-FI" w:eastAsia="sv-FI"/>
        </w:rPr>
      </w:pPr>
    </w:p>
    <w:p w14:paraId="6C894F7C" w14:textId="4B195294" w:rsidR="008F292B" w:rsidRPr="00AB63E6" w:rsidRDefault="008F292B" w:rsidP="00E70B7B">
      <w:pPr>
        <w:spacing w:before="100" w:beforeAutospacing="1" w:after="100" w:afterAutospacing="1"/>
        <w:rPr>
          <w:sz w:val="22"/>
          <w:szCs w:val="22"/>
          <w:lang w:val="sv-FI" w:eastAsia="sv-FI"/>
        </w:rPr>
      </w:pPr>
      <w:r w:rsidRPr="00AB63E6">
        <w:rPr>
          <w:sz w:val="22"/>
          <w:szCs w:val="22"/>
          <w:lang w:val="sv-FI" w:eastAsia="sv-FI"/>
        </w:rPr>
        <w:t>Med anledning av det ovanstående föreslår</w:t>
      </w:r>
      <w:r w:rsidR="00CA2BC9" w:rsidRPr="00AB63E6">
        <w:rPr>
          <w:sz w:val="22"/>
          <w:szCs w:val="22"/>
          <w:lang w:val="sv-FI" w:eastAsia="sv-FI"/>
        </w:rPr>
        <w:t xml:space="preserve"> </w:t>
      </w:r>
      <w:r w:rsidR="0042215E" w:rsidRPr="00AB63E6">
        <w:rPr>
          <w:sz w:val="22"/>
          <w:szCs w:val="22"/>
          <w:lang w:val="sv-FI" w:eastAsia="sv-FI"/>
        </w:rPr>
        <w:t>vi</w:t>
      </w:r>
    </w:p>
    <w:p w14:paraId="1BA9C434" w14:textId="30D0EFA1" w:rsidR="000B3F00" w:rsidRPr="00C35BED" w:rsidRDefault="008F292B" w:rsidP="00C35BED">
      <w:pPr>
        <w:spacing w:before="100" w:beforeAutospacing="1" w:after="100" w:afterAutospacing="1"/>
        <w:ind w:firstLine="1304"/>
        <w:rPr>
          <w:sz w:val="22"/>
          <w:szCs w:val="22"/>
          <w:lang w:val="sv-FI" w:eastAsia="sv-FI"/>
        </w:rPr>
      </w:pPr>
      <w:r w:rsidRPr="00C35BED">
        <w:rPr>
          <w:sz w:val="22"/>
          <w:szCs w:val="22"/>
          <w:lang w:val="sv-FI" w:eastAsia="sv-FI"/>
        </w:rPr>
        <w:t>att lagförslaget förkastas i sin helhet.</w:t>
      </w:r>
    </w:p>
    <w:p w14:paraId="599327A7" w14:textId="77777777" w:rsidR="0042215E" w:rsidRPr="00AB63E6" w:rsidRDefault="0042215E" w:rsidP="0042215E">
      <w:pPr>
        <w:spacing w:before="100" w:beforeAutospacing="1" w:after="100" w:afterAutospacing="1"/>
        <w:rPr>
          <w:sz w:val="22"/>
          <w:szCs w:val="22"/>
          <w:lang w:val="sv-FI" w:eastAsia="sv-FI"/>
        </w:rPr>
      </w:pPr>
    </w:p>
    <w:p w14:paraId="5AD8B284" w14:textId="77777777" w:rsidR="000B3F00" w:rsidRPr="00AB63E6" w:rsidRDefault="000B3F00" w:rsidP="00E70B7B">
      <w:pPr>
        <w:pStyle w:val="ANormal"/>
        <w:jc w:val="left"/>
        <w:rPr>
          <w:szCs w:val="22"/>
        </w:rPr>
      </w:pPr>
    </w:p>
    <w:tbl>
      <w:tblPr>
        <w:tblW w:w="7931" w:type="dxa"/>
        <w:tblCellMar>
          <w:left w:w="0" w:type="dxa"/>
          <w:right w:w="0" w:type="dxa"/>
        </w:tblCellMar>
        <w:tblLook w:val="0000" w:firstRow="0" w:lastRow="0" w:firstColumn="0" w:lastColumn="0" w:noHBand="0" w:noVBand="0"/>
      </w:tblPr>
      <w:tblGrid>
        <w:gridCol w:w="4454"/>
        <w:gridCol w:w="3477"/>
      </w:tblGrid>
      <w:tr w:rsidR="00377141" w:rsidRPr="00AB63E6" w14:paraId="6C56D275" w14:textId="77777777" w:rsidTr="00381DC7">
        <w:trPr>
          <w:cantSplit/>
        </w:trPr>
        <w:tc>
          <w:tcPr>
            <w:tcW w:w="7931" w:type="dxa"/>
            <w:gridSpan w:val="2"/>
          </w:tcPr>
          <w:p w14:paraId="46455190" w14:textId="4EFA10FC" w:rsidR="00377141" w:rsidRPr="00AB63E6" w:rsidRDefault="00293016" w:rsidP="00E70B7B">
            <w:pPr>
              <w:pStyle w:val="ANormal"/>
              <w:keepNext/>
              <w:jc w:val="left"/>
              <w:rPr>
                <w:szCs w:val="22"/>
                <w:lang w:val="en-US"/>
              </w:rPr>
            </w:pPr>
            <w:r w:rsidRPr="00AB63E6">
              <w:rPr>
                <w:szCs w:val="22"/>
                <w:lang w:val="en-US"/>
              </w:rPr>
              <w:t xml:space="preserve">Mariehamn den </w:t>
            </w:r>
            <w:r w:rsidR="00C35BED">
              <w:rPr>
                <w:szCs w:val="22"/>
                <w:lang w:val="en-US"/>
              </w:rPr>
              <w:t>4</w:t>
            </w:r>
            <w:r w:rsidRPr="00AB63E6">
              <w:rPr>
                <w:szCs w:val="22"/>
                <w:lang w:val="en-US"/>
              </w:rPr>
              <w:t xml:space="preserve"> september 2025</w:t>
            </w:r>
          </w:p>
        </w:tc>
      </w:tr>
      <w:tr w:rsidR="005E2361" w:rsidRPr="00AB63E6" w14:paraId="1D51920A" w14:textId="77777777" w:rsidTr="00381DC7">
        <w:trPr>
          <w:cantSplit/>
        </w:trPr>
        <w:tc>
          <w:tcPr>
            <w:tcW w:w="7931" w:type="dxa"/>
            <w:gridSpan w:val="2"/>
          </w:tcPr>
          <w:p w14:paraId="6B6F064C" w14:textId="77777777" w:rsidR="005E2361" w:rsidRPr="00AB63E6" w:rsidRDefault="005E2361" w:rsidP="00E70B7B">
            <w:pPr>
              <w:pStyle w:val="ANormal"/>
              <w:keepNext/>
              <w:jc w:val="left"/>
              <w:rPr>
                <w:szCs w:val="22"/>
                <w:lang w:val="en-US"/>
              </w:rPr>
            </w:pPr>
          </w:p>
        </w:tc>
      </w:tr>
      <w:tr w:rsidR="00377141" w:rsidRPr="00AB63E6" w14:paraId="0679CB5F" w14:textId="77777777" w:rsidTr="00381DC7">
        <w:tc>
          <w:tcPr>
            <w:tcW w:w="4454" w:type="dxa"/>
            <w:vAlign w:val="bottom"/>
          </w:tcPr>
          <w:p w14:paraId="59D4C7D7" w14:textId="77777777" w:rsidR="00377141" w:rsidRDefault="00377141" w:rsidP="00E70B7B">
            <w:pPr>
              <w:pStyle w:val="ANormal"/>
              <w:jc w:val="left"/>
              <w:rPr>
                <w:szCs w:val="22"/>
                <w:lang w:val="en-US"/>
              </w:rPr>
            </w:pPr>
          </w:p>
          <w:p w14:paraId="586ACC00" w14:textId="77777777" w:rsidR="00C35BED" w:rsidRPr="00AB63E6" w:rsidRDefault="00C35BED" w:rsidP="00E70B7B">
            <w:pPr>
              <w:pStyle w:val="ANormal"/>
              <w:jc w:val="left"/>
              <w:rPr>
                <w:szCs w:val="22"/>
                <w:lang w:val="en-US"/>
              </w:rPr>
            </w:pPr>
          </w:p>
          <w:p w14:paraId="53036E54" w14:textId="77777777" w:rsidR="00293016" w:rsidRPr="00AB63E6" w:rsidRDefault="00293016" w:rsidP="00E70B7B">
            <w:pPr>
              <w:pStyle w:val="ANormal"/>
              <w:jc w:val="left"/>
              <w:rPr>
                <w:szCs w:val="22"/>
                <w:lang w:val="en-US"/>
              </w:rPr>
            </w:pPr>
          </w:p>
        </w:tc>
        <w:tc>
          <w:tcPr>
            <w:tcW w:w="3477" w:type="dxa"/>
            <w:vAlign w:val="bottom"/>
          </w:tcPr>
          <w:p w14:paraId="45AC6395" w14:textId="77777777" w:rsidR="00377141" w:rsidRPr="00AB63E6" w:rsidRDefault="00377141" w:rsidP="00E70B7B">
            <w:pPr>
              <w:pStyle w:val="ANormal"/>
              <w:jc w:val="left"/>
              <w:rPr>
                <w:szCs w:val="22"/>
                <w:lang w:val="en-US"/>
              </w:rPr>
            </w:pPr>
          </w:p>
          <w:p w14:paraId="01752785" w14:textId="77777777" w:rsidR="00377141" w:rsidRPr="00AB63E6" w:rsidRDefault="00377141" w:rsidP="00E70B7B">
            <w:pPr>
              <w:pStyle w:val="ANormal"/>
              <w:jc w:val="left"/>
              <w:rPr>
                <w:szCs w:val="22"/>
                <w:lang w:val="en-US"/>
              </w:rPr>
            </w:pPr>
          </w:p>
        </w:tc>
      </w:tr>
    </w:tbl>
    <w:p w14:paraId="097BBBE1" w14:textId="77777777" w:rsidR="00293016" w:rsidRPr="00AB63E6" w:rsidRDefault="00293016" w:rsidP="00E70B7B">
      <w:pPr>
        <w:pStyle w:val="ANormal"/>
        <w:jc w:val="left"/>
        <w:rPr>
          <w:szCs w:val="22"/>
          <w:lang w:val="en-US"/>
        </w:rPr>
      </w:pPr>
    </w:p>
    <w:p w14:paraId="70E20812" w14:textId="3611768B" w:rsidR="00812897" w:rsidRPr="00AB63E6" w:rsidRDefault="00293016" w:rsidP="00812897">
      <w:pPr>
        <w:pStyle w:val="ANormal"/>
        <w:jc w:val="left"/>
        <w:rPr>
          <w:szCs w:val="22"/>
        </w:rPr>
      </w:pPr>
      <w:r w:rsidRPr="00AB63E6">
        <w:rPr>
          <w:szCs w:val="22"/>
        </w:rPr>
        <w:t>Johan Lindström</w:t>
      </w:r>
      <w:r w:rsidR="00812897" w:rsidRPr="00AB63E6">
        <w:rPr>
          <w:szCs w:val="22"/>
        </w:rPr>
        <w:t xml:space="preserve"> </w:t>
      </w:r>
      <w:r w:rsidR="004D076B" w:rsidRPr="00AB63E6">
        <w:rPr>
          <w:szCs w:val="22"/>
        </w:rPr>
        <w:t xml:space="preserve">           </w:t>
      </w:r>
      <w:r w:rsidR="00C35BED">
        <w:rPr>
          <w:szCs w:val="22"/>
        </w:rPr>
        <w:tab/>
      </w:r>
      <w:r w:rsidR="00C35BED">
        <w:rPr>
          <w:szCs w:val="22"/>
        </w:rPr>
        <w:tab/>
      </w:r>
      <w:r w:rsidR="004D076B" w:rsidRPr="00AB63E6">
        <w:rPr>
          <w:szCs w:val="22"/>
        </w:rPr>
        <w:t xml:space="preserve">    </w:t>
      </w:r>
      <w:r w:rsidR="00812897" w:rsidRPr="00AB63E6">
        <w:rPr>
          <w:szCs w:val="22"/>
        </w:rPr>
        <w:t>Veronica Thörnroos</w:t>
      </w:r>
    </w:p>
    <w:p w14:paraId="2A5C7E58" w14:textId="2F9FBBF7" w:rsidR="00812897" w:rsidRPr="00AB63E6" w:rsidRDefault="004D076B" w:rsidP="00812897">
      <w:pPr>
        <w:pStyle w:val="ANormal"/>
        <w:rPr>
          <w:szCs w:val="22"/>
        </w:rPr>
      </w:pPr>
      <w:r w:rsidRPr="00AB63E6">
        <w:rPr>
          <w:szCs w:val="22"/>
        </w:rPr>
        <w:tab/>
      </w:r>
    </w:p>
    <w:p w14:paraId="6AE366D5" w14:textId="3967CDB6" w:rsidR="00293016" w:rsidRDefault="00293016" w:rsidP="00E70B7B">
      <w:pPr>
        <w:pStyle w:val="ANormal"/>
        <w:jc w:val="left"/>
        <w:rPr>
          <w:sz w:val="24"/>
          <w:szCs w:val="24"/>
        </w:rPr>
      </w:pPr>
    </w:p>
    <w:p w14:paraId="28DBA182" w14:textId="63699EAC" w:rsidR="0042215E" w:rsidRDefault="0042215E" w:rsidP="00E70B7B">
      <w:pPr>
        <w:pStyle w:val="ANormal"/>
        <w:jc w:val="left"/>
        <w:rPr>
          <w:sz w:val="24"/>
          <w:szCs w:val="24"/>
        </w:rPr>
      </w:pPr>
    </w:p>
    <w:p w14:paraId="7A4EEDAC" w14:textId="77777777" w:rsidR="0042215E" w:rsidRPr="0042215E" w:rsidRDefault="0042215E" w:rsidP="00E70B7B">
      <w:pPr>
        <w:pStyle w:val="ANormal"/>
        <w:jc w:val="left"/>
        <w:rPr>
          <w:sz w:val="24"/>
          <w:szCs w:val="24"/>
        </w:rPr>
      </w:pPr>
    </w:p>
    <w:p w14:paraId="5DF2D767" w14:textId="77777777" w:rsidR="00812897" w:rsidRDefault="00812897">
      <w:pPr>
        <w:pStyle w:val="ANormal"/>
      </w:pPr>
    </w:p>
    <w:sectPr w:rsidR="00812897">
      <w:headerReference w:type="even" r:id="rId15"/>
      <w:headerReference w:type="default" r:id="rId16"/>
      <w:footerReference w:type="default" r:id="rId17"/>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69382" w14:textId="77777777" w:rsidR="009716AF" w:rsidRDefault="009716AF">
      <w:r>
        <w:separator/>
      </w:r>
    </w:p>
  </w:endnote>
  <w:endnote w:type="continuationSeparator" w:id="0">
    <w:p w14:paraId="24F31DC8" w14:textId="77777777" w:rsidR="009716AF" w:rsidRDefault="00971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90CC9" w14:textId="77777777" w:rsidR="003011C1" w:rsidRDefault="003011C1">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5B651" w14:textId="3D8E8D09" w:rsidR="003011C1" w:rsidRDefault="003011C1">
    <w:pPr>
      <w:pStyle w:val="Sidfot"/>
      <w:rPr>
        <w:lang w:val="fi-F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71FD6" w14:textId="77777777" w:rsidR="0084359B" w:rsidRDefault="0084359B">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F0281" w14:textId="77777777" w:rsidR="003011C1" w:rsidRDefault="003011C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CB81B" w14:textId="77777777" w:rsidR="009716AF" w:rsidRDefault="009716AF">
      <w:r>
        <w:separator/>
      </w:r>
    </w:p>
  </w:footnote>
  <w:footnote w:type="continuationSeparator" w:id="0">
    <w:p w14:paraId="0D3B806A" w14:textId="77777777" w:rsidR="009716AF" w:rsidRDefault="00971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73246" w14:textId="77777777" w:rsidR="0084359B" w:rsidRDefault="0084359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443EE" w14:textId="77777777" w:rsidR="0084359B" w:rsidRDefault="0084359B">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32866" w14:textId="77777777" w:rsidR="0084359B" w:rsidRDefault="0084359B">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89D9D" w14:textId="77777777" w:rsidR="003011C1" w:rsidRDefault="003011C1">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3CE35665" w14:textId="77777777" w:rsidR="003011C1" w:rsidRDefault="003011C1">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9822D" w14:textId="77777777" w:rsidR="003011C1" w:rsidRDefault="003011C1">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D3688D"/>
    <w:multiLevelType w:val="multilevel"/>
    <w:tmpl w:val="8DC2C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7"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583687164">
    <w:abstractNumId w:val="6"/>
  </w:num>
  <w:num w:numId="2" w16cid:durableId="1612591778">
    <w:abstractNumId w:val="3"/>
  </w:num>
  <w:num w:numId="3" w16cid:durableId="1116410394">
    <w:abstractNumId w:val="2"/>
  </w:num>
  <w:num w:numId="4" w16cid:durableId="919755596">
    <w:abstractNumId w:val="1"/>
  </w:num>
  <w:num w:numId="5" w16cid:durableId="1618676972">
    <w:abstractNumId w:val="0"/>
  </w:num>
  <w:num w:numId="6" w16cid:durableId="1770274286">
    <w:abstractNumId w:val="7"/>
  </w:num>
  <w:num w:numId="7" w16cid:durableId="1340766316">
    <w:abstractNumId w:val="5"/>
  </w:num>
  <w:num w:numId="8" w16cid:durableId="334963372">
    <w:abstractNumId w:val="4"/>
  </w:num>
  <w:num w:numId="9" w16cid:durableId="444039070">
    <w:abstractNumId w:val="12"/>
  </w:num>
  <w:num w:numId="10" w16cid:durableId="748579032">
    <w:abstractNumId w:val="15"/>
  </w:num>
  <w:num w:numId="11" w16cid:durableId="1109472826">
    <w:abstractNumId w:val="14"/>
  </w:num>
  <w:num w:numId="12" w16cid:durableId="282660443">
    <w:abstractNumId w:val="18"/>
  </w:num>
  <w:num w:numId="13" w16cid:durableId="1530727342">
    <w:abstractNumId w:val="13"/>
  </w:num>
  <w:num w:numId="14" w16cid:durableId="199980186">
    <w:abstractNumId w:val="17"/>
  </w:num>
  <w:num w:numId="15" w16cid:durableId="1771780447">
    <w:abstractNumId w:val="11"/>
  </w:num>
  <w:num w:numId="16" w16cid:durableId="1185704949">
    <w:abstractNumId w:val="23"/>
  </w:num>
  <w:num w:numId="17" w16cid:durableId="1720517363">
    <w:abstractNumId w:val="9"/>
  </w:num>
  <w:num w:numId="18" w16cid:durableId="1512603167">
    <w:abstractNumId w:val="19"/>
  </w:num>
  <w:num w:numId="19" w16cid:durableId="1524124499">
    <w:abstractNumId w:val="22"/>
  </w:num>
  <w:num w:numId="20" w16cid:durableId="1255161996">
    <w:abstractNumId w:val="25"/>
  </w:num>
  <w:num w:numId="21" w16cid:durableId="863176630">
    <w:abstractNumId w:val="24"/>
  </w:num>
  <w:num w:numId="22" w16cid:durableId="904335616">
    <w:abstractNumId w:val="16"/>
  </w:num>
  <w:num w:numId="23" w16cid:durableId="576404719">
    <w:abstractNumId w:val="20"/>
  </w:num>
  <w:num w:numId="24" w16cid:durableId="643630355">
    <w:abstractNumId w:val="20"/>
  </w:num>
  <w:num w:numId="25" w16cid:durableId="1367023477">
    <w:abstractNumId w:val="21"/>
  </w:num>
  <w:num w:numId="26" w16cid:durableId="1721053108">
    <w:abstractNumId w:val="16"/>
  </w:num>
  <w:num w:numId="27" w16cid:durableId="1852332001">
    <w:abstractNumId w:val="16"/>
  </w:num>
  <w:num w:numId="28" w16cid:durableId="310602627">
    <w:abstractNumId w:val="16"/>
  </w:num>
  <w:num w:numId="29" w16cid:durableId="1774744143">
    <w:abstractNumId w:val="16"/>
  </w:num>
  <w:num w:numId="30" w16cid:durableId="1854496819">
    <w:abstractNumId w:val="16"/>
  </w:num>
  <w:num w:numId="31" w16cid:durableId="1546260014">
    <w:abstractNumId w:val="16"/>
  </w:num>
  <w:num w:numId="32" w16cid:durableId="723139368">
    <w:abstractNumId w:val="16"/>
  </w:num>
  <w:num w:numId="33" w16cid:durableId="1145391605">
    <w:abstractNumId w:val="16"/>
  </w:num>
  <w:num w:numId="34" w16cid:durableId="2080903734">
    <w:abstractNumId w:val="16"/>
  </w:num>
  <w:num w:numId="35" w16cid:durableId="2099594678">
    <w:abstractNumId w:val="20"/>
  </w:num>
  <w:num w:numId="36" w16cid:durableId="1621644568">
    <w:abstractNumId w:val="21"/>
  </w:num>
  <w:num w:numId="37" w16cid:durableId="906762118">
    <w:abstractNumId w:val="16"/>
  </w:num>
  <w:num w:numId="38" w16cid:durableId="1683162486">
    <w:abstractNumId w:val="16"/>
  </w:num>
  <w:num w:numId="39" w16cid:durableId="1838106744">
    <w:abstractNumId w:val="16"/>
  </w:num>
  <w:num w:numId="40" w16cid:durableId="729158428">
    <w:abstractNumId w:val="16"/>
  </w:num>
  <w:num w:numId="41" w16cid:durableId="1987709009">
    <w:abstractNumId w:val="16"/>
  </w:num>
  <w:num w:numId="42" w16cid:durableId="166873852">
    <w:abstractNumId w:val="16"/>
  </w:num>
  <w:num w:numId="43" w16cid:durableId="1648439711">
    <w:abstractNumId w:val="16"/>
  </w:num>
  <w:num w:numId="44" w16cid:durableId="2042440741">
    <w:abstractNumId w:val="16"/>
  </w:num>
  <w:num w:numId="45" w16cid:durableId="1029799658">
    <w:abstractNumId w:val="16"/>
  </w:num>
  <w:num w:numId="46" w16cid:durableId="306936594">
    <w:abstractNumId w:val="8"/>
  </w:num>
  <w:num w:numId="47" w16cid:durableId="11394191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016"/>
    <w:rsid w:val="000213E5"/>
    <w:rsid w:val="00030472"/>
    <w:rsid w:val="00045708"/>
    <w:rsid w:val="00046D16"/>
    <w:rsid w:val="00050F1E"/>
    <w:rsid w:val="000A334C"/>
    <w:rsid w:val="000B3F00"/>
    <w:rsid w:val="000E4D7E"/>
    <w:rsid w:val="001120C3"/>
    <w:rsid w:val="0012085E"/>
    <w:rsid w:val="0015202A"/>
    <w:rsid w:val="001A1ABF"/>
    <w:rsid w:val="00225821"/>
    <w:rsid w:val="0023049D"/>
    <w:rsid w:val="002642B5"/>
    <w:rsid w:val="00292D36"/>
    <w:rsid w:val="00293016"/>
    <w:rsid w:val="002D7F1A"/>
    <w:rsid w:val="002E2AEE"/>
    <w:rsid w:val="002F50E4"/>
    <w:rsid w:val="003011C1"/>
    <w:rsid w:val="0036587F"/>
    <w:rsid w:val="00376F07"/>
    <w:rsid w:val="00377141"/>
    <w:rsid w:val="00381DC7"/>
    <w:rsid w:val="0038300C"/>
    <w:rsid w:val="003A5EFC"/>
    <w:rsid w:val="0042215E"/>
    <w:rsid w:val="00495032"/>
    <w:rsid w:val="004C3639"/>
    <w:rsid w:val="004D076B"/>
    <w:rsid w:val="004D462A"/>
    <w:rsid w:val="004F31F7"/>
    <w:rsid w:val="004F7C33"/>
    <w:rsid w:val="00502D07"/>
    <w:rsid w:val="00504184"/>
    <w:rsid w:val="00567F60"/>
    <w:rsid w:val="005E2361"/>
    <w:rsid w:val="00663FC5"/>
    <w:rsid w:val="006C3497"/>
    <w:rsid w:val="0071193D"/>
    <w:rsid w:val="0079752D"/>
    <w:rsid w:val="007B1D60"/>
    <w:rsid w:val="007E6F82"/>
    <w:rsid w:val="00812897"/>
    <w:rsid w:val="0084359B"/>
    <w:rsid w:val="00860A11"/>
    <w:rsid w:val="00862B74"/>
    <w:rsid w:val="008C0EEE"/>
    <w:rsid w:val="008F292B"/>
    <w:rsid w:val="008F4CAD"/>
    <w:rsid w:val="009044DF"/>
    <w:rsid w:val="00935A18"/>
    <w:rsid w:val="0094413E"/>
    <w:rsid w:val="009716AF"/>
    <w:rsid w:val="00987A6E"/>
    <w:rsid w:val="009D01AC"/>
    <w:rsid w:val="00A16986"/>
    <w:rsid w:val="00A21E63"/>
    <w:rsid w:val="00A716AD"/>
    <w:rsid w:val="00AB47CC"/>
    <w:rsid w:val="00AB63E6"/>
    <w:rsid w:val="00AC6D9F"/>
    <w:rsid w:val="00AF314A"/>
    <w:rsid w:val="00B14EA8"/>
    <w:rsid w:val="00BB7311"/>
    <w:rsid w:val="00BD0794"/>
    <w:rsid w:val="00C35BED"/>
    <w:rsid w:val="00C50830"/>
    <w:rsid w:val="00CA2BC9"/>
    <w:rsid w:val="00CD4468"/>
    <w:rsid w:val="00CD53A7"/>
    <w:rsid w:val="00CF56E5"/>
    <w:rsid w:val="00D0061B"/>
    <w:rsid w:val="00D10E5F"/>
    <w:rsid w:val="00D27AA6"/>
    <w:rsid w:val="00D3286C"/>
    <w:rsid w:val="00D34F0A"/>
    <w:rsid w:val="00E100E9"/>
    <w:rsid w:val="00E131E0"/>
    <w:rsid w:val="00E70B7B"/>
    <w:rsid w:val="00E755C1"/>
    <w:rsid w:val="00EB5F02"/>
    <w:rsid w:val="00F22CE5"/>
    <w:rsid w:val="00F32C18"/>
    <w:rsid w:val="00F32DAC"/>
    <w:rsid w:val="00FD0EC5"/>
    <w:rsid w:val="00FD62BC"/>
    <w:rsid w:val="00FE7B00"/>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1357F984"/>
  <w15:docId w15:val="{7683C310-DC0B-45D1-B5AA-880CE18B6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D10E5F"/>
    <w:rPr>
      <w:sz w:val="24"/>
      <w:szCs w:val="24"/>
      <w:lang w:val="sv-SE" w:eastAsia="sv-SE"/>
    </w:rPr>
  </w:style>
  <w:style w:type="paragraph" w:styleId="Rubrik1">
    <w:name w:val="heading 1"/>
    <w:basedOn w:val="Normal"/>
    <w:next w:val="Normal"/>
    <w:semiHidden/>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semiHidden/>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semiHidden/>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semiHidden/>
    <w:qFormat/>
    <w:pPr>
      <w:keepNext/>
      <w:numPr>
        <w:ilvl w:val="3"/>
        <w:numId w:val="40"/>
      </w:numPr>
      <w:spacing w:before="240" w:after="60"/>
      <w:outlineLvl w:val="3"/>
    </w:pPr>
    <w:rPr>
      <w:b/>
      <w:bCs/>
      <w:sz w:val="28"/>
      <w:szCs w:val="28"/>
    </w:rPr>
  </w:style>
  <w:style w:type="paragraph" w:styleId="Rubrik5">
    <w:name w:val="heading 5"/>
    <w:basedOn w:val="Normal"/>
    <w:next w:val="Normal"/>
    <w:semiHidden/>
    <w:qFormat/>
    <w:pPr>
      <w:numPr>
        <w:ilvl w:val="4"/>
        <w:numId w:val="41"/>
      </w:numPr>
      <w:spacing w:before="240" w:after="60"/>
      <w:outlineLvl w:val="4"/>
    </w:pPr>
    <w:rPr>
      <w:b/>
      <w:bCs/>
      <w:i/>
      <w:iCs/>
      <w:sz w:val="26"/>
      <w:szCs w:val="26"/>
    </w:rPr>
  </w:style>
  <w:style w:type="paragraph" w:styleId="Rubrik6">
    <w:name w:val="heading 6"/>
    <w:basedOn w:val="Normal"/>
    <w:next w:val="Normal"/>
    <w:semiHidden/>
    <w:qFormat/>
    <w:pPr>
      <w:numPr>
        <w:ilvl w:val="5"/>
        <w:numId w:val="42"/>
      </w:numPr>
      <w:spacing w:before="240" w:after="60"/>
      <w:outlineLvl w:val="5"/>
    </w:pPr>
    <w:rPr>
      <w:b/>
      <w:bCs/>
      <w:sz w:val="22"/>
      <w:szCs w:val="22"/>
    </w:rPr>
  </w:style>
  <w:style w:type="paragraph" w:styleId="Rubrik7">
    <w:name w:val="heading 7"/>
    <w:basedOn w:val="Normal"/>
    <w:next w:val="Normal"/>
    <w:semiHidden/>
    <w:qFormat/>
    <w:pPr>
      <w:numPr>
        <w:ilvl w:val="6"/>
        <w:numId w:val="43"/>
      </w:numPr>
      <w:spacing w:before="240" w:after="60"/>
      <w:outlineLvl w:val="6"/>
    </w:pPr>
  </w:style>
  <w:style w:type="paragraph" w:styleId="Rubrik8">
    <w:name w:val="heading 8"/>
    <w:basedOn w:val="Normal"/>
    <w:next w:val="Normal"/>
    <w:semiHidden/>
    <w:qFormat/>
    <w:pPr>
      <w:numPr>
        <w:ilvl w:val="7"/>
        <w:numId w:val="44"/>
      </w:numPr>
      <w:spacing w:before="240" w:after="60"/>
      <w:outlineLvl w:val="7"/>
    </w:pPr>
    <w:rPr>
      <w:i/>
      <w:iCs/>
    </w:rPr>
  </w:style>
  <w:style w:type="paragraph" w:styleId="Rubrik9">
    <w:name w:val="heading 9"/>
    <w:basedOn w:val="Normal"/>
    <w:next w:val="Normal"/>
    <w:semiHidden/>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 w:type="paragraph" w:styleId="Normalwebb">
    <w:name w:val="Normal (Web)"/>
    <w:basedOn w:val="Normal"/>
    <w:uiPriority w:val="99"/>
    <w:semiHidden/>
    <w:unhideWhenUsed/>
    <w:rsid w:val="00F32DAC"/>
    <w:pPr>
      <w:spacing w:before="100" w:beforeAutospacing="1" w:after="100" w:afterAutospacing="1"/>
    </w:pPr>
    <w:rPr>
      <w:lang w:val="sv-FI" w:eastAsia="sv-FI"/>
    </w:rPr>
  </w:style>
  <w:style w:type="character" w:styleId="Stark">
    <w:name w:val="Strong"/>
    <w:uiPriority w:val="22"/>
    <w:qFormat/>
    <w:rsid w:val="00F32D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233211">
      <w:bodyDiv w:val="1"/>
      <w:marLeft w:val="0"/>
      <w:marRight w:val="0"/>
      <w:marTop w:val="0"/>
      <w:marBottom w:val="0"/>
      <w:divBdr>
        <w:top w:val="none" w:sz="0" w:space="0" w:color="auto"/>
        <w:left w:val="none" w:sz="0" w:space="0" w:color="auto"/>
        <w:bottom w:val="none" w:sz="0" w:space="0" w:color="auto"/>
        <w:right w:val="none" w:sz="0" w:space="0" w:color="auto"/>
      </w:divBdr>
    </w:div>
    <w:div w:id="923758669">
      <w:bodyDiv w:val="1"/>
      <w:marLeft w:val="0"/>
      <w:marRight w:val="0"/>
      <w:marTop w:val="0"/>
      <w:marBottom w:val="0"/>
      <w:divBdr>
        <w:top w:val="none" w:sz="0" w:space="0" w:color="auto"/>
        <w:left w:val="none" w:sz="0" w:space="0" w:color="auto"/>
        <w:bottom w:val="none" w:sz="0" w:space="0" w:color="auto"/>
        <w:right w:val="none" w:sz="0" w:space="0" w:color="auto"/>
      </w:divBdr>
    </w:div>
    <w:div w:id="133938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615</Words>
  <Characters>3263</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Reservation</vt:lpstr>
    </vt:vector>
  </TitlesOfParts>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Reservation</dc:title>
  <dc:creator>Malin Nordlund</dc:creator>
  <cp:lastModifiedBy>Jessica Laaksonen</cp:lastModifiedBy>
  <cp:revision>2</cp:revision>
  <cp:lastPrinted>2011-10-27T11:36:00Z</cp:lastPrinted>
  <dcterms:created xsi:type="dcterms:W3CDTF">2025-09-08T05:25:00Z</dcterms:created>
  <dcterms:modified xsi:type="dcterms:W3CDTF">2025-09-08T05:25:00Z</dcterms:modified>
</cp:coreProperties>
</file>