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AF3004" w14:paraId="6AB8D0BF" w14:textId="77777777">
        <w:trPr>
          <w:cantSplit/>
          <w:trHeight w:val="20"/>
        </w:trPr>
        <w:tc>
          <w:tcPr>
            <w:tcW w:w="861" w:type="dxa"/>
            <w:vMerge w:val="restart"/>
          </w:tcPr>
          <w:p w14:paraId="7F9ABE69" w14:textId="4C3957ED" w:rsidR="00AF3004" w:rsidRDefault="00BE2921">
            <w:pPr>
              <w:pStyle w:val="xLedtext"/>
              <w:keepNext/>
              <w:rPr>
                <w:noProof/>
              </w:rPr>
            </w:pPr>
            <w:r>
              <w:rPr>
                <w:noProof/>
                <w:sz w:val="20"/>
              </w:rPr>
              <w:drawing>
                <wp:anchor distT="0" distB="0" distL="114300" distR="114300" simplePos="0" relativeHeight="251657728" behindDoc="0" locked="0" layoutInCell="1" allowOverlap="1" wp14:anchorId="5A0B15E5" wp14:editId="0C08E4AC">
                  <wp:simplePos x="0" y="0"/>
                  <wp:positionH relativeFrom="column">
                    <wp:posOffset>-31115</wp:posOffset>
                  </wp:positionH>
                  <wp:positionV relativeFrom="paragraph">
                    <wp:posOffset>635</wp:posOffset>
                  </wp:positionV>
                  <wp:extent cx="2647950" cy="68580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7950"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736" w:type="dxa"/>
            <w:gridSpan w:val="3"/>
            <w:vAlign w:val="bottom"/>
          </w:tcPr>
          <w:p w14:paraId="6E87CC62" w14:textId="7C395A06" w:rsidR="00AF3004" w:rsidRDefault="00BE2921">
            <w:pPr>
              <w:pStyle w:val="xMellanrum"/>
            </w:pPr>
            <w:r>
              <w:rPr>
                <w:noProof/>
              </w:rPr>
              <w:drawing>
                <wp:inline distT="0" distB="0" distL="0" distR="0" wp14:anchorId="7653D6D1" wp14:editId="2869C1B7">
                  <wp:extent cx="47625" cy="4762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AF3004" w14:paraId="04B66A70" w14:textId="77777777">
        <w:trPr>
          <w:cantSplit/>
          <w:trHeight w:val="299"/>
        </w:trPr>
        <w:tc>
          <w:tcPr>
            <w:tcW w:w="861" w:type="dxa"/>
            <w:vMerge/>
          </w:tcPr>
          <w:p w14:paraId="4F2D270C" w14:textId="77777777" w:rsidR="00AF3004" w:rsidRDefault="00AF3004">
            <w:pPr>
              <w:pStyle w:val="xLedtext"/>
            </w:pPr>
          </w:p>
        </w:tc>
        <w:tc>
          <w:tcPr>
            <w:tcW w:w="4448" w:type="dxa"/>
            <w:vAlign w:val="bottom"/>
          </w:tcPr>
          <w:p w14:paraId="123FD446" w14:textId="77777777" w:rsidR="00AF3004" w:rsidRDefault="00AF3004">
            <w:pPr>
              <w:pStyle w:val="xAvsandare1"/>
            </w:pPr>
          </w:p>
        </w:tc>
        <w:tc>
          <w:tcPr>
            <w:tcW w:w="4288" w:type="dxa"/>
            <w:gridSpan w:val="2"/>
            <w:vAlign w:val="bottom"/>
          </w:tcPr>
          <w:p w14:paraId="35BF3DE6" w14:textId="435A7084" w:rsidR="00AF3004" w:rsidRDefault="009B24CA">
            <w:pPr>
              <w:pStyle w:val="xDokTypNr"/>
            </w:pPr>
            <w:r>
              <w:t>LAGFÖRSLAG</w:t>
            </w:r>
            <w:r w:rsidR="00AF3004">
              <w:t xml:space="preserve"> nr </w:t>
            </w:r>
            <w:r w:rsidR="004B746A">
              <w:t>20</w:t>
            </w:r>
            <w:r w:rsidR="00AF3004">
              <w:t>/20</w:t>
            </w:r>
            <w:r w:rsidR="00CA2A3F">
              <w:t>2</w:t>
            </w:r>
            <w:r w:rsidR="000B0425">
              <w:t>4</w:t>
            </w:r>
            <w:r w:rsidR="00CA2A3F">
              <w:t>–</w:t>
            </w:r>
            <w:r w:rsidR="00AF3004">
              <w:t>20</w:t>
            </w:r>
            <w:r w:rsidR="00CA2A3F">
              <w:t>2</w:t>
            </w:r>
            <w:r w:rsidR="000B0425">
              <w:t>5</w:t>
            </w:r>
          </w:p>
        </w:tc>
      </w:tr>
      <w:tr w:rsidR="00AF3004" w14:paraId="54BDC570" w14:textId="77777777">
        <w:trPr>
          <w:cantSplit/>
          <w:trHeight w:val="238"/>
        </w:trPr>
        <w:tc>
          <w:tcPr>
            <w:tcW w:w="861" w:type="dxa"/>
            <w:vMerge/>
          </w:tcPr>
          <w:p w14:paraId="651E01E8" w14:textId="77777777" w:rsidR="00AF3004" w:rsidRDefault="00AF3004">
            <w:pPr>
              <w:pStyle w:val="xLedtext"/>
            </w:pPr>
          </w:p>
        </w:tc>
        <w:tc>
          <w:tcPr>
            <w:tcW w:w="4448" w:type="dxa"/>
            <w:vAlign w:val="bottom"/>
          </w:tcPr>
          <w:p w14:paraId="4B3C1C77" w14:textId="77777777" w:rsidR="00AF3004" w:rsidRDefault="00AF3004">
            <w:pPr>
              <w:pStyle w:val="xLedtext"/>
            </w:pPr>
          </w:p>
        </w:tc>
        <w:tc>
          <w:tcPr>
            <w:tcW w:w="1725" w:type="dxa"/>
            <w:vAlign w:val="bottom"/>
          </w:tcPr>
          <w:p w14:paraId="5C1CCC62" w14:textId="77777777" w:rsidR="00AF3004" w:rsidRDefault="00AF3004">
            <w:pPr>
              <w:pStyle w:val="xLedtext"/>
              <w:rPr>
                <w:lang w:val="de-DE"/>
              </w:rPr>
            </w:pPr>
            <w:r>
              <w:rPr>
                <w:lang w:val="de-DE"/>
              </w:rPr>
              <w:t>Datum</w:t>
            </w:r>
          </w:p>
        </w:tc>
        <w:tc>
          <w:tcPr>
            <w:tcW w:w="2563" w:type="dxa"/>
            <w:vAlign w:val="bottom"/>
          </w:tcPr>
          <w:p w14:paraId="57D9AC8F" w14:textId="77777777" w:rsidR="00AF3004" w:rsidRDefault="00AF3004">
            <w:pPr>
              <w:pStyle w:val="xLedtext"/>
              <w:rPr>
                <w:lang w:val="de-DE"/>
              </w:rPr>
            </w:pPr>
          </w:p>
        </w:tc>
      </w:tr>
      <w:tr w:rsidR="00AF3004" w14:paraId="42EE0EB2" w14:textId="77777777">
        <w:trPr>
          <w:cantSplit/>
          <w:trHeight w:val="238"/>
        </w:trPr>
        <w:tc>
          <w:tcPr>
            <w:tcW w:w="861" w:type="dxa"/>
            <w:vMerge/>
          </w:tcPr>
          <w:p w14:paraId="0F4C2B36" w14:textId="77777777" w:rsidR="00AF3004" w:rsidRDefault="00AF3004">
            <w:pPr>
              <w:pStyle w:val="xAvsandare2"/>
              <w:rPr>
                <w:lang w:val="de-DE"/>
              </w:rPr>
            </w:pPr>
          </w:p>
        </w:tc>
        <w:tc>
          <w:tcPr>
            <w:tcW w:w="4448" w:type="dxa"/>
            <w:vAlign w:val="center"/>
          </w:tcPr>
          <w:p w14:paraId="78228211" w14:textId="77777777" w:rsidR="00AF3004" w:rsidRDefault="00AF3004">
            <w:pPr>
              <w:pStyle w:val="xAvsandare2"/>
              <w:rPr>
                <w:lang w:val="de-DE"/>
              </w:rPr>
            </w:pPr>
          </w:p>
        </w:tc>
        <w:tc>
          <w:tcPr>
            <w:tcW w:w="1725" w:type="dxa"/>
            <w:vAlign w:val="center"/>
          </w:tcPr>
          <w:p w14:paraId="5EE4C301" w14:textId="28E3F346" w:rsidR="00AF3004" w:rsidRDefault="00AF3004">
            <w:pPr>
              <w:pStyle w:val="xDatum1"/>
              <w:rPr>
                <w:lang w:val="de-DE"/>
              </w:rPr>
            </w:pPr>
            <w:r>
              <w:rPr>
                <w:lang w:val="de-DE"/>
              </w:rPr>
              <w:t>20</w:t>
            </w:r>
            <w:r w:rsidR="000B0425">
              <w:rPr>
                <w:lang w:val="de-DE"/>
              </w:rPr>
              <w:t>2</w:t>
            </w:r>
            <w:r w:rsidR="00D02440">
              <w:rPr>
                <w:lang w:val="de-DE"/>
              </w:rPr>
              <w:t>5</w:t>
            </w:r>
            <w:r>
              <w:rPr>
                <w:lang w:val="de-DE"/>
              </w:rPr>
              <w:t>-</w:t>
            </w:r>
            <w:r w:rsidR="004B746A">
              <w:rPr>
                <w:lang w:val="de-DE"/>
              </w:rPr>
              <w:t>04</w:t>
            </w:r>
            <w:r>
              <w:rPr>
                <w:lang w:val="de-DE"/>
              </w:rPr>
              <w:t>-</w:t>
            </w:r>
            <w:r w:rsidR="004B746A">
              <w:rPr>
                <w:lang w:val="de-DE"/>
              </w:rPr>
              <w:t>03</w:t>
            </w:r>
          </w:p>
        </w:tc>
        <w:tc>
          <w:tcPr>
            <w:tcW w:w="2563" w:type="dxa"/>
            <w:vAlign w:val="center"/>
          </w:tcPr>
          <w:p w14:paraId="0919EEE2" w14:textId="77777777" w:rsidR="00AF3004" w:rsidRDefault="00AF3004">
            <w:pPr>
              <w:pStyle w:val="xBeteckning1"/>
              <w:rPr>
                <w:lang w:val="de-DE"/>
              </w:rPr>
            </w:pPr>
          </w:p>
        </w:tc>
      </w:tr>
      <w:tr w:rsidR="00AF3004" w14:paraId="39D47D23" w14:textId="77777777">
        <w:trPr>
          <w:cantSplit/>
          <w:trHeight w:val="238"/>
        </w:trPr>
        <w:tc>
          <w:tcPr>
            <w:tcW w:w="861" w:type="dxa"/>
            <w:vMerge/>
          </w:tcPr>
          <w:p w14:paraId="41B69E27" w14:textId="77777777" w:rsidR="00AF3004" w:rsidRDefault="00AF3004">
            <w:pPr>
              <w:pStyle w:val="xLedtext"/>
              <w:rPr>
                <w:lang w:val="de-DE"/>
              </w:rPr>
            </w:pPr>
          </w:p>
        </w:tc>
        <w:tc>
          <w:tcPr>
            <w:tcW w:w="4448" w:type="dxa"/>
            <w:vAlign w:val="bottom"/>
          </w:tcPr>
          <w:p w14:paraId="15DE0FB1" w14:textId="77777777" w:rsidR="00AF3004" w:rsidRDefault="00AF3004">
            <w:pPr>
              <w:pStyle w:val="xLedtext"/>
              <w:rPr>
                <w:lang w:val="de-DE"/>
              </w:rPr>
            </w:pPr>
          </w:p>
        </w:tc>
        <w:tc>
          <w:tcPr>
            <w:tcW w:w="1725" w:type="dxa"/>
            <w:vAlign w:val="bottom"/>
          </w:tcPr>
          <w:p w14:paraId="030CC4C2" w14:textId="77777777" w:rsidR="00AF3004" w:rsidRDefault="00AF3004">
            <w:pPr>
              <w:pStyle w:val="xLedtext"/>
              <w:rPr>
                <w:lang w:val="de-DE"/>
              </w:rPr>
            </w:pPr>
          </w:p>
        </w:tc>
        <w:tc>
          <w:tcPr>
            <w:tcW w:w="2563" w:type="dxa"/>
            <w:vAlign w:val="bottom"/>
          </w:tcPr>
          <w:p w14:paraId="1BE4F695" w14:textId="77777777" w:rsidR="00AF3004" w:rsidRDefault="00AF3004">
            <w:pPr>
              <w:pStyle w:val="xLedtext"/>
              <w:rPr>
                <w:lang w:val="de-DE"/>
              </w:rPr>
            </w:pPr>
          </w:p>
        </w:tc>
      </w:tr>
      <w:tr w:rsidR="00AF3004" w14:paraId="0C463069" w14:textId="77777777">
        <w:trPr>
          <w:cantSplit/>
          <w:trHeight w:val="238"/>
        </w:trPr>
        <w:tc>
          <w:tcPr>
            <w:tcW w:w="861" w:type="dxa"/>
            <w:vMerge/>
            <w:tcBorders>
              <w:bottom w:val="single" w:sz="4" w:space="0" w:color="auto"/>
            </w:tcBorders>
          </w:tcPr>
          <w:p w14:paraId="27D16B60" w14:textId="77777777" w:rsidR="00AF3004" w:rsidRDefault="00AF3004">
            <w:pPr>
              <w:pStyle w:val="xAvsandare3"/>
              <w:rPr>
                <w:lang w:val="de-DE"/>
              </w:rPr>
            </w:pPr>
          </w:p>
        </w:tc>
        <w:tc>
          <w:tcPr>
            <w:tcW w:w="4448" w:type="dxa"/>
            <w:tcBorders>
              <w:bottom w:val="single" w:sz="4" w:space="0" w:color="auto"/>
            </w:tcBorders>
            <w:vAlign w:val="center"/>
          </w:tcPr>
          <w:p w14:paraId="28111C8A" w14:textId="77777777" w:rsidR="00AF3004" w:rsidRDefault="00AF3004">
            <w:pPr>
              <w:pStyle w:val="xAvsandare3"/>
              <w:rPr>
                <w:lang w:val="de-DE"/>
              </w:rPr>
            </w:pPr>
          </w:p>
        </w:tc>
        <w:tc>
          <w:tcPr>
            <w:tcW w:w="1725" w:type="dxa"/>
            <w:tcBorders>
              <w:bottom w:val="single" w:sz="4" w:space="0" w:color="auto"/>
            </w:tcBorders>
            <w:vAlign w:val="center"/>
          </w:tcPr>
          <w:p w14:paraId="3380ABBB" w14:textId="77777777" w:rsidR="00AF3004" w:rsidRDefault="00AF3004">
            <w:pPr>
              <w:pStyle w:val="xDatum2"/>
              <w:rPr>
                <w:lang w:val="de-DE"/>
              </w:rPr>
            </w:pPr>
          </w:p>
        </w:tc>
        <w:tc>
          <w:tcPr>
            <w:tcW w:w="2563" w:type="dxa"/>
            <w:tcBorders>
              <w:bottom w:val="single" w:sz="4" w:space="0" w:color="auto"/>
            </w:tcBorders>
            <w:vAlign w:val="center"/>
          </w:tcPr>
          <w:p w14:paraId="6A48F75A" w14:textId="77777777" w:rsidR="00AF3004" w:rsidRDefault="00AF3004">
            <w:pPr>
              <w:pStyle w:val="xBeteckning2"/>
              <w:rPr>
                <w:lang w:val="de-DE"/>
              </w:rPr>
            </w:pPr>
          </w:p>
        </w:tc>
      </w:tr>
      <w:tr w:rsidR="00AF3004" w14:paraId="4F143A84" w14:textId="77777777">
        <w:trPr>
          <w:cantSplit/>
          <w:trHeight w:val="238"/>
        </w:trPr>
        <w:tc>
          <w:tcPr>
            <w:tcW w:w="861" w:type="dxa"/>
            <w:tcBorders>
              <w:top w:val="single" w:sz="4" w:space="0" w:color="auto"/>
            </w:tcBorders>
            <w:vAlign w:val="bottom"/>
          </w:tcPr>
          <w:p w14:paraId="7BBBD128" w14:textId="77777777" w:rsidR="00AF3004" w:rsidRDefault="00AF3004">
            <w:pPr>
              <w:pStyle w:val="xLedtext"/>
              <w:rPr>
                <w:lang w:val="de-DE"/>
              </w:rPr>
            </w:pPr>
          </w:p>
        </w:tc>
        <w:tc>
          <w:tcPr>
            <w:tcW w:w="4448" w:type="dxa"/>
            <w:tcBorders>
              <w:top w:val="single" w:sz="4" w:space="0" w:color="auto"/>
            </w:tcBorders>
            <w:vAlign w:val="bottom"/>
          </w:tcPr>
          <w:p w14:paraId="6F53E164" w14:textId="77777777" w:rsidR="00AF3004" w:rsidRDefault="00AF3004">
            <w:pPr>
              <w:pStyle w:val="xLedtext"/>
              <w:rPr>
                <w:lang w:val="de-DE"/>
              </w:rPr>
            </w:pPr>
          </w:p>
        </w:tc>
        <w:tc>
          <w:tcPr>
            <w:tcW w:w="4288" w:type="dxa"/>
            <w:gridSpan w:val="2"/>
            <w:tcBorders>
              <w:top w:val="single" w:sz="4" w:space="0" w:color="auto"/>
            </w:tcBorders>
            <w:vAlign w:val="bottom"/>
          </w:tcPr>
          <w:p w14:paraId="7FFAAEE3" w14:textId="77777777" w:rsidR="00AF3004" w:rsidRDefault="00AF3004">
            <w:pPr>
              <w:pStyle w:val="xLedtext"/>
              <w:rPr>
                <w:lang w:val="de-DE"/>
              </w:rPr>
            </w:pPr>
          </w:p>
        </w:tc>
      </w:tr>
      <w:tr w:rsidR="00AF3004" w14:paraId="7C5DA2C4" w14:textId="77777777">
        <w:trPr>
          <w:cantSplit/>
          <w:trHeight w:val="238"/>
        </w:trPr>
        <w:tc>
          <w:tcPr>
            <w:tcW w:w="861" w:type="dxa"/>
          </w:tcPr>
          <w:p w14:paraId="5615C420" w14:textId="77777777" w:rsidR="00AF3004" w:rsidRDefault="00AF3004">
            <w:pPr>
              <w:pStyle w:val="xCelltext"/>
              <w:rPr>
                <w:lang w:val="de-DE"/>
              </w:rPr>
            </w:pPr>
          </w:p>
        </w:tc>
        <w:tc>
          <w:tcPr>
            <w:tcW w:w="4448" w:type="dxa"/>
            <w:vMerge w:val="restart"/>
          </w:tcPr>
          <w:p w14:paraId="1C11E83A" w14:textId="77777777" w:rsidR="00AF3004" w:rsidRDefault="00AF3004">
            <w:pPr>
              <w:pStyle w:val="xMottagare1"/>
            </w:pPr>
            <w:bookmarkStart w:id="0" w:name="_top"/>
            <w:bookmarkEnd w:id="0"/>
            <w:r>
              <w:t>Till Ålands lagting</w:t>
            </w:r>
          </w:p>
        </w:tc>
        <w:tc>
          <w:tcPr>
            <w:tcW w:w="4288" w:type="dxa"/>
            <w:gridSpan w:val="2"/>
            <w:vMerge w:val="restart"/>
          </w:tcPr>
          <w:p w14:paraId="7606C26C" w14:textId="60183888" w:rsidR="00AF3004" w:rsidRPr="00443741" w:rsidRDefault="00AF3004" w:rsidP="009C2E72">
            <w:pPr>
              <w:pStyle w:val="xMottagare1"/>
              <w:tabs>
                <w:tab w:val="left" w:pos="2349"/>
              </w:tabs>
              <w:rPr>
                <w:rFonts w:ascii="Modern No. 20" w:hAnsi="Modern No. 20"/>
                <w:sz w:val="32"/>
                <w:szCs w:val="32"/>
              </w:rPr>
            </w:pPr>
          </w:p>
        </w:tc>
      </w:tr>
      <w:tr w:rsidR="00AF3004" w14:paraId="64EBDD97" w14:textId="77777777">
        <w:trPr>
          <w:cantSplit/>
          <w:trHeight w:val="238"/>
        </w:trPr>
        <w:tc>
          <w:tcPr>
            <w:tcW w:w="861" w:type="dxa"/>
          </w:tcPr>
          <w:p w14:paraId="2F3A2B05" w14:textId="77777777" w:rsidR="00AF3004" w:rsidRDefault="00AF3004">
            <w:pPr>
              <w:pStyle w:val="xCelltext"/>
            </w:pPr>
          </w:p>
        </w:tc>
        <w:tc>
          <w:tcPr>
            <w:tcW w:w="4448" w:type="dxa"/>
            <w:vMerge/>
            <w:vAlign w:val="center"/>
          </w:tcPr>
          <w:p w14:paraId="6591355B" w14:textId="77777777" w:rsidR="00AF3004" w:rsidRDefault="00AF3004">
            <w:pPr>
              <w:pStyle w:val="xCelltext"/>
            </w:pPr>
          </w:p>
        </w:tc>
        <w:tc>
          <w:tcPr>
            <w:tcW w:w="4288" w:type="dxa"/>
            <w:gridSpan w:val="2"/>
            <w:vMerge/>
            <w:vAlign w:val="center"/>
          </w:tcPr>
          <w:p w14:paraId="0EB8DC66" w14:textId="77777777" w:rsidR="00AF3004" w:rsidRDefault="00AF3004">
            <w:pPr>
              <w:pStyle w:val="xCelltext"/>
            </w:pPr>
          </w:p>
        </w:tc>
      </w:tr>
      <w:tr w:rsidR="00AF3004" w14:paraId="3CC10A02" w14:textId="77777777">
        <w:trPr>
          <w:cantSplit/>
          <w:trHeight w:val="238"/>
        </w:trPr>
        <w:tc>
          <w:tcPr>
            <w:tcW w:w="861" w:type="dxa"/>
          </w:tcPr>
          <w:p w14:paraId="47A0CDF6" w14:textId="77777777" w:rsidR="00AF3004" w:rsidRDefault="00AF3004">
            <w:pPr>
              <w:pStyle w:val="xCelltext"/>
            </w:pPr>
          </w:p>
        </w:tc>
        <w:tc>
          <w:tcPr>
            <w:tcW w:w="4448" w:type="dxa"/>
            <w:vMerge/>
            <w:vAlign w:val="center"/>
          </w:tcPr>
          <w:p w14:paraId="7F0A239D" w14:textId="77777777" w:rsidR="00AF3004" w:rsidRDefault="00AF3004">
            <w:pPr>
              <w:pStyle w:val="xCelltext"/>
            </w:pPr>
          </w:p>
        </w:tc>
        <w:tc>
          <w:tcPr>
            <w:tcW w:w="4288" w:type="dxa"/>
            <w:gridSpan w:val="2"/>
            <w:vMerge/>
            <w:vAlign w:val="center"/>
          </w:tcPr>
          <w:p w14:paraId="430548A7" w14:textId="77777777" w:rsidR="00AF3004" w:rsidRDefault="00AF3004">
            <w:pPr>
              <w:pStyle w:val="xCelltext"/>
            </w:pPr>
          </w:p>
        </w:tc>
      </w:tr>
      <w:tr w:rsidR="00AF3004" w14:paraId="6A296235" w14:textId="77777777">
        <w:trPr>
          <w:cantSplit/>
          <w:trHeight w:val="238"/>
        </w:trPr>
        <w:tc>
          <w:tcPr>
            <w:tcW w:w="861" w:type="dxa"/>
          </w:tcPr>
          <w:p w14:paraId="54A9B250" w14:textId="77777777" w:rsidR="00AF3004" w:rsidRDefault="00AF3004">
            <w:pPr>
              <w:pStyle w:val="xCelltext"/>
            </w:pPr>
          </w:p>
        </w:tc>
        <w:tc>
          <w:tcPr>
            <w:tcW w:w="4448" w:type="dxa"/>
            <w:vMerge/>
            <w:vAlign w:val="center"/>
          </w:tcPr>
          <w:p w14:paraId="0D2A7AC3" w14:textId="77777777" w:rsidR="00AF3004" w:rsidRDefault="00AF3004">
            <w:pPr>
              <w:pStyle w:val="xCelltext"/>
            </w:pPr>
          </w:p>
        </w:tc>
        <w:tc>
          <w:tcPr>
            <w:tcW w:w="4288" w:type="dxa"/>
            <w:gridSpan w:val="2"/>
            <w:vMerge/>
            <w:vAlign w:val="center"/>
          </w:tcPr>
          <w:p w14:paraId="31B43A32" w14:textId="77777777" w:rsidR="00AF3004" w:rsidRDefault="00AF3004">
            <w:pPr>
              <w:pStyle w:val="xCelltext"/>
            </w:pPr>
          </w:p>
        </w:tc>
      </w:tr>
      <w:tr w:rsidR="00AF3004" w14:paraId="1D12C224" w14:textId="77777777">
        <w:trPr>
          <w:cantSplit/>
          <w:trHeight w:val="238"/>
        </w:trPr>
        <w:tc>
          <w:tcPr>
            <w:tcW w:w="861" w:type="dxa"/>
          </w:tcPr>
          <w:p w14:paraId="50A9877C" w14:textId="77777777" w:rsidR="00AF3004" w:rsidRDefault="00AF3004">
            <w:pPr>
              <w:pStyle w:val="xCelltext"/>
            </w:pPr>
          </w:p>
        </w:tc>
        <w:tc>
          <w:tcPr>
            <w:tcW w:w="4448" w:type="dxa"/>
            <w:vMerge/>
            <w:vAlign w:val="center"/>
          </w:tcPr>
          <w:p w14:paraId="12BF8008" w14:textId="77777777" w:rsidR="00AF3004" w:rsidRDefault="00AF3004">
            <w:pPr>
              <w:pStyle w:val="xCelltext"/>
            </w:pPr>
          </w:p>
        </w:tc>
        <w:tc>
          <w:tcPr>
            <w:tcW w:w="4288" w:type="dxa"/>
            <w:gridSpan w:val="2"/>
            <w:vMerge/>
            <w:vAlign w:val="center"/>
          </w:tcPr>
          <w:p w14:paraId="579F8088" w14:textId="77777777" w:rsidR="00AF3004" w:rsidRDefault="00AF3004">
            <w:pPr>
              <w:pStyle w:val="xCelltext"/>
            </w:pPr>
          </w:p>
        </w:tc>
      </w:tr>
    </w:tbl>
    <w:p w14:paraId="73AEA5A8" w14:textId="77777777" w:rsidR="00AF3004" w:rsidRDefault="00AF3004">
      <w:pPr>
        <w:rPr>
          <w:b/>
          <w:bCs/>
        </w:rPr>
        <w:sectPr w:rsidR="00AF3004">
          <w:footerReference w:type="even" r:id="rId10"/>
          <w:footerReference w:type="default" r:id="rId11"/>
          <w:pgSz w:w="11906" w:h="16838" w:code="9"/>
          <w:pgMar w:top="567" w:right="1134" w:bottom="1134" w:left="1191" w:header="624" w:footer="851" w:gutter="0"/>
          <w:cols w:space="708"/>
          <w:docGrid w:linePitch="360"/>
        </w:sectPr>
      </w:pPr>
    </w:p>
    <w:p w14:paraId="0E162248" w14:textId="33A83CB3" w:rsidR="00AF3004" w:rsidRDefault="00E77E9C">
      <w:pPr>
        <w:pStyle w:val="ArendeRubrik"/>
      </w:pPr>
      <w:r>
        <w:t>Tryggande av kommunal service</w:t>
      </w:r>
    </w:p>
    <w:p w14:paraId="022DEE90" w14:textId="77777777" w:rsidR="00AF3004" w:rsidRDefault="00AF3004">
      <w:pPr>
        <w:pStyle w:val="ANormal"/>
      </w:pPr>
    </w:p>
    <w:p w14:paraId="3725CBF3" w14:textId="77777777" w:rsidR="00AF3004" w:rsidRDefault="00AF3004">
      <w:pPr>
        <w:pStyle w:val="ANormal"/>
      </w:pPr>
    </w:p>
    <w:p w14:paraId="400E079D" w14:textId="77777777" w:rsidR="00AF3004" w:rsidRDefault="00AF3004">
      <w:pPr>
        <w:pStyle w:val="RubrikA"/>
      </w:pPr>
      <w:bookmarkStart w:id="1" w:name="_Toc194570770"/>
      <w:r>
        <w:t>Huvudsakligt innehåll</w:t>
      </w:r>
      <w:bookmarkEnd w:id="1"/>
    </w:p>
    <w:p w14:paraId="7546F6D0" w14:textId="77777777" w:rsidR="00AF3004" w:rsidRDefault="00AF3004">
      <w:pPr>
        <w:pStyle w:val="Rubrikmellanrum"/>
      </w:pPr>
    </w:p>
    <w:p w14:paraId="737D5BDE" w14:textId="2ABAD860" w:rsidR="00014848" w:rsidRDefault="00014848" w:rsidP="00D70D2A">
      <w:pPr>
        <w:pStyle w:val="ANormal"/>
      </w:pPr>
      <w:r>
        <w:t xml:space="preserve">Landskapsregeringen föreslår att lagtinget antar lagstiftning för </w:t>
      </w:r>
      <w:r w:rsidR="00D70D2A">
        <w:t xml:space="preserve">att trygga serviceproduktionen för </w:t>
      </w:r>
      <w:r w:rsidR="00030301">
        <w:t>invånarna i</w:t>
      </w:r>
      <w:r w:rsidR="00D70D2A">
        <w:t xml:space="preserve"> kommun</w:t>
      </w:r>
      <w:r w:rsidR="00030301">
        <w:t>er</w:t>
      </w:r>
      <w:r w:rsidR="00D70D2A">
        <w:t xml:space="preserve"> </w:t>
      </w:r>
      <w:r w:rsidR="00030301">
        <w:t xml:space="preserve">som </w:t>
      </w:r>
      <w:r w:rsidR="001D17C5">
        <w:t xml:space="preserve">av ekonomiska skäl </w:t>
      </w:r>
      <w:r w:rsidR="00D70D2A">
        <w:t xml:space="preserve">inte längre kan utföra sina lagstadgade åtaganden. </w:t>
      </w:r>
      <w:r>
        <w:t>Lagförslaget omfattar ett förslag till en landskapslag om ett utvärderingsförfarande för kommuner med synnerligen ansträngd ekonomi samt ett förslag till ändring av</w:t>
      </w:r>
      <w:r w:rsidR="00030301">
        <w:t xml:space="preserve"> kommunstrukturlagen för Åland</w:t>
      </w:r>
      <w:r w:rsidR="002D33F5">
        <w:t>.</w:t>
      </w:r>
      <w:r w:rsidR="008F7804">
        <w:t xml:space="preserve"> </w:t>
      </w:r>
      <w:r w:rsidR="008F7804" w:rsidRPr="001D49A1">
        <w:t>Landskapsregeringens ambition med lagförslaget är att bistå tryggandet av den åländska välfärden.</w:t>
      </w:r>
    </w:p>
    <w:p w14:paraId="014A2968" w14:textId="2E9B99C5" w:rsidR="00A255FB" w:rsidRDefault="002D33F5" w:rsidP="002D33F5">
      <w:pPr>
        <w:pStyle w:val="ANormal"/>
      </w:pPr>
      <w:r>
        <w:tab/>
        <w:t>Enligt</w:t>
      </w:r>
      <w:r w:rsidR="00E30747">
        <w:t xml:space="preserve"> </w:t>
      </w:r>
      <w:r>
        <w:t>den föreslagna</w:t>
      </w:r>
      <w:r w:rsidR="00E30747">
        <w:t xml:space="preserve"> lagstiftning</w:t>
      </w:r>
      <w:r>
        <w:t>en</w:t>
      </w:r>
      <w:r w:rsidR="00E30747">
        <w:t xml:space="preserve"> initieras </w:t>
      </w:r>
      <w:r>
        <w:t xml:space="preserve">ett utvärderingsförfarande </w:t>
      </w:r>
      <w:r w:rsidR="00E30747">
        <w:t xml:space="preserve">när ekonomin i en kommun uppfyller de </w:t>
      </w:r>
      <w:r>
        <w:t>i lagen</w:t>
      </w:r>
      <w:r w:rsidR="00E30747">
        <w:t xml:space="preserve"> </w:t>
      </w:r>
      <w:r w:rsidR="00756474">
        <w:t>an</w:t>
      </w:r>
      <w:r w:rsidR="00E30747">
        <w:t xml:space="preserve">givna kriterierna. Detta sker på basen av årlig nyckeltalsuppföljning utifrån publicerade bokslutsuppgifter. </w:t>
      </w:r>
      <w:r w:rsidR="00A255FB">
        <w:t>De nyckeltal som föreslås utgöra kriterier är ackumulerat underskott i balansräkningen, årsbidrag i förhållande till avskrivningar samt soliditet</w:t>
      </w:r>
      <w:r w:rsidR="006D348F">
        <w:t>sgrad</w:t>
      </w:r>
      <w:r w:rsidR="00A255FB">
        <w:t>.</w:t>
      </w:r>
      <w:r w:rsidR="00D4667B">
        <w:t xml:space="preserve"> </w:t>
      </w:r>
      <w:r w:rsidR="001870E5" w:rsidRPr="001D49A1">
        <w:t>Utgångspunkten</w:t>
      </w:r>
      <w:r w:rsidR="00D4667B" w:rsidRPr="001D49A1">
        <w:t xml:space="preserve"> är att nyckeltalen återspeglar kommunens synnerligen ansträngda situation redan innan kommunens förmåga att producera tjänster har äventyrats avsevärt.</w:t>
      </w:r>
    </w:p>
    <w:p w14:paraId="0AA7CBB9" w14:textId="004886BA" w:rsidR="00E30747" w:rsidRDefault="00A255FB" w:rsidP="002D33F5">
      <w:pPr>
        <w:pStyle w:val="ANormal"/>
      </w:pPr>
      <w:r>
        <w:tab/>
      </w:r>
      <w:r w:rsidR="00E30747">
        <w:t xml:space="preserve">Utvärderingsförfarandet syftar till att analysera kommunens ekonomi och verksamhetsförutsättningar samt att identifiera möjliga åtgärder som kan förändra utvecklingen i den kommunala ekonomin och därmed säkra möjligheten till fortsatt kommunal serviceproduktion över tid. </w:t>
      </w:r>
      <w:r w:rsidR="002D33F5">
        <w:t xml:space="preserve">Utvärderingen utförs av en utvärderingsgrupp. </w:t>
      </w:r>
      <w:r w:rsidR="00E30747">
        <w:t xml:space="preserve">Under utvärderingsförfarandet </w:t>
      </w:r>
      <w:r w:rsidR="002D33F5">
        <w:t>begränsas kommunens möjligheter att inleda</w:t>
      </w:r>
      <w:r w:rsidR="00E30747">
        <w:t xml:space="preserve"> nya investeringar</w:t>
      </w:r>
      <w:r w:rsidR="002D33F5">
        <w:t xml:space="preserve"> som inte kan genomföras med eget kapital</w:t>
      </w:r>
      <w:r w:rsidR="00E30747">
        <w:t>.</w:t>
      </w:r>
    </w:p>
    <w:p w14:paraId="32028A6A" w14:textId="7604AC0B" w:rsidR="002D33F5" w:rsidRDefault="002D33F5" w:rsidP="002D33F5">
      <w:pPr>
        <w:pStyle w:val="ANormal"/>
      </w:pPr>
      <w:r>
        <w:tab/>
        <w:t xml:space="preserve">Utvärderingsgruppen överlämnar ett åtgärdsförslag till fullmäktige som fattar beslut </w:t>
      </w:r>
      <w:r w:rsidR="00E30747">
        <w:t xml:space="preserve">om att genomföra åtgärderna. </w:t>
      </w:r>
      <w:r w:rsidR="0094413F">
        <w:t>Åtgärdsförslaget kan också innehålla ett förslag till ändring av kommunindelningen. På basen av åtgärdsförslaget och fullmäktiges beslut avgör landskapsregeringen om en särskild kommunindelningsutredning enligt kommunstrukturlagen ska inledas.</w:t>
      </w:r>
    </w:p>
    <w:p w14:paraId="2C49208D" w14:textId="132412A2" w:rsidR="0094413F" w:rsidRDefault="0094413F" w:rsidP="002D33F5">
      <w:pPr>
        <w:pStyle w:val="ANormal"/>
      </w:pPr>
      <w:r>
        <w:tab/>
        <w:t>Genom den föreslagna ändringen av kommunstrukturlagen ska en särskild kommunindelningsutredning som gäller en kommun med synnerligen ansträngd ekonomi kunna inledas på initiativ av en utvärderingsgrupp. Landskapsregeringen ska också i ett sådant fall kunna besluta om en ändring av kommunindelningen trots att fullmäktige i någon av de berörda kommunerna motsätter sig det.</w:t>
      </w:r>
    </w:p>
    <w:p w14:paraId="35AAFB5D" w14:textId="5E369050" w:rsidR="00BC321B" w:rsidRDefault="00BC321B" w:rsidP="00797873">
      <w:pPr>
        <w:pStyle w:val="ANormal"/>
      </w:pPr>
      <w:r>
        <w:tab/>
        <w:t>Slutligen föreslås att kommunstrukturlagen kompletteras med bestämmelser om fastighetsbildning. Bestämmelserna är av rikslagstiftningsnatur och ändringen sker för vinnande av enhetlighet och överskådlighet.</w:t>
      </w:r>
    </w:p>
    <w:p w14:paraId="1BE05030" w14:textId="406288FD" w:rsidR="00C7781C" w:rsidRDefault="00C7781C" w:rsidP="00797873">
      <w:pPr>
        <w:pStyle w:val="ANormal"/>
      </w:pPr>
      <w:r>
        <w:tab/>
      </w:r>
      <w:r w:rsidRPr="00F65466">
        <w:t xml:space="preserve">Den föreslagna lagstiftningen föreslås träda i kraft </w:t>
      </w:r>
      <w:r w:rsidR="00152638">
        <w:t>vid ingången</w:t>
      </w:r>
      <w:r w:rsidR="001102D9">
        <w:t xml:space="preserve"> av</w:t>
      </w:r>
      <w:r w:rsidR="00A22255" w:rsidRPr="00F65466">
        <w:t xml:space="preserve"> 2026</w:t>
      </w:r>
      <w:r w:rsidR="00B26BF1" w:rsidRPr="00F65466">
        <w:t xml:space="preserve">, vilket innebär att ett </w:t>
      </w:r>
      <w:r w:rsidRPr="00F65466">
        <w:t>utvärderingsförfarande första gången</w:t>
      </w:r>
      <w:r w:rsidR="00B26BF1" w:rsidRPr="00F65466">
        <w:t xml:space="preserve"> kan inledas</w:t>
      </w:r>
      <w:r w:rsidRPr="00F65466">
        <w:t xml:space="preserve"> </w:t>
      </w:r>
      <w:r w:rsidR="00D40CDF" w:rsidRPr="00F65466">
        <w:t>n</w:t>
      </w:r>
      <w:r w:rsidRPr="00F65466">
        <w:t>är bokslutsuppgifterna för räkenskapsåret 202</w:t>
      </w:r>
      <w:r w:rsidR="00A22255" w:rsidRPr="00F65466">
        <w:t>5</w:t>
      </w:r>
      <w:r w:rsidRPr="00F65466">
        <w:t xml:space="preserve"> publiceras under hösten 202</w:t>
      </w:r>
      <w:r w:rsidR="00A22255" w:rsidRPr="00F65466">
        <w:t>6</w:t>
      </w:r>
      <w:r w:rsidRPr="00F65466">
        <w:t>.</w:t>
      </w:r>
    </w:p>
    <w:p w14:paraId="13D7D2C1" w14:textId="77777777" w:rsidR="004B746A" w:rsidRDefault="004B746A" w:rsidP="00797873">
      <w:pPr>
        <w:pStyle w:val="ANormal"/>
      </w:pPr>
    </w:p>
    <w:p w14:paraId="451A8FC1" w14:textId="77777777" w:rsidR="004B746A" w:rsidRDefault="004B746A">
      <w:pPr>
        <w:pStyle w:val="ANormal"/>
        <w:jc w:val="center"/>
      </w:pPr>
      <w:hyperlink w:anchor="_top" w:tooltip="Klicka för att gå till toppen av dokumentet" w:history="1">
        <w:r>
          <w:rPr>
            <w:rStyle w:val="Hyperlnk"/>
          </w:rPr>
          <w:t>__________________</w:t>
        </w:r>
      </w:hyperlink>
    </w:p>
    <w:p w14:paraId="4E02C8E5" w14:textId="5BE1DD25" w:rsidR="002D33F5" w:rsidRDefault="002D33F5">
      <w:pPr>
        <w:rPr>
          <w:rStyle w:val="Hyperlnk"/>
          <w:sz w:val="22"/>
          <w:szCs w:val="20"/>
        </w:rPr>
      </w:pPr>
      <w:r>
        <w:rPr>
          <w:rStyle w:val="Hyperlnk"/>
        </w:rPr>
        <w:br w:type="page"/>
      </w:r>
    </w:p>
    <w:p w14:paraId="409EA3CC" w14:textId="77777777" w:rsidR="00C734C8" w:rsidRPr="004B746A" w:rsidRDefault="00C734C8" w:rsidP="004B746A">
      <w:pPr>
        <w:pStyle w:val="ANormal"/>
      </w:pPr>
    </w:p>
    <w:p w14:paraId="7C9BA7AB" w14:textId="77777777" w:rsidR="00AF3004" w:rsidRDefault="00AF3004">
      <w:pPr>
        <w:pStyle w:val="Innehll1"/>
      </w:pPr>
      <w:r>
        <w:t>INNEHÅLL</w:t>
      </w:r>
    </w:p>
    <w:p w14:paraId="4AFBBBE7" w14:textId="51A2508B" w:rsidR="00000056" w:rsidRDefault="00AF3004">
      <w:pPr>
        <w:pStyle w:val="Innehll1"/>
        <w:rPr>
          <w:rFonts w:asciiTheme="minorHAnsi" w:eastAsiaTheme="minorEastAsia" w:hAnsiTheme="minorHAnsi" w:cstheme="minorBidi"/>
          <w:kern w:val="2"/>
          <w:sz w:val="24"/>
          <w:szCs w:val="24"/>
          <w:lang w:val="sv-FI" w:eastAsia="sv-FI"/>
          <w14:ligatures w14:val="standardContextual"/>
        </w:rPr>
      </w:pPr>
      <w:r>
        <w:fldChar w:fldCharType="begin"/>
      </w:r>
      <w:r>
        <w:instrText xml:space="preserve"> TOC \o "1-3" \h \z </w:instrText>
      </w:r>
      <w:r>
        <w:fldChar w:fldCharType="separate"/>
      </w:r>
      <w:hyperlink w:anchor="_Toc194570770" w:history="1">
        <w:r w:rsidR="00000056" w:rsidRPr="00AD2562">
          <w:rPr>
            <w:rStyle w:val="Hyperlnk"/>
          </w:rPr>
          <w:t>Huvudsakligt innehåll</w:t>
        </w:r>
        <w:r w:rsidR="00000056">
          <w:rPr>
            <w:webHidden/>
          </w:rPr>
          <w:tab/>
        </w:r>
        <w:r w:rsidR="00000056">
          <w:rPr>
            <w:webHidden/>
          </w:rPr>
          <w:fldChar w:fldCharType="begin"/>
        </w:r>
        <w:r w:rsidR="00000056">
          <w:rPr>
            <w:webHidden/>
          </w:rPr>
          <w:instrText xml:space="preserve"> PAGEREF _Toc194570770 \h </w:instrText>
        </w:r>
        <w:r w:rsidR="00000056">
          <w:rPr>
            <w:webHidden/>
          </w:rPr>
        </w:r>
        <w:r w:rsidR="00000056">
          <w:rPr>
            <w:webHidden/>
          </w:rPr>
          <w:fldChar w:fldCharType="separate"/>
        </w:r>
        <w:r w:rsidR="00000056">
          <w:rPr>
            <w:webHidden/>
          </w:rPr>
          <w:t>1</w:t>
        </w:r>
        <w:r w:rsidR="00000056">
          <w:rPr>
            <w:webHidden/>
          </w:rPr>
          <w:fldChar w:fldCharType="end"/>
        </w:r>
      </w:hyperlink>
    </w:p>
    <w:p w14:paraId="36645E84" w14:textId="5A2F5E10" w:rsidR="00000056" w:rsidRDefault="00000056">
      <w:pPr>
        <w:pStyle w:val="Innehll1"/>
        <w:rPr>
          <w:rFonts w:asciiTheme="minorHAnsi" w:eastAsiaTheme="minorEastAsia" w:hAnsiTheme="minorHAnsi" w:cstheme="minorBidi"/>
          <w:kern w:val="2"/>
          <w:sz w:val="24"/>
          <w:szCs w:val="24"/>
          <w:lang w:val="sv-FI" w:eastAsia="sv-FI"/>
          <w14:ligatures w14:val="standardContextual"/>
        </w:rPr>
      </w:pPr>
      <w:hyperlink w:anchor="_Toc194570771" w:history="1">
        <w:r w:rsidRPr="00AD2562">
          <w:rPr>
            <w:rStyle w:val="Hyperlnk"/>
          </w:rPr>
          <w:t>Allmän motivering</w:t>
        </w:r>
        <w:r>
          <w:rPr>
            <w:webHidden/>
          </w:rPr>
          <w:tab/>
        </w:r>
        <w:r>
          <w:rPr>
            <w:webHidden/>
          </w:rPr>
          <w:fldChar w:fldCharType="begin"/>
        </w:r>
        <w:r>
          <w:rPr>
            <w:webHidden/>
          </w:rPr>
          <w:instrText xml:space="preserve"> PAGEREF _Toc194570771 \h </w:instrText>
        </w:r>
        <w:r>
          <w:rPr>
            <w:webHidden/>
          </w:rPr>
        </w:r>
        <w:r>
          <w:rPr>
            <w:webHidden/>
          </w:rPr>
          <w:fldChar w:fldCharType="separate"/>
        </w:r>
        <w:r>
          <w:rPr>
            <w:webHidden/>
          </w:rPr>
          <w:t>3</w:t>
        </w:r>
        <w:r>
          <w:rPr>
            <w:webHidden/>
          </w:rPr>
          <w:fldChar w:fldCharType="end"/>
        </w:r>
      </w:hyperlink>
    </w:p>
    <w:p w14:paraId="438AC060" w14:textId="434D633F" w:rsidR="00000056" w:rsidRDefault="00000056">
      <w:pPr>
        <w:pStyle w:val="Innehll2"/>
        <w:rPr>
          <w:rFonts w:asciiTheme="minorHAnsi" w:eastAsiaTheme="minorEastAsia" w:hAnsiTheme="minorHAnsi" w:cstheme="minorBidi"/>
          <w:kern w:val="2"/>
          <w:sz w:val="24"/>
          <w:szCs w:val="24"/>
          <w:lang w:val="sv-FI" w:eastAsia="sv-FI"/>
          <w14:ligatures w14:val="standardContextual"/>
        </w:rPr>
      </w:pPr>
      <w:hyperlink w:anchor="_Toc194570772" w:history="1">
        <w:r w:rsidRPr="00AD2562">
          <w:rPr>
            <w:rStyle w:val="Hyperlnk"/>
          </w:rPr>
          <w:t>1. Bakgrund</w:t>
        </w:r>
        <w:r>
          <w:rPr>
            <w:webHidden/>
          </w:rPr>
          <w:tab/>
        </w:r>
        <w:r>
          <w:rPr>
            <w:webHidden/>
          </w:rPr>
          <w:fldChar w:fldCharType="begin"/>
        </w:r>
        <w:r>
          <w:rPr>
            <w:webHidden/>
          </w:rPr>
          <w:instrText xml:space="preserve"> PAGEREF _Toc194570772 \h </w:instrText>
        </w:r>
        <w:r>
          <w:rPr>
            <w:webHidden/>
          </w:rPr>
        </w:r>
        <w:r>
          <w:rPr>
            <w:webHidden/>
          </w:rPr>
          <w:fldChar w:fldCharType="separate"/>
        </w:r>
        <w:r>
          <w:rPr>
            <w:webHidden/>
          </w:rPr>
          <w:t>3</w:t>
        </w:r>
        <w:r>
          <w:rPr>
            <w:webHidden/>
          </w:rPr>
          <w:fldChar w:fldCharType="end"/>
        </w:r>
      </w:hyperlink>
    </w:p>
    <w:p w14:paraId="3D02F539" w14:textId="7CEAE506" w:rsidR="00000056" w:rsidRDefault="00000056">
      <w:pPr>
        <w:pStyle w:val="Innehll3"/>
        <w:rPr>
          <w:rFonts w:asciiTheme="minorHAnsi" w:eastAsiaTheme="minorEastAsia" w:hAnsiTheme="minorHAnsi" w:cstheme="minorBidi"/>
          <w:kern w:val="2"/>
          <w:sz w:val="24"/>
          <w:szCs w:val="24"/>
          <w:lang w:val="sv-FI" w:eastAsia="sv-FI"/>
          <w14:ligatures w14:val="standardContextual"/>
        </w:rPr>
      </w:pPr>
      <w:hyperlink w:anchor="_Toc194570773" w:history="1">
        <w:r w:rsidRPr="00AD2562">
          <w:rPr>
            <w:rStyle w:val="Hyperlnk"/>
          </w:rPr>
          <w:t>1.1 Grunden för den kommunala självstyrelsen</w:t>
        </w:r>
        <w:r>
          <w:rPr>
            <w:webHidden/>
          </w:rPr>
          <w:tab/>
        </w:r>
        <w:r>
          <w:rPr>
            <w:webHidden/>
          </w:rPr>
          <w:fldChar w:fldCharType="begin"/>
        </w:r>
        <w:r>
          <w:rPr>
            <w:webHidden/>
          </w:rPr>
          <w:instrText xml:space="preserve"> PAGEREF _Toc194570773 \h </w:instrText>
        </w:r>
        <w:r>
          <w:rPr>
            <w:webHidden/>
          </w:rPr>
        </w:r>
        <w:r>
          <w:rPr>
            <w:webHidden/>
          </w:rPr>
          <w:fldChar w:fldCharType="separate"/>
        </w:r>
        <w:r>
          <w:rPr>
            <w:webHidden/>
          </w:rPr>
          <w:t>3</w:t>
        </w:r>
        <w:r>
          <w:rPr>
            <w:webHidden/>
          </w:rPr>
          <w:fldChar w:fldCharType="end"/>
        </w:r>
      </w:hyperlink>
    </w:p>
    <w:p w14:paraId="35865716" w14:textId="13399568" w:rsidR="00000056" w:rsidRDefault="00000056">
      <w:pPr>
        <w:pStyle w:val="Innehll3"/>
        <w:rPr>
          <w:rFonts w:asciiTheme="minorHAnsi" w:eastAsiaTheme="minorEastAsia" w:hAnsiTheme="minorHAnsi" w:cstheme="minorBidi"/>
          <w:kern w:val="2"/>
          <w:sz w:val="24"/>
          <w:szCs w:val="24"/>
          <w:lang w:val="sv-FI" w:eastAsia="sv-FI"/>
          <w14:ligatures w14:val="standardContextual"/>
        </w:rPr>
      </w:pPr>
      <w:hyperlink w:anchor="_Toc194570774" w:history="1">
        <w:r w:rsidRPr="00AD2562">
          <w:rPr>
            <w:rStyle w:val="Hyperlnk"/>
          </w:rPr>
          <w:t>1.2 Kommunernas ekonomiska situation</w:t>
        </w:r>
        <w:r>
          <w:rPr>
            <w:webHidden/>
          </w:rPr>
          <w:tab/>
        </w:r>
        <w:r>
          <w:rPr>
            <w:webHidden/>
          </w:rPr>
          <w:fldChar w:fldCharType="begin"/>
        </w:r>
        <w:r>
          <w:rPr>
            <w:webHidden/>
          </w:rPr>
          <w:instrText xml:space="preserve"> PAGEREF _Toc194570774 \h </w:instrText>
        </w:r>
        <w:r>
          <w:rPr>
            <w:webHidden/>
          </w:rPr>
        </w:r>
        <w:r>
          <w:rPr>
            <w:webHidden/>
          </w:rPr>
          <w:fldChar w:fldCharType="separate"/>
        </w:r>
        <w:r>
          <w:rPr>
            <w:webHidden/>
          </w:rPr>
          <w:t>3</w:t>
        </w:r>
        <w:r>
          <w:rPr>
            <w:webHidden/>
          </w:rPr>
          <w:fldChar w:fldCharType="end"/>
        </w:r>
      </w:hyperlink>
    </w:p>
    <w:p w14:paraId="7DC7B67D" w14:textId="7D596C89" w:rsidR="00000056" w:rsidRDefault="00000056">
      <w:pPr>
        <w:pStyle w:val="Innehll3"/>
        <w:rPr>
          <w:rFonts w:asciiTheme="minorHAnsi" w:eastAsiaTheme="minorEastAsia" w:hAnsiTheme="minorHAnsi" w:cstheme="minorBidi"/>
          <w:kern w:val="2"/>
          <w:sz w:val="24"/>
          <w:szCs w:val="24"/>
          <w:lang w:val="sv-FI" w:eastAsia="sv-FI"/>
          <w14:ligatures w14:val="standardContextual"/>
        </w:rPr>
      </w:pPr>
      <w:hyperlink w:anchor="_Toc194570775" w:history="1">
        <w:r w:rsidRPr="00AD2562">
          <w:rPr>
            <w:rStyle w:val="Hyperlnk"/>
          </w:rPr>
          <w:t>1.3 Behov av åtgärder</w:t>
        </w:r>
        <w:r>
          <w:rPr>
            <w:webHidden/>
          </w:rPr>
          <w:tab/>
        </w:r>
        <w:r>
          <w:rPr>
            <w:webHidden/>
          </w:rPr>
          <w:fldChar w:fldCharType="begin"/>
        </w:r>
        <w:r>
          <w:rPr>
            <w:webHidden/>
          </w:rPr>
          <w:instrText xml:space="preserve"> PAGEREF _Toc194570775 \h </w:instrText>
        </w:r>
        <w:r>
          <w:rPr>
            <w:webHidden/>
          </w:rPr>
        </w:r>
        <w:r>
          <w:rPr>
            <w:webHidden/>
          </w:rPr>
          <w:fldChar w:fldCharType="separate"/>
        </w:r>
        <w:r>
          <w:rPr>
            <w:webHidden/>
          </w:rPr>
          <w:t>5</w:t>
        </w:r>
        <w:r>
          <w:rPr>
            <w:webHidden/>
          </w:rPr>
          <w:fldChar w:fldCharType="end"/>
        </w:r>
      </w:hyperlink>
    </w:p>
    <w:p w14:paraId="71B0CEE5" w14:textId="095B0451" w:rsidR="00000056" w:rsidRDefault="00000056">
      <w:pPr>
        <w:pStyle w:val="Innehll2"/>
        <w:rPr>
          <w:rFonts w:asciiTheme="minorHAnsi" w:eastAsiaTheme="minorEastAsia" w:hAnsiTheme="minorHAnsi" w:cstheme="minorBidi"/>
          <w:kern w:val="2"/>
          <w:sz w:val="24"/>
          <w:szCs w:val="24"/>
          <w:lang w:val="sv-FI" w:eastAsia="sv-FI"/>
          <w14:ligatures w14:val="standardContextual"/>
        </w:rPr>
      </w:pPr>
      <w:hyperlink w:anchor="_Toc194570776" w:history="1">
        <w:r w:rsidRPr="00AD2562">
          <w:rPr>
            <w:rStyle w:val="Hyperlnk"/>
          </w:rPr>
          <w:t>2. Lagstiftningsbehörighet och gällande lagstiftning</w:t>
        </w:r>
        <w:r>
          <w:rPr>
            <w:webHidden/>
          </w:rPr>
          <w:tab/>
        </w:r>
        <w:r>
          <w:rPr>
            <w:webHidden/>
          </w:rPr>
          <w:fldChar w:fldCharType="begin"/>
        </w:r>
        <w:r>
          <w:rPr>
            <w:webHidden/>
          </w:rPr>
          <w:instrText xml:space="preserve"> PAGEREF _Toc194570776 \h </w:instrText>
        </w:r>
        <w:r>
          <w:rPr>
            <w:webHidden/>
          </w:rPr>
        </w:r>
        <w:r>
          <w:rPr>
            <w:webHidden/>
          </w:rPr>
          <w:fldChar w:fldCharType="separate"/>
        </w:r>
        <w:r>
          <w:rPr>
            <w:webHidden/>
          </w:rPr>
          <w:t>5</w:t>
        </w:r>
        <w:r>
          <w:rPr>
            <w:webHidden/>
          </w:rPr>
          <w:fldChar w:fldCharType="end"/>
        </w:r>
      </w:hyperlink>
    </w:p>
    <w:p w14:paraId="26FE2034" w14:textId="528A524E" w:rsidR="00000056" w:rsidRDefault="00000056">
      <w:pPr>
        <w:pStyle w:val="Innehll3"/>
        <w:rPr>
          <w:rFonts w:asciiTheme="minorHAnsi" w:eastAsiaTheme="minorEastAsia" w:hAnsiTheme="minorHAnsi" w:cstheme="minorBidi"/>
          <w:kern w:val="2"/>
          <w:sz w:val="24"/>
          <w:szCs w:val="24"/>
          <w:lang w:val="sv-FI" w:eastAsia="sv-FI"/>
          <w14:ligatures w14:val="standardContextual"/>
        </w:rPr>
      </w:pPr>
      <w:hyperlink w:anchor="_Toc194570777" w:history="1">
        <w:r w:rsidRPr="00AD2562">
          <w:rPr>
            <w:rStyle w:val="Hyperlnk"/>
          </w:rPr>
          <w:t>2.1 Lagstiftningsbehörigheten</w:t>
        </w:r>
        <w:r>
          <w:rPr>
            <w:webHidden/>
          </w:rPr>
          <w:tab/>
        </w:r>
        <w:r>
          <w:rPr>
            <w:webHidden/>
          </w:rPr>
          <w:fldChar w:fldCharType="begin"/>
        </w:r>
        <w:r>
          <w:rPr>
            <w:webHidden/>
          </w:rPr>
          <w:instrText xml:space="preserve"> PAGEREF _Toc194570777 \h </w:instrText>
        </w:r>
        <w:r>
          <w:rPr>
            <w:webHidden/>
          </w:rPr>
        </w:r>
        <w:r>
          <w:rPr>
            <w:webHidden/>
          </w:rPr>
          <w:fldChar w:fldCharType="separate"/>
        </w:r>
        <w:r>
          <w:rPr>
            <w:webHidden/>
          </w:rPr>
          <w:t>5</w:t>
        </w:r>
        <w:r>
          <w:rPr>
            <w:webHidden/>
          </w:rPr>
          <w:fldChar w:fldCharType="end"/>
        </w:r>
      </w:hyperlink>
    </w:p>
    <w:p w14:paraId="7E262BDA" w14:textId="6F229F7A" w:rsidR="00000056" w:rsidRDefault="00000056">
      <w:pPr>
        <w:pStyle w:val="Innehll3"/>
        <w:rPr>
          <w:rFonts w:asciiTheme="minorHAnsi" w:eastAsiaTheme="minorEastAsia" w:hAnsiTheme="minorHAnsi" w:cstheme="minorBidi"/>
          <w:kern w:val="2"/>
          <w:sz w:val="24"/>
          <w:szCs w:val="24"/>
          <w:lang w:val="sv-FI" w:eastAsia="sv-FI"/>
          <w14:ligatures w14:val="standardContextual"/>
        </w:rPr>
      </w:pPr>
      <w:hyperlink w:anchor="_Toc194570778" w:history="1">
        <w:r w:rsidRPr="00AD2562">
          <w:rPr>
            <w:rStyle w:val="Hyperlnk"/>
          </w:rPr>
          <w:t>2.2 Bestämmelser om kommunernas ekonomi</w:t>
        </w:r>
        <w:r>
          <w:rPr>
            <w:webHidden/>
          </w:rPr>
          <w:tab/>
        </w:r>
        <w:r>
          <w:rPr>
            <w:webHidden/>
          </w:rPr>
          <w:fldChar w:fldCharType="begin"/>
        </w:r>
        <w:r>
          <w:rPr>
            <w:webHidden/>
          </w:rPr>
          <w:instrText xml:space="preserve"> PAGEREF _Toc194570778 \h </w:instrText>
        </w:r>
        <w:r>
          <w:rPr>
            <w:webHidden/>
          </w:rPr>
        </w:r>
        <w:r>
          <w:rPr>
            <w:webHidden/>
          </w:rPr>
          <w:fldChar w:fldCharType="separate"/>
        </w:r>
        <w:r>
          <w:rPr>
            <w:webHidden/>
          </w:rPr>
          <w:t>6</w:t>
        </w:r>
        <w:r>
          <w:rPr>
            <w:webHidden/>
          </w:rPr>
          <w:fldChar w:fldCharType="end"/>
        </w:r>
      </w:hyperlink>
    </w:p>
    <w:p w14:paraId="196D368B" w14:textId="3AF6853C" w:rsidR="00000056" w:rsidRDefault="00000056">
      <w:pPr>
        <w:pStyle w:val="Innehll3"/>
        <w:rPr>
          <w:rFonts w:asciiTheme="minorHAnsi" w:eastAsiaTheme="minorEastAsia" w:hAnsiTheme="minorHAnsi" w:cstheme="minorBidi"/>
          <w:kern w:val="2"/>
          <w:sz w:val="24"/>
          <w:szCs w:val="24"/>
          <w:lang w:val="sv-FI" w:eastAsia="sv-FI"/>
          <w14:ligatures w14:val="standardContextual"/>
        </w:rPr>
      </w:pPr>
      <w:hyperlink w:anchor="_Toc194570779" w:history="1">
        <w:r w:rsidRPr="00AD2562">
          <w:rPr>
            <w:rStyle w:val="Hyperlnk"/>
          </w:rPr>
          <w:t>2.3 Bestämmelser om kommunindelning</w:t>
        </w:r>
        <w:r>
          <w:rPr>
            <w:webHidden/>
          </w:rPr>
          <w:tab/>
        </w:r>
        <w:r>
          <w:rPr>
            <w:webHidden/>
          </w:rPr>
          <w:fldChar w:fldCharType="begin"/>
        </w:r>
        <w:r>
          <w:rPr>
            <w:webHidden/>
          </w:rPr>
          <w:instrText xml:space="preserve"> PAGEREF _Toc194570779 \h </w:instrText>
        </w:r>
        <w:r>
          <w:rPr>
            <w:webHidden/>
          </w:rPr>
        </w:r>
        <w:r>
          <w:rPr>
            <w:webHidden/>
          </w:rPr>
          <w:fldChar w:fldCharType="separate"/>
        </w:r>
        <w:r>
          <w:rPr>
            <w:webHidden/>
          </w:rPr>
          <w:t>6</w:t>
        </w:r>
        <w:r>
          <w:rPr>
            <w:webHidden/>
          </w:rPr>
          <w:fldChar w:fldCharType="end"/>
        </w:r>
      </w:hyperlink>
    </w:p>
    <w:p w14:paraId="0DD23F27" w14:textId="4B4E4E39" w:rsidR="00000056" w:rsidRDefault="00000056">
      <w:pPr>
        <w:pStyle w:val="Innehll2"/>
        <w:rPr>
          <w:rFonts w:asciiTheme="minorHAnsi" w:eastAsiaTheme="minorEastAsia" w:hAnsiTheme="minorHAnsi" w:cstheme="minorBidi"/>
          <w:kern w:val="2"/>
          <w:sz w:val="24"/>
          <w:szCs w:val="24"/>
          <w:lang w:val="sv-FI" w:eastAsia="sv-FI"/>
          <w14:ligatures w14:val="standardContextual"/>
        </w:rPr>
      </w:pPr>
      <w:hyperlink w:anchor="_Toc194570780" w:history="1">
        <w:r w:rsidRPr="00AD2562">
          <w:rPr>
            <w:rStyle w:val="Hyperlnk"/>
          </w:rPr>
          <w:t>3. Utblick</w:t>
        </w:r>
        <w:r>
          <w:rPr>
            <w:webHidden/>
          </w:rPr>
          <w:tab/>
        </w:r>
        <w:r>
          <w:rPr>
            <w:webHidden/>
          </w:rPr>
          <w:fldChar w:fldCharType="begin"/>
        </w:r>
        <w:r>
          <w:rPr>
            <w:webHidden/>
          </w:rPr>
          <w:instrText xml:space="preserve"> PAGEREF _Toc194570780 \h </w:instrText>
        </w:r>
        <w:r>
          <w:rPr>
            <w:webHidden/>
          </w:rPr>
        </w:r>
        <w:r>
          <w:rPr>
            <w:webHidden/>
          </w:rPr>
          <w:fldChar w:fldCharType="separate"/>
        </w:r>
        <w:r>
          <w:rPr>
            <w:webHidden/>
          </w:rPr>
          <w:t>8</w:t>
        </w:r>
        <w:r>
          <w:rPr>
            <w:webHidden/>
          </w:rPr>
          <w:fldChar w:fldCharType="end"/>
        </w:r>
      </w:hyperlink>
    </w:p>
    <w:p w14:paraId="55CD67AD" w14:textId="12C15FA1" w:rsidR="00000056" w:rsidRDefault="00000056">
      <w:pPr>
        <w:pStyle w:val="Innehll3"/>
        <w:rPr>
          <w:rFonts w:asciiTheme="minorHAnsi" w:eastAsiaTheme="minorEastAsia" w:hAnsiTheme="minorHAnsi" w:cstheme="minorBidi"/>
          <w:kern w:val="2"/>
          <w:sz w:val="24"/>
          <w:szCs w:val="24"/>
          <w:lang w:val="sv-FI" w:eastAsia="sv-FI"/>
          <w14:ligatures w14:val="standardContextual"/>
        </w:rPr>
      </w:pPr>
      <w:hyperlink w:anchor="_Toc194570781" w:history="1">
        <w:r w:rsidRPr="00AD2562">
          <w:rPr>
            <w:rStyle w:val="Hyperlnk"/>
          </w:rPr>
          <w:t>3.1 Inledning</w:t>
        </w:r>
        <w:r>
          <w:rPr>
            <w:webHidden/>
          </w:rPr>
          <w:tab/>
        </w:r>
        <w:r>
          <w:rPr>
            <w:webHidden/>
          </w:rPr>
          <w:fldChar w:fldCharType="begin"/>
        </w:r>
        <w:r>
          <w:rPr>
            <w:webHidden/>
          </w:rPr>
          <w:instrText xml:space="preserve"> PAGEREF _Toc194570781 \h </w:instrText>
        </w:r>
        <w:r>
          <w:rPr>
            <w:webHidden/>
          </w:rPr>
        </w:r>
        <w:r>
          <w:rPr>
            <w:webHidden/>
          </w:rPr>
          <w:fldChar w:fldCharType="separate"/>
        </w:r>
        <w:r>
          <w:rPr>
            <w:webHidden/>
          </w:rPr>
          <w:t>8</w:t>
        </w:r>
        <w:r>
          <w:rPr>
            <w:webHidden/>
          </w:rPr>
          <w:fldChar w:fldCharType="end"/>
        </w:r>
      </w:hyperlink>
    </w:p>
    <w:p w14:paraId="440F2DA4" w14:textId="3CC40CE7" w:rsidR="00000056" w:rsidRDefault="00000056">
      <w:pPr>
        <w:pStyle w:val="Innehll3"/>
        <w:rPr>
          <w:rFonts w:asciiTheme="minorHAnsi" w:eastAsiaTheme="minorEastAsia" w:hAnsiTheme="minorHAnsi" w:cstheme="minorBidi"/>
          <w:kern w:val="2"/>
          <w:sz w:val="24"/>
          <w:szCs w:val="24"/>
          <w:lang w:val="sv-FI" w:eastAsia="sv-FI"/>
          <w14:ligatures w14:val="standardContextual"/>
        </w:rPr>
      </w:pPr>
      <w:hyperlink w:anchor="_Toc194570782" w:history="1">
        <w:r w:rsidRPr="00AD2562">
          <w:rPr>
            <w:rStyle w:val="Hyperlnk"/>
          </w:rPr>
          <w:t>3.2 Riket</w:t>
        </w:r>
        <w:r>
          <w:rPr>
            <w:webHidden/>
          </w:rPr>
          <w:tab/>
        </w:r>
        <w:r>
          <w:rPr>
            <w:webHidden/>
          </w:rPr>
          <w:fldChar w:fldCharType="begin"/>
        </w:r>
        <w:r>
          <w:rPr>
            <w:webHidden/>
          </w:rPr>
          <w:instrText xml:space="preserve"> PAGEREF _Toc194570782 \h </w:instrText>
        </w:r>
        <w:r>
          <w:rPr>
            <w:webHidden/>
          </w:rPr>
        </w:r>
        <w:r>
          <w:rPr>
            <w:webHidden/>
          </w:rPr>
          <w:fldChar w:fldCharType="separate"/>
        </w:r>
        <w:r>
          <w:rPr>
            <w:webHidden/>
          </w:rPr>
          <w:t>8</w:t>
        </w:r>
        <w:r>
          <w:rPr>
            <w:webHidden/>
          </w:rPr>
          <w:fldChar w:fldCharType="end"/>
        </w:r>
      </w:hyperlink>
    </w:p>
    <w:p w14:paraId="1556C599" w14:textId="4C133E9C" w:rsidR="00000056" w:rsidRDefault="00000056">
      <w:pPr>
        <w:pStyle w:val="Innehll3"/>
        <w:rPr>
          <w:rFonts w:asciiTheme="minorHAnsi" w:eastAsiaTheme="minorEastAsia" w:hAnsiTheme="minorHAnsi" w:cstheme="minorBidi"/>
          <w:kern w:val="2"/>
          <w:sz w:val="24"/>
          <w:szCs w:val="24"/>
          <w:lang w:val="sv-FI" w:eastAsia="sv-FI"/>
          <w14:ligatures w14:val="standardContextual"/>
        </w:rPr>
      </w:pPr>
      <w:hyperlink w:anchor="_Toc194570783" w:history="1">
        <w:r w:rsidRPr="00AD2562">
          <w:rPr>
            <w:rStyle w:val="Hyperlnk"/>
          </w:rPr>
          <w:t>3.3 Sverige</w:t>
        </w:r>
        <w:r>
          <w:rPr>
            <w:webHidden/>
          </w:rPr>
          <w:tab/>
        </w:r>
        <w:r>
          <w:rPr>
            <w:webHidden/>
          </w:rPr>
          <w:fldChar w:fldCharType="begin"/>
        </w:r>
        <w:r>
          <w:rPr>
            <w:webHidden/>
          </w:rPr>
          <w:instrText xml:space="preserve"> PAGEREF _Toc194570783 \h </w:instrText>
        </w:r>
        <w:r>
          <w:rPr>
            <w:webHidden/>
          </w:rPr>
        </w:r>
        <w:r>
          <w:rPr>
            <w:webHidden/>
          </w:rPr>
          <w:fldChar w:fldCharType="separate"/>
        </w:r>
        <w:r>
          <w:rPr>
            <w:webHidden/>
          </w:rPr>
          <w:t>10</w:t>
        </w:r>
        <w:r>
          <w:rPr>
            <w:webHidden/>
          </w:rPr>
          <w:fldChar w:fldCharType="end"/>
        </w:r>
      </w:hyperlink>
    </w:p>
    <w:p w14:paraId="3CE729F7" w14:textId="071DE3CA" w:rsidR="00000056" w:rsidRDefault="00000056">
      <w:pPr>
        <w:pStyle w:val="Innehll3"/>
        <w:rPr>
          <w:rFonts w:asciiTheme="minorHAnsi" w:eastAsiaTheme="minorEastAsia" w:hAnsiTheme="minorHAnsi" w:cstheme="minorBidi"/>
          <w:kern w:val="2"/>
          <w:sz w:val="24"/>
          <w:szCs w:val="24"/>
          <w:lang w:val="sv-FI" w:eastAsia="sv-FI"/>
          <w14:ligatures w14:val="standardContextual"/>
        </w:rPr>
      </w:pPr>
      <w:hyperlink w:anchor="_Toc194570784" w:history="1">
        <w:r w:rsidRPr="00AD2562">
          <w:rPr>
            <w:rStyle w:val="Hyperlnk"/>
          </w:rPr>
          <w:t>3.4 Norge</w:t>
        </w:r>
        <w:r>
          <w:rPr>
            <w:webHidden/>
          </w:rPr>
          <w:tab/>
        </w:r>
        <w:r>
          <w:rPr>
            <w:webHidden/>
          </w:rPr>
          <w:fldChar w:fldCharType="begin"/>
        </w:r>
        <w:r>
          <w:rPr>
            <w:webHidden/>
          </w:rPr>
          <w:instrText xml:space="preserve"> PAGEREF _Toc194570784 \h </w:instrText>
        </w:r>
        <w:r>
          <w:rPr>
            <w:webHidden/>
          </w:rPr>
        </w:r>
        <w:r>
          <w:rPr>
            <w:webHidden/>
          </w:rPr>
          <w:fldChar w:fldCharType="separate"/>
        </w:r>
        <w:r>
          <w:rPr>
            <w:webHidden/>
          </w:rPr>
          <w:t>11</w:t>
        </w:r>
        <w:r>
          <w:rPr>
            <w:webHidden/>
          </w:rPr>
          <w:fldChar w:fldCharType="end"/>
        </w:r>
      </w:hyperlink>
    </w:p>
    <w:p w14:paraId="0B41C917" w14:textId="48D89CE1" w:rsidR="00000056" w:rsidRDefault="00000056">
      <w:pPr>
        <w:pStyle w:val="Innehll3"/>
        <w:rPr>
          <w:rFonts w:asciiTheme="minorHAnsi" w:eastAsiaTheme="minorEastAsia" w:hAnsiTheme="minorHAnsi" w:cstheme="minorBidi"/>
          <w:kern w:val="2"/>
          <w:sz w:val="24"/>
          <w:szCs w:val="24"/>
          <w:lang w:val="sv-FI" w:eastAsia="sv-FI"/>
          <w14:ligatures w14:val="standardContextual"/>
        </w:rPr>
      </w:pPr>
      <w:hyperlink w:anchor="_Toc194570785" w:history="1">
        <w:r w:rsidRPr="00AD2562">
          <w:rPr>
            <w:rStyle w:val="Hyperlnk"/>
          </w:rPr>
          <w:t>3.5 Danmark</w:t>
        </w:r>
        <w:r>
          <w:rPr>
            <w:webHidden/>
          </w:rPr>
          <w:tab/>
        </w:r>
        <w:r>
          <w:rPr>
            <w:webHidden/>
          </w:rPr>
          <w:fldChar w:fldCharType="begin"/>
        </w:r>
        <w:r>
          <w:rPr>
            <w:webHidden/>
          </w:rPr>
          <w:instrText xml:space="preserve"> PAGEREF _Toc194570785 \h </w:instrText>
        </w:r>
        <w:r>
          <w:rPr>
            <w:webHidden/>
          </w:rPr>
        </w:r>
        <w:r>
          <w:rPr>
            <w:webHidden/>
          </w:rPr>
          <w:fldChar w:fldCharType="separate"/>
        </w:r>
        <w:r>
          <w:rPr>
            <w:webHidden/>
          </w:rPr>
          <w:t>12</w:t>
        </w:r>
        <w:r>
          <w:rPr>
            <w:webHidden/>
          </w:rPr>
          <w:fldChar w:fldCharType="end"/>
        </w:r>
      </w:hyperlink>
    </w:p>
    <w:p w14:paraId="75CC4175" w14:textId="2956565A" w:rsidR="00000056" w:rsidRDefault="00000056">
      <w:pPr>
        <w:pStyle w:val="Innehll3"/>
        <w:rPr>
          <w:rFonts w:asciiTheme="minorHAnsi" w:eastAsiaTheme="minorEastAsia" w:hAnsiTheme="minorHAnsi" w:cstheme="minorBidi"/>
          <w:kern w:val="2"/>
          <w:sz w:val="24"/>
          <w:szCs w:val="24"/>
          <w:lang w:val="sv-FI" w:eastAsia="sv-FI"/>
          <w14:ligatures w14:val="standardContextual"/>
        </w:rPr>
      </w:pPr>
      <w:hyperlink w:anchor="_Toc194570786" w:history="1">
        <w:r w:rsidRPr="00AD2562">
          <w:rPr>
            <w:rStyle w:val="Hyperlnk"/>
          </w:rPr>
          <w:t>3.6 Island</w:t>
        </w:r>
        <w:r>
          <w:rPr>
            <w:webHidden/>
          </w:rPr>
          <w:tab/>
        </w:r>
        <w:r>
          <w:rPr>
            <w:webHidden/>
          </w:rPr>
          <w:fldChar w:fldCharType="begin"/>
        </w:r>
        <w:r>
          <w:rPr>
            <w:webHidden/>
          </w:rPr>
          <w:instrText xml:space="preserve"> PAGEREF _Toc194570786 \h </w:instrText>
        </w:r>
        <w:r>
          <w:rPr>
            <w:webHidden/>
          </w:rPr>
        </w:r>
        <w:r>
          <w:rPr>
            <w:webHidden/>
          </w:rPr>
          <w:fldChar w:fldCharType="separate"/>
        </w:r>
        <w:r>
          <w:rPr>
            <w:webHidden/>
          </w:rPr>
          <w:t>12</w:t>
        </w:r>
        <w:r>
          <w:rPr>
            <w:webHidden/>
          </w:rPr>
          <w:fldChar w:fldCharType="end"/>
        </w:r>
      </w:hyperlink>
    </w:p>
    <w:p w14:paraId="37F817FF" w14:textId="2032A1DE" w:rsidR="00000056" w:rsidRDefault="00000056">
      <w:pPr>
        <w:pStyle w:val="Innehll2"/>
        <w:rPr>
          <w:rFonts w:asciiTheme="minorHAnsi" w:eastAsiaTheme="minorEastAsia" w:hAnsiTheme="minorHAnsi" w:cstheme="minorBidi"/>
          <w:kern w:val="2"/>
          <w:sz w:val="24"/>
          <w:szCs w:val="24"/>
          <w:lang w:val="sv-FI" w:eastAsia="sv-FI"/>
          <w14:ligatures w14:val="standardContextual"/>
        </w:rPr>
      </w:pPr>
      <w:hyperlink w:anchor="_Toc194570787" w:history="1">
        <w:r w:rsidRPr="00AD2562">
          <w:rPr>
            <w:rStyle w:val="Hyperlnk"/>
          </w:rPr>
          <w:t>4. Överväganden</w:t>
        </w:r>
        <w:r>
          <w:rPr>
            <w:webHidden/>
          </w:rPr>
          <w:tab/>
        </w:r>
        <w:r>
          <w:rPr>
            <w:webHidden/>
          </w:rPr>
          <w:fldChar w:fldCharType="begin"/>
        </w:r>
        <w:r>
          <w:rPr>
            <w:webHidden/>
          </w:rPr>
          <w:instrText xml:space="preserve"> PAGEREF _Toc194570787 \h </w:instrText>
        </w:r>
        <w:r>
          <w:rPr>
            <w:webHidden/>
          </w:rPr>
        </w:r>
        <w:r>
          <w:rPr>
            <w:webHidden/>
          </w:rPr>
          <w:fldChar w:fldCharType="separate"/>
        </w:r>
        <w:r>
          <w:rPr>
            <w:webHidden/>
          </w:rPr>
          <w:t>12</w:t>
        </w:r>
        <w:r>
          <w:rPr>
            <w:webHidden/>
          </w:rPr>
          <w:fldChar w:fldCharType="end"/>
        </w:r>
      </w:hyperlink>
    </w:p>
    <w:p w14:paraId="43BD5A18" w14:textId="1EBE6797" w:rsidR="00000056" w:rsidRDefault="00000056">
      <w:pPr>
        <w:pStyle w:val="Innehll2"/>
        <w:rPr>
          <w:rFonts w:asciiTheme="minorHAnsi" w:eastAsiaTheme="minorEastAsia" w:hAnsiTheme="minorHAnsi" w:cstheme="minorBidi"/>
          <w:kern w:val="2"/>
          <w:sz w:val="24"/>
          <w:szCs w:val="24"/>
          <w:lang w:val="sv-FI" w:eastAsia="sv-FI"/>
          <w14:ligatures w14:val="standardContextual"/>
        </w:rPr>
      </w:pPr>
      <w:hyperlink w:anchor="_Toc194570788" w:history="1">
        <w:r w:rsidRPr="00AD2562">
          <w:rPr>
            <w:rStyle w:val="Hyperlnk"/>
          </w:rPr>
          <w:t>5. Landskapsregeringens förslag</w:t>
        </w:r>
        <w:r>
          <w:rPr>
            <w:webHidden/>
          </w:rPr>
          <w:tab/>
        </w:r>
        <w:r>
          <w:rPr>
            <w:webHidden/>
          </w:rPr>
          <w:fldChar w:fldCharType="begin"/>
        </w:r>
        <w:r>
          <w:rPr>
            <w:webHidden/>
          </w:rPr>
          <w:instrText xml:space="preserve"> PAGEREF _Toc194570788 \h </w:instrText>
        </w:r>
        <w:r>
          <w:rPr>
            <w:webHidden/>
          </w:rPr>
        </w:r>
        <w:r>
          <w:rPr>
            <w:webHidden/>
          </w:rPr>
          <w:fldChar w:fldCharType="separate"/>
        </w:r>
        <w:r>
          <w:rPr>
            <w:webHidden/>
          </w:rPr>
          <w:t>14</w:t>
        </w:r>
        <w:r>
          <w:rPr>
            <w:webHidden/>
          </w:rPr>
          <w:fldChar w:fldCharType="end"/>
        </w:r>
      </w:hyperlink>
    </w:p>
    <w:p w14:paraId="523616FF" w14:textId="0F183177" w:rsidR="00000056" w:rsidRDefault="00000056">
      <w:pPr>
        <w:pStyle w:val="Innehll3"/>
        <w:rPr>
          <w:rFonts w:asciiTheme="minorHAnsi" w:eastAsiaTheme="minorEastAsia" w:hAnsiTheme="minorHAnsi" w:cstheme="minorBidi"/>
          <w:kern w:val="2"/>
          <w:sz w:val="24"/>
          <w:szCs w:val="24"/>
          <w:lang w:val="sv-FI" w:eastAsia="sv-FI"/>
          <w14:ligatures w14:val="standardContextual"/>
        </w:rPr>
      </w:pPr>
      <w:hyperlink w:anchor="_Toc194570789" w:history="1">
        <w:r w:rsidRPr="00AD2562">
          <w:rPr>
            <w:rStyle w:val="Hyperlnk"/>
          </w:rPr>
          <w:t>5.1 Förslaget i korthet</w:t>
        </w:r>
        <w:r>
          <w:rPr>
            <w:webHidden/>
          </w:rPr>
          <w:tab/>
        </w:r>
        <w:r>
          <w:rPr>
            <w:webHidden/>
          </w:rPr>
          <w:fldChar w:fldCharType="begin"/>
        </w:r>
        <w:r>
          <w:rPr>
            <w:webHidden/>
          </w:rPr>
          <w:instrText xml:space="preserve"> PAGEREF _Toc194570789 \h </w:instrText>
        </w:r>
        <w:r>
          <w:rPr>
            <w:webHidden/>
          </w:rPr>
        </w:r>
        <w:r>
          <w:rPr>
            <w:webHidden/>
          </w:rPr>
          <w:fldChar w:fldCharType="separate"/>
        </w:r>
        <w:r>
          <w:rPr>
            <w:webHidden/>
          </w:rPr>
          <w:t>14</w:t>
        </w:r>
        <w:r>
          <w:rPr>
            <w:webHidden/>
          </w:rPr>
          <w:fldChar w:fldCharType="end"/>
        </w:r>
      </w:hyperlink>
    </w:p>
    <w:p w14:paraId="001D0B09" w14:textId="7F5CE529" w:rsidR="00000056" w:rsidRDefault="00000056">
      <w:pPr>
        <w:pStyle w:val="Innehll3"/>
        <w:rPr>
          <w:rFonts w:asciiTheme="minorHAnsi" w:eastAsiaTheme="minorEastAsia" w:hAnsiTheme="minorHAnsi" w:cstheme="minorBidi"/>
          <w:kern w:val="2"/>
          <w:sz w:val="24"/>
          <w:szCs w:val="24"/>
          <w:lang w:val="sv-FI" w:eastAsia="sv-FI"/>
          <w14:ligatures w14:val="standardContextual"/>
        </w:rPr>
      </w:pPr>
      <w:hyperlink w:anchor="_Toc194570790" w:history="1">
        <w:r w:rsidRPr="00AD2562">
          <w:rPr>
            <w:rStyle w:val="Hyperlnk"/>
          </w:rPr>
          <w:t>5.2 Definitionen av en synnerligen ansträngd ekonomi</w:t>
        </w:r>
        <w:r>
          <w:rPr>
            <w:webHidden/>
          </w:rPr>
          <w:tab/>
        </w:r>
        <w:r>
          <w:rPr>
            <w:webHidden/>
          </w:rPr>
          <w:fldChar w:fldCharType="begin"/>
        </w:r>
        <w:r>
          <w:rPr>
            <w:webHidden/>
          </w:rPr>
          <w:instrText xml:space="preserve"> PAGEREF _Toc194570790 \h </w:instrText>
        </w:r>
        <w:r>
          <w:rPr>
            <w:webHidden/>
          </w:rPr>
        </w:r>
        <w:r>
          <w:rPr>
            <w:webHidden/>
          </w:rPr>
          <w:fldChar w:fldCharType="separate"/>
        </w:r>
        <w:r>
          <w:rPr>
            <w:webHidden/>
          </w:rPr>
          <w:t>14</w:t>
        </w:r>
        <w:r>
          <w:rPr>
            <w:webHidden/>
          </w:rPr>
          <w:fldChar w:fldCharType="end"/>
        </w:r>
      </w:hyperlink>
    </w:p>
    <w:p w14:paraId="753CF5F0" w14:textId="7457B330" w:rsidR="00000056" w:rsidRDefault="00000056">
      <w:pPr>
        <w:pStyle w:val="Innehll3"/>
        <w:rPr>
          <w:rFonts w:asciiTheme="minorHAnsi" w:eastAsiaTheme="minorEastAsia" w:hAnsiTheme="minorHAnsi" w:cstheme="minorBidi"/>
          <w:kern w:val="2"/>
          <w:sz w:val="24"/>
          <w:szCs w:val="24"/>
          <w:lang w:val="sv-FI" w:eastAsia="sv-FI"/>
          <w14:ligatures w14:val="standardContextual"/>
        </w:rPr>
      </w:pPr>
      <w:hyperlink w:anchor="_Toc194570791" w:history="1">
        <w:r w:rsidRPr="00AD2562">
          <w:rPr>
            <w:rStyle w:val="Hyperlnk"/>
          </w:rPr>
          <w:t>5.3 Utvärderingsförfarande</w:t>
        </w:r>
        <w:r>
          <w:rPr>
            <w:webHidden/>
          </w:rPr>
          <w:tab/>
        </w:r>
        <w:r>
          <w:rPr>
            <w:webHidden/>
          </w:rPr>
          <w:fldChar w:fldCharType="begin"/>
        </w:r>
        <w:r>
          <w:rPr>
            <w:webHidden/>
          </w:rPr>
          <w:instrText xml:space="preserve"> PAGEREF _Toc194570791 \h </w:instrText>
        </w:r>
        <w:r>
          <w:rPr>
            <w:webHidden/>
          </w:rPr>
        </w:r>
        <w:r>
          <w:rPr>
            <w:webHidden/>
          </w:rPr>
          <w:fldChar w:fldCharType="separate"/>
        </w:r>
        <w:r>
          <w:rPr>
            <w:webHidden/>
          </w:rPr>
          <w:t>16</w:t>
        </w:r>
        <w:r>
          <w:rPr>
            <w:webHidden/>
          </w:rPr>
          <w:fldChar w:fldCharType="end"/>
        </w:r>
      </w:hyperlink>
    </w:p>
    <w:p w14:paraId="3EB3F5B2" w14:textId="52366B8B" w:rsidR="00000056" w:rsidRDefault="00000056">
      <w:pPr>
        <w:pStyle w:val="Innehll3"/>
        <w:rPr>
          <w:rFonts w:asciiTheme="minorHAnsi" w:eastAsiaTheme="minorEastAsia" w:hAnsiTheme="minorHAnsi" w:cstheme="minorBidi"/>
          <w:kern w:val="2"/>
          <w:sz w:val="24"/>
          <w:szCs w:val="24"/>
          <w:lang w:val="sv-FI" w:eastAsia="sv-FI"/>
          <w14:ligatures w14:val="standardContextual"/>
        </w:rPr>
      </w:pPr>
      <w:hyperlink w:anchor="_Toc194570792" w:history="1">
        <w:r w:rsidRPr="00AD2562">
          <w:rPr>
            <w:rStyle w:val="Hyperlnk"/>
          </w:rPr>
          <w:t>5.4 Ändring av kommunindelningen</w:t>
        </w:r>
        <w:r>
          <w:rPr>
            <w:webHidden/>
          </w:rPr>
          <w:tab/>
        </w:r>
        <w:r>
          <w:rPr>
            <w:webHidden/>
          </w:rPr>
          <w:fldChar w:fldCharType="begin"/>
        </w:r>
        <w:r>
          <w:rPr>
            <w:webHidden/>
          </w:rPr>
          <w:instrText xml:space="preserve"> PAGEREF _Toc194570792 \h </w:instrText>
        </w:r>
        <w:r>
          <w:rPr>
            <w:webHidden/>
          </w:rPr>
        </w:r>
        <w:r>
          <w:rPr>
            <w:webHidden/>
          </w:rPr>
          <w:fldChar w:fldCharType="separate"/>
        </w:r>
        <w:r>
          <w:rPr>
            <w:webHidden/>
          </w:rPr>
          <w:t>17</w:t>
        </w:r>
        <w:r>
          <w:rPr>
            <w:webHidden/>
          </w:rPr>
          <w:fldChar w:fldCharType="end"/>
        </w:r>
      </w:hyperlink>
    </w:p>
    <w:p w14:paraId="18E5791F" w14:textId="5FCC6084" w:rsidR="00000056" w:rsidRDefault="00000056">
      <w:pPr>
        <w:pStyle w:val="Innehll3"/>
        <w:rPr>
          <w:rFonts w:asciiTheme="minorHAnsi" w:eastAsiaTheme="minorEastAsia" w:hAnsiTheme="minorHAnsi" w:cstheme="minorBidi"/>
          <w:kern w:val="2"/>
          <w:sz w:val="24"/>
          <w:szCs w:val="24"/>
          <w:lang w:val="sv-FI" w:eastAsia="sv-FI"/>
          <w14:ligatures w14:val="standardContextual"/>
        </w:rPr>
      </w:pPr>
      <w:hyperlink w:anchor="_Toc194570793" w:history="1">
        <w:r w:rsidRPr="00AD2562">
          <w:rPr>
            <w:rStyle w:val="Hyperlnk"/>
          </w:rPr>
          <w:t>5.5 Komplettering av kommunstrukturlagen</w:t>
        </w:r>
        <w:r>
          <w:rPr>
            <w:webHidden/>
          </w:rPr>
          <w:tab/>
        </w:r>
        <w:r>
          <w:rPr>
            <w:webHidden/>
          </w:rPr>
          <w:fldChar w:fldCharType="begin"/>
        </w:r>
        <w:r>
          <w:rPr>
            <w:webHidden/>
          </w:rPr>
          <w:instrText xml:space="preserve"> PAGEREF _Toc194570793 \h </w:instrText>
        </w:r>
        <w:r>
          <w:rPr>
            <w:webHidden/>
          </w:rPr>
        </w:r>
        <w:r>
          <w:rPr>
            <w:webHidden/>
          </w:rPr>
          <w:fldChar w:fldCharType="separate"/>
        </w:r>
        <w:r>
          <w:rPr>
            <w:webHidden/>
          </w:rPr>
          <w:t>18</w:t>
        </w:r>
        <w:r>
          <w:rPr>
            <w:webHidden/>
          </w:rPr>
          <w:fldChar w:fldCharType="end"/>
        </w:r>
      </w:hyperlink>
    </w:p>
    <w:p w14:paraId="36644A5E" w14:textId="715698D9" w:rsidR="00000056" w:rsidRDefault="00000056">
      <w:pPr>
        <w:pStyle w:val="Innehll2"/>
        <w:rPr>
          <w:rFonts w:asciiTheme="minorHAnsi" w:eastAsiaTheme="minorEastAsia" w:hAnsiTheme="minorHAnsi" w:cstheme="minorBidi"/>
          <w:kern w:val="2"/>
          <w:sz w:val="24"/>
          <w:szCs w:val="24"/>
          <w:lang w:val="sv-FI" w:eastAsia="sv-FI"/>
          <w14:ligatures w14:val="standardContextual"/>
        </w:rPr>
      </w:pPr>
      <w:hyperlink w:anchor="_Toc194570794" w:history="1">
        <w:r w:rsidRPr="00AD2562">
          <w:rPr>
            <w:rStyle w:val="Hyperlnk"/>
          </w:rPr>
          <w:t>6. Förhållande till grundlagen</w:t>
        </w:r>
        <w:r>
          <w:rPr>
            <w:webHidden/>
          </w:rPr>
          <w:tab/>
        </w:r>
        <w:r>
          <w:rPr>
            <w:webHidden/>
          </w:rPr>
          <w:fldChar w:fldCharType="begin"/>
        </w:r>
        <w:r>
          <w:rPr>
            <w:webHidden/>
          </w:rPr>
          <w:instrText xml:space="preserve"> PAGEREF _Toc194570794 \h </w:instrText>
        </w:r>
        <w:r>
          <w:rPr>
            <w:webHidden/>
          </w:rPr>
        </w:r>
        <w:r>
          <w:rPr>
            <w:webHidden/>
          </w:rPr>
          <w:fldChar w:fldCharType="separate"/>
        </w:r>
        <w:r>
          <w:rPr>
            <w:webHidden/>
          </w:rPr>
          <w:t>18</w:t>
        </w:r>
        <w:r>
          <w:rPr>
            <w:webHidden/>
          </w:rPr>
          <w:fldChar w:fldCharType="end"/>
        </w:r>
      </w:hyperlink>
    </w:p>
    <w:p w14:paraId="4085C327" w14:textId="50C95FA4" w:rsidR="00000056" w:rsidRDefault="00000056">
      <w:pPr>
        <w:pStyle w:val="Innehll2"/>
        <w:rPr>
          <w:rFonts w:asciiTheme="minorHAnsi" w:eastAsiaTheme="minorEastAsia" w:hAnsiTheme="minorHAnsi" w:cstheme="minorBidi"/>
          <w:kern w:val="2"/>
          <w:sz w:val="24"/>
          <w:szCs w:val="24"/>
          <w:lang w:val="sv-FI" w:eastAsia="sv-FI"/>
          <w14:ligatures w14:val="standardContextual"/>
        </w:rPr>
      </w:pPr>
      <w:hyperlink w:anchor="_Toc194570795" w:history="1">
        <w:r w:rsidRPr="00AD2562">
          <w:rPr>
            <w:rStyle w:val="Hyperlnk"/>
          </w:rPr>
          <w:t>7. Förslagets konsekvenser</w:t>
        </w:r>
        <w:r>
          <w:rPr>
            <w:webHidden/>
          </w:rPr>
          <w:tab/>
        </w:r>
        <w:r>
          <w:rPr>
            <w:webHidden/>
          </w:rPr>
          <w:fldChar w:fldCharType="begin"/>
        </w:r>
        <w:r>
          <w:rPr>
            <w:webHidden/>
          </w:rPr>
          <w:instrText xml:space="preserve"> PAGEREF _Toc194570795 \h </w:instrText>
        </w:r>
        <w:r>
          <w:rPr>
            <w:webHidden/>
          </w:rPr>
        </w:r>
        <w:r>
          <w:rPr>
            <w:webHidden/>
          </w:rPr>
          <w:fldChar w:fldCharType="separate"/>
        </w:r>
        <w:r>
          <w:rPr>
            <w:webHidden/>
          </w:rPr>
          <w:t>20</w:t>
        </w:r>
        <w:r>
          <w:rPr>
            <w:webHidden/>
          </w:rPr>
          <w:fldChar w:fldCharType="end"/>
        </w:r>
      </w:hyperlink>
    </w:p>
    <w:p w14:paraId="669C8230" w14:textId="3AAFFC14" w:rsidR="00000056" w:rsidRDefault="00000056">
      <w:pPr>
        <w:pStyle w:val="Innehll3"/>
        <w:rPr>
          <w:rFonts w:asciiTheme="minorHAnsi" w:eastAsiaTheme="minorEastAsia" w:hAnsiTheme="minorHAnsi" w:cstheme="minorBidi"/>
          <w:kern w:val="2"/>
          <w:sz w:val="24"/>
          <w:szCs w:val="24"/>
          <w:lang w:val="sv-FI" w:eastAsia="sv-FI"/>
          <w14:ligatures w14:val="standardContextual"/>
        </w:rPr>
      </w:pPr>
      <w:hyperlink w:anchor="_Toc194570796" w:history="1">
        <w:r w:rsidRPr="00AD2562">
          <w:rPr>
            <w:rStyle w:val="Hyperlnk"/>
          </w:rPr>
          <w:t>7.1 Samhälleliga, organisatoriska och ekonomiska konsekvenser</w:t>
        </w:r>
        <w:r>
          <w:rPr>
            <w:webHidden/>
          </w:rPr>
          <w:tab/>
        </w:r>
        <w:r>
          <w:rPr>
            <w:webHidden/>
          </w:rPr>
          <w:fldChar w:fldCharType="begin"/>
        </w:r>
        <w:r>
          <w:rPr>
            <w:webHidden/>
          </w:rPr>
          <w:instrText xml:space="preserve"> PAGEREF _Toc194570796 \h </w:instrText>
        </w:r>
        <w:r>
          <w:rPr>
            <w:webHidden/>
          </w:rPr>
        </w:r>
        <w:r>
          <w:rPr>
            <w:webHidden/>
          </w:rPr>
          <w:fldChar w:fldCharType="separate"/>
        </w:r>
        <w:r>
          <w:rPr>
            <w:webHidden/>
          </w:rPr>
          <w:t>20</w:t>
        </w:r>
        <w:r>
          <w:rPr>
            <w:webHidden/>
          </w:rPr>
          <w:fldChar w:fldCharType="end"/>
        </w:r>
      </w:hyperlink>
    </w:p>
    <w:p w14:paraId="1D3B4F2B" w14:textId="6DCD222B" w:rsidR="00000056" w:rsidRDefault="00000056">
      <w:pPr>
        <w:pStyle w:val="Innehll3"/>
        <w:rPr>
          <w:rFonts w:asciiTheme="minorHAnsi" w:eastAsiaTheme="minorEastAsia" w:hAnsiTheme="minorHAnsi" w:cstheme="minorBidi"/>
          <w:kern w:val="2"/>
          <w:sz w:val="24"/>
          <w:szCs w:val="24"/>
          <w:lang w:val="sv-FI" w:eastAsia="sv-FI"/>
          <w14:ligatures w14:val="standardContextual"/>
        </w:rPr>
      </w:pPr>
      <w:hyperlink w:anchor="_Toc194570797" w:history="1">
        <w:r w:rsidRPr="00AD2562">
          <w:rPr>
            <w:rStyle w:val="Hyperlnk"/>
          </w:rPr>
          <w:t>7.2 Utfall för nyckeltalen – vilka kommuner skulle uppfylla kriterierna idag?</w:t>
        </w:r>
        <w:r>
          <w:rPr>
            <w:webHidden/>
          </w:rPr>
          <w:tab/>
        </w:r>
        <w:r>
          <w:rPr>
            <w:webHidden/>
          </w:rPr>
          <w:fldChar w:fldCharType="begin"/>
        </w:r>
        <w:r>
          <w:rPr>
            <w:webHidden/>
          </w:rPr>
          <w:instrText xml:space="preserve"> PAGEREF _Toc194570797 \h </w:instrText>
        </w:r>
        <w:r>
          <w:rPr>
            <w:webHidden/>
          </w:rPr>
        </w:r>
        <w:r>
          <w:rPr>
            <w:webHidden/>
          </w:rPr>
          <w:fldChar w:fldCharType="separate"/>
        </w:r>
        <w:r>
          <w:rPr>
            <w:webHidden/>
          </w:rPr>
          <w:t>21</w:t>
        </w:r>
        <w:r>
          <w:rPr>
            <w:webHidden/>
          </w:rPr>
          <w:fldChar w:fldCharType="end"/>
        </w:r>
      </w:hyperlink>
    </w:p>
    <w:p w14:paraId="0758F566" w14:textId="292CA928" w:rsidR="00000056" w:rsidRDefault="00000056">
      <w:pPr>
        <w:pStyle w:val="Innehll3"/>
        <w:rPr>
          <w:rFonts w:asciiTheme="minorHAnsi" w:eastAsiaTheme="minorEastAsia" w:hAnsiTheme="minorHAnsi" w:cstheme="minorBidi"/>
          <w:kern w:val="2"/>
          <w:sz w:val="24"/>
          <w:szCs w:val="24"/>
          <w:lang w:val="sv-FI" w:eastAsia="sv-FI"/>
          <w14:ligatures w14:val="standardContextual"/>
        </w:rPr>
      </w:pPr>
      <w:hyperlink w:anchor="_Toc194570798" w:history="1">
        <w:r w:rsidRPr="00AD2562">
          <w:rPr>
            <w:rStyle w:val="Hyperlnk"/>
          </w:rPr>
          <w:t>7.3 Övriga konsekvenser</w:t>
        </w:r>
        <w:r>
          <w:rPr>
            <w:webHidden/>
          </w:rPr>
          <w:tab/>
        </w:r>
        <w:r>
          <w:rPr>
            <w:webHidden/>
          </w:rPr>
          <w:fldChar w:fldCharType="begin"/>
        </w:r>
        <w:r>
          <w:rPr>
            <w:webHidden/>
          </w:rPr>
          <w:instrText xml:space="preserve"> PAGEREF _Toc194570798 \h </w:instrText>
        </w:r>
        <w:r>
          <w:rPr>
            <w:webHidden/>
          </w:rPr>
        </w:r>
        <w:r>
          <w:rPr>
            <w:webHidden/>
          </w:rPr>
          <w:fldChar w:fldCharType="separate"/>
        </w:r>
        <w:r>
          <w:rPr>
            <w:webHidden/>
          </w:rPr>
          <w:t>22</w:t>
        </w:r>
        <w:r>
          <w:rPr>
            <w:webHidden/>
          </w:rPr>
          <w:fldChar w:fldCharType="end"/>
        </w:r>
      </w:hyperlink>
    </w:p>
    <w:p w14:paraId="7ACAF62F" w14:textId="61F87A41" w:rsidR="00000056" w:rsidRDefault="00000056">
      <w:pPr>
        <w:pStyle w:val="Innehll2"/>
        <w:rPr>
          <w:rFonts w:asciiTheme="minorHAnsi" w:eastAsiaTheme="minorEastAsia" w:hAnsiTheme="minorHAnsi" w:cstheme="minorBidi"/>
          <w:kern w:val="2"/>
          <w:sz w:val="24"/>
          <w:szCs w:val="24"/>
          <w:lang w:val="sv-FI" w:eastAsia="sv-FI"/>
          <w14:ligatures w14:val="standardContextual"/>
        </w:rPr>
      </w:pPr>
      <w:hyperlink w:anchor="_Toc194570799" w:history="1">
        <w:r w:rsidRPr="00AD2562">
          <w:rPr>
            <w:rStyle w:val="Hyperlnk"/>
          </w:rPr>
          <w:t>8. Beredning och ikraftträdande</w:t>
        </w:r>
        <w:r>
          <w:rPr>
            <w:webHidden/>
          </w:rPr>
          <w:tab/>
        </w:r>
        <w:r>
          <w:rPr>
            <w:webHidden/>
          </w:rPr>
          <w:fldChar w:fldCharType="begin"/>
        </w:r>
        <w:r>
          <w:rPr>
            <w:webHidden/>
          </w:rPr>
          <w:instrText xml:space="preserve"> PAGEREF _Toc194570799 \h </w:instrText>
        </w:r>
        <w:r>
          <w:rPr>
            <w:webHidden/>
          </w:rPr>
        </w:r>
        <w:r>
          <w:rPr>
            <w:webHidden/>
          </w:rPr>
          <w:fldChar w:fldCharType="separate"/>
        </w:r>
        <w:r>
          <w:rPr>
            <w:webHidden/>
          </w:rPr>
          <w:t>22</w:t>
        </w:r>
        <w:r>
          <w:rPr>
            <w:webHidden/>
          </w:rPr>
          <w:fldChar w:fldCharType="end"/>
        </w:r>
      </w:hyperlink>
    </w:p>
    <w:p w14:paraId="575368C0" w14:textId="7935F5E6" w:rsidR="00000056" w:rsidRDefault="00000056">
      <w:pPr>
        <w:pStyle w:val="Innehll1"/>
        <w:rPr>
          <w:rFonts w:asciiTheme="minorHAnsi" w:eastAsiaTheme="minorEastAsia" w:hAnsiTheme="minorHAnsi" w:cstheme="minorBidi"/>
          <w:kern w:val="2"/>
          <w:sz w:val="24"/>
          <w:szCs w:val="24"/>
          <w:lang w:val="sv-FI" w:eastAsia="sv-FI"/>
          <w14:ligatures w14:val="standardContextual"/>
        </w:rPr>
      </w:pPr>
      <w:hyperlink w:anchor="_Toc194570800" w:history="1">
        <w:r w:rsidRPr="00AD2562">
          <w:rPr>
            <w:rStyle w:val="Hyperlnk"/>
          </w:rPr>
          <w:t>Detaljmotivering</w:t>
        </w:r>
        <w:r>
          <w:rPr>
            <w:webHidden/>
          </w:rPr>
          <w:tab/>
        </w:r>
        <w:r>
          <w:rPr>
            <w:webHidden/>
          </w:rPr>
          <w:fldChar w:fldCharType="begin"/>
        </w:r>
        <w:r>
          <w:rPr>
            <w:webHidden/>
          </w:rPr>
          <w:instrText xml:space="preserve"> PAGEREF _Toc194570800 \h </w:instrText>
        </w:r>
        <w:r>
          <w:rPr>
            <w:webHidden/>
          </w:rPr>
        </w:r>
        <w:r>
          <w:rPr>
            <w:webHidden/>
          </w:rPr>
          <w:fldChar w:fldCharType="separate"/>
        </w:r>
        <w:r>
          <w:rPr>
            <w:webHidden/>
          </w:rPr>
          <w:t>24</w:t>
        </w:r>
        <w:r>
          <w:rPr>
            <w:webHidden/>
          </w:rPr>
          <w:fldChar w:fldCharType="end"/>
        </w:r>
      </w:hyperlink>
    </w:p>
    <w:p w14:paraId="35E67B5F" w14:textId="152D7ED4" w:rsidR="00000056" w:rsidRDefault="00000056">
      <w:pPr>
        <w:pStyle w:val="Innehll2"/>
        <w:rPr>
          <w:rFonts w:asciiTheme="minorHAnsi" w:eastAsiaTheme="minorEastAsia" w:hAnsiTheme="minorHAnsi" w:cstheme="minorBidi"/>
          <w:kern w:val="2"/>
          <w:sz w:val="24"/>
          <w:szCs w:val="24"/>
          <w:lang w:val="sv-FI" w:eastAsia="sv-FI"/>
          <w14:ligatures w14:val="standardContextual"/>
        </w:rPr>
      </w:pPr>
      <w:hyperlink w:anchor="_Toc194570801" w:history="1">
        <w:r w:rsidRPr="00AD2562">
          <w:rPr>
            <w:rStyle w:val="Hyperlnk"/>
          </w:rPr>
          <w:t>1. LL om ett utvärderingsförfarande för kommuner med synnerligen ansträngd ekonomi</w:t>
        </w:r>
        <w:r>
          <w:rPr>
            <w:webHidden/>
          </w:rPr>
          <w:tab/>
        </w:r>
        <w:r>
          <w:rPr>
            <w:webHidden/>
          </w:rPr>
          <w:fldChar w:fldCharType="begin"/>
        </w:r>
        <w:r>
          <w:rPr>
            <w:webHidden/>
          </w:rPr>
          <w:instrText xml:space="preserve"> PAGEREF _Toc194570801 \h </w:instrText>
        </w:r>
        <w:r>
          <w:rPr>
            <w:webHidden/>
          </w:rPr>
        </w:r>
        <w:r>
          <w:rPr>
            <w:webHidden/>
          </w:rPr>
          <w:fldChar w:fldCharType="separate"/>
        </w:r>
        <w:r>
          <w:rPr>
            <w:webHidden/>
          </w:rPr>
          <w:t>24</w:t>
        </w:r>
        <w:r>
          <w:rPr>
            <w:webHidden/>
          </w:rPr>
          <w:fldChar w:fldCharType="end"/>
        </w:r>
      </w:hyperlink>
    </w:p>
    <w:p w14:paraId="6617BB62" w14:textId="5E3064F6" w:rsidR="00000056" w:rsidRDefault="00000056">
      <w:pPr>
        <w:pStyle w:val="Innehll2"/>
        <w:rPr>
          <w:rFonts w:asciiTheme="minorHAnsi" w:eastAsiaTheme="minorEastAsia" w:hAnsiTheme="minorHAnsi" w:cstheme="minorBidi"/>
          <w:kern w:val="2"/>
          <w:sz w:val="24"/>
          <w:szCs w:val="24"/>
          <w:lang w:val="sv-FI" w:eastAsia="sv-FI"/>
          <w14:ligatures w14:val="standardContextual"/>
        </w:rPr>
      </w:pPr>
      <w:hyperlink w:anchor="_Toc194570802" w:history="1">
        <w:r w:rsidRPr="00AD2562">
          <w:rPr>
            <w:rStyle w:val="Hyperlnk"/>
          </w:rPr>
          <w:t>2. Ändring av kommunstrukturlagen för Åland</w:t>
        </w:r>
        <w:r>
          <w:rPr>
            <w:webHidden/>
          </w:rPr>
          <w:tab/>
        </w:r>
        <w:r>
          <w:rPr>
            <w:webHidden/>
          </w:rPr>
          <w:fldChar w:fldCharType="begin"/>
        </w:r>
        <w:r>
          <w:rPr>
            <w:webHidden/>
          </w:rPr>
          <w:instrText xml:space="preserve"> PAGEREF _Toc194570802 \h </w:instrText>
        </w:r>
        <w:r>
          <w:rPr>
            <w:webHidden/>
          </w:rPr>
        </w:r>
        <w:r>
          <w:rPr>
            <w:webHidden/>
          </w:rPr>
          <w:fldChar w:fldCharType="separate"/>
        </w:r>
        <w:r>
          <w:rPr>
            <w:webHidden/>
          </w:rPr>
          <w:t>30</w:t>
        </w:r>
        <w:r>
          <w:rPr>
            <w:webHidden/>
          </w:rPr>
          <w:fldChar w:fldCharType="end"/>
        </w:r>
      </w:hyperlink>
    </w:p>
    <w:p w14:paraId="377C9091" w14:textId="69DC2338" w:rsidR="00000056" w:rsidRDefault="00000056">
      <w:pPr>
        <w:pStyle w:val="Innehll1"/>
        <w:rPr>
          <w:rFonts w:asciiTheme="minorHAnsi" w:eastAsiaTheme="minorEastAsia" w:hAnsiTheme="minorHAnsi" w:cstheme="minorBidi"/>
          <w:kern w:val="2"/>
          <w:sz w:val="24"/>
          <w:szCs w:val="24"/>
          <w:lang w:val="sv-FI" w:eastAsia="sv-FI"/>
          <w14:ligatures w14:val="standardContextual"/>
        </w:rPr>
      </w:pPr>
      <w:hyperlink w:anchor="_Toc194570803" w:history="1">
        <w:r w:rsidRPr="00AD2562">
          <w:rPr>
            <w:rStyle w:val="Hyperlnk"/>
          </w:rPr>
          <w:t>Lagtext</w:t>
        </w:r>
        <w:r>
          <w:rPr>
            <w:webHidden/>
          </w:rPr>
          <w:tab/>
        </w:r>
        <w:r>
          <w:rPr>
            <w:webHidden/>
          </w:rPr>
          <w:fldChar w:fldCharType="begin"/>
        </w:r>
        <w:r>
          <w:rPr>
            <w:webHidden/>
          </w:rPr>
          <w:instrText xml:space="preserve"> PAGEREF _Toc194570803 \h </w:instrText>
        </w:r>
        <w:r>
          <w:rPr>
            <w:webHidden/>
          </w:rPr>
        </w:r>
        <w:r>
          <w:rPr>
            <w:webHidden/>
          </w:rPr>
          <w:fldChar w:fldCharType="separate"/>
        </w:r>
        <w:r>
          <w:rPr>
            <w:webHidden/>
          </w:rPr>
          <w:t>34</w:t>
        </w:r>
        <w:r>
          <w:rPr>
            <w:webHidden/>
          </w:rPr>
          <w:fldChar w:fldCharType="end"/>
        </w:r>
      </w:hyperlink>
    </w:p>
    <w:p w14:paraId="40C2EF14" w14:textId="0D2AA691" w:rsidR="00000056" w:rsidRDefault="00000056">
      <w:pPr>
        <w:pStyle w:val="Innehll2"/>
        <w:rPr>
          <w:rFonts w:asciiTheme="minorHAnsi" w:eastAsiaTheme="minorEastAsia" w:hAnsiTheme="minorHAnsi" w:cstheme="minorBidi"/>
          <w:kern w:val="2"/>
          <w:sz w:val="24"/>
          <w:szCs w:val="24"/>
          <w:lang w:val="sv-FI" w:eastAsia="sv-FI"/>
          <w14:ligatures w14:val="standardContextual"/>
        </w:rPr>
      </w:pPr>
      <w:hyperlink w:anchor="_Toc194570804" w:history="1">
        <w:r w:rsidRPr="00AD2562">
          <w:rPr>
            <w:rStyle w:val="Hyperlnk"/>
            <w:lang w:val="en-GB"/>
          </w:rPr>
          <w:t xml:space="preserve">L A N D S K A P S L A G </w:t>
        </w:r>
        <w:r w:rsidRPr="00AD2562">
          <w:rPr>
            <w:rStyle w:val="Hyperlnk"/>
          </w:rPr>
          <w:t>om ett utvärderingsförfarande för kommuner med synnerligen ansträngd ekonomi</w:t>
        </w:r>
        <w:r>
          <w:rPr>
            <w:webHidden/>
          </w:rPr>
          <w:tab/>
        </w:r>
        <w:r>
          <w:rPr>
            <w:webHidden/>
          </w:rPr>
          <w:fldChar w:fldCharType="begin"/>
        </w:r>
        <w:r>
          <w:rPr>
            <w:webHidden/>
          </w:rPr>
          <w:instrText xml:space="preserve"> PAGEREF _Toc194570804 \h </w:instrText>
        </w:r>
        <w:r>
          <w:rPr>
            <w:webHidden/>
          </w:rPr>
        </w:r>
        <w:r>
          <w:rPr>
            <w:webHidden/>
          </w:rPr>
          <w:fldChar w:fldCharType="separate"/>
        </w:r>
        <w:r>
          <w:rPr>
            <w:webHidden/>
          </w:rPr>
          <w:t>34</w:t>
        </w:r>
        <w:r>
          <w:rPr>
            <w:webHidden/>
          </w:rPr>
          <w:fldChar w:fldCharType="end"/>
        </w:r>
      </w:hyperlink>
    </w:p>
    <w:p w14:paraId="115ABB65" w14:textId="27E0A1A3" w:rsidR="00000056" w:rsidRDefault="00000056">
      <w:pPr>
        <w:pStyle w:val="Innehll2"/>
        <w:rPr>
          <w:rFonts w:asciiTheme="minorHAnsi" w:eastAsiaTheme="minorEastAsia" w:hAnsiTheme="minorHAnsi" w:cstheme="minorBidi"/>
          <w:kern w:val="2"/>
          <w:sz w:val="24"/>
          <w:szCs w:val="24"/>
          <w:lang w:val="sv-FI" w:eastAsia="sv-FI"/>
          <w14:ligatures w14:val="standardContextual"/>
        </w:rPr>
      </w:pPr>
      <w:hyperlink w:anchor="_Toc194570805" w:history="1">
        <w:r w:rsidRPr="00AD2562">
          <w:rPr>
            <w:rStyle w:val="Hyperlnk"/>
            <w:lang w:val="en-GB"/>
          </w:rPr>
          <w:t xml:space="preserve">L A N D S K A P S L A G </w:t>
        </w:r>
        <w:r w:rsidRPr="00AD2562">
          <w:rPr>
            <w:rStyle w:val="Hyperlnk"/>
          </w:rPr>
          <w:t>om ändring av kommunstrukturlagen för Åland</w:t>
        </w:r>
        <w:r>
          <w:rPr>
            <w:webHidden/>
          </w:rPr>
          <w:tab/>
        </w:r>
        <w:r>
          <w:rPr>
            <w:webHidden/>
          </w:rPr>
          <w:fldChar w:fldCharType="begin"/>
        </w:r>
        <w:r>
          <w:rPr>
            <w:webHidden/>
          </w:rPr>
          <w:instrText xml:space="preserve"> PAGEREF _Toc194570805 \h </w:instrText>
        </w:r>
        <w:r>
          <w:rPr>
            <w:webHidden/>
          </w:rPr>
        </w:r>
        <w:r>
          <w:rPr>
            <w:webHidden/>
          </w:rPr>
          <w:fldChar w:fldCharType="separate"/>
        </w:r>
        <w:r>
          <w:rPr>
            <w:webHidden/>
          </w:rPr>
          <w:t>36</w:t>
        </w:r>
        <w:r>
          <w:rPr>
            <w:webHidden/>
          </w:rPr>
          <w:fldChar w:fldCharType="end"/>
        </w:r>
      </w:hyperlink>
    </w:p>
    <w:p w14:paraId="60D3BF19" w14:textId="6DE68081" w:rsidR="00000056" w:rsidRDefault="00000056">
      <w:pPr>
        <w:pStyle w:val="Innehll1"/>
        <w:rPr>
          <w:rFonts w:asciiTheme="minorHAnsi" w:eastAsiaTheme="minorEastAsia" w:hAnsiTheme="minorHAnsi" w:cstheme="minorBidi"/>
          <w:kern w:val="2"/>
          <w:sz w:val="24"/>
          <w:szCs w:val="24"/>
          <w:lang w:val="sv-FI" w:eastAsia="sv-FI"/>
          <w14:ligatures w14:val="standardContextual"/>
        </w:rPr>
      </w:pPr>
      <w:hyperlink w:anchor="_Toc194570806" w:history="1">
        <w:r w:rsidRPr="00AD2562">
          <w:rPr>
            <w:rStyle w:val="Hyperlnk"/>
            <w:rFonts w:eastAsia="SimSun"/>
            <w:lang w:eastAsia="en-US"/>
          </w:rPr>
          <w:t>Bilaga: Utfall, nyckeltal 2014–2023</w:t>
        </w:r>
        <w:r>
          <w:rPr>
            <w:webHidden/>
          </w:rPr>
          <w:tab/>
        </w:r>
        <w:r>
          <w:rPr>
            <w:webHidden/>
          </w:rPr>
          <w:fldChar w:fldCharType="begin"/>
        </w:r>
        <w:r>
          <w:rPr>
            <w:webHidden/>
          </w:rPr>
          <w:instrText xml:space="preserve"> PAGEREF _Toc194570806 \h </w:instrText>
        </w:r>
        <w:r>
          <w:rPr>
            <w:webHidden/>
          </w:rPr>
        </w:r>
        <w:r>
          <w:rPr>
            <w:webHidden/>
          </w:rPr>
          <w:fldChar w:fldCharType="separate"/>
        </w:r>
        <w:r>
          <w:rPr>
            <w:webHidden/>
          </w:rPr>
          <w:t>39</w:t>
        </w:r>
        <w:r>
          <w:rPr>
            <w:webHidden/>
          </w:rPr>
          <w:fldChar w:fldCharType="end"/>
        </w:r>
      </w:hyperlink>
    </w:p>
    <w:p w14:paraId="3656FEC5" w14:textId="798C9031" w:rsidR="00000056" w:rsidRDefault="00000056">
      <w:pPr>
        <w:pStyle w:val="Innehll1"/>
        <w:rPr>
          <w:rFonts w:asciiTheme="minorHAnsi" w:eastAsiaTheme="minorEastAsia" w:hAnsiTheme="minorHAnsi" w:cstheme="minorBidi"/>
          <w:kern w:val="2"/>
          <w:sz w:val="24"/>
          <w:szCs w:val="24"/>
          <w:lang w:val="sv-FI" w:eastAsia="sv-FI"/>
          <w14:ligatures w14:val="standardContextual"/>
        </w:rPr>
      </w:pPr>
      <w:hyperlink w:anchor="_Toc194570807" w:history="1">
        <w:r w:rsidRPr="00AD2562">
          <w:rPr>
            <w:rStyle w:val="Hyperlnk"/>
            <w:rFonts w:eastAsia="Calibri"/>
            <w:lang w:eastAsia="en-US"/>
          </w:rPr>
          <w:t>Parallelltexter</w:t>
        </w:r>
        <w:r>
          <w:rPr>
            <w:webHidden/>
          </w:rPr>
          <w:tab/>
        </w:r>
        <w:r>
          <w:rPr>
            <w:webHidden/>
          </w:rPr>
          <w:fldChar w:fldCharType="begin"/>
        </w:r>
        <w:r>
          <w:rPr>
            <w:webHidden/>
          </w:rPr>
          <w:instrText xml:space="preserve"> PAGEREF _Toc194570807 \h </w:instrText>
        </w:r>
        <w:r>
          <w:rPr>
            <w:webHidden/>
          </w:rPr>
        </w:r>
        <w:r>
          <w:rPr>
            <w:webHidden/>
          </w:rPr>
          <w:fldChar w:fldCharType="separate"/>
        </w:r>
        <w:r>
          <w:rPr>
            <w:webHidden/>
          </w:rPr>
          <w:t>42</w:t>
        </w:r>
        <w:r>
          <w:rPr>
            <w:webHidden/>
          </w:rPr>
          <w:fldChar w:fldCharType="end"/>
        </w:r>
      </w:hyperlink>
    </w:p>
    <w:p w14:paraId="0BEB29DF" w14:textId="4278997E" w:rsidR="00AF3004" w:rsidRDefault="00AF3004">
      <w:pPr>
        <w:pStyle w:val="ANormal"/>
        <w:rPr>
          <w:noProof/>
        </w:rPr>
      </w:pPr>
      <w:r>
        <w:rPr>
          <w:rFonts w:ascii="Verdana" w:hAnsi="Verdana"/>
          <w:noProof/>
          <w:sz w:val="16"/>
          <w:szCs w:val="36"/>
        </w:rPr>
        <w:fldChar w:fldCharType="end"/>
      </w:r>
    </w:p>
    <w:p w14:paraId="57B1F8B2" w14:textId="076B582E" w:rsidR="00AF3004" w:rsidRDefault="00AF3004">
      <w:pPr>
        <w:pStyle w:val="ANormal"/>
      </w:pPr>
      <w:r>
        <w:br w:type="page"/>
      </w:r>
    </w:p>
    <w:p w14:paraId="619EB6B4" w14:textId="77777777" w:rsidR="00AF3004" w:rsidRDefault="00AF3004">
      <w:pPr>
        <w:pStyle w:val="RubrikA"/>
      </w:pPr>
      <w:bookmarkStart w:id="2" w:name="_Toc194570771"/>
      <w:r>
        <w:lastRenderedPageBreak/>
        <w:t>Allmän motivering</w:t>
      </w:r>
      <w:bookmarkEnd w:id="2"/>
    </w:p>
    <w:p w14:paraId="20D402C4" w14:textId="77777777" w:rsidR="00AF3004" w:rsidRDefault="00AF3004">
      <w:pPr>
        <w:pStyle w:val="Rubrikmellanrum"/>
      </w:pPr>
    </w:p>
    <w:p w14:paraId="7F70E181" w14:textId="78F8DBCC" w:rsidR="009B24CA" w:rsidRDefault="009B24CA" w:rsidP="009B24CA">
      <w:pPr>
        <w:pStyle w:val="RubrikB"/>
      </w:pPr>
      <w:bookmarkStart w:id="3" w:name="_Toc72760280"/>
      <w:bookmarkStart w:id="4" w:name="_Toc194570772"/>
      <w:r>
        <w:t xml:space="preserve">1. </w:t>
      </w:r>
      <w:bookmarkEnd w:id="3"/>
      <w:r w:rsidR="00B55FC7">
        <w:t>Bakgrund</w:t>
      </w:r>
      <w:bookmarkEnd w:id="4"/>
    </w:p>
    <w:p w14:paraId="2888070E" w14:textId="77777777" w:rsidR="009B24CA" w:rsidRDefault="009B24CA" w:rsidP="009B24CA">
      <w:pPr>
        <w:pStyle w:val="Rubrikmellanrum"/>
      </w:pPr>
    </w:p>
    <w:p w14:paraId="32C53041" w14:textId="487FC8CB" w:rsidR="009F0FCB" w:rsidRPr="001D49A1" w:rsidRDefault="00312BFF" w:rsidP="009F0FCB">
      <w:pPr>
        <w:pStyle w:val="RubrikC"/>
      </w:pPr>
      <w:bookmarkStart w:id="5" w:name="_Toc194570773"/>
      <w:r w:rsidRPr="001D49A1">
        <w:t>1</w:t>
      </w:r>
      <w:r w:rsidR="009F0FCB" w:rsidRPr="001D49A1">
        <w:t>.</w:t>
      </w:r>
      <w:r w:rsidRPr="001D49A1">
        <w:t>1</w:t>
      </w:r>
      <w:r w:rsidR="009F0FCB" w:rsidRPr="001D49A1">
        <w:t xml:space="preserve"> </w:t>
      </w:r>
      <w:r w:rsidR="000D74FD" w:rsidRPr="001D49A1">
        <w:t>Grund</w:t>
      </w:r>
      <w:r w:rsidR="009465A3" w:rsidRPr="001D49A1">
        <w:t xml:space="preserve">en för den </w:t>
      </w:r>
      <w:r w:rsidR="000D74FD" w:rsidRPr="001D49A1">
        <w:t>kommunal</w:t>
      </w:r>
      <w:r w:rsidR="009465A3" w:rsidRPr="001D49A1">
        <w:t>a</w:t>
      </w:r>
      <w:r w:rsidR="000D74FD" w:rsidRPr="001D49A1">
        <w:t xml:space="preserve"> självstyrelse</w:t>
      </w:r>
      <w:r w:rsidR="009465A3" w:rsidRPr="001D49A1">
        <w:t>n</w:t>
      </w:r>
      <w:bookmarkEnd w:id="5"/>
    </w:p>
    <w:p w14:paraId="51D90979" w14:textId="77777777" w:rsidR="009F0FCB" w:rsidRPr="001D49A1" w:rsidRDefault="009F0FCB" w:rsidP="009F0FCB">
      <w:pPr>
        <w:pStyle w:val="Rubrikmellanrum"/>
      </w:pPr>
    </w:p>
    <w:p w14:paraId="613AC37B" w14:textId="0EA39267" w:rsidR="009465A3" w:rsidRPr="001D49A1" w:rsidRDefault="009465A3" w:rsidP="00E70103">
      <w:pPr>
        <w:pStyle w:val="ANormal"/>
      </w:pPr>
      <w:r w:rsidRPr="001D49A1">
        <w:t xml:space="preserve">Den kommunala självstyrelsen är grundlagsfäst. Rätten till självstyrelse innebär att kommuninvånarna har rätt att välja förvaltningsorgan och att beslutanderätten i kommunerna tillkommer de valda organen. </w:t>
      </w:r>
      <w:r w:rsidR="003D7171" w:rsidRPr="001D49A1">
        <w:t>En av de viktigaste faktorerna</w:t>
      </w:r>
      <w:r w:rsidRPr="001D49A1">
        <w:t xml:space="preserve"> i den kommunala självstyrelsen </w:t>
      </w:r>
      <w:r w:rsidR="003D7171" w:rsidRPr="001D49A1">
        <w:t>är</w:t>
      </w:r>
      <w:r w:rsidR="000D0CBD" w:rsidRPr="001D49A1">
        <w:t xml:space="preserve"> </w:t>
      </w:r>
      <w:r w:rsidRPr="001D49A1">
        <w:t>kommunernas beskattningsrätt</w:t>
      </w:r>
      <w:r w:rsidR="003D7171" w:rsidRPr="001D49A1">
        <w:t>. Substansen i beskattningsrätten är att den ska spela en reell roll för kommunernas möjligheter att självständigt bestämma över sin ekonomi</w:t>
      </w:r>
      <w:r w:rsidRPr="001D49A1">
        <w:t>.</w:t>
      </w:r>
    </w:p>
    <w:p w14:paraId="67A1FE60" w14:textId="71845C85" w:rsidR="00D75A3A" w:rsidRPr="001D49A1" w:rsidRDefault="00D75A3A" w:rsidP="00E70103">
      <w:pPr>
        <w:pStyle w:val="ANormal"/>
      </w:pPr>
      <w:r w:rsidRPr="001D49A1">
        <w:tab/>
        <w:t>Kommunernas rätt till självstyrelse uttrycks också i kommunallagen (1997:73) för landskapet Åland. Enligt kommunallagens 1</w:t>
      </w:r>
      <w:r w:rsidR="004B746A">
        <w:t> §</w:t>
      </w:r>
      <w:r w:rsidRPr="001D49A1">
        <w:t xml:space="preserve"> är landskapet Åland indelat i självstyrande kommuner. Åland är idag indelat i sexton kommuner; en stad, nio landsbygdskommuner och sex skärgårdskommuner. Enligt kommunallagen ska kommunen handha de uppgifter som den åtagit sig med stöd av den kommunala självstyrelsen och som den ålagts genom lag. Kommunen ska i all sin verksamhet sträva efter att främja kommuninvånarnas välfärd och en ekonomiskt och ekologiskt hållbar utveckling inom kommunen.</w:t>
      </w:r>
    </w:p>
    <w:p w14:paraId="2BD42FAE" w14:textId="0B53D8BD" w:rsidR="00D76E39" w:rsidRPr="001D49A1" w:rsidRDefault="00520FF1" w:rsidP="009F0FCB">
      <w:pPr>
        <w:pStyle w:val="ANormal"/>
      </w:pPr>
      <w:r w:rsidRPr="001D49A1">
        <w:tab/>
      </w:r>
      <w:r w:rsidR="009F0FCB" w:rsidRPr="001D49A1">
        <w:t xml:space="preserve">Landskapsregeringen övervakar att kommunerna och kommunalförbunden iakttar gällande lagstiftning. En grundläggande princip i den lagstiftning som styr de kommunala verksamheterna är att </w:t>
      </w:r>
      <w:r w:rsidR="00D4667B" w:rsidRPr="001D49A1">
        <w:t>invånarna</w:t>
      </w:r>
      <w:r w:rsidR="009F0FCB" w:rsidRPr="001D49A1">
        <w:t xml:space="preserve"> ska garanteras en miniminivå av kommunal service som bestäms av lagtinget. En annan grundläggande princip är finansieringsprincipen, som innebär att kommunerna ska ges möjlighet att finansiera den verksamhet som de enligt lag åläggs att utföra. Lagtinget har anslutit sig till Europeiska konventionen om kommunal självstyrelse</w:t>
      </w:r>
      <w:r w:rsidR="009F0FCB" w:rsidRPr="001D49A1">
        <w:rPr>
          <w:rStyle w:val="Fotnotsreferens"/>
        </w:rPr>
        <w:footnoteReference w:id="1"/>
      </w:r>
      <w:r w:rsidR="009F0FCB" w:rsidRPr="001D49A1">
        <w:t>, där det i artikel 9.2 sägs att de lokala myndigheternas ekonomiska resurser ska motsvara de uppgifter som tilldelats dem i grundlag och annan lag. Grundlagsutskottet har också i sin praxis</w:t>
      </w:r>
      <w:r w:rsidR="009F0FCB" w:rsidRPr="001D49A1">
        <w:rPr>
          <w:rStyle w:val="Fotnotsreferens"/>
        </w:rPr>
        <w:footnoteReference w:id="2"/>
      </w:r>
      <w:r w:rsidR="009F0FCB" w:rsidRPr="001D49A1">
        <w:t xml:space="preserve"> betonat att när bestämmelser om kommunernas uppgifter införs, ska det i enlighet med finansieringsprincipen ses till att kommunerna har faktiska förutsättningar att klara av dem. </w:t>
      </w:r>
      <w:r w:rsidR="003D7171" w:rsidRPr="001D49A1">
        <w:t>Detta måste enligt utskottet bedömas utifrån dels kommunernas skatteinkomster och övriga inkomster, dels statsandelar och skatteutjämningar (motsvarande landskapsandelar och skattekomplettering).</w:t>
      </w:r>
      <w:r w:rsidR="00D77010" w:rsidRPr="001D49A1">
        <w:t xml:space="preserve"> </w:t>
      </w:r>
      <w:r w:rsidR="0071075B" w:rsidRPr="001D49A1">
        <w:t>Ett problem med finansieringsprincipen är dock att det inte finns några vedertagna bedömnings- eller beräkningsmekanismer för hur principen genomförs eller inte genomförs.</w:t>
      </w:r>
    </w:p>
    <w:p w14:paraId="55763467" w14:textId="77777777" w:rsidR="009F0FCB" w:rsidRPr="009F0FCB" w:rsidRDefault="009F0FCB" w:rsidP="009F0FCB">
      <w:pPr>
        <w:pStyle w:val="ANormal"/>
      </w:pPr>
    </w:p>
    <w:p w14:paraId="05835ADD" w14:textId="06EA9C6F" w:rsidR="009B24CA" w:rsidRDefault="009B24CA" w:rsidP="009B24CA">
      <w:pPr>
        <w:pStyle w:val="RubrikC"/>
      </w:pPr>
      <w:bookmarkStart w:id="6" w:name="_Toc72760281"/>
      <w:bookmarkStart w:id="7" w:name="_Toc194570774"/>
      <w:r>
        <w:t>1.</w:t>
      </w:r>
      <w:r w:rsidR="009568CB">
        <w:t>2</w:t>
      </w:r>
      <w:r>
        <w:t xml:space="preserve"> Kommunernas ekonomiska situation</w:t>
      </w:r>
      <w:bookmarkEnd w:id="6"/>
      <w:bookmarkEnd w:id="7"/>
    </w:p>
    <w:p w14:paraId="1B417B4C" w14:textId="77777777" w:rsidR="009B24CA" w:rsidRDefault="009B24CA" w:rsidP="009B24CA">
      <w:pPr>
        <w:pStyle w:val="Rubrikmellanrum"/>
      </w:pPr>
    </w:p>
    <w:p w14:paraId="3A23D020" w14:textId="4055126C" w:rsidR="009B24CA" w:rsidRDefault="009B24CA" w:rsidP="00797873">
      <w:pPr>
        <w:pStyle w:val="ANormal"/>
      </w:pPr>
      <w:r w:rsidRPr="000A7451">
        <w:t xml:space="preserve">En kommuns centrala roll är att ansvara för samhällsservice, att agera som myndighetsutövare, att vara samhällsutvecklare och att fungera som demokratisk arena. </w:t>
      </w:r>
      <w:r w:rsidR="000F5E33">
        <w:t>Den s</w:t>
      </w:r>
      <w:r w:rsidRPr="000A7451">
        <w:t>amhällsservice som kommunen tillhandahåller kommun</w:t>
      </w:r>
      <w:r w:rsidR="00534321">
        <w:softHyphen/>
      </w:r>
      <w:r w:rsidRPr="000A7451">
        <w:t xml:space="preserve">invånarna är till största delen lagstadgad, samtidigt som kommuner </w:t>
      </w:r>
      <w:r w:rsidR="00DE2FC5">
        <w:t xml:space="preserve">i många fall </w:t>
      </w:r>
      <w:r w:rsidRPr="000A7451">
        <w:t xml:space="preserve">själva har möjlighet att påverka hur samhällsservicen produceras samt vilken servicenivå som erbjuds i kommunen. Samhällsservicen </w:t>
      </w:r>
      <w:r w:rsidR="00DE2FC5" w:rsidRPr="000A7451">
        <w:t>finansiera</w:t>
      </w:r>
      <w:r w:rsidR="00DE2FC5">
        <w:t>s</w:t>
      </w:r>
      <w:r w:rsidR="00DE2FC5" w:rsidRPr="000A7451">
        <w:t xml:space="preserve"> </w:t>
      </w:r>
      <w:r w:rsidRPr="000A7451">
        <w:t xml:space="preserve">i huvudsak </w:t>
      </w:r>
      <w:r w:rsidR="00DE2FC5">
        <w:t>med</w:t>
      </w:r>
      <w:r w:rsidRPr="000A7451">
        <w:t xml:space="preserve"> skatteintäkter</w:t>
      </w:r>
      <w:r w:rsidR="00DE2FC5">
        <w:t>,</w:t>
      </w:r>
      <w:r w:rsidRPr="000A7451">
        <w:t xml:space="preserve"> avgifter </w:t>
      </w:r>
      <w:r w:rsidRPr="00DE2FC5">
        <w:t>samt landskapsandelar.</w:t>
      </w:r>
    </w:p>
    <w:p w14:paraId="4623F5CD" w14:textId="3B13C26C" w:rsidR="00DC035C" w:rsidRDefault="00CB2BEC" w:rsidP="00797873">
      <w:pPr>
        <w:pStyle w:val="ANormal"/>
      </w:pPr>
      <w:r>
        <w:tab/>
        <w:t xml:space="preserve">I tabellen nedan visas några nyckeltal </w:t>
      </w:r>
      <w:r w:rsidR="006330F2">
        <w:t>i</w:t>
      </w:r>
      <w:r>
        <w:t xml:space="preserve"> kommunerna</w:t>
      </w:r>
      <w:r w:rsidR="0018646B">
        <w:t>s resultaträkningar</w:t>
      </w:r>
      <w:r>
        <w:t xml:space="preserve"> under perioden 2018–2023. </w:t>
      </w:r>
      <w:r w:rsidR="0018646B">
        <w:t>Resultaträkningen visar hur kommunernas intäkter räcker till för att täcka de kostnader som förorsakas av serviceproduktionen. Av tabellen</w:t>
      </w:r>
      <w:r w:rsidR="00A377D1">
        <w:t xml:space="preserve"> framgår att kommunernas samlade verksamhetskostnader ökar, särskilt under den senare delen av perioden. Under 2022 ökade </w:t>
      </w:r>
      <w:r w:rsidR="00A377D1">
        <w:lastRenderedPageBreak/>
        <w:t>kostnaderna med 9,1 miljoner euro för att sedan öka med 12,3 miljoner under 2023. Verksamhetsintäkterna har inte ökat i samma takt</w:t>
      </w:r>
      <w:r w:rsidR="00955469">
        <w:t>, vilket dock</w:t>
      </w:r>
      <w:r w:rsidR="006330F2">
        <w:t xml:space="preserve"> till viss del</w:t>
      </w:r>
      <w:r w:rsidR="00955469">
        <w:t xml:space="preserve"> uppvägs av att både skatteintäkterna och landskapsandelarna har </w:t>
      </w:r>
      <w:r w:rsidR="009613E1">
        <w:t>ökat</w:t>
      </w:r>
      <w:r w:rsidR="00955469">
        <w:t xml:space="preserve">. När det gäller landskapsandelarna </w:t>
      </w:r>
      <w:r w:rsidR="006330F2">
        <w:t>beror</w:t>
      </w:r>
      <w:r w:rsidR="00955469">
        <w:t xml:space="preserve"> den relativt stora ökningen 2023 till övervägande del </w:t>
      </w:r>
      <w:r w:rsidR="006330F2">
        <w:t xml:space="preserve">av </w:t>
      </w:r>
      <w:r w:rsidR="00955469">
        <w:t xml:space="preserve">kompensationer till kommunerna för skattesänkningar, dessa räknas i statistiken tillsammans med landskapsandelarna. Det </w:t>
      </w:r>
      <w:r w:rsidR="0018646B">
        <w:t xml:space="preserve">relativt </w:t>
      </w:r>
      <w:r w:rsidR="00955469">
        <w:t xml:space="preserve">höga beloppet för landskapsandelarna </w:t>
      </w:r>
      <w:r w:rsidR="002C1F2D">
        <w:t xml:space="preserve">2020 </w:t>
      </w:r>
      <w:r w:rsidR="0018646B">
        <w:t>kan förklaras av ökade kompensationer</w:t>
      </w:r>
      <w:r w:rsidR="002C1F2D">
        <w:t xml:space="preserve"> </w:t>
      </w:r>
      <w:r w:rsidR="0018646B">
        <w:t>tillsammans med</w:t>
      </w:r>
      <w:r w:rsidR="002C1F2D">
        <w:t xml:space="preserve"> en tillfällig höjning </w:t>
      </w:r>
      <w:r w:rsidR="0018646B">
        <w:t xml:space="preserve">av landskapsandelarna </w:t>
      </w:r>
      <w:r w:rsidR="002C1F2D">
        <w:t>för att stödja kommunerna ekonomiskt under pandemin.</w:t>
      </w:r>
    </w:p>
    <w:p w14:paraId="15DAD0E1" w14:textId="77777777" w:rsidR="0004011E" w:rsidRDefault="0004011E" w:rsidP="00797873">
      <w:pPr>
        <w:pStyle w:val="ANormal"/>
      </w:pPr>
    </w:p>
    <w:p w14:paraId="285A4F30" w14:textId="7AC25C09" w:rsidR="0004011E" w:rsidRPr="0004011E" w:rsidRDefault="0004011E" w:rsidP="0004011E">
      <w:pPr>
        <w:pStyle w:val="Tabelltext"/>
        <w:rPr>
          <w:b/>
          <w:bCs/>
        </w:rPr>
      </w:pPr>
      <w:r w:rsidRPr="0004011E">
        <w:rPr>
          <w:b/>
          <w:bCs/>
        </w:rPr>
        <w:t>Kommunernas resultaträkningar 2018–2023, hela Åland, 1 0</w:t>
      </w:r>
      <w:r w:rsidR="006C6106">
        <w:rPr>
          <w:b/>
          <w:bCs/>
        </w:rPr>
        <w:t>0</w:t>
      </w:r>
      <w:r w:rsidRPr="0004011E">
        <w:rPr>
          <w:b/>
          <w:bCs/>
        </w:rPr>
        <w:t>0 euro</w:t>
      </w:r>
    </w:p>
    <w:tbl>
      <w:tblPr>
        <w:tblStyle w:val="Tabellrutnt"/>
        <w:tblW w:w="0" w:type="auto"/>
        <w:tblLayout w:type="fixed"/>
        <w:tblLook w:val="04A0" w:firstRow="1" w:lastRow="0" w:firstColumn="1" w:lastColumn="0" w:noHBand="0" w:noVBand="1"/>
      </w:tblPr>
      <w:tblGrid>
        <w:gridCol w:w="1413"/>
        <w:gridCol w:w="874"/>
        <w:gridCol w:w="874"/>
        <w:gridCol w:w="874"/>
        <w:gridCol w:w="874"/>
        <w:gridCol w:w="874"/>
        <w:gridCol w:w="875"/>
      </w:tblGrid>
      <w:tr w:rsidR="0004011E" w:rsidRPr="00003C40" w14:paraId="1A8B0BBB" w14:textId="77777777" w:rsidTr="00FC2F99">
        <w:trPr>
          <w:trHeight w:val="300"/>
        </w:trPr>
        <w:tc>
          <w:tcPr>
            <w:tcW w:w="1413" w:type="dxa"/>
            <w:noWrap/>
            <w:vAlign w:val="center"/>
            <w:hideMark/>
          </w:tcPr>
          <w:p w14:paraId="2B9CAF85" w14:textId="77777777" w:rsidR="0004011E" w:rsidRPr="00003C40" w:rsidRDefault="0004011E" w:rsidP="00FC2F99">
            <w:pPr>
              <w:pStyle w:val="Tabelltext"/>
              <w:jc w:val="center"/>
              <w:rPr>
                <w:sz w:val="16"/>
                <w:szCs w:val="16"/>
                <w:lang w:val="sv-FI"/>
              </w:rPr>
            </w:pPr>
          </w:p>
        </w:tc>
        <w:tc>
          <w:tcPr>
            <w:tcW w:w="874" w:type="dxa"/>
            <w:noWrap/>
            <w:vAlign w:val="center"/>
            <w:hideMark/>
          </w:tcPr>
          <w:p w14:paraId="35064072" w14:textId="77777777" w:rsidR="0004011E" w:rsidRPr="00003C40" w:rsidRDefault="0004011E" w:rsidP="00FC2F99">
            <w:pPr>
              <w:pStyle w:val="Tabelltext"/>
              <w:jc w:val="center"/>
              <w:rPr>
                <w:b/>
                <w:bCs/>
                <w:sz w:val="16"/>
                <w:szCs w:val="16"/>
              </w:rPr>
            </w:pPr>
            <w:r w:rsidRPr="00003C40">
              <w:rPr>
                <w:b/>
                <w:bCs/>
                <w:sz w:val="16"/>
                <w:szCs w:val="16"/>
              </w:rPr>
              <w:t>2018</w:t>
            </w:r>
          </w:p>
        </w:tc>
        <w:tc>
          <w:tcPr>
            <w:tcW w:w="874" w:type="dxa"/>
            <w:noWrap/>
            <w:vAlign w:val="center"/>
            <w:hideMark/>
          </w:tcPr>
          <w:p w14:paraId="4BE31D4F" w14:textId="77777777" w:rsidR="0004011E" w:rsidRPr="00003C40" w:rsidRDefault="0004011E" w:rsidP="00FC2F99">
            <w:pPr>
              <w:pStyle w:val="Tabelltext"/>
              <w:jc w:val="center"/>
              <w:rPr>
                <w:b/>
                <w:bCs/>
                <w:sz w:val="16"/>
                <w:szCs w:val="16"/>
              </w:rPr>
            </w:pPr>
            <w:r w:rsidRPr="00003C40">
              <w:rPr>
                <w:b/>
                <w:bCs/>
                <w:sz w:val="16"/>
                <w:szCs w:val="16"/>
              </w:rPr>
              <w:t>2019</w:t>
            </w:r>
          </w:p>
        </w:tc>
        <w:tc>
          <w:tcPr>
            <w:tcW w:w="874" w:type="dxa"/>
            <w:noWrap/>
            <w:vAlign w:val="center"/>
            <w:hideMark/>
          </w:tcPr>
          <w:p w14:paraId="62E83142" w14:textId="77777777" w:rsidR="0004011E" w:rsidRPr="00003C40" w:rsidRDefault="0004011E" w:rsidP="00FC2F99">
            <w:pPr>
              <w:pStyle w:val="Tabelltext"/>
              <w:jc w:val="center"/>
              <w:rPr>
                <w:b/>
                <w:bCs/>
                <w:sz w:val="16"/>
                <w:szCs w:val="16"/>
              </w:rPr>
            </w:pPr>
            <w:r w:rsidRPr="00003C40">
              <w:rPr>
                <w:b/>
                <w:bCs/>
                <w:sz w:val="16"/>
                <w:szCs w:val="16"/>
              </w:rPr>
              <w:t>2020</w:t>
            </w:r>
          </w:p>
        </w:tc>
        <w:tc>
          <w:tcPr>
            <w:tcW w:w="874" w:type="dxa"/>
            <w:noWrap/>
            <w:vAlign w:val="center"/>
            <w:hideMark/>
          </w:tcPr>
          <w:p w14:paraId="00B69323" w14:textId="77777777" w:rsidR="0004011E" w:rsidRPr="00003C40" w:rsidRDefault="0004011E" w:rsidP="00FC2F99">
            <w:pPr>
              <w:pStyle w:val="Tabelltext"/>
              <w:jc w:val="center"/>
              <w:rPr>
                <w:b/>
                <w:bCs/>
                <w:sz w:val="16"/>
                <w:szCs w:val="16"/>
              </w:rPr>
            </w:pPr>
            <w:r w:rsidRPr="00003C40">
              <w:rPr>
                <w:b/>
                <w:bCs/>
                <w:sz w:val="16"/>
                <w:szCs w:val="16"/>
              </w:rPr>
              <w:t>2021</w:t>
            </w:r>
          </w:p>
        </w:tc>
        <w:tc>
          <w:tcPr>
            <w:tcW w:w="874" w:type="dxa"/>
            <w:noWrap/>
            <w:vAlign w:val="center"/>
            <w:hideMark/>
          </w:tcPr>
          <w:p w14:paraId="7737573D" w14:textId="77777777" w:rsidR="0004011E" w:rsidRPr="00003C40" w:rsidRDefault="0004011E" w:rsidP="00FC2F99">
            <w:pPr>
              <w:pStyle w:val="Tabelltext"/>
              <w:jc w:val="center"/>
              <w:rPr>
                <w:b/>
                <w:bCs/>
                <w:sz w:val="16"/>
                <w:szCs w:val="16"/>
              </w:rPr>
            </w:pPr>
            <w:r w:rsidRPr="00003C40">
              <w:rPr>
                <w:b/>
                <w:bCs/>
                <w:sz w:val="16"/>
                <w:szCs w:val="16"/>
              </w:rPr>
              <w:t>2022</w:t>
            </w:r>
          </w:p>
        </w:tc>
        <w:tc>
          <w:tcPr>
            <w:tcW w:w="875" w:type="dxa"/>
            <w:noWrap/>
            <w:vAlign w:val="center"/>
            <w:hideMark/>
          </w:tcPr>
          <w:p w14:paraId="211AC1D7" w14:textId="77777777" w:rsidR="0004011E" w:rsidRPr="00003C40" w:rsidRDefault="0004011E" w:rsidP="00FC2F99">
            <w:pPr>
              <w:pStyle w:val="Tabelltext"/>
              <w:jc w:val="center"/>
              <w:rPr>
                <w:b/>
                <w:bCs/>
                <w:sz w:val="16"/>
                <w:szCs w:val="16"/>
              </w:rPr>
            </w:pPr>
            <w:r w:rsidRPr="00003C40">
              <w:rPr>
                <w:b/>
                <w:bCs/>
                <w:sz w:val="16"/>
                <w:szCs w:val="16"/>
              </w:rPr>
              <w:t>2023</w:t>
            </w:r>
          </w:p>
        </w:tc>
      </w:tr>
      <w:tr w:rsidR="0004011E" w:rsidRPr="00003C40" w14:paraId="74C395A3" w14:textId="77777777" w:rsidTr="00FC2F99">
        <w:trPr>
          <w:trHeight w:val="552"/>
        </w:trPr>
        <w:tc>
          <w:tcPr>
            <w:tcW w:w="1413" w:type="dxa"/>
            <w:noWrap/>
            <w:vAlign w:val="center"/>
            <w:hideMark/>
          </w:tcPr>
          <w:p w14:paraId="634DC85E" w14:textId="77777777" w:rsidR="0004011E" w:rsidRPr="00003C40" w:rsidRDefault="0004011E" w:rsidP="00FC2F99">
            <w:pPr>
              <w:pStyle w:val="Tabelltext"/>
              <w:rPr>
                <w:b/>
                <w:bCs/>
                <w:sz w:val="16"/>
                <w:szCs w:val="16"/>
              </w:rPr>
            </w:pPr>
            <w:r w:rsidRPr="00003C40">
              <w:rPr>
                <w:b/>
                <w:bCs/>
                <w:sz w:val="16"/>
                <w:szCs w:val="16"/>
              </w:rPr>
              <w:t>Verksamhetens intäkter</w:t>
            </w:r>
          </w:p>
        </w:tc>
        <w:tc>
          <w:tcPr>
            <w:tcW w:w="874" w:type="dxa"/>
            <w:noWrap/>
            <w:vAlign w:val="center"/>
            <w:hideMark/>
          </w:tcPr>
          <w:p w14:paraId="3A0CAA45" w14:textId="5A2B13D7" w:rsidR="0004011E" w:rsidRPr="00003C40" w:rsidRDefault="0004011E" w:rsidP="00FC2F99">
            <w:pPr>
              <w:pStyle w:val="Tabelltext"/>
              <w:jc w:val="right"/>
              <w:rPr>
                <w:sz w:val="16"/>
                <w:szCs w:val="16"/>
              </w:rPr>
            </w:pPr>
            <w:r w:rsidRPr="00003C40">
              <w:rPr>
                <w:sz w:val="16"/>
                <w:szCs w:val="16"/>
              </w:rPr>
              <w:t>34</w:t>
            </w:r>
            <w:r w:rsidR="004B746A">
              <w:rPr>
                <w:sz w:val="16"/>
                <w:szCs w:val="16"/>
              </w:rPr>
              <w:t> </w:t>
            </w:r>
            <w:r w:rsidRPr="00003C40">
              <w:rPr>
                <w:sz w:val="16"/>
                <w:szCs w:val="16"/>
              </w:rPr>
              <w:t>008</w:t>
            </w:r>
          </w:p>
        </w:tc>
        <w:tc>
          <w:tcPr>
            <w:tcW w:w="874" w:type="dxa"/>
            <w:noWrap/>
            <w:vAlign w:val="center"/>
            <w:hideMark/>
          </w:tcPr>
          <w:p w14:paraId="12ECF708" w14:textId="70A470F2" w:rsidR="0004011E" w:rsidRPr="00003C40" w:rsidRDefault="0004011E" w:rsidP="00FC2F99">
            <w:pPr>
              <w:pStyle w:val="Tabelltext"/>
              <w:jc w:val="right"/>
              <w:rPr>
                <w:sz w:val="16"/>
                <w:szCs w:val="16"/>
              </w:rPr>
            </w:pPr>
            <w:r w:rsidRPr="00003C40">
              <w:rPr>
                <w:sz w:val="16"/>
                <w:szCs w:val="16"/>
              </w:rPr>
              <w:t>36</w:t>
            </w:r>
            <w:r w:rsidR="004B746A">
              <w:rPr>
                <w:sz w:val="16"/>
                <w:szCs w:val="16"/>
              </w:rPr>
              <w:t> </w:t>
            </w:r>
            <w:r w:rsidRPr="00003C40">
              <w:rPr>
                <w:sz w:val="16"/>
                <w:szCs w:val="16"/>
              </w:rPr>
              <w:t>093</w:t>
            </w:r>
          </w:p>
        </w:tc>
        <w:tc>
          <w:tcPr>
            <w:tcW w:w="874" w:type="dxa"/>
            <w:noWrap/>
            <w:vAlign w:val="center"/>
            <w:hideMark/>
          </w:tcPr>
          <w:p w14:paraId="27CD98D8" w14:textId="32990321" w:rsidR="0004011E" w:rsidRPr="00003C40" w:rsidRDefault="0004011E" w:rsidP="00FC2F99">
            <w:pPr>
              <w:pStyle w:val="Tabelltext"/>
              <w:jc w:val="right"/>
              <w:rPr>
                <w:sz w:val="16"/>
                <w:szCs w:val="16"/>
              </w:rPr>
            </w:pPr>
            <w:r w:rsidRPr="00003C40">
              <w:rPr>
                <w:sz w:val="16"/>
                <w:szCs w:val="16"/>
              </w:rPr>
              <w:t>38</w:t>
            </w:r>
            <w:r w:rsidR="004B746A">
              <w:rPr>
                <w:sz w:val="16"/>
                <w:szCs w:val="16"/>
              </w:rPr>
              <w:t> </w:t>
            </w:r>
            <w:r w:rsidRPr="00003C40">
              <w:rPr>
                <w:sz w:val="16"/>
                <w:szCs w:val="16"/>
              </w:rPr>
              <w:t>031</w:t>
            </w:r>
          </w:p>
        </w:tc>
        <w:tc>
          <w:tcPr>
            <w:tcW w:w="874" w:type="dxa"/>
            <w:noWrap/>
            <w:vAlign w:val="center"/>
            <w:hideMark/>
          </w:tcPr>
          <w:p w14:paraId="156D4D05" w14:textId="044AA33E" w:rsidR="0004011E" w:rsidRPr="00003C40" w:rsidRDefault="0004011E" w:rsidP="00FC2F99">
            <w:pPr>
              <w:pStyle w:val="Tabelltext"/>
              <w:jc w:val="right"/>
              <w:rPr>
                <w:sz w:val="16"/>
                <w:szCs w:val="16"/>
              </w:rPr>
            </w:pPr>
            <w:r w:rsidRPr="00003C40">
              <w:rPr>
                <w:sz w:val="16"/>
                <w:szCs w:val="16"/>
              </w:rPr>
              <w:t>37</w:t>
            </w:r>
            <w:r w:rsidR="004B746A">
              <w:rPr>
                <w:sz w:val="16"/>
                <w:szCs w:val="16"/>
              </w:rPr>
              <w:t> </w:t>
            </w:r>
            <w:r w:rsidRPr="00003C40">
              <w:rPr>
                <w:sz w:val="16"/>
                <w:szCs w:val="16"/>
              </w:rPr>
              <w:t>556</w:t>
            </w:r>
          </w:p>
        </w:tc>
        <w:tc>
          <w:tcPr>
            <w:tcW w:w="874" w:type="dxa"/>
            <w:noWrap/>
            <w:vAlign w:val="center"/>
            <w:hideMark/>
          </w:tcPr>
          <w:p w14:paraId="1D307549" w14:textId="4AA0DED4" w:rsidR="0004011E" w:rsidRPr="00003C40" w:rsidRDefault="0004011E" w:rsidP="00FC2F99">
            <w:pPr>
              <w:pStyle w:val="Tabelltext"/>
              <w:jc w:val="right"/>
              <w:rPr>
                <w:sz w:val="16"/>
                <w:szCs w:val="16"/>
              </w:rPr>
            </w:pPr>
            <w:r w:rsidRPr="00003C40">
              <w:rPr>
                <w:sz w:val="16"/>
                <w:szCs w:val="16"/>
              </w:rPr>
              <w:t>37</w:t>
            </w:r>
            <w:r w:rsidR="004B746A">
              <w:rPr>
                <w:sz w:val="16"/>
                <w:szCs w:val="16"/>
              </w:rPr>
              <w:t> </w:t>
            </w:r>
            <w:r w:rsidRPr="00003C40">
              <w:rPr>
                <w:sz w:val="16"/>
                <w:szCs w:val="16"/>
              </w:rPr>
              <w:t>412</w:t>
            </w:r>
          </w:p>
        </w:tc>
        <w:tc>
          <w:tcPr>
            <w:tcW w:w="875" w:type="dxa"/>
            <w:noWrap/>
            <w:vAlign w:val="center"/>
            <w:hideMark/>
          </w:tcPr>
          <w:p w14:paraId="67103B66" w14:textId="1889D18B" w:rsidR="0004011E" w:rsidRPr="00003C40" w:rsidRDefault="0004011E" w:rsidP="00FC2F99">
            <w:pPr>
              <w:pStyle w:val="Tabelltext"/>
              <w:jc w:val="right"/>
              <w:rPr>
                <w:sz w:val="16"/>
                <w:szCs w:val="16"/>
              </w:rPr>
            </w:pPr>
            <w:r w:rsidRPr="00003C40">
              <w:rPr>
                <w:sz w:val="16"/>
                <w:szCs w:val="16"/>
              </w:rPr>
              <w:t>39</w:t>
            </w:r>
            <w:r w:rsidR="004B746A">
              <w:rPr>
                <w:sz w:val="16"/>
                <w:szCs w:val="16"/>
              </w:rPr>
              <w:t> </w:t>
            </w:r>
            <w:r w:rsidRPr="00003C40">
              <w:rPr>
                <w:sz w:val="16"/>
                <w:szCs w:val="16"/>
              </w:rPr>
              <w:t>813</w:t>
            </w:r>
          </w:p>
        </w:tc>
      </w:tr>
      <w:tr w:rsidR="0004011E" w:rsidRPr="00003C40" w14:paraId="15E49F57" w14:textId="77777777" w:rsidTr="00FC2F99">
        <w:trPr>
          <w:trHeight w:val="552"/>
        </w:trPr>
        <w:tc>
          <w:tcPr>
            <w:tcW w:w="1413" w:type="dxa"/>
            <w:noWrap/>
            <w:vAlign w:val="center"/>
            <w:hideMark/>
          </w:tcPr>
          <w:p w14:paraId="0E508966" w14:textId="77777777" w:rsidR="0004011E" w:rsidRPr="00003C40" w:rsidRDefault="0004011E" w:rsidP="00FC2F99">
            <w:pPr>
              <w:pStyle w:val="Tabelltext"/>
              <w:rPr>
                <w:b/>
                <w:bCs/>
                <w:sz w:val="16"/>
                <w:szCs w:val="16"/>
              </w:rPr>
            </w:pPr>
            <w:r w:rsidRPr="00003C40">
              <w:rPr>
                <w:b/>
                <w:bCs/>
                <w:sz w:val="16"/>
                <w:szCs w:val="16"/>
              </w:rPr>
              <w:t>Verksamhetens kostnader</w:t>
            </w:r>
          </w:p>
        </w:tc>
        <w:tc>
          <w:tcPr>
            <w:tcW w:w="874" w:type="dxa"/>
            <w:noWrap/>
            <w:vAlign w:val="center"/>
            <w:hideMark/>
          </w:tcPr>
          <w:p w14:paraId="42B3D935" w14:textId="646D74CC" w:rsidR="0004011E" w:rsidRPr="00003C40" w:rsidRDefault="0004011E" w:rsidP="00FC2F99">
            <w:pPr>
              <w:pStyle w:val="Tabelltext"/>
              <w:jc w:val="right"/>
              <w:rPr>
                <w:sz w:val="16"/>
                <w:szCs w:val="16"/>
              </w:rPr>
            </w:pPr>
            <w:r w:rsidRPr="00003C40">
              <w:rPr>
                <w:sz w:val="16"/>
                <w:szCs w:val="16"/>
              </w:rPr>
              <w:t>-171</w:t>
            </w:r>
            <w:r w:rsidR="004B746A">
              <w:rPr>
                <w:sz w:val="16"/>
                <w:szCs w:val="16"/>
              </w:rPr>
              <w:t> </w:t>
            </w:r>
            <w:r w:rsidRPr="00003C40">
              <w:rPr>
                <w:sz w:val="16"/>
                <w:szCs w:val="16"/>
              </w:rPr>
              <w:t>095</w:t>
            </w:r>
          </w:p>
        </w:tc>
        <w:tc>
          <w:tcPr>
            <w:tcW w:w="874" w:type="dxa"/>
            <w:noWrap/>
            <w:vAlign w:val="center"/>
            <w:hideMark/>
          </w:tcPr>
          <w:p w14:paraId="08A0A737" w14:textId="23D707A3" w:rsidR="0004011E" w:rsidRPr="00003C40" w:rsidRDefault="0004011E" w:rsidP="00FC2F99">
            <w:pPr>
              <w:pStyle w:val="Tabelltext"/>
              <w:jc w:val="right"/>
              <w:rPr>
                <w:sz w:val="16"/>
                <w:szCs w:val="16"/>
              </w:rPr>
            </w:pPr>
            <w:r w:rsidRPr="00003C40">
              <w:rPr>
                <w:sz w:val="16"/>
                <w:szCs w:val="16"/>
              </w:rPr>
              <w:t>-178</w:t>
            </w:r>
            <w:r w:rsidR="004B746A">
              <w:rPr>
                <w:sz w:val="16"/>
                <w:szCs w:val="16"/>
              </w:rPr>
              <w:t> </w:t>
            </w:r>
            <w:r w:rsidRPr="00003C40">
              <w:rPr>
                <w:sz w:val="16"/>
                <w:szCs w:val="16"/>
              </w:rPr>
              <w:t>426</w:t>
            </w:r>
          </w:p>
        </w:tc>
        <w:tc>
          <w:tcPr>
            <w:tcW w:w="874" w:type="dxa"/>
            <w:noWrap/>
            <w:vAlign w:val="center"/>
            <w:hideMark/>
          </w:tcPr>
          <w:p w14:paraId="163B9E1C" w14:textId="194C20FD" w:rsidR="0004011E" w:rsidRPr="00003C40" w:rsidRDefault="0004011E" w:rsidP="00FC2F99">
            <w:pPr>
              <w:pStyle w:val="Tabelltext"/>
              <w:jc w:val="right"/>
              <w:rPr>
                <w:sz w:val="16"/>
                <w:szCs w:val="16"/>
              </w:rPr>
            </w:pPr>
            <w:r w:rsidRPr="00003C40">
              <w:rPr>
                <w:sz w:val="16"/>
                <w:szCs w:val="16"/>
              </w:rPr>
              <w:t>-176</w:t>
            </w:r>
            <w:r w:rsidR="004B746A">
              <w:rPr>
                <w:sz w:val="16"/>
                <w:szCs w:val="16"/>
              </w:rPr>
              <w:t> </w:t>
            </w:r>
            <w:r w:rsidRPr="00003C40">
              <w:rPr>
                <w:sz w:val="16"/>
                <w:szCs w:val="16"/>
              </w:rPr>
              <w:t>620</w:t>
            </w:r>
          </w:p>
        </w:tc>
        <w:tc>
          <w:tcPr>
            <w:tcW w:w="874" w:type="dxa"/>
            <w:noWrap/>
            <w:vAlign w:val="center"/>
            <w:hideMark/>
          </w:tcPr>
          <w:p w14:paraId="082D4356" w14:textId="745F2086" w:rsidR="0004011E" w:rsidRPr="00003C40" w:rsidRDefault="0004011E" w:rsidP="00FC2F99">
            <w:pPr>
              <w:pStyle w:val="Tabelltext"/>
              <w:jc w:val="right"/>
              <w:rPr>
                <w:sz w:val="16"/>
                <w:szCs w:val="16"/>
              </w:rPr>
            </w:pPr>
            <w:r w:rsidRPr="00003C40">
              <w:rPr>
                <w:sz w:val="16"/>
                <w:szCs w:val="16"/>
              </w:rPr>
              <w:t>-178</w:t>
            </w:r>
            <w:r w:rsidR="004B746A">
              <w:rPr>
                <w:sz w:val="16"/>
                <w:szCs w:val="16"/>
              </w:rPr>
              <w:t> </w:t>
            </w:r>
            <w:r w:rsidRPr="00003C40">
              <w:rPr>
                <w:sz w:val="16"/>
                <w:szCs w:val="16"/>
              </w:rPr>
              <w:t>807</w:t>
            </w:r>
          </w:p>
        </w:tc>
        <w:tc>
          <w:tcPr>
            <w:tcW w:w="874" w:type="dxa"/>
            <w:noWrap/>
            <w:vAlign w:val="center"/>
            <w:hideMark/>
          </w:tcPr>
          <w:p w14:paraId="4B7CDF55" w14:textId="58A35209" w:rsidR="0004011E" w:rsidRPr="00003C40" w:rsidRDefault="0004011E" w:rsidP="00FC2F99">
            <w:pPr>
              <w:pStyle w:val="Tabelltext"/>
              <w:jc w:val="right"/>
              <w:rPr>
                <w:sz w:val="16"/>
                <w:szCs w:val="16"/>
              </w:rPr>
            </w:pPr>
            <w:r w:rsidRPr="00003C40">
              <w:rPr>
                <w:sz w:val="16"/>
                <w:szCs w:val="16"/>
              </w:rPr>
              <w:t>-187</w:t>
            </w:r>
            <w:r w:rsidR="004B746A">
              <w:rPr>
                <w:sz w:val="16"/>
                <w:szCs w:val="16"/>
              </w:rPr>
              <w:t> </w:t>
            </w:r>
            <w:r w:rsidRPr="00003C40">
              <w:rPr>
                <w:sz w:val="16"/>
                <w:szCs w:val="16"/>
              </w:rPr>
              <w:t>916</w:t>
            </w:r>
          </w:p>
        </w:tc>
        <w:tc>
          <w:tcPr>
            <w:tcW w:w="875" w:type="dxa"/>
            <w:noWrap/>
            <w:vAlign w:val="center"/>
            <w:hideMark/>
          </w:tcPr>
          <w:p w14:paraId="10909659" w14:textId="68652C35" w:rsidR="0004011E" w:rsidRPr="00003C40" w:rsidRDefault="0004011E" w:rsidP="00FC2F99">
            <w:pPr>
              <w:pStyle w:val="Tabelltext"/>
              <w:jc w:val="right"/>
              <w:rPr>
                <w:sz w:val="16"/>
                <w:szCs w:val="16"/>
              </w:rPr>
            </w:pPr>
            <w:r w:rsidRPr="00003C40">
              <w:rPr>
                <w:sz w:val="16"/>
                <w:szCs w:val="16"/>
              </w:rPr>
              <w:t>-200</w:t>
            </w:r>
            <w:r w:rsidR="004B746A">
              <w:rPr>
                <w:sz w:val="16"/>
                <w:szCs w:val="16"/>
              </w:rPr>
              <w:t> </w:t>
            </w:r>
            <w:r w:rsidRPr="00003C40">
              <w:rPr>
                <w:sz w:val="16"/>
                <w:szCs w:val="16"/>
              </w:rPr>
              <w:t>262</w:t>
            </w:r>
          </w:p>
        </w:tc>
      </w:tr>
      <w:tr w:rsidR="0004011E" w:rsidRPr="00003C40" w14:paraId="7E429582" w14:textId="77777777" w:rsidTr="00FC2F99">
        <w:trPr>
          <w:trHeight w:val="552"/>
        </w:trPr>
        <w:tc>
          <w:tcPr>
            <w:tcW w:w="1413" w:type="dxa"/>
            <w:noWrap/>
            <w:vAlign w:val="center"/>
            <w:hideMark/>
          </w:tcPr>
          <w:p w14:paraId="7EC17942" w14:textId="0C5DCCCA" w:rsidR="0004011E" w:rsidRPr="00003C40" w:rsidRDefault="006330F2" w:rsidP="00FC2F99">
            <w:pPr>
              <w:pStyle w:val="Tabelltext"/>
              <w:rPr>
                <w:b/>
                <w:bCs/>
                <w:sz w:val="16"/>
                <w:szCs w:val="16"/>
              </w:rPr>
            </w:pPr>
            <w:r w:rsidRPr="00003C40">
              <w:rPr>
                <w:b/>
                <w:bCs/>
                <w:sz w:val="16"/>
                <w:szCs w:val="16"/>
              </w:rPr>
              <w:t>Verksamhets</w:t>
            </w:r>
            <w:r>
              <w:rPr>
                <w:b/>
                <w:bCs/>
                <w:sz w:val="16"/>
                <w:szCs w:val="16"/>
              </w:rPr>
              <w:t>-bi</w:t>
            </w:r>
            <w:r w:rsidRPr="00003C40">
              <w:rPr>
                <w:b/>
                <w:bCs/>
                <w:sz w:val="16"/>
                <w:szCs w:val="16"/>
              </w:rPr>
              <w:t>drag</w:t>
            </w:r>
          </w:p>
        </w:tc>
        <w:tc>
          <w:tcPr>
            <w:tcW w:w="874" w:type="dxa"/>
            <w:noWrap/>
            <w:vAlign w:val="center"/>
            <w:hideMark/>
          </w:tcPr>
          <w:p w14:paraId="5F55E311" w14:textId="07420669" w:rsidR="0004011E" w:rsidRPr="00003C40" w:rsidRDefault="0004011E" w:rsidP="00FC2F99">
            <w:pPr>
              <w:pStyle w:val="Tabelltext"/>
              <w:jc w:val="right"/>
              <w:rPr>
                <w:sz w:val="16"/>
                <w:szCs w:val="16"/>
              </w:rPr>
            </w:pPr>
            <w:r w:rsidRPr="00003C40">
              <w:rPr>
                <w:sz w:val="16"/>
                <w:szCs w:val="16"/>
              </w:rPr>
              <w:t>-136</w:t>
            </w:r>
            <w:r w:rsidR="004B746A">
              <w:rPr>
                <w:sz w:val="16"/>
                <w:szCs w:val="16"/>
              </w:rPr>
              <w:t> </w:t>
            </w:r>
            <w:r w:rsidRPr="00003C40">
              <w:rPr>
                <w:sz w:val="16"/>
                <w:szCs w:val="16"/>
              </w:rPr>
              <w:t>898</w:t>
            </w:r>
          </w:p>
        </w:tc>
        <w:tc>
          <w:tcPr>
            <w:tcW w:w="874" w:type="dxa"/>
            <w:noWrap/>
            <w:vAlign w:val="center"/>
            <w:hideMark/>
          </w:tcPr>
          <w:p w14:paraId="7CF4FA62" w14:textId="1ABE7156" w:rsidR="0004011E" w:rsidRPr="00003C40" w:rsidRDefault="0004011E" w:rsidP="00FC2F99">
            <w:pPr>
              <w:pStyle w:val="Tabelltext"/>
              <w:jc w:val="right"/>
              <w:rPr>
                <w:sz w:val="16"/>
                <w:szCs w:val="16"/>
              </w:rPr>
            </w:pPr>
            <w:r w:rsidRPr="00003C40">
              <w:rPr>
                <w:sz w:val="16"/>
                <w:szCs w:val="16"/>
              </w:rPr>
              <w:t>-142</w:t>
            </w:r>
            <w:r w:rsidR="004B746A">
              <w:rPr>
                <w:sz w:val="16"/>
                <w:szCs w:val="16"/>
              </w:rPr>
              <w:t> </w:t>
            </w:r>
            <w:r w:rsidRPr="00003C40">
              <w:rPr>
                <w:sz w:val="16"/>
                <w:szCs w:val="16"/>
              </w:rPr>
              <w:t>333</w:t>
            </w:r>
          </w:p>
        </w:tc>
        <w:tc>
          <w:tcPr>
            <w:tcW w:w="874" w:type="dxa"/>
            <w:noWrap/>
            <w:vAlign w:val="center"/>
            <w:hideMark/>
          </w:tcPr>
          <w:p w14:paraId="5D36816E" w14:textId="2C600554" w:rsidR="0004011E" w:rsidRPr="00003C40" w:rsidRDefault="0004011E" w:rsidP="00FC2F99">
            <w:pPr>
              <w:pStyle w:val="Tabelltext"/>
              <w:jc w:val="right"/>
              <w:rPr>
                <w:sz w:val="16"/>
                <w:szCs w:val="16"/>
              </w:rPr>
            </w:pPr>
            <w:r w:rsidRPr="00003C40">
              <w:rPr>
                <w:sz w:val="16"/>
                <w:szCs w:val="16"/>
              </w:rPr>
              <w:t>-138</w:t>
            </w:r>
            <w:r w:rsidR="004B746A">
              <w:rPr>
                <w:sz w:val="16"/>
                <w:szCs w:val="16"/>
              </w:rPr>
              <w:t> </w:t>
            </w:r>
            <w:r w:rsidRPr="00003C40">
              <w:rPr>
                <w:sz w:val="16"/>
                <w:szCs w:val="16"/>
              </w:rPr>
              <w:t>589</w:t>
            </w:r>
          </w:p>
        </w:tc>
        <w:tc>
          <w:tcPr>
            <w:tcW w:w="874" w:type="dxa"/>
            <w:noWrap/>
            <w:vAlign w:val="center"/>
            <w:hideMark/>
          </w:tcPr>
          <w:p w14:paraId="0F102E4F" w14:textId="2FED7328" w:rsidR="0004011E" w:rsidRPr="00003C40" w:rsidRDefault="0004011E" w:rsidP="00FC2F99">
            <w:pPr>
              <w:pStyle w:val="Tabelltext"/>
              <w:jc w:val="right"/>
              <w:rPr>
                <w:sz w:val="16"/>
                <w:szCs w:val="16"/>
              </w:rPr>
            </w:pPr>
            <w:r w:rsidRPr="00003C40">
              <w:rPr>
                <w:sz w:val="16"/>
                <w:szCs w:val="16"/>
              </w:rPr>
              <w:t>-141</w:t>
            </w:r>
            <w:r w:rsidR="004B746A">
              <w:rPr>
                <w:sz w:val="16"/>
                <w:szCs w:val="16"/>
              </w:rPr>
              <w:t> </w:t>
            </w:r>
            <w:r w:rsidRPr="00003C40">
              <w:rPr>
                <w:sz w:val="16"/>
                <w:szCs w:val="16"/>
              </w:rPr>
              <w:t>247</w:t>
            </w:r>
          </w:p>
        </w:tc>
        <w:tc>
          <w:tcPr>
            <w:tcW w:w="874" w:type="dxa"/>
            <w:noWrap/>
            <w:vAlign w:val="center"/>
            <w:hideMark/>
          </w:tcPr>
          <w:p w14:paraId="7ACD3BE7" w14:textId="74970804" w:rsidR="0004011E" w:rsidRPr="00003C40" w:rsidRDefault="0004011E" w:rsidP="00FC2F99">
            <w:pPr>
              <w:pStyle w:val="Tabelltext"/>
              <w:jc w:val="right"/>
              <w:rPr>
                <w:sz w:val="16"/>
                <w:szCs w:val="16"/>
              </w:rPr>
            </w:pPr>
            <w:r w:rsidRPr="00003C40">
              <w:rPr>
                <w:sz w:val="16"/>
                <w:szCs w:val="16"/>
              </w:rPr>
              <w:t>-150</w:t>
            </w:r>
            <w:r w:rsidR="004B746A">
              <w:rPr>
                <w:sz w:val="16"/>
                <w:szCs w:val="16"/>
              </w:rPr>
              <w:t> </w:t>
            </w:r>
            <w:r w:rsidRPr="00003C40">
              <w:rPr>
                <w:sz w:val="16"/>
                <w:szCs w:val="16"/>
              </w:rPr>
              <w:t>502</w:t>
            </w:r>
          </w:p>
        </w:tc>
        <w:tc>
          <w:tcPr>
            <w:tcW w:w="875" w:type="dxa"/>
            <w:noWrap/>
            <w:vAlign w:val="center"/>
            <w:hideMark/>
          </w:tcPr>
          <w:p w14:paraId="2E7FF764" w14:textId="749DBA8E" w:rsidR="0004011E" w:rsidRPr="00003C40" w:rsidRDefault="0004011E" w:rsidP="00FC2F99">
            <w:pPr>
              <w:pStyle w:val="Tabelltext"/>
              <w:jc w:val="right"/>
              <w:rPr>
                <w:sz w:val="16"/>
                <w:szCs w:val="16"/>
              </w:rPr>
            </w:pPr>
            <w:r w:rsidRPr="00003C40">
              <w:rPr>
                <w:sz w:val="16"/>
                <w:szCs w:val="16"/>
              </w:rPr>
              <w:t>-160</w:t>
            </w:r>
            <w:r w:rsidR="004B746A">
              <w:rPr>
                <w:sz w:val="16"/>
                <w:szCs w:val="16"/>
              </w:rPr>
              <w:t> </w:t>
            </w:r>
            <w:r w:rsidRPr="00003C40">
              <w:rPr>
                <w:sz w:val="16"/>
                <w:szCs w:val="16"/>
              </w:rPr>
              <w:t>443</w:t>
            </w:r>
          </w:p>
        </w:tc>
      </w:tr>
      <w:tr w:rsidR="0004011E" w:rsidRPr="00003C40" w14:paraId="326368BE" w14:textId="77777777" w:rsidTr="00FC2F99">
        <w:trPr>
          <w:trHeight w:val="552"/>
        </w:trPr>
        <w:tc>
          <w:tcPr>
            <w:tcW w:w="1413" w:type="dxa"/>
            <w:noWrap/>
            <w:vAlign w:val="center"/>
            <w:hideMark/>
          </w:tcPr>
          <w:p w14:paraId="5B6EA8CA" w14:textId="77777777" w:rsidR="0004011E" w:rsidRPr="00003C40" w:rsidRDefault="0004011E" w:rsidP="00FC2F99">
            <w:pPr>
              <w:pStyle w:val="Tabelltext"/>
              <w:rPr>
                <w:b/>
                <w:bCs/>
                <w:sz w:val="16"/>
                <w:szCs w:val="16"/>
              </w:rPr>
            </w:pPr>
            <w:r w:rsidRPr="00003C40">
              <w:rPr>
                <w:b/>
                <w:bCs/>
                <w:sz w:val="16"/>
                <w:szCs w:val="16"/>
              </w:rPr>
              <w:t>Skatteintäkter</w:t>
            </w:r>
          </w:p>
        </w:tc>
        <w:tc>
          <w:tcPr>
            <w:tcW w:w="874" w:type="dxa"/>
            <w:noWrap/>
            <w:vAlign w:val="center"/>
            <w:hideMark/>
          </w:tcPr>
          <w:p w14:paraId="3F4E444B" w14:textId="53CDDD83" w:rsidR="0004011E" w:rsidRPr="00003C40" w:rsidRDefault="0004011E" w:rsidP="00FC2F99">
            <w:pPr>
              <w:pStyle w:val="Tabelltext"/>
              <w:jc w:val="right"/>
              <w:rPr>
                <w:sz w:val="16"/>
                <w:szCs w:val="16"/>
              </w:rPr>
            </w:pPr>
            <w:r w:rsidRPr="00003C40">
              <w:rPr>
                <w:sz w:val="16"/>
                <w:szCs w:val="16"/>
              </w:rPr>
              <w:t>106</w:t>
            </w:r>
            <w:r w:rsidR="004B746A">
              <w:rPr>
                <w:sz w:val="16"/>
                <w:szCs w:val="16"/>
              </w:rPr>
              <w:t> </w:t>
            </w:r>
            <w:r w:rsidRPr="00003C40">
              <w:rPr>
                <w:sz w:val="16"/>
                <w:szCs w:val="16"/>
              </w:rPr>
              <w:t>837</w:t>
            </w:r>
          </w:p>
        </w:tc>
        <w:tc>
          <w:tcPr>
            <w:tcW w:w="874" w:type="dxa"/>
            <w:noWrap/>
            <w:vAlign w:val="center"/>
            <w:hideMark/>
          </w:tcPr>
          <w:p w14:paraId="389ED534" w14:textId="76C9012B" w:rsidR="0004011E" w:rsidRPr="00003C40" w:rsidRDefault="0004011E" w:rsidP="00FC2F99">
            <w:pPr>
              <w:pStyle w:val="Tabelltext"/>
              <w:jc w:val="right"/>
              <w:rPr>
                <w:sz w:val="16"/>
                <w:szCs w:val="16"/>
              </w:rPr>
            </w:pPr>
            <w:r w:rsidRPr="00003C40">
              <w:rPr>
                <w:sz w:val="16"/>
                <w:szCs w:val="16"/>
              </w:rPr>
              <w:t>105</w:t>
            </w:r>
            <w:r w:rsidR="004B746A">
              <w:rPr>
                <w:sz w:val="16"/>
                <w:szCs w:val="16"/>
              </w:rPr>
              <w:t> </w:t>
            </w:r>
            <w:r w:rsidRPr="00003C40">
              <w:rPr>
                <w:sz w:val="16"/>
                <w:szCs w:val="16"/>
              </w:rPr>
              <w:t>907</w:t>
            </w:r>
          </w:p>
        </w:tc>
        <w:tc>
          <w:tcPr>
            <w:tcW w:w="874" w:type="dxa"/>
            <w:noWrap/>
            <w:vAlign w:val="center"/>
            <w:hideMark/>
          </w:tcPr>
          <w:p w14:paraId="4065EB35" w14:textId="3CB6A4A5" w:rsidR="0004011E" w:rsidRPr="00003C40" w:rsidRDefault="0004011E" w:rsidP="00FC2F99">
            <w:pPr>
              <w:pStyle w:val="Tabelltext"/>
              <w:jc w:val="right"/>
              <w:rPr>
                <w:sz w:val="16"/>
                <w:szCs w:val="16"/>
              </w:rPr>
            </w:pPr>
            <w:r w:rsidRPr="00003C40">
              <w:rPr>
                <w:sz w:val="16"/>
                <w:szCs w:val="16"/>
              </w:rPr>
              <w:t>111</w:t>
            </w:r>
            <w:r w:rsidR="004B746A">
              <w:rPr>
                <w:sz w:val="16"/>
                <w:szCs w:val="16"/>
              </w:rPr>
              <w:t> </w:t>
            </w:r>
            <w:r w:rsidRPr="00003C40">
              <w:rPr>
                <w:sz w:val="16"/>
                <w:szCs w:val="16"/>
              </w:rPr>
              <w:t>985</w:t>
            </w:r>
          </w:p>
        </w:tc>
        <w:tc>
          <w:tcPr>
            <w:tcW w:w="874" w:type="dxa"/>
            <w:noWrap/>
            <w:vAlign w:val="center"/>
            <w:hideMark/>
          </w:tcPr>
          <w:p w14:paraId="20FD1664" w14:textId="67C5305B" w:rsidR="0004011E" w:rsidRPr="00003C40" w:rsidRDefault="0004011E" w:rsidP="00FC2F99">
            <w:pPr>
              <w:pStyle w:val="Tabelltext"/>
              <w:jc w:val="right"/>
              <w:rPr>
                <w:sz w:val="16"/>
                <w:szCs w:val="16"/>
              </w:rPr>
            </w:pPr>
            <w:r w:rsidRPr="00003C40">
              <w:rPr>
                <w:sz w:val="16"/>
                <w:szCs w:val="16"/>
              </w:rPr>
              <w:t>119</w:t>
            </w:r>
            <w:r w:rsidR="004B746A">
              <w:rPr>
                <w:sz w:val="16"/>
                <w:szCs w:val="16"/>
              </w:rPr>
              <w:t> </w:t>
            </w:r>
            <w:r w:rsidRPr="00003C40">
              <w:rPr>
                <w:sz w:val="16"/>
                <w:szCs w:val="16"/>
              </w:rPr>
              <w:t>531</w:t>
            </w:r>
          </w:p>
        </w:tc>
        <w:tc>
          <w:tcPr>
            <w:tcW w:w="874" w:type="dxa"/>
            <w:noWrap/>
            <w:vAlign w:val="center"/>
            <w:hideMark/>
          </w:tcPr>
          <w:p w14:paraId="2850AE68" w14:textId="42FFC821" w:rsidR="0004011E" w:rsidRPr="00003C40" w:rsidRDefault="0004011E" w:rsidP="00FC2F99">
            <w:pPr>
              <w:pStyle w:val="Tabelltext"/>
              <w:jc w:val="right"/>
              <w:rPr>
                <w:sz w:val="16"/>
                <w:szCs w:val="16"/>
              </w:rPr>
            </w:pPr>
            <w:r w:rsidRPr="00003C40">
              <w:rPr>
                <w:sz w:val="16"/>
                <w:szCs w:val="16"/>
              </w:rPr>
              <w:t>127</w:t>
            </w:r>
            <w:r w:rsidR="004B746A">
              <w:rPr>
                <w:sz w:val="16"/>
                <w:szCs w:val="16"/>
              </w:rPr>
              <w:t> </w:t>
            </w:r>
            <w:r w:rsidRPr="00003C40">
              <w:rPr>
                <w:sz w:val="16"/>
                <w:szCs w:val="16"/>
              </w:rPr>
              <w:t>660</w:t>
            </w:r>
          </w:p>
        </w:tc>
        <w:tc>
          <w:tcPr>
            <w:tcW w:w="875" w:type="dxa"/>
            <w:noWrap/>
            <w:vAlign w:val="center"/>
            <w:hideMark/>
          </w:tcPr>
          <w:p w14:paraId="3A3F8879" w14:textId="3D3609B7" w:rsidR="0004011E" w:rsidRPr="00003C40" w:rsidRDefault="0004011E" w:rsidP="00FC2F99">
            <w:pPr>
              <w:pStyle w:val="Tabelltext"/>
              <w:jc w:val="right"/>
              <w:rPr>
                <w:sz w:val="16"/>
                <w:szCs w:val="16"/>
              </w:rPr>
            </w:pPr>
            <w:r w:rsidRPr="00003C40">
              <w:rPr>
                <w:sz w:val="16"/>
                <w:szCs w:val="16"/>
              </w:rPr>
              <w:t>134</w:t>
            </w:r>
            <w:r w:rsidR="004B746A">
              <w:rPr>
                <w:sz w:val="16"/>
                <w:szCs w:val="16"/>
              </w:rPr>
              <w:t> </w:t>
            </w:r>
            <w:r w:rsidRPr="00003C40">
              <w:rPr>
                <w:sz w:val="16"/>
                <w:szCs w:val="16"/>
              </w:rPr>
              <w:t>732</w:t>
            </w:r>
          </w:p>
        </w:tc>
      </w:tr>
      <w:tr w:rsidR="0004011E" w:rsidRPr="00003C40" w14:paraId="195BA668" w14:textId="77777777" w:rsidTr="00FC2F99">
        <w:trPr>
          <w:trHeight w:val="552"/>
        </w:trPr>
        <w:tc>
          <w:tcPr>
            <w:tcW w:w="1413" w:type="dxa"/>
            <w:noWrap/>
            <w:vAlign w:val="center"/>
            <w:hideMark/>
          </w:tcPr>
          <w:p w14:paraId="2AB6123F" w14:textId="77777777" w:rsidR="0004011E" w:rsidRDefault="0004011E" w:rsidP="00FC2F99">
            <w:pPr>
              <w:pStyle w:val="Tabelltext"/>
              <w:rPr>
                <w:b/>
                <w:bCs/>
                <w:sz w:val="16"/>
                <w:szCs w:val="16"/>
              </w:rPr>
            </w:pPr>
            <w:r w:rsidRPr="00003C40">
              <w:rPr>
                <w:b/>
                <w:bCs/>
                <w:sz w:val="16"/>
                <w:szCs w:val="16"/>
              </w:rPr>
              <w:t>Landskaps</w:t>
            </w:r>
            <w:r>
              <w:rPr>
                <w:b/>
                <w:bCs/>
                <w:sz w:val="16"/>
                <w:szCs w:val="16"/>
              </w:rPr>
              <w:t>-</w:t>
            </w:r>
          </w:p>
          <w:p w14:paraId="25E6D0D5" w14:textId="77777777" w:rsidR="0004011E" w:rsidRPr="00003C40" w:rsidRDefault="0004011E" w:rsidP="00FC2F99">
            <w:pPr>
              <w:pStyle w:val="Tabelltext"/>
              <w:rPr>
                <w:b/>
                <w:bCs/>
                <w:sz w:val="16"/>
                <w:szCs w:val="16"/>
              </w:rPr>
            </w:pPr>
            <w:r>
              <w:rPr>
                <w:b/>
                <w:bCs/>
                <w:sz w:val="16"/>
                <w:szCs w:val="16"/>
              </w:rPr>
              <w:t>an</w:t>
            </w:r>
            <w:r w:rsidRPr="00003C40">
              <w:rPr>
                <w:b/>
                <w:bCs/>
                <w:sz w:val="16"/>
                <w:szCs w:val="16"/>
              </w:rPr>
              <w:t>delar</w:t>
            </w:r>
          </w:p>
        </w:tc>
        <w:tc>
          <w:tcPr>
            <w:tcW w:w="874" w:type="dxa"/>
            <w:noWrap/>
            <w:vAlign w:val="center"/>
            <w:hideMark/>
          </w:tcPr>
          <w:p w14:paraId="22E63BF8" w14:textId="1E10FBE3" w:rsidR="0004011E" w:rsidRPr="00003C40" w:rsidRDefault="0004011E" w:rsidP="00FC2F99">
            <w:pPr>
              <w:pStyle w:val="Tabelltext"/>
              <w:jc w:val="right"/>
              <w:rPr>
                <w:sz w:val="16"/>
                <w:szCs w:val="16"/>
              </w:rPr>
            </w:pPr>
            <w:r w:rsidRPr="00003C40">
              <w:rPr>
                <w:sz w:val="16"/>
                <w:szCs w:val="16"/>
              </w:rPr>
              <w:t>39</w:t>
            </w:r>
            <w:r w:rsidR="004B746A">
              <w:rPr>
                <w:sz w:val="16"/>
                <w:szCs w:val="16"/>
              </w:rPr>
              <w:t> </w:t>
            </w:r>
            <w:r w:rsidRPr="00003C40">
              <w:rPr>
                <w:sz w:val="16"/>
                <w:szCs w:val="16"/>
              </w:rPr>
              <w:t>303</w:t>
            </w:r>
          </w:p>
        </w:tc>
        <w:tc>
          <w:tcPr>
            <w:tcW w:w="874" w:type="dxa"/>
            <w:noWrap/>
            <w:vAlign w:val="center"/>
            <w:hideMark/>
          </w:tcPr>
          <w:p w14:paraId="75976298" w14:textId="54F191F8" w:rsidR="0004011E" w:rsidRPr="00003C40" w:rsidRDefault="0004011E" w:rsidP="00FC2F99">
            <w:pPr>
              <w:pStyle w:val="Tabelltext"/>
              <w:jc w:val="right"/>
              <w:rPr>
                <w:sz w:val="16"/>
                <w:szCs w:val="16"/>
              </w:rPr>
            </w:pPr>
            <w:r w:rsidRPr="00003C40">
              <w:rPr>
                <w:sz w:val="16"/>
                <w:szCs w:val="16"/>
              </w:rPr>
              <w:t>36</w:t>
            </w:r>
            <w:r w:rsidR="004B746A">
              <w:rPr>
                <w:sz w:val="16"/>
                <w:szCs w:val="16"/>
              </w:rPr>
              <w:t> </w:t>
            </w:r>
            <w:r w:rsidRPr="00003C40">
              <w:rPr>
                <w:sz w:val="16"/>
                <w:szCs w:val="16"/>
              </w:rPr>
              <w:t>037</w:t>
            </w:r>
          </w:p>
        </w:tc>
        <w:tc>
          <w:tcPr>
            <w:tcW w:w="874" w:type="dxa"/>
            <w:noWrap/>
            <w:vAlign w:val="center"/>
            <w:hideMark/>
          </w:tcPr>
          <w:p w14:paraId="4BAE68B0" w14:textId="253747F3" w:rsidR="0004011E" w:rsidRPr="00003C40" w:rsidRDefault="0004011E" w:rsidP="00FC2F99">
            <w:pPr>
              <w:pStyle w:val="Tabelltext"/>
              <w:jc w:val="right"/>
              <w:rPr>
                <w:sz w:val="16"/>
                <w:szCs w:val="16"/>
              </w:rPr>
            </w:pPr>
            <w:r w:rsidRPr="00003C40">
              <w:rPr>
                <w:sz w:val="16"/>
                <w:szCs w:val="16"/>
              </w:rPr>
              <w:t>41</w:t>
            </w:r>
            <w:r w:rsidR="004B746A">
              <w:rPr>
                <w:sz w:val="16"/>
                <w:szCs w:val="16"/>
              </w:rPr>
              <w:t> </w:t>
            </w:r>
            <w:r w:rsidRPr="00003C40">
              <w:rPr>
                <w:sz w:val="16"/>
                <w:szCs w:val="16"/>
              </w:rPr>
              <w:t>043</w:t>
            </w:r>
          </w:p>
        </w:tc>
        <w:tc>
          <w:tcPr>
            <w:tcW w:w="874" w:type="dxa"/>
            <w:noWrap/>
            <w:vAlign w:val="center"/>
            <w:hideMark/>
          </w:tcPr>
          <w:p w14:paraId="7CF3115C" w14:textId="4AD87AFA" w:rsidR="0004011E" w:rsidRPr="00003C40" w:rsidRDefault="0004011E" w:rsidP="00FC2F99">
            <w:pPr>
              <w:pStyle w:val="Tabelltext"/>
              <w:jc w:val="right"/>
              <w:rPr>
                <w:sz w:val="16"/>
                <w:szCs w:val="16"/>
              </w:rPr>
            </w:pPr>
            <w:r w:rsidRPr="00003C40">
              <w:rPr>
                <w:sz w:val="16"/>
                <w:szCs w:val="16"/>
              </w:rPr>
              <w:t>34</w:t>
            </w:r>
            <w:r w:rsidR="004B746A">
              <w:rPr>
                <w:sz w:val="16"/>
                <w:szCs w:val="16"/>
              </w:rPr>
              <w:t> </w:t>
            </w:r>
            <w:r w:rsidRPr="00003C40">
              <w:rPr>
                <w:sz w:val="16"/>
                <w:szCs w:val="16"/>
              </w:rPr>
              <w:t>479</w:t>
            </w:r>
          </w:p>
        </w:tc>
        <w:tc>
          <w:tcPr>
            <w:tcW w:w="874" w:type="dxa"/>
            <w:noWrap/>
            <w:vAlign w:val="center"/>
            <w:hideMark/>
          </w:tcPr>
          <w:p w14:paraId="13EDE611" w14:textId="12D2427D" w:rsidR="0004011E" w:rsidRPr="00003C40" w:rsidRDefault="0004011E" w:rsidP="00FC2F99">
            <w:pPr>
              <w:pStyle w:val="Tabelltext"/>
              <w:jc w:val="right"/>
              <w:rPr>
                <w:sz w:val="16"/>
                <w:szCs w:val="16"/>
              </w:rPr>
            </w:pPr>
            <w:r w:rsidRPr="00003C40">
              <w:rPr>
                <w:sz w:val="16"/>
                <w:szCs w:val="16"/>
              </w:rPr>
              <w:t>35</w:t>
            </w:r>
            <w:r w:rsidR="004B746A">
              <w:rPr>
                <w:sz w:val="16"/>
                <w:szCs w:val="16"/>
              </w:rPr>
              <w:t> </w:t>
            </w:r>
            <w:r w:rsidRPr="00003C40">
              <w:rPr>
                <w:sz w:val="16"/>
                <w:szCs w:val="16"/>
              </w:rPr>
              <w:t>435</w:t>
            </w:r>
          </w:p>
        </w:tc>
        <w:tc>
          <w:tcPr>
            <w:tcW w:w="875" w:type="dxa"/>
            <w:noWrap/>
            <w:vAlign w:val="center"/>
            <w:hideMark/>
          </w:tcPr>
          <w:p w14:paraId="289FE688" w14:textId="612D8D95" w:rsidR="0004011E" w:rsidRPr="00003C40" w:rsidRDefault="0004011E" w:rsidP="00FC2F99">
            <w:pPr>
              <w:pStyle w:val="Tabelltext"/>
              <w:jc w:val="right"/>
              <w:rPr>
                <w:sz w:val="16"/>
                <w:szCs w:val="16"/>
              </w:rPr>
            </w:pPr>
            <w:r w:rsidRPr="00003C40">
              <w:rPr>
                <w:sz w:val="16"/>
                <w:szCs w:val="16"/>
              </w:rPr>
              <w:t>42</w:t>
            </w:r>
            <w:r w:rsidR="004B746A">
              <w:rPr>
                <w:sz w:val="16"/>
                <w:szCs w:val="16"/>
              </w:rPr>
              <w:t> </w:t>
            </w:r>
            <w:r w:rsidRPr="00003C40">
              <w:rPr>
                <w:sz w:val="16"/>
                <w:szCs w:val="16"/>
              </w:rPr>
              <w:t>954</w:t>
            </w:r>
          </w:p>
        </w:tc>
      </w:tr>
      <w:tr w:rsidR="0004011E" w:rsidRPr="00003C40" w14:paraId="29BB150F" w14:textId="77777777" w:rsidTr="00FC2F99">
        <w:trPr>
          <w:trHeight w:val="552"/>
        </w:trPr>
        <w:tc>
          <w:tcPr>
            <w:tcW w:w="1413" w:type="dxa"/>
            <w:noWrap/>
            <w:vAlign w:val="center"/>
            <w:hideMark/>
          </w:tcPr>
          <w:p w14:paraId="6C0BA3B1" w14:textId="77777777" w:rsidR="0004011E" w:rsidRPr="00003C40" w:rsidRDefault="0004011E" w:rsidP="00FC2F99">
            <w:pPr>
              <w:pStyle w:val="Tabelltext"/>
              <w:rPr>
                <w:b/>
                <w:bCs/>
                <w:sz w:val="16"/>
                <w:szCs w:val="16"/>
              </w:rPr>
            </w:pPr>
            <w:r w:rsidRPr="00003C40">
              <w:rPr>
                <w:b/>
                <w:bCs/>
                <w:sz w:val="16"/>
                <w:szCs w:val="16"/>
              </w:rPr>
              <w:t>Årsbidrag</w:t>
            </w:r>
          </w:p>
        </w:tc>
        <w:tc>
          <w:tcPr>
            <w:tcW w:w="874" w:type="dxa"/>
            <w:noWrap/>
            <w:vAlign w:val="center"/>
            <w:hideMark/>
          </w:tcPr>
          <w:p w14:paraId="1593BB2F" w14:textId="51E2B9FD" w:rsidR="0004011E" w:rsidRPr="00003C40" w:rsidRDefault="0004011E" w:rsidP="00FC2F99">
            <w:pPr>
              <w:pStyle w:val="Tabelltext"/>
              <w:jc w:val="right"/>
              <w:rPr>
                <w:sz w:val="16"/>
                <w:szCs w:val="16"/>
              </w:rPr>
            </w:pPr>
            <w:r w:rsidRPr="00003C40">
              <w:rPr>
                <w:sz w:val="16"/>
                <w:szCs w:val="16"/>
              </w:rPr>
              <w:t>10</w:t>
            </w:r>
            <w:r w:rsidR="004B746A">
              <w:rPr>
                <w:sz w:val="16"/>
                <w:szCs w:val="16"/>
              </w:rPr>
              <w:t> </w:t>
            </w:r>
            <w:r w:rsidRPr="00003C40">
              <w:rPr>
                <w:sz w:val="16"/>
                <w:szCs w:val="16"/>
              </w:rPr>
              <w:t>157</w:t>
            </w:r>
          </w:p>
        </w:tc>
        <w:tc>
          <w:tcPr>
            <w:tcW w:w="874" w:type="dxa"/>
            <w:noWrap/>
            <w:vAlign w:val="center"/>
            <w:hideMark/>
          </w:tcPr>
          <w:p w14:paraId="5F80B38B" w14:textId="77777777" w:rsidR="0004011E" w:rsidRPr="00003C40" w:rsidRDefault="0004011E" w:rsidP="00FC2F99">
            <w:pPr>
              <w:pStyle w:val="Tabelltext"/>
              <w:jc w:val="right"/>
              <w:rPr>
                <w:sz w:val="16"/>
                <w:szCs w:val="16"/>
              </w:rPr>
            </w:pPr>
            <w:r w:rsidRPr="00003C40">
              <w:rPr>
                <w:sz w:val="16"/>
                <w:szCs w:val="16"/>
              </w:rPr>
              <w:t>481</w:t>
            </w:r>
          </w:p>
        </w:tc>
        <w:tc>
          <w:tcPr>
            <w:tcW w:w="874" w:type="dxa"/>
            <w:noWrap/>
            <w:vAlign w:val="center"/>
            <w:hideMark/>
          </w:tcPr>
          <w:p w14:paraId="6774C18C" w14:textId="3978372F" w:rsidR="0004011E" w:rsidRPr="00003C40" w:rsidRDefault="0004011E" w:rsidP="00FC2F99">
            <w:pPr>
              <w:pStyle w:val="Tabelltext"/>
              <w:jc w:val="right"/>
              <w:rPr>
                <w:sz w:val="16"/>
                <w:szCs w:val="16"/>
              </w:rPr>
            </w:pPr>
            <w:r w:rsidRPr="00003C40">
              <w:rPr>
                <w:sz w:val="16"/>
                <w:szCs w:val="16"/>
              </w:rPr>
              <w:t>15</w:t>
            </w:r>
            <w:r w:rsidR="004B746A">
              <w:rPr>
                <w:sz w:val="16"/>
                <w:szCs w:val="16"/>
              </w:rPr>
              <w:t> </w:t>
            </w:r>
            <w:r w:rsidRPr="00003C40">
              <w:rPr>
                <w:sz w:val="16"/>
                <w:szCs w:val="16"/>
              </w:rPr>
              <w:t>572</w:t>
            </w:r>
          </w:p>
        </w:tc>
        <w:tc>
          <w:tcPr>
            <w:tcW w:w="874" w:type="dxa"/>
            <w:noWrap/>
            <w:vAlign w:val="center"/>
            <w:hideMark/>
          </w:tcPr>
          <w:p w14:paraId="053200D6" w14:textId="4AFE6230" w:rsidR="0004011E" w:rsidRPr="00003C40" w:rsidRDefault="0004011E" w:rsidP="00FC2F99">
            <w:pPr>
              <w:pStyle w:val="Tabelltext"/>
              <w:jc w:val="right"/>
              <w:rPr>
                <w:sz w:val="16"/>
                <w:szCs w:val="16"/>
              </w:rPr>
            </w:pPr>
            <w:r w:rsidRPr="00003C40">
              <w:rPr>
                <w:sz w:val="16"/>
                <w:szCs w:val="16"/>
              </w:rPr>
              <w:t>13</w:t>
            </w:r>
            <w:r w:rsidR="004B746A">
              <w:rPr>
                <w:sz w:val="16"/>
                <w:szCs w:val="16"/>
              </w:rPr>
              <w:t> </w:t>
            </w:r>
            <w:r w:rsidRPr="00003C40">
              <w:rPr>
                <w:sz w:val="16"/>
                <w:szCs w:val="16"/>
              </w:rPr>
              <w:t>951</w:t>
            </w:r>
          </w:p>
        </w:tc>
        <w:tc>
          <w:tcPr>
            <w:tcW w:w="874" w:type="dxa"/>
            <w:noWrap/>
            <w:vAlign w:val="center"/>
            <w:hideMark/>
          </w:tcPr>
          <w:p w14:paraId="6A56D793" w14:textId="38898CCD" w:rsidR="0004011E" w:rsidRPr="00003C40" w:rsidRDefault="0004011E" w:rsidP="00FC2F99">
            <w:pPr>
              <w:pStyle w:val="Tabelltext"/>
              <w:jc w:val="right"/>
              <w:rPr>
                <w:sz w:val="16"/>
                <w:szCs w:val="16"/>
              </w:rPr>
            </w:pPr>
            <w:r w:rsidRPr="00003C40">
              <w:rPr>
                <w:sz w:val="16"/>
                <w:szCs w:val="16"/>
              </w:rPr>
              <w:t>13</w:t>
            </w:r>
            <w:r w:rsidR="004B746A">
              <w:rPr>
                <w:sz w:val="16"/>
                <w:szCs w:val="16"/>
              </w:rPr>
              <w:t> </w:t>
            </w:r>
            <w:r w:rsidRPr="00003C40">
              <w:rPr>
                <w:sz w:val="16"/>
                <w:szCs w:val="16"/>
              </w:rPr>
              <w:t>429</w:t>
            </w:r>
          </w:p>
        </w:tc>
        <w:tc>
          <w:tcPr>
            <w:tcW w:w="875" w:type="dxa"/>
            <w:noWrap/>
            <w:vAlign w:val="center"/>
            <w:hideMark/>
          </w:tcPr>
          <w:p w14:paraId="20990755" w14:textId="69594D51" w:rsidR="0004011E" w:rsidRPr="00003C40" w:rsidRDefault="0004011E" w:rsidP="00FC2F99">
            <w:pPr>
              <w:pStyle w:val="Tabelltext"/>
              <w:jc w:val="right"/>
              <w:rPr>
                <w:sz w:val="16"/>
                <w:szCs w:val="16"/>
              </w:rPr>
            </w:pPr>
            <w:r w:rsidRPr="00003C40">
              <w:rPr>
                <w:sz w:val="16"/>
                <w:szCs w:val="16"/>
              </w:rPr>
              <w:t>17</w:t>
            </w:r>
            <w:r w:rsidR="004B746A">
              <w:rPr>
                <w:sz w:val="16"/>
                <w:szCs w:val="16"/>
              </w:rPr>
              <w:t> </w:t>
            </w:r>
            <w:r w:rsidRPr="00003C40">
              <w:rPr>
                <w:sz w:val="16"/>
                <w:szCs w:val="16"/>
              </w:rPr>
              <w:t>340</w:t>
            </w:r>
          </w:p>
        </w:tc>
      </w:tr>
      <w:tr w:rsidR="0004011E" w:rsidRPr="00003C40" w14:paraId="369D5F61" w14:textId="77777777" w:rsidTr="00FC2F99">
        <w:trPr>
          <w:trHeight w:val="552"/>
        </w:trPr>
        <w:tc>
          <w:tcPr>
            <w:tcW w:w="1413" w:type="dxa"/>
            <w:noWrap/>
            <w:vAlign w:val="center"/>
            <w:hideMark/>
          </w:tcPr>
          <w:p w14:paraId="09239760" w14:textId="0DFC6E15" w:rsidR="0004011E" w:rsidRDefault="0004011E" w:rsidP="00FC2F99">
            <w:pPr>
              <w:pStyle w:val="Tabelltext"/>
              <w:rPr>
                <w:b/>
                <w:bCs/>
                <w:sz w:val="16"/>
                <w:szCs w:val="16"/>
              </w:rPr>
            </w:pPr>
            <w:r w:rsidRPr="00003C40">
              <w:rPr>
                <w:b/>
                <w:bCs/>
                <w:sz w:val="16"/>
                <w:szCs w:val="16"/>
              </w:rPr>
              <w:t>Räkenskaps</w:t>
            </w:r>
            <w:r>
              <w:rPr>
                <w:b/>
                <w:bCs/>
                <w:sz w:val="16"/>
                <w:szCs w:val="16"/>
              </w:rPr>
              <w:t>-</w:t>
            </w:r>
            <w:r w:rsidRPr="00003C40">
              <w:rPr>
                <w:b/>
                <w:bCs/>
                <w:sz w:val="16"/>
                <w:szCs w:val="16"/>
              </w:rPr>
              <w:t>periodens</w:t>
            </w:r>
          </w:p>
          <w:p w14:paraId="3572F6D2" w14:textId="77777777" w:rsidR="0004011E" w:rsidRPr="00003C40" w:rsidRDefault="0004011E" w:rsidP="00FC2F99">
            <w:pPr>
              <w:pStyle w:val="Tabelltext"/>
              <w:rPr>
                <w:b/>
                <w:bCs/>
                <w:sz w:val="16"/>
                <w:szCs w:val="16"/>
              </w:rPr>
            </w:pPr>
            <w:r w:rsidRPr="00003C40">
              <w:rPr>
                <w:b/>
                <w:bCs/>
                <w:sz w:val="16"/>
                <w:szCs w:val="16"/>
              </w:rPr>
              <w:t>resultat</w:t>
            </w:r>
          </w:p>
        </w:tc>
        <w:tc>
          <w:tcPr>
            <w:tcW w:w="874" w:type="dxa"/>
            <w:noWrap/>
            <w:vAlign w:val="center"/>
            <w:hideMark/>
          </w:tcPr>
          <w:p w14:paraId="1673B1EE" w14:textId="77777777" w:rsidR="0004011E" w:rsidRPr="00003C40" w:rsidRDefault="0004011E" w:rsidP="00FC2F99">
            <w:pPr>
              <w:pStyle w:val="Tabelltext"/>
              <w:jc w:val="right"/>
              <w:rPr>
                <w:sz w:val="16"/>
                <w:szCs w:val="16"/>
              </w:rPr>
            </w:pPr>
            <w:r w:rsidRPr="00003C40">
              <w:rPr>
                <w:sz w:val="16"/>
                <w:szCs w:val="16"/>
              </w:rPr>
              <w:t>-419</w:t>
            </w:r>
          </w:p>
        </w:tc>
        <w:tc>
          <w:tcPr>
            <w:tcW w:w="874" w:type="dxa"/>
            <w:noWrap/>
            <w:vAlign w:val="center"/>
            <w:hideMark/>
          </w:tcPr>
          <w:p w14:paraId="6F7DB08E" w14:textId="453B8BFF" w:rsidR="0004011E" w:rsidRPr="00003C40" w:rsidRDefault="0004011E" w:rsidP="00FC2F99">
            <w:pPr>
              <w:pStyle w:val="Tabelltext"/>
              <w:jc w:val="right"/>
              <w:rPr>
                <w:sz w:val="16"/>
                <w:szCs w:val="16"/>
              </w:rPr>
            </w:pPr>
            <w:r w:rsidRPr="00003C40">
              <w:rPr>
                <w:sz w:val="16"/>
                <w:szCs w:val="16"/>
              </w:rPr>
              <w:t>-10</w:t>
            </w:r>
            <w:r w:rsidR="004B746A">
              <w:rPr>
                <w:sz w:val="16"/>
                <w:szCs w:val="16"/>
              </w:rPr>
              <w:t> </w:t>
            </w:r>
            <w:r w:rsidRPr="00003C40">
              <w:rPr>
                <w:sz w:val="16"/>
                <w:szCs w:val="16"/>
              </w:rPr>
              <w:t>434</w:t>
            </w:r>
          </w:p>
        </w:tc>
        <w:tc>
          <w:tcPr>
            <w:tcW w:w="874" w:type="dxa"/>
            <w:noWrap/>
            <w:vAlign w:val="center"/>
            <w:hideMark/>
          </w:tcPr>
          <w:p w14:paraId="43EB2129" w14:textId="1A310D0D" w:rsidR="0004011E" w:rsidRPr="00003C40" w:rsidRDefault="0004011E" w:rsidP="00FC2F99">
            <w:pPr>
              <w:pStyle w:val="Tabelltext"/>
              <w:jc w:val="right"/>
              <w:rPr>
                <w:sz w:val="16"/>
                <w:szCs w:val="16"/>
              </w:rPr>
            </w:pPr>
            <w:r w:rsidRPr="00003C40">
              <w:rPr>
                <w:sz w:val="16"/>
                <w:szCs w:val="16"/>
              </w:rPr>
              <w:t>6</w:t>
            </w:r>
            <w:r w:rsidR="004B746A">
              <w:rPr>
                <w:sz w:val="16"/>
                <w:szCs w:val="16"/>
              </w:rPr>
              <w:t> </w:t>
            </w:r>
            <w:r w:rsidRPr="00003C40">
              <w:rPr>
                <w:sz w:val="16"/>
                <w:szCs w:val="16"/>
              </w:rPr>
              <w:t>155</w:t>
            </w:r>
          </w:p>
        </w:tc>
        <w:tc>
          <w:tcPr>
            <w:tcW w:w="874" w:type="dxa"/>
            <w:noWrap/>
            <w:vAlign w:val="center"/>
            <w:hideMark/>
          </w:tcPr>
          <w:p w14:paraId="2E63F930" w14:textId="18C4BB12" w:rsidR="0004011E" w:rsidRPr="00003C40" w:rsidRDefault="0004011E" w:rsidP="00FC2F99">
            <w:pPr>
              <w:pStyle w:val="Tabelltext"/>
              <w:jc w:val="right"/>
              <w:rPr>
                <w:sz w:val="16"/>
                <w:szCs w:val="16"/>
              </w:rPr>
            </w:pPr>
            <w:r w:rsidRPr="00003C40">
              <w:rPr>
                <w:sz w:val="16"/>
                <w:szCs w:val="16"/>
              </w:rPr>
              <w:t>2</w:t>
            </w:r>
            <w:r w:rsidR="004B746A">
              <w:rPr>
                <w:sz w:val="16"/>
                <w:szCs w:val="16"/>
              </w:rPr>
              <w:t> </w:t>
            </w:r>
            <w:r w:rsidRPr="00003C40">
              <w:rPr>
                <w:sz w:val="16"/>
                <w:szCs w:val="16"/>
              </w:rPr>
              <w:t>470</w:t>
            </w:r>
          </w:p>
        </w:tc>
        <w:tc>
          <w:tcPr>
            <w:tcW w:w="874" w:type="dxa"/>
            <w:noWrap/>
            <w:vAlign w:val="center"/>
            <w:hideMark/>
          </w:tcPr>
          <w:p w14:paraId="4C5B715E" w14:textId="6E12EED7" w:rsidR="0004011E" w:rsidRPr="00003C40" w:rsidRDefault="0004011E" w:rsidP="00FC2F99">
            <w:pPr>
              <w:pStyle w:val="Tabelltext"/>
              <w:jc w:val="right"/>
              <w:rPr>
                <w:sz w:val="16"/>
                <w:szCs w:val="16"/>
              </w:rPr>
            </w:pPr>
            <w:r w:rsidRPr="00003C40">
              <w:rPr>
                <w:sz w:val="16"/>
                <w:szCs w:val="16"/>
              </w:rPr>
              <w:t>1</w:t>
            </w:r>
            <w:r w:rsidR="004B746A">
              <w:rPr>
                <w:sz w:val="16"/>
                <w:szCs w:val="16"/>
              </w:rPr>
              <w:t> </w:t>
            </w:r>
            <w:r w:rsidRPr="00003C40">
              <w:rPr>
                <w:sz w:val="16"/>
                <w:szCs w:val="16"/>
              </w:rPr>
              <w:t>398</w:t>
            </w:r>
          </w:p>
        </w:tc>
        <w:tc>
          <w:tcPr>
            <w:tcW w:w="875" w:type="dxa"/>
            <w:noWrap/>
            <w:vAlign w:val="center"/>
            <w:hideMark/>
          </w:tcPr>
          <w:p w14:paraId="6B18EF33" w14:textId="2510706C" w:rsidR="0004011E" w:rsidRPr="00003C40" w:rsidRDefault="0004011E" w:rsidP="00FC2F99">
            <w:pPr>
              <w:pStyle w:val="Tabelltext"/>
              <w:jc w:val="right"/>
              <w:rPr>
                <w:sz w:val="16"/>
                <w:szCs w:val="16"/>
              </w:rPr>
            </w:pPr>
            <w:r w:rsidRPr="00003C40">
              <w:rPr>
                <w:sz w:val="16"/>
                <w:szCs w:val="16"/>
              </w:rPr>
              <w:t>4</w:t>
            </w:r>
            <w:r w:rsidR="004B746A">
              <w:rPr>
                <w:sz w:val="16"/>
                <w:szCs w:val="16"/>
              </w:rPr>
              <w:t> </w:t>
            </w:r>
            <w:r w:rsidRPr="00003C40">
              <w:rPr>
                <w:sz w:val="16"/>
                <w:szCs w:val="16"/>
              </w:rPr>
              <w:t>939</w:t>
            </w:r>
          </w:p>
        </w:tc>
      </w:tr>
    </w:tbl>
    <w:p w14:paraId="4E60DCC9" w14:textId="583BBE2A" w:rsidR="0004011E" w:rsidRPr="006C6106" w:rsidRDefault="0004011E" w:rsidP="006C6106">
      <w:pPr>
        <w:pStyle w:val="Tabelltext"/>
        <w:rPr>
          <w:i/>
          <w:iCs/>
        </w:rPr>
      </w:pPr>
      <w:r w:rsidRPr="006C6106">
        <w:rPr>
          <w:i/>
          <w:iCs/>
        </w:rPr>
        <w:t>Källa: ÅSUBs statistikdatabaser</w:t>
      </w:r>
    </w:p>
    <w:p w14:paraId="23888F05" w14:textId="77777777" w:rsidR="00CB2BEC" w:rsidRDefault="00CB2BEC" w:rsidP="00797873">
      <w:pPr>
        <w:pStyle w:val="ANormal"/>
      </w:pPr>
    </w:p>
    <w:p w14:paraId="77355630" w14:textId="2817D699" w:rsidR="00785BD4" w:rsidRDefault="00785BD4" w:rsidP="00797873">
      <w:pPr>
        <w:pStyle w:val="ANormal"/>
      </w:pPr>
      <w:r>
        <w:tab/>
        <w:t xml:space="preserve">Att kostnader ökar för kommunerna kan bero på befolkningsökning och ökade lagkrav, men även på kommunernas egen nivå av serviceproduktion, investeringar och kostnadseffektivitet. Det </w:t>
      </w:r>
      <w:r w:rsidR="001D17C5">
        <w:t>kan konstateras</w:t>
      </w:r>
      <w:r>
        <w:t xml:space="preserve"> att en kostnadsökning i samhället är normal i och med regelbunden allmän prishöjning på grund av inflation. Ett hållbarhetsgap mellan kostnader och intäkter uppstår om kostnaderna ökar snabbare än intäkterna.</w:t>
      </w:r>
    </w:p>
    <w:p w14:paraId="57969A28" w14:textId="3590838C" w:rsidR="00722B08" w:rsidRDefault="00785BD4" w:rsidP="00797873">
      <w:pPr>
        <w:pStyle w:val="ANormal"/>
      </w:pPr>
      <w:r>
        <w:tab/>
      </w:r>
      <w:r w:rsidR="0004011E">
        <w:t xml:space="preserve">Efter att </w:t>
      </w:r>
      <w:r w:rsidR="0004011E" w:rsidRPr="00EE2DD8">
        <w:t>komm</w:t>
      </w:r>
      <w:r w:rsidRPr="00EE2DD8">
        <w:t xml:space="preserve">unerna </w:t>
      </w:r>
      <w:r w:rsidR="00EE2DD8" w:rsidRPr="00EE2DD8">
        <w:t xml:space="preserve">under 2018 och 2019 </w:t>
      </w:r>
      <w:r w:rsidRPr="00EE2DD8">
        <w:t>uppvisa</w:t>
      </w:r>
      <w:r w:rsidR="00EE2DD8">
        <w:t>de</w:t>
      </w:r>
      <w:r w:rsidRPr="00EE2DD8">
        <w:t xml:space="preserve"> summerat </w:t>
      </w:r>
      <w:r w:rsidR="00EE2DD8">
        <w:t>negativa</w:t>
      </w:r>
      <w:r w:rsidRPr="00EE2DD8">
        <w:t xml:space="preserve"> resultat är resultaten </w:t>
      </w:r>
      <w:r w:rsidR="00722B08">
        <w:t>f</w:t>
      </w:r>
      <w:r w:rsidR="00722B08" w:rsidRPr="00EE2DD8">
        <w:t>ör åren 2020</w:t>
      </w:r>
      <w:r w:rsidR="00722B08">
        <w:t>–2</w:t>
      </w:r>
      <w:r w:rsidR="00722B08" w:rsidRPr="00EE2DD8">
        <w:t>02</w:t>
      </w:r>
      <w:r w:rsidR="00722B08">
        <w:t>3</w:t>
      </w:r>
      <w:r w:rsidR="00722B08" w:rsidRPr="00EE2DD8">
        <w:t xml:space="preserve"> </w:t>
      </w:r>
      <w:r w:rsidRPr="00EE2DD8">
        <w:t>återigen positiva.</w:t>
      </w:r>
      <w:r w:rsidR="00722B08">
        <w:t xml:space="preserve"> Noteras bör dock att b</w:t>
      </w:r>
      <w:r w:rsidR="00722B08" w:rsidRPr="00722B08">
        <w:t xml:space="preserve">oksluten för 2020 och 2021 är påverkade av effekter av coronapandemin. Bokslutet 2020 kan ge intrycket av att kommunernas ekonomi förbättrades avsevärt från 2019 till 2020. Det summerade resultatet uppgick till cirka 6 miljoner euro, vilket </w:t>
      </w:r>
      <w:r w:rsidR="00722B08">
        <w:t>va</w:t>
      </w:r>
      <w:r w:rsidR="00722B08" w:rsidRPr="00722B08">
        <w:t>r en ökning med cirka 16 miljoner jämfört med 2019</w:t>
      </w:r>
      <w:r w:rsidR="00722B08">
        <w:t xml:space="preserve">, vilket sannolikt </w:t>
      </w:r>
      <w:r w:rsidR="00722B08" w:rsidRPr="00722B08">
        <w:t xml:space="preserve">beror på tillfälligheter. </w:t>
      </w:r>
      <w:r w:rsidR="00722B08">
        <w:t>Som tidigare nämndes</w:t>
      </w:r>
      <w:r w:rsidR="00722B08" w:rsidRPr="00722B08">
        <w:t xml:space="preserve"> </w:t>
      </w:r>
      <w:r w:rsidR="0018646B">
        <w:t>ökade</w:t>
      </w:r>
      <w:r w:rsidR="00722B08" w:rsidRPr="00722B08">
        <w:t xml:space="preserve"> landskapsandelarna från 2019 till 2020. Kommunernas andel av samfundsskatterna </w:t>
      </w:r>
      <w:r w:rsidR="00722B08">
        <w:t>v</w:t>
      </w:r>
      <w:r w:rsidR="00722B08" w:rsidRPr="00722B08">
        <w:t>ar också tillfälligt höjda under åren 2020 och 2021, vilket bidr</w:t>
      </w:r>
      <w:r w:rsidR="00722B08">
        <w:t>og</w:t>
      </w:r>
      <w:r w:rsidR="00722B08" w:rsidRPr="00722B08">
        <w:t xml:space="preserve"> till att skatteintäkterna öka</w:t>
      </w:r>
      <w:r w:rsidR="00722B08">
        <w:t>de</w:t>
      </w:r>
      <w:r w:rsidR="00722B08" w:rsidRPr="00722B08">
        <w:t>.</w:t>
      </w:r>
    </w:p>
    <w:p w14:paraId="60CCCBEA" w14:textId="2FDAB75A" w:rsidR="00BB387F" w:rsidRDefault="00AE2ADC" w:rsidP="00797873">
      <w:pPr>
        <w:pStyle w:val="ANormal"/>
      </w:pPr>
      <w:r>
        <w:tab/>
      </w:r>
      <w:r w:rsidR="00CC62A4" w:rsidRPr="000844AA">
        <w:t>Sinsemellan skiljer sig k</w:t>
      </w:r>
      <w:r w:rsidR="00722B08" w:rsidRPr="000844AA">
        <w:t xml:space="preserve">ommunernas förutsättningar </w:t>
      </w:r>
      <w:r w:rsidR="001D17C5" w:rsidRPr="000844AA">
        <w:t xml:space="preserve">mycket </w:t>
      </w:r>
      <w:r w:rsidR="00544CC0" w:rsidRPr="000844AA">
        <w:t xml:space="preserve">åt. </w:t>
      </w:r>
      <w:r w:rsidR="001D17C5" w:rsidRPr="000844AA">
        <w:t>Ä</w:t>
      </w:r>
      <w:r w:rsidR="00544CC0" w:rsidRPr="000844AA">
        <w:t xml:space="preserve">ven om kommunalekonomin totalt sett för hela Åland inte är ansträngd kan vissa kommuners enskilda förutsättningar vara </w:t>
      </w:r>
      <w:r w:rsidR="001D17C5" w:rsidRPr="000844AA">
        <w:t>pressande</w:t>
      </w:r>
      <w:r w:rsidR="00544CC0" w:rsidRPr="000844AA">
        <w:t>.</w:t>
      </w:r>
      <w:r w:rsidRPr="000844AA">
        <w:t xml:space="preserve"> </w:t>
      </w:r>
      <w:r w:rsidR="00BB387F" w:rsidRPr="000844AA">
        <w:t xml:space="preserve">För att vidare belysa den ekonomiska situationen kan nämnas att </w:t>
      </w:r>
      <w:r w:rsidR="00516FE0" w:rsidRPr="000844AA">
        <w:t>flera</w:t>
      </w:r>
      <w:r w:rsidR="00BB387F" w:rsidRPr="000844AA">
        <w:t xml:space="preserve"> kommuner de senaste åren</w:t>
      </w:r>
      <w:r w:rsidR="001D17C5" w:rsidRPr="000844AA">
        <w:t xml:space="preserve"> har</w:t>
      </w:r>
      <w:r w:rsidR="00BB387F" w:rsidRPr="000844AA">
        <w:t xml:space="preserve"> ansökt om och beviljats likviditetsstöd i enlighet med </w:t>
      </w:r>
      <w:r w:rsidR="00516FE0" w:rsidRPr="000844AA">
        <w:t xml:space="preserve">först </w:t>
      </w:r>
      <w:r w:rsidR="00BB387F" w:rsidRPr="000844AA">
        <w:t>den temporära landskapslagen (2021:63) om tillfälligt likviditetsstöd till kommuner, som gällde under åren 2021 0ch 2022</w:t>
      </w:r>
      <w:r w:rsidR="00516FE0" w:rsidRPr="000844AA">
        <w:t>, och sedan den nu gällande temporära landskapslagen (2024:</w:t>
      </w:r>
      <w:r w:rsidR="00E55109" w:rsidRPr="000844AA">
        <w:t>79</w:t>
      </w:r>
      <w:r w:rsidR="00516FE0" w:rsidRPr="000844AA">
        <w:t>) om tillfälligt likviditetsstöd till</w:t>
      </w:r>
      <w:r w:rsidR="00A25F3F" w:rsidRPr="000844AA">
        <w:t xml:space="preserve"> kommuner som tillämpas under åren 202</w:t>
      </w:r>
      <w:r w:rsidR="00CC62A4" w:rsidRPr="000844AA">
        <w:t>5</w:t>
      </w:r>
      <w:r w:rsidR="00A25F3F" w:rsidRPr="000844AA">
        <w:t xml:space="preserve"> </w:t>
      </w:r>
      <w:r w:rsidR="00CC62A4" w:rsidRPr="000844AA">
        <w:t>och</w:t>
      </w:r>
      <w:r w:rsidR="00A25F3F" w:rsidRPr="000844AA">
        <w:t xml:space="preserve"> 2026</w:t>
      </w:r>
      <w:r w:rsidR="00BB387F" w:rsidRPr="000844AA">
        <w:t xml:space="preserve">. Flera kommuner har också aviserat </w:t>
      </w:r>
      <w:r w:rsidR="001D17C5" w:rsidRPr="000844AA">
        <w:t>potentiella</w:t>
      </w:r>
      <w:r w:rsidR="00BB387F" w:rsidRPr="000844AA">
        <w:t xml:space="preserve"> stödbehov i framtiden.</w:t>
      </w:r>
      <w:r w:rsidR="00BB387F">
        <w:t xml:space="preserve"> </w:t>
      </w:r>
    </w:p>
    <w:p w14:paraId="24FFF59C" w14:textId="04137525" w:rsidR="00BB387F" w:rsidRDefault="00084D4B" w:rsidP="00797873">
      <w:pPr>
        <w:pStyle w:val="ANormal"/>
      </w:pPr>
      <w:r>
        <w:lastRenderedPageBreak/>
        <w:tab/>
        <w:t>Till</w:t>
      </w:r>
      <w:r w:rsidR="00BB387F">
        <w:t xml:space="preserve"> denna </w:t>
      </w:r>
      <w:r w:rsidR="00AE2ADC">
        <w:t>tillbakablick</w:t>
      </w:r>
      <w:r w:rsidR="00BB387F">
        <w:t xml:space="preserve"> </w:t>
      </w:r>
      <w:r>
        <w:t>kan</w:t>
      </w:r>
      <w:r w:rsidR="00BB387F">
        <w:t xml:space="preserve"> även läggas prognoser och analyser framåt. Ålands befolkning är ökande men </w:t>
      </w:r>
      <w:r w:rsidR="00BB387F" w:rsidRPr="009E3220">
        <w:t xml:space="preserve">medelåldern stiger. En stigande medelålder innebär att välfärdsproduktionen i genomsnitt kommer bli dyrare och den stigande medelåldern kommer </w:t>
      </w:r>
      <w:r w:rsidR="009E3220" w:rsidRPr="009E3220">
        <w:t xml:space="preserve">högst sannolikt att </w:t>
      </w:r>
      <w:r w:rsidR="00BB387F" w:rsidRPr="009E3220">
        <w:t>påverka hela samhällets kostnader framåt, inte bara kommunernas.</w:t>
      </w:r>
    </w:p>
    <w:p w14:paraId="0A7E36F2" w14:textId="48C50FD5" w:rsidR="00BB387F" w:rsidRDefault="00084D4B" w:rsidP="00797873">
      <w:pPr>
        <w:pStyle w:val="ANormal"/>
      </w:pPr>
      <w:r>
        <w:tab/>
      </w:r>
      <w:r w:rsidR="00BB387F" w:rsidRPr="00656186">
        <w:t>Landskapsregeringens ekonomiska resurser för välfärden ser i nuläget inte ut att kompensera för de ökade kostnaderna, vilket påverkar möjligheten för finansiering av de stora verksamhetsområdena inom samhället: sjukvård, bildningsverksamhet samt de verksamhetsområden som är ålagda kommunerna. Denna övergripande kostnadsökning samt risk</w:t>
      </w:r>
      <w:r w:rsidR="00CE4D4F" w:rsidRPr="00656186">
        <w:t>en</w:t>
      </w:r>
      <w:r w:rsidR="00BB387F" w:rsidRPr="00656186">
        <w:t xml:space="preserve"> för förhållandevis minskad finansiering kan påverka kommunernas ekonomi, och de kommuner som inte i nuläget har en tillräckligt stark ekonomi kommer drabbas hårdare än andra.</w:t>
      </w:r>
      <w:r w:rsidR="00BB387F">
        <w:t xml:space="preserve"> </w:t>
      </w:r>
    </w:p>
    <w:p w14:paraId="4AFD36B8" w14:textId="77777777" w:rsidR="009E3220" w:rsidRDefault="009E3220" w:rsidP="00BB387F">
      <w:pPr>
        <w:pStyle w:val="ANormal"/>
      </w:pPr>
    </w:p>
    <w:p w14:paraId="0ACE813C" w14:textId="5B2F5D71" w:rsidR="00267973" w:rsidRDefault="00267973" w:rsidP="00267973">
      <w:pPr>
        <w:pStyle w:val="RubrikC"/>
      </w:pPr>
      <w:bookmarkStart w:id="8" w:name="_Toc194570775"/>
      <w:r>
        <w:t>1.</w:t>
      </w:r>
      <w:r w:rsidR="00441B14">
        <w:t>3</w:t>
      </w:r>
      <w:r>
        <w:t xml:space="preserve"> Behov av åtgärder</w:t>
      </w:r>
      <w:bookmarkEnd w:id="8"/>
    </w:p>
    <w:p w14:paraId="59DF3420" w14:textId="62DF9081" w:rsidR="00267973" w:rsidRDefault="00267973" w:rsidP="00267973">
      <w:pPr>
        <w:pStyle w:val="Rubrikmellanrum"/>
      </w:pPr>
    </w:p>
    <w:p w14:paraId="3D9BE2C4" w14:textId="7981B367" w:rsidR="00267973" w:rsidRPr="00D07ACF" w:rsidRDefault="00267973" w:rsidP="00797873">
      <w:pPr>
        <w:pStyle w:val="ANormal"/>
      </w:pPr>
      <w:r w:rsidRPr="00AE2ADC">
        <w:t xml:space="preserve">I </w:t>
      </w:r>
      <w:r w:rsidR="0014377D" w:rsidRPr="00AE2ADC">
        <w:t xml:space="preserve">föregående avsnitt </w:t>
      </w:r>
      <w:r w:rsidRPr="00AE2ADC">
        <w:t xml:space="preserve">konstateras att kommunernas </w:t>
      </w:r>
      <w:r w:rsidR="00AE2ADC">
        <w:t>kostnader</w:t>
      </w:r>
      <w:r w:rsidRPr="00AE2ADC">
        <w:t xml:space="preserve"> på senare år har </w:t>
      </w:r>
      <w:r w:rsidR="00AE2ADC" w:rsidRPr="00AE2ADC">
        <w:t>ökat</w:t>
      </w:r>
      <w:r w:rsidR="00AE2ADC">
        <w:t xml:space="preserve"> i allt högre takt</w:t>
      </w:r>
      <w:r w:rsidRPr="00AE2ADC">
        <w:t xml:space="preserve">, samtidigt som </w:t>
      </w:r>
      <w:r w:rsidR="00AE2ADC">
        <w:t>intäkterna</w:t>
      </w:r>
      <w:r w:rsidRPr="00AE2ADC">
        <w:t xml:space="preserve"> </w:t>
      </w:r>
      <w:r w:rsidR="00AE2ADC">
        <w:t xml:space="preserve">inte har </w:t>
      </w:r>
      <w:r w:rsidR="006330F2">
        <w:t>ökat i samma omfattning</w:t>
      </w:r>
      <w:r w:rsidRPr="00AE2ADC">
        <w:t xml:space="preserve">. </w:t>
      </w:r>
      <w:r w:rsidR="008303D6">
        <w:t>Trots att resultaten för de senaste åren har varit positiva</w:t>
      </w:r>
      <w:r w:rsidRPr="00AE2ADC">
        <w:t xml:space="preserve"> </w:t>
      </w:r>
      <w:r w:rsidR="008303D6">
        <w:t xml:space="preserve">för kommunerna som grupp </w:t>
      </w:r>
      <w:r w:rsidRPr="00AE2ADC">
        <w:t>är</w:t>
      </w:r>
      <w:r w:rsidR="00AE2ADC">
        <w:t xml:space="preserve"> skillnaderna mellan</w:t>
      </w:r>
      <w:r w:rsidRPr="00AE2ADC">
        <w:t xml:space="preserve"> de enskilda kommunernas förutsättningar väldigt stora. Flera av kommunerna visar negativa resultat för flera år. Framtidsutsikterna för den kommunala serviceproduktionen ser i nuläget inte ut att ge en kostnadsminskning.</w:t>
      </w:r>
    </w:p>
    <w:p w14:paraId="20575644" w14:textId="7FCC61A3" w:rsidR="00267973" w:rsidRPr="00D07ACF" w:rsidRDefault="0014377D" w:rsidP="00267973">
      <w:pPr>
        <w:pStyle w:val="ANormal"/>
      </w:pPr>
      <w:r w:rsidRPr="00D07ACF">
        <w:tab/>
        <w:t xml:space="preserve">Den åländska lagstiftningen </w:t>
      </w:r>
      <w:r w:rsidR="00BF7709" w:rsidRPr="00D07ACF">
        <w:t>definierar i dagsläget</w:t>
      </w:r>
      <w:r w:rsidRPr="00D07ACF">
        <w:t xml:space="preserve"> </w:t>
      </w:r>
      <w:r w:rsidR="00BF7709" w:rsidRPr="00D07ACF">
        <w:t>inte</w:t>
      </w:r>
      <w:r w:rsidRPr="00D07ACF">
        <w:t xml:space="preserve"> när en kommun</w:t>
      </w:r>
      <w:r w:rsidR="00BF7709" w:rsidRPr="00D07ACF">
        <w:t>s</w:t>
      </w:r>
      <w:r w:rsidRPr="00D07ACF">
        <w:t xml:space="preserve"> </w:t>
      </w:r>
      <w:r w:rsidR="00BF7709" w:rsidRPr="00D07ACF">
        <w:t>ekonomi är alltför</w:t>
      </w:r>
      <w:r w:rsidRPr="00D07ACF">
        <w:t xml:space="preserve"> ansträngd. Det finns heller inte någon </w:t>
      </w:r>
      <w:r w:rsidR="007255A7" w:rsidRPr="00D07ACF">
        <w:t xml:space="preserve">formaliserad </w:t>
      </w:r>
      <w:r w:rsidRPr="00D07ACF">
        <w:t>åtgärdsplan för vad som händer när en kommuns ekonomi blir så ansträngd att kommunen riskerar att ställas inför utmaningar när det gäller att finansiera den kommunala verksamheten och därmed tillgodose invånarnas rätt till lagstadgad service.</w:t>
      </w:r>
      <w:r w:rsidR="00BF7709" w:rsidRPr="00D07ACF">
        <w:t xml:space="preserve"> En situation</w:t>
      </w:r>
      <w:r w:rsidR="00267973" w:rsidRPr="00D07ACF">
        <w:t xml:space="preserve"> där en del av kommunerna inte längre har realistiska ekonomiska förutsättningar att fullgöra sina skyldigheter är inte </w:t>
      </w:r>
      <w:r w:rsidR="00BF7709" w:rsidRPr="00D07ACF">
        <w:t>osannolik</w:t>
      </w:r>
      <w:r w:rsidR="00267973" w:rsidRPr="00D07ACF">
        <w:t xml:space="preserve"> inom en nära förestående framtid.</w:t>
      </w:r>
    </w:p>
    <w:p w14:paraId="2EAC183B" w14:textId="5DD8AEBE" w:rsidR="001C7CC6" w:rsidRDefault="00267973" w:rsidP="00267973">
      <w:pPr>
        <w:pStyle w:val="ANormal"/>
      </w:pPr>
      <w:r w:rsidRPr="00DA06CA">
        <w:tab/>
      </w:r>
      <w:r w:rsidR="00BF7709" w:rsidRPr="00DA06CA">
        <w:t>L</w:t>
      </w:r>
      <w:r w:rsidRPr="00DA06CA">
        <w:t>andskapsregeringen</w:t>
      </w:r>
      <w:r w:rsidR="00BF7709" w:rsidRPr="00DA06CA">
        <w:t>s ambition med lagförslaget är att bistå tryggandet av den åländska välfärden</w:t>
      </w:r>
      <w:r w:rsidR="00BF7709" w:rsidRPr="001D49A1">
        <w:t>.</w:t>
      </w:r>
      <w:r w:rsidRPr="001D49A1">
        <w:t xml:space="preserve"> </w:t>
      </w:r>
      <w:r w:rsidR="00BF7709" w:rsidRPr="001D49A1">
        <w:t>Eftersom</w:t>
      </w:r>
      <w:r w:rsidRPr="001D49A1">
        <w:t xml:space="preserve"> situationer kan uppstå där en kommuns ekonomi blir synnerligen ansträngd </w:t>
      </w:r>
      <w:r w:rsidR="00DA06CA" w:rsidRPr="001D49A1">
        <w:t>bör det finnas</w:t>
      </w:r>
      <w:r w:rsidRPr="001D49A1">
        <w:t xml:space="preserve"> regler som dels definierar när ekonomin ska anses vara synnerligen ansträngd, dels anger vilka förfaranden som då ska gälla.</w:t>
      </w:r>
      <w:r w:rsidR="006A615B" w:rsidRPr="001D49A1">
        <w:t xml:space="preserve"> </w:t>
      </w:r>
      <w:r w:rsidR="0043595B" w:rsidRPr="001D49A1">
        <w:t xml:space="preserve">I det sammanhanget </w:t>
      </w:r>
      <w:r w:rsidR="00B0241C" w:rsidRPr="001D49A1">
        <w:t xml:space="preserve">ingår också </w:t>
      </w:r>
      <w:r w:rsidR="006A615B" w:rsidRPr="001D49A1">
        <w:t>ändringar i kommunindelningen som ett alternativ</w:t>
      </w:r>
      <w:r w:rsidR="00356FB7" w:rsidRPr="001D49A1">
        <w:t>.</w:t>
      </w:r>
      <w:r w:rsidR="006A615B" w:rsidRPr="001D49A1">
        <w:t xml:space="preserve"> </w:t>
      </w:r>
      <w:r w:rsidR="00DA06CA" w:rsidRPr="001D49A1">
        <w:t xml:space="preserve">I första hand </w:t>
      </w:r>
      <w:r w:rsidR="001C7CC6" w:rsidRPr="001D49A1">
        <w:t>ska</w:t>
      </w:r>
      <w:r w:rsidR="00DA06CA" w:rsidRPr="001D49A1">
        <w:t xml:space="preserve"> de berörda kommunerna </w:t>
      </w:r>
      <w:r w:rsidR="004F0BB7" w:rsidRPr="001D49A1">
        <w:t xml:space="preserve">själva ta initiativ </w:t>
      </w:r>
      <w:r w:rsidR="001C7CC6" w:rsidRPr="001D49A1">
        <w:t xml:space="preserve">till </w:t>
      </w:r>
      <w:r w:rsidR="004F0BB7" w:rsidRPr="001D49A1">
        <w:t xml:space="preserve">och komma överens om </w:t>
      </w:r>
      <w:r w:rsidR="001C7CC6" w:rsidRPr="001D49A1">
        <w:t xml:space="preserve">de </w:t>
      </w:r>
      <w:r w:rsidR="004F0BB7" w:rsidRPr="001D49A1">
        <w:t>ändringar i kommunstrukturen</w:t>
      </w:r>
      <w:r w:rsidR="001C7CC6" w:rsidRPr="001D49A1">
        <w:t xml:space="preserve"> som kan bli nödvändiga för att upprätthålla den lagstadgade servicen. I sista hand behöver det ändå finnas en möjlighet för landskapsregeringen att fatta tvingande beslut om att kommuner ska gå samman. </w:t>
      </w:r>
      <w:r w:rsidR="00625FAB" w:rsidRPr="001D49A1">
        <w:t xml:space="preserve">Det bör </w:t>
      </w:r>
      <w:r w:rsidR="001C7CC6" w:rsidRPr="001D49A1">
        <w:t>dock</w:t>
      </w:r>
      <w:r w:rsidR="00625FAB" w:rsidRPr="001D49A1">
        <w:t xml:space="preserve"> ses som en sista utväg i en situation där det inte finns andra möjligheter att trygga invånarnas rätt till service.</w:t>
      </w:r>
    </w:p>
    <w:p w14:paraId="64BCA8CF" w14:textId="77777777" w:rsidR="00267973" w:rsidRDefault="00267973" w:rsidP="00267973">
      <w:pPr>
        <w:pStyle w:val="ANormal"/>
      </w:pPr>
    </w:p>
    <w:p w14:paraId="14B1ADAB" w14:textId="50425E2A" w:rsidR="009B24CA" w:rsidRDefault="009B24CA" w:rsidP="00267973">
      <w:pPr>
        <w:pStyle w:val="RubrikB"/>
      </w:pPr>
      <w:bookmarkStart w:id="9" w:name="_Toc72760282"/>
      <w:bookmarkStart w:id="10" w:name="_Toc194570776"/>
      <w:r>
        <w:t>2</w:t>
      </w:r>
      <w:r w:rsidR="00267973">
        <w:t>.</w:t>
      </w:r>
      <w:r>
        <w:t xml:space="preserve"> </w:t>
      </w:r>
      <w:r w:rsidR="00267973">
        <w:t>Lagstiftningsbehörighet och g</w:t>
      </w:r>
      <w:r>
        <w:t>ällande lagstiftning</w:t>
      </w:r>
      <w:bookmarkEnd w:id="9"/>
      <w:bookmarkEnd w:id="10"/>
    </w:p>
    <w:p w14:paraId="7F603AE8" w14:textId="1C3AC9FB" w:rsidR="009B24CA" w:rsidRDefault="009B24CA" w:rsidP="009B24CA">
      <w:pPr>
        <w:pStyle w:val="Rubrikmellanrum"/>
      </w:pPr>
    </w:p>
    <w:p w14:paraId="0B147E1B" w14:textId="704E835D" w:rsidR="00267973" w:rsidRDefault="00267973" w:rsidP="00267973">
      <w:pPr>
        <w:pStyle w:val="RubrikC"/>
      </w:pPr>
      <w:bookmarkStart w:id="11" w:name="_Toc194570777"/>
      <w:r>
        <w:t>2.1 Lagstiftningsbehörigheten</w:t>
      </w:r>
      <w:bookmarkEnd w:id="11"/>
    </w:p>
    <w:p w14:paraId="0F126892" w14:textId="77777777" w:rsidR="00267973" w:rsidRPr="00267973" w:rsidRDefault="00267973" w:rsidP="00267973">
      <w:pPr>
        <w:pStyle w:val="Rubrikmellanrum"/>
      </w:pPr>
    </w:p>
    <w:p w14:paraId="16D80D63" w14:textId="228465A4" w:rsidR="00267973" w:rsidRDefault="00267973" w:rsidP="00267973">
      <w:pPr>
        <w:pStyle w:val="ANormal"/>
      </w:pPr>
      <w:r>
        <w:t>Med stöd av 18</w:t>
      </w:r>
      <w:r w:rsidR="004B746A">
        <w:t> §</w:t>
      </w:r>
      <w:r>
        <w:t xml:space="preserve"> 4</w:t>
      </w:r>
      <w:r w:rsidR="004B746A">
        <w:t> punkt</w:t>
      </w:r>
      <w:r>
        <w:t xml:space="preserve">en i självstyrelselagen har </w:t>
      </w:r>
      <w:r w:rsidRPr="000E22E0">
        <w:t>landskapet</w:t>
      </w:r>
      <w:r>
        <w:t xml:space="preserve"> lagstiftningsbehörighet angående kommunindelning, kommunala val, kommunernas förvaltning, kommunernas tjänsteinnehavare, tjänstekollektivavtal för kommunernas anställda samt disciplinär bestraffning av kommunernas tjänsteinnehavare. Enligt självstyrelselagens 27</w:t>
      </w:r>
      <w:r w:rsidR="004B746A">
        <w:t> §</w:t>
      </w:r>
      <w:r>
        <w:t xml:space="preserve"> 1</w:t>
      </w:r>
      <w:r w:rsidR="004B746A">
        <w:t> punkt</w:t>
      </w:r>
      <w:r>
        <w:t>en har riket lagstiftningsbehörighet i fråga om stiftande, ändring och upphävande av grundlag samt avvikelse från grundlag.</w:t>
      </w:r>
    </w:p>
    <w:p w14:paraId="79863DF1" w14:textId="5ECAA7B8" w:rsidR="00267973" w:rsidRDefault="00267973" w:rsidP="00267973">
      <w:pPr>
        <w:pStyle w:val="ANormal"/>
      </w:pPr>
      <w:r>
        <w:tab/>
        <w:t xml:space="preserve">I det här sammanhanget är grundlagens bestämmelser om kommunal självstyrelse centrala. </w:t>
      </w:r>
      <w:r w:rsidRPr="007C64F8">
        <w:t>Enligt 121</w:t>
      </w:r>
      <w:r w:rsidR="004B746A">
        <w:t> §</w:t>
      </w:r>
      <w:r w:rsidRPr="007C64F8">
        <w:t xml:space="preserve"> 1</w:t>
      </w:r>
      <w:r w:rsidR="004B746A">
        <w:t> mom.</w:t>
      </w:r>
      <w:r w:rsidRPr="007C64F8">
        <w:t xml:space="preserve"> i grundlagen är Finland indelat i kommuner, vilkas förvaltning ska grunda sig på självstyrelse för kommunens </w:t>
      </w:r>
      <w:r w:rsidRPr="007C64F8">
        <w:lastRenderedPageBreak/>
        <w:t>invånare. Enligt paragrafens 2</w:t>
      </w:r>
      <w:r w:rsidR="004B746A">
        <w:t> mom.</w:t>
      </w:r>
      <w:r w:rsidRPr="007C64F8">
        <w:t xml:space="preserve"> utfärdas bestämmelser om de allmänna grunderna för kommunernas förvaltning genom lag. Enligt 122</w:t>
      </w:r>
      <w:r w:rsidR="004B746A">
        <w:t> §</w:t>
      </w:r>
      <w:r w:rsidRPr="007C64F8">
        <w:t xml:space="preserve"> 2</w:t>
      </w:r>
      <w:r w:rsidR="004B746A">
        <w:t> mom.</w:t>
      </w:r>
      <w:r w:rsidRPr="007C64F8">
        <w:t xml:space="preserve"> i grundlagen utfärdas bestämmelser om grunderna för kommunindelning genom lag.</w:t>
      </w:r>
    </w:p>
    <w:p w14:paraId="166370DC" w14:textId="7FED771E" w:rsidR="00267973" w:rsidRDefault="00267973" w:rsidP="00267973">
      <w:pPr>
        <w:pStyle w:val="ANormal"/>
      </w:pPr>
    </w:p>
    <w:p w14:paraId="2013D8D7" w14:textId="5F3D97B5" w:rsidR="00AF22FA" w:rsidRDefault="00267973" w:rsidP="00267973">
      <w:pPr>
        <w:pStyle w:val="RubrikC"/>
      </w:pPr>
      <w:bookmarkStart w:id="12" w:name="_Toc194570778"/>
      <w:r>
        <w:t>2.</w:t>
      </w:r>
      <w:r w:rsidR="00D410C0">
        <w:t>2</w:t>
      </w:r>
      <w:r>
        <w:t xml:space="preserve"> </w:t>
      </w:r>
      <w:r w:rsidR="008E14DB">
        <w:t>B</w:t>
      </w:r>
      <w:r w:rsidR="00AF22FA">
        <w:t xml:space="preserve">estämmelser om </w:t>
      </w:r>
      <w:r w:rsidR="008E14DB">
        <w:t xml:space="preserve">kommunernas </w:t>
      </w:r>
      <w:r w:rsidR="00AF22FA">
        <w:t>ekonomi</w:t>
      </w:r>
      <w:bookmarkEnd w:id="12"/>
    </w:p>
    <w:p w14:paraId="7675CC0A" w14:textId="77777777" w:rsidR="00AF22FA" w:rsidRPr="00AF22FA" w:rsidRDefault="00AF22FA" w:rsidP="00AF22FA">
      <w:pPr>
        <w:pStyle w:val="Rubrikmellanrum"/>
      </w:pPr>
    </w:p>
    <w:p w14:paraId="292D9927" w14:textId="1F912147" w:rsidR="00C2241D" w:rsidRDefault="00D410C0" w:rsidP="009B24CA">
      <w:pPr>
        <w:pStyle w:val="ANormal"/>
      </w:pPr>
      <w:r w:rsidRPr="00DF31D0">
        <w:t>De</w:t>
      </w:r>
      <w:r w:rsidR="005C08E2" w:rsidRPr="00DF31D0">
        <w:t xml:space="preserve"> grundläggande bestämmelser</w:t>
      </w:r>
      <w:r w:rsidRPr="00DF31D0">
        <w:t>na</w:t>
      </w:r>
      <w:r w:rsidR="005C08E2" w:rsidRPr="00DF31D0">
        <w:t xml:space="preserve"> om kommunens ekonomi</w:t>
      </w:r>
      <w:r w:rsidRPr="00DF31D0">
        <w:t xml:space="preserve"> finns i kommunal</w:t>
      </w:r>
      <w:r w:rsidRPr="00DF31D0">
        <w:softHyphen/>
        <w:t>lagen</w:t>
      </w:r>
      <w:r w:rsidR="005C08E2" w:rsidRPr="00DF31D0">
        <w:t>.</w:t>
      </w:r>
      <w:r w:rsidR="005C08E2">
        <w:t xml:space="preserve"> Kommunen ska varje år upprätta en budget för nästa kalenderår</w:t>
      </w:r>
      <w:r w:rsidR="008A4F2A">
        <w:t xml:space="preserve">. Budgeten, som antas av fullmäktige, ska bland annat innehålla målen för kommunens verksamhet och ekonomi samt göras upp så att förutsättningarna för skötseln av kommunens uppgifter tryggas. Varje år ska också fullmäktige i samband med att budgeten antas godkänna en ekonomiplan för minst tre år, varav </w:t>
      </w:r>
      <w:r w:rsidR="00C44DE1" w:rsidRPr="00AC3FD8">
        <w:t>det aktuella</w:t>
      </w:r>
      <w:r w:rsidR="00C44DE1">
        <w:t xml:space="preserve"> </w:t>
      </w:r>
      <w:r w:rsidR="008A4F2A">
        <w:t>budgetåret är det första. Även ekonomiplanen ska innehålla målen för kommunens verksamhet och ekonomi samt göras upp så att förutsättningarna för skötseln av kommunens uppgifter tryggas.</w:t>
      </w:r>
      <w:r w:rsidR="00FE130C">
        <w:t xml:space="preserve"> Senast i samband med att budgeten antas ska fullmäktige också fatta beslut om kommunens inkomst- och fastighetsskattesatser.</w:t>
      </w:r>
    </w:p>
    <w:p w14:paraId="29C0D0EC" w14:textId="688AEF51" w:rsidR="009B24CA" w:rsidRDefault="00C2241D" w:rsidP="009B24CA">
      <w:pPr>
        <w:pStyle w:val="ANormal"/>
      </w:pPr>
      <w:r>
        <w:tab/>
      </w:r>
      <w:r w:rsidR="00FE130C">
        <w:t>Räkenskapsperioden för en kommun är kalenderåret</w:t>
      </w:r>
      <w:r w:rsidR="00812A8C">
        <w:t>. För varje år ska ett bokslut göras upp, som ska överlämnas av styrelsen till fullmäktige före utgången av juni månad året efter räkenskapsperioden.</w:t>
      </w:r>
      <w:r>
        <w:t xml:space="preserve"> Kommunen kan också göra upp ett koncernbokslut, det är dock inget strikt krav. </w:t>
      </w:r>
      <w:r w:rsidR="00AD6B31" w:rsidRPr="002C2EC4">
        <w:t>R</w:t>
      </w:r>
      <w:r w:rsidR="000D78AD" w:rsidRPr="002C2EC4">
        <w:t>äkenskapsåret 202</w:t>
      </w:r>
      <w:r w:rsidR="00BC5709" w:rsidRPr="002C2EC4">
        <w:t>3</w:t>
      </w:r>
      <w:r w:rsidR="000D78AD" w:rsidRPr="002C2EC4">
        <w:t xml:space="preserve"> upprättade </w:t>
      </w:r>
      <w:r w:rsidR="00AD6B31" w:rsidRPr="002C2EC4">
        <w:t>t</w:t>
      </w:r>
      <w:r w:rsidR="00883D43" w:rsidRPr="002C2EC4">
        <w:t>re</w:t>
      </w:r>
      <w:r w:rsidR="00AD6B31" w:rsidRPr="002C2EC4">
        <w:t xml:space="preserve"> kommuner</w:t>
      </w:r>
      <w:r w:rsidR="00AD6B31" w:rsidRPr="001D49A1">
        <w:t xml:space="preserve"> (</w:t>
      </w:r>
      <w:r w:rsidR="00883D43" w:rsidRPr="001D49A1">
        <w:t xml:space="preserve">Mariehamn, </w:t>
      </w:r>
      <w:r w:rsidR="000D78AD" w:rsidRPr="001D49A1">
        <w:t>Jomala och</w:t>
      </w:r>
      <w:r w:rsidR="00883D43" w:rsidRPr="001D49A1">
        <w:t xml:space="preserve"> Finström</w:t>
      </w:r>
      <w:r w:rsidR="00AD6B31" w:rsidRPr="001D49A1">
        <w:t>)</w:t>
      </w:r>
      <w:r w:rsidR="000D78AD" w:rsidRPr="001D49A1">
        <w:t xml:space="preserve"> bokslut för kommunkoncernen</w:t>
      </w:r>
      <w:r w:rsidR="000D78AD" w:rsidRPr="00AD6B31">
        <w:t xml:space="preserve"> medan övriga kommuner</w:t>
      </w:r>
      <w:r w:rsidR="00AD6B31">
        <w:t xml:space="preserve"> endast</w:t>
      </w:r>
      <w:r w:rsidR="000D78AD" w:rsidRPr="00AD6B31">
        <w:t xml:space="preserve"> upprättade bokslut för kommunen.</w:t>
      </w:r>
      <w:r w:rsidR="000D78AD">
        <w:t xml:space="preserve"> I bokslutet ska förutom resultat- och balansräkning samt en översikt över budgetutfallet även ingå en verksamhetsberättelse. När verksamhetsberättelsen överlämnas till fullmäktige ska styrelsen föreslå åtgärder med anledning av räkenskapsperiodens resultat </w:t>
      </w:r>
      <w:r w:rsidR="003145E1">
        <w:t>samt</w:t>
      </w:r>
      <w:r w:rsidR="000D78AD">
        <w:t xml:space="preserve"> för att balansera ekonomin.</w:t>
      </w:r>
    </w:p>
    <w:p w14:paraId="69C85247" w14:textId="77024A47" w:rsidR="00DD7FD2" w:rsidRDefault="00DD7FD2" w:rsidP="00797873">
      <w:pPr>
        <w:pStyle w:val="ANormal"/>
      </w:pPr>
      <w:r>
        <w:tab/>
        <w:t xml:space="preserve">Våren 2024 tillsatte landskapsregeringen en arbetsgrupp med uppdrag att modernisera och uppdatera kommunallagen. Arbetsgruppen överlämnade sitt betänkande </w:t>
      </w:r>
      <w:r w:rsidRPr="00DD7FD2">
        <w:t>om revidering av kommunallagen</w:t>
      </w:r>
      <w:r w:rsidRPr="00DD7FD2">
        <w:rPr>
          <w:rStyle w:val="Fotnotsreferens"/>
        </w:rPr>
        <w:footnoteReference w:id="3"/>
      </w:r>
      <w:r w:rsidRPr="00DD7FD2">
        <w:t xml:space="preserve"> till landskapsregeringen den 31 januari 2025</w:t>
      </w:r>
      <w:r>
        <w:t>.</w:t>
      </w:r>
      <w:r w:rsidRPr="00DD7FD2">
        <w:t xml:space="preserve"> </w:t>
      </w:r>
      <w:r>
        <w:t>Betänkandet som utgör det första steget i lagberedningsprocessen för en ny kommunallag remissbehandlas och synpunkter får lämnas fram till och med den 3</w:t>
      </w:r>
      <w:r w:rsidR="004B746A">
        <w:t xml:space="preserve"> </w:t>
      </w:r>
      <w:r>
        <w:t xml:space="preserve">april 2025. </w:t>
      </w:r>
      <w:r w:rsidR="00257229">
        <w:t>I betänkandet ingår flera förslag som gäller reg</w:t>
      </w:r>
      <w:r w:rsidR="006330F2">
        <w:t>l</w:t>
      </w:r>
      <w:r w:rsidR="00257229">
        <w:t>eringen av kommunens ekonomi. Arbetsgruppen föreslår bland annat att ett krav om ekonomiplan i balans eller överskott införs. Enligt betänkandet ska ett eventuellt underskott i balansräkningen täckas inom tre år framåt från ingången av det år som följer efter det att bokslutet fastställdes. Arbetsgruppen föreslår också att ett krav om koncernbokslut införs i kommunallagen. Kravet ska gälla kommuner som har bolag där kommunen har ett bestämmande inflytande i enlighet med bokföringslagen</w:t>
      </w:r>
      <w:r w:rsidR="006330F2">
        <w:t xml:space="preserve"> (FFS 1336/1997)</w:t>
      </w:r>
      <w:r w:rsidR="00257229">
        <w:t>, alltså vid minst 50 procents ägande.</w:t>
      </w:r>
    </w:p>
    <w:p w14:paraId="41DD6FAA" w14:textId="6711943D" w:rsidR="00AF22FA" w:rsidRDefault="00AF22FA" w:rsidP="009B24CA">
      <w:pPr>
        <w:pStyle w:val="ANormal"/>
      </w:pPr>
    </w:p>
    <w:p w14:paraId="2870CCF1" w14:textId="53557BC8" w:rsidR="00AF22FA" w:rsidRDefault="00267973" w:rsidP="00267973">
      <w:pPr>
        <w:pStyle w:val="RubrikC"/>
      </w:pPr>
      <w:bookmarkStart w:id="13" w:name="_Toc194570779"/>
      <w:r>
        <w:t>2.</w:t>
      </w:r>
      <w:r w:rsidR="00D410C0">
        <w:t>3</w:t>
      </w:r>
      <w:r>
        <w:t xml:space="preserve"> </w:t>
      </w:r>
      <w:r w:rsidR="008E14DB">
        <w:t>Bestämmelser om kommunindelning</w:t>
      </w:r>
      <w:bookmarkEnd w:id="13"/>
    </w:p>
    <w:p w14:paraId="7CF074B7" w14:textId="77777777" w:rsidR="008E14DB" w:rsidRPr="008E14DB" w:rsidRDefault="008E14DB" w:rsidP="008E14DB">
      <w:pPr>
        <w:pStyle w:val="Rubrikmellanrum"/>
      </w:pPr>
    </w:p>
    <w:p w14:paraId="3F323564" w14:textId="2DE883F9" w:rsidR="004250DD" w:rsidRDefault="009B24CA" w:rsidP="009B24CA">
      <w:pPr>
        <w:pStyle w:val="ANormal"/>
      </w:pPr>
      <w:r>
        <w:t xml:space="preserve">Kommunstrukturlagen (2019:29) för Åland </w:t>
      </w:r>
      <w:r w:rsidR="00CB36B1">
        <w:t>trädde i kraft den 1 maj 2019</w:t>
      </w:r>
      <w:r w:rsidR="00011C23">
        <w:t>, och</w:t>
      </w:r>
      <w:r>
        <w:t xml:space="preserve"> ersatte</w:t>
      </w:r>
      <w:r w:rsidR="00011C23">
        <w:t xml:space="preserve"> då</w:t>
      </w:r>
      <w:r>
        <w:t xml:space="preserve"> den tidigare landskapslagen (1997:76) om tillämpning i landskapet Åland av vissa lagar om kommunindelning. </w:t>
      </w:r>
      <w:r w:rsidR="00CB36B1">
        <w:t xml:space="preserve">Samtidigt trädde också landskapslagen (2019:28) om en reform av kommunstrukturen i kraft. </w:t>
      </w:r>
      <w:r w:rsidR="00C7467B">
        <w:t>Enligt d</w:t>
      </w:r>
      <w:r w:rsidR="00CB36B1">
        <w:t xml:space="preserve">en sistnämnda lagen </w:t>
      </w:r>
      <w:r w:rsidR="00C7467B">
        <w:t>skulle</w:t>
      </w:r>
      <w:r w:rsidR="00CB36B1">
        <w:t xml:space="preserve"> kommunstrukturen</w:t>
      </w:r>
      <w:r w:rsidR="00C7467B">
        <w:t xml:space="preserve"> förändras</w:t>
      </w:r>
      <w:r w:rsidR="00CB36B1">
        <w:t xml:space="preserve"> från dagens sexton till fyra kommuner. </w:t>
      </w:r>
      <w:r w:rsidR="00AE2F3D">
        <w:t xml:space="preserve">Under den tid reformen skulle genomföras var det inte möjligt att ta initiativ till eller beslut om ändringar av kommunindelningen enligt kommunstrukturlagen. </w:t>
      </w:r>
      <w:r w:rsidR="00CB36B1">
        <w:t xml:space="preserve">Innan några faktiska </w:t>
      </w:r>
      <w:r w:rsidR="004250DD">
        <w:t xml:space="preserve">åtgärder </w:t>
      </w:r>
      <w:r w:rsidR="00CB36B1">
        <w:t xml:space="preserve">aktualiserades </w:t>
      </w:r>
      <w:r w:rsidR="00CB36B1">
        <w:lastRenderedPageBreak/>
        <w:t xml:space="preserve">upphävdes dock </w:t>
      </w:r>
      <w:r w:rsidR="00AE2F3D">
        <w:t>lagen den 1 juni 2021, samtidigt som kommunstrukturlagen ändrades så att det återigen blev möjligt att ta initiativ till andra förändringar av kommunindelningen.</w:t>
      </w:r>
    </w:p>
    <w:p w14:paraId="0444F0D9" w14:textId="2D021E5C" w:rsidR="00F66FB0" w:rsidRDefault="00AE2F3D" w:rsidP="009B24CA">
      <w:pPr>
        <w:pStyle w:val="ANormal"/>
      </w:pPr>
      <w:r>
        <w:tab/>
      </w:r>
      <w:r w:rsidR="009B24CA">
        <w:t xml:space="preserve">Kommunstrukturlagen </w:t>
      </w:r>
      <w:r w:rsidR="0041740D">
        <w:t xml:space="preserve">innehåller bestämmelser om mål och förutsättningar för ändring av kommunindelningen samt </w:t>
      </w:r>
      <w:r w:rsidR="009B24CA">
        <w:t xml:space="preserve">om förfarandet vid </w:t>
      </w:r>
      <w:r w:rsidR="0041740D">
        <w:t>sådana ändringar</w:t>
      </w:r>
      <w:r w:rsidR="009B24CA">
        <w:t xml:space="preserve">. </w:t>
      </w:r>
      <w:r w:rsidR="00F119C6">
        <w:t>Enligt lagens 2</w:t>
      </w:r>
      <w:r w:rsidR="004B746A">
        <w:t> §</w:t>
      </w:r>
      <w:r w:rsidR="00F119C6">
        <w:t xml:space="preserve"> är målet med en ändring av kommunindelningen en kommunstruktur som är livskraftig och enhetlig samt har en fungerande samhällsstruktur och stärker förutsättningarna för kommuninvånarnas självstyrelse. Målet är också at</w:t>
      </w:r>
      <w:r w:rsidR="0041740D">
        <w:t>t</w:t>
      </w:r>
      <w:r w:rsidR="00F119C6">
        <w:t xml:space="preserve"> kommunen ska ha tillräckliga ekonomiska förutsättningar och personresurser för att ordna, producera och finansiera servicen för kommuninvånarna.</w:t>
      </w:r>
      <w:r w:rsidR="0041740D">
        <w:t xml:space="preserve"> </w:t>
      </w:r>
      <w:r w:rsidR="008038A9">
        <w:t xml:space="preserve">En förutsättning för en ändring av kommunindelningen är att den främjar dessa mål samt förbättrar kommunens funktionsförmåga, service och levnadsförhållanden för invånarna i området, verksamhetsmöjligheter för näringarna i området eller samhällsstrukturens funktionsduglighet i området. Enligt lagen ska en kommun bestå av ett enda område som </w:t>
      </w:r>
      <w:r w:rsidR="007C0534">
        <w:t>bildar en funktionell helhet, vilket ska tolkas som att kommuner som går samman i regel ska ha en gemensam landgräns</w:t>
      </w:r>
      <w:r w:rsidR="00D410C0">
        <w:rPr>
          <w:rStyle w:val="Fotnotsreferens"/>
        </w:rPr>
        <w:footnoteReference w:id="4"/>
      </w:r>
      <w:r w:rsidR="007C0534">
        <w:t xml:space="preserve">. </w:t>
      </w:r>
      <w:r w:rsidR="006B7EA7">
        <w:t>Landskapsregeringen kan bevilja undantag från denna regel, dock endast utgående från en särskild kommunindelningsutredning.</w:t>
      </w:r>
    </w:p>
    <w:p w14:paraId="6D618290" w14:textId="11379F70" w:rsidR="007416C2" w:rsidRDefault="007416C2" w:rsidP="009B24CA">
      <w:pPr>
        <w:pStyle w:val="ANormal"/>
      </w:pPr>
      <w:r>
        <w:tab/>
        <w:t>Utgångspunkten i lagen är att de kommuner som avser att gå samman tar initiativ till att ändra kommunindelningen och gör en gemensam framställning till landskapsregeringen.</w:t>
      </w:r>
      <w:r w:rsidR="00E33098">
        <w:t xml:space="preserve"> Landskapsregeringen kan dock på eget initiativ fatta beslut om att en särskild kommunindelningsutredning ska genomföras om ett ärendes omfattning, svårighetsgrad eller någon annan väsentlig orsak motiverar det. På samma grunder kan också ett sådant beslut fattas på initiativ av en enskild kommun eller om minst 20 procent av invånarna i en kommun gör en framställning om det.</w:t>
      </w:r>
      <w:r w:rsidR="008C2CD5">
        <w:t xml:space="preserve"> Landskapsregeringen kan </w:t>
      </w:r>
      <w:r w:rsidR="00B0241C">
        <w:t>emellertid</w:t>
      </w:r>
      <w:r w:rsidR="008C2CD5">
        <w:t xml:space="preserve"> bara fatta beslut om en ändring av kommunindelningen på framställning av fullmäktige i de berörda kommunerna. Om fullmäktige i en kommun som berörs av ändringen motsätter sig den, har landskapsregeringen ingen möjlighet enligt lagen att fatta beslut om en ändring av kommunindelningen.</w:t>
      </w:r>
      <w:r w:rsidR="008C2CD5" w:rsidRPr="008C2CD5">
        <w:t xml:space="preserve"> </w:t>
      </w:r>
      <w:r w:rsidR="008C2CD5">
        <w:t xml:space="preserve">En framställning om ändring av kommunindelningen </w:t>
      </w:r>
      <w:r w:rsidR="00BD0651">
        <w:t xml:space="preserve">som görs av fullmäktige i alla berörda kommuner </w:t>
      </w:r>
      <w:r w:rsidR="008C2CD5">
        <w:t xml:space="preserve">kan </w:t>
      </w:r>
      <w:r w:rsidR="00BD0651">
        <w:t xml:space="preserve">dock </w:t>
      </w:r>
      <w:r w:rsidR="008C2CD5">
        <w:t xml:space="preserve">förkastas </w:t>
      </w:r>
      <w:r w:rsidR="00BD0651">
        <w:t xml:space="preserve">av landskapsregeringen </w:t>
      </w:r>
      <w:r w:rsidR="008C2CD5">
        <w:t>om ändringen uppenbarligen skulle strida mot de förutsättningar för en ändring som anges i lagen.</w:t>
      </w:r>
    </w:p>
    <w:p w14:paraId="40A28A31" w14:textId="5EADE074" w:rsidR="008C2CD5" w:rsidRDefault="00BD0651" w:rsidP="009B24CA">
      <w:pPr>
        <w:pStyle w:val="ANormal"/>
      </w:pPr>
      <w:r>
        <w:tab/>
        <w:t>Kommunstrukturlagen innehåller också bestämmelser om stöd vid ändringar av kommunindelningen. Landskapsregeringen betalar understöd till kommunerna för kostnaderna för en samgångutredning. När det gäller en särskild kommunindelningsutredning betalas kostnaderna i sin helhet av landskapsregeringen.</w:t>
      </w:r>
      <w:r w:rsidR="00673227">
        <w:t xml:space="preserve"> De nya kommuner som bildas med stöd av lagen har rätt till ett samgångsunderstöd, vars belopp bestäms utgående från den nya kommunens invånarantal. </w:t>
      </w:r>
      <w:r w:rsidR="0086304C">
        <w:t>Om den nya kommunen bildas av två eller flera skärgårdskommuner har den dessutom rätt till ett skärgårdstillägg utöver samgångsunderstödet. Skärgårdstillägget är 60 procent av samgångsunderstödets belopp. Samgångsunderstödet betalas ut under fem år enligt en nedtrappningsmodell från 100 till 20 procent av beloppet. Under samma periodhar kommunen också rätt till ersättning för minskade landskapsandelar i det fall att ändringen av kommunindelningen leder till att landskapsandelarna för den nya kommunen blir lägre än det sammanräknade beloppet av landskapsandelarna för de kommuner som bildar den nya kommunen.</w:t>
      </w:r>
      <w:r w:rsidR="004408DC">
        <w:t xml:space="preserve"> Slutligen har kommunen möjlighet att beviljas ett särskilt understöd enligt prövning om det visar sig att de faktiska kostnaderna för att bilda den nya kommunen väsentligt överstiger den totala summan av stöd som kommunen </w:t>
      </w:r>
      <w:r w:rsidR="00227E74">
        <w:t xml:space="preserve">annars </w:t>
      </w:r>
      <w:r w:rsidR="004408DC">
        <w:t>får enligt lagen.</w:t>
      </w:r>
    </w:p>
    <w:p w14:paraId="01C73D9F" w14:textId="77777777" w:rsidR="00F66FB0" w:rsidRDefault="00F66FB0" w:rsidP="009B24CA">
      <w:pPr>
        <w:pStyle w:val="ANormal"/>
      </w:pPr>
    </w:p>
    <w:p w14:paraId="689BDDC5" w14:textId="1D4CA804" w:rsidR="009B24CA" w:rsidRDefault="009B24CA" w:rsidP="009B24CA">
      <w:pPr>
        <w:pStyle w:val="RubrikB"/>
      </w:pPr>
      <w:bookmarkStart w:id="14" w:name="_Toc72760287"/>
      <w:bookmarkStart w:id="15" w:name="_Toc194570780"/>
      <w:r>
        <w:lastRenderedPageBreak/>
        <w:t>3. Utblick</w:t>
      </w:r>
      <w:bookmarkEnd w:id="14"/>
      <w:bookmarkEnd w:id="15"/>
    </w:p>
    <w:p w14:paraId="20D65621" w14:textId="3AD76A7F" w:rsidR="00493E5A" w:rsidRDefault="00493E5A" w:rsidP="00493E5A">
      <w:pPr>
        <w:pStyle w:val="Rubrikmellanrum"/>
      </w:pPr>
    </w:p>
    <w:p w14:paraId="751D5630" w14:textId="23BAB870" w:rsidR="00C8140C" w:rsidRDefault="00C8140C" w:rsidP="00C8140C">
      <w:pPr>
        <w:pStyle w:val="RubrikC"/>
      </w:pPr>
      <w:bookmarkStart w:id="16" w:name="_Toc194570781"/>
      <w:r>
        <w:t>3.1 Inledning</w:t>
      </w:r>
      <w:bookmarkEnd w:id="16"/>
    </w:p>
    <w:p w14:paraId="7686C4A9" w14:textId="77777777" w:rsidR="00C8140C" w:rsidRPr="00C8140C" w:rsidRDefault="00C8140C" w:rsidP="00C8140C">
      <w:pPr>
        <w:pStyle w:val="Rubrikmellanrum"/>
      </w:pPr>
    </w:p>
    <w:p w14:paraId="3847264D" w14:textId="6B69CE90" w:rsidR="00493E5A" w:rsidRPr="00493E5A" w:rsidRDefault="00493E5A" w:rsidP="00FC26B3">
      <w:pPr>
        <w:pStyle w:val="ANormal"/>
      </w:pPr>
      <w:r w:rsidRPr="00493E5A">
        <w:t xml:space="preserve">I </w:t>
      </w:r>
      <w:r w:rsidR="00C8140C">
        <w:t>Norden</w:t>
      </w:r>
      <w:r w:rsidRPr="00493E5A">
        <w:t xml:space="preserve"> har </w:t>
      </w:r>
      <w:r w:rsidR="00887343">
        <w:t>man</w:t>
      </w:r>
      <w:r w:rsidRPr="00493E5A">
        <w:t xml:space="preserve"> använt sig av varierande strategier för att hantera kommunal kapacitetsproblematik. Det finns gemensamma inslag, </w:t>
      </w:r>
      <w:r w:rsidR="00C8140C" w:rsidRPr="00493E5A">
        <w:t>till exempel</w:t>
      </w:r>
      <w:r w:rsidRPr="00493E5A">
        <w:t xml:space="preserve"> har alla länder aktivt strävat efter att minska antalet kommuner, men den totala reformbilden är unik för varje land. Av historiska orsaker uppfattas lösningar som mer eller mindre acceptabla. Det kan till exempelvis gälla acceptansen för att genomdriva kommunindelningsreformer mot kommunernas vilja, som tycks ha varit mycket större i Danmark än i resten av Norden.</w:t>
      </w:r>
    </w:p>
    <w:p w14:paraId="42C98FFE" w14:textId="77777777" w:rsidR="00493E5A" w:rsidRPr="00493E5A" w:rsidRDefault="00493E5A" w:rsidP="00FC26B3">
      <w:pPr>
        <w:pStyle w:val="ANormal"/>
      </w:pPr>
    </w:p>
    <w:p w14:paraId="5B8ECAAB" w14:textId="5F26DA0A" w:rsidR="009B24CA" w:rsidRDefault="009B24CA" w:rsidP="009B24CA">
      <w:pPr>
        <w:pStyle w:val="RubrikC"/>
      </w:pPr>
      <w:bookmarkStart w:id="17" w:name="_Toc72760288"/>
      <w:bookmarkStart w:id="18" w:name="_Toc194570782"/>
      <w:r>
        <w:t>3.</w:t>
      </w:r>
      <w:r w:rsidR="004B746A">
        <w:t>2</w:t>
      </w:r>
      <w:r>
        <w:t xml:space="preserve"> Riket</w:t>
      </w:r>
      <w:bookmarkEnd w:id="17"/>
      <w:bookmarkEnd w:id="18"/>
    </w:p>
    <w:p w14:paraId="1001DC7D" w14:textId="77777777" w:rsidR="009B24CA" w:rsidRDefault="009B24CA" w:rsidP="009B24CA">
      <w:pPr>
        <w:pStyle w:val="Rubrikmellanrum"/>
      </w:pPr>
    </w:p>
    <w:p w14:paraId="648E0F42" w14:textId="4D3BA275" w:rsidR="00EE1173" w:rsidRDefault="00EE1173" w:rsidP="009B24CA">
      <w:pPr>
        <w:pStyle w:val="ANormal"/>
      </w:pPr>
      <w:r>
        <w:t>Bestämmelser om</w:t>
      </w:r>
      <w:r w:rsidR="009B24CA" w:rsidRPr="0048580E">
        <w:t xml:space="preserve"> </w:t>
      </w:r>
      <w:r w:rsidRPr="0048580E">
        <w:t xml:space="preserve">kommuner som befinner sig i en speciellt svår ekonomisk ställning </w:t>
      </w:r>
      <w:r>
        <w:t xml:space="preserve">finns i </w:t>
      </w:r>
      <w:r w:rsidR="009B24CA" w:rsidRPr="0048580E">
        <w:t xml:space="preserve">rikets kommunallag (FFS 410/2015). </w:t>
      </w:r>
      <w:r>
        <w:t xml:space="preserve">Om vissa angivna förutsättningar uppfylls ska </w:t>
      </w:r>
      <w:r w:rsidRPr="0048580E">
        <w:t>kommunen och staten tillsammans utreda kommunens möjligheter att garantera sina invånare de tjänster som lagstiftningen kräver.</w:t>
      </w:r>
    </w:p>
    <w:p w14:paraId="6AB29F2A" w14:textId="1D7C95EC" w:rsidR="00280A97" w:rsidRDefault="00EE1173" w:rsidP="00280A97">
      <w:pPr>
        <w:pStyle w:val="ANormal"/>
      </w:pPr>
      <w:r>
        <w:tab/>
      </w:r>
      <w:r w:rsidR="00280A97">
        <w:t>Ett utvärderingsförfarande kan inledas om någo</w:t>
      </w:r>
      <w:r w:rsidR="003145E1">
        <w:t>n</w:t>
      </w:r>
      <w:r w:rsidR="00280A97">
        <w:t xml:space="preserve"> av följande två </w:t>
      </w:r>
      <w:r>
        <w:t>förutsättningar uppfylls</w:t>
      </w:r>
      <w:r w:rsidR="00280A97">
        <w:t>:</w:t>
      </w:r>
    </w:p>
    <w:p w14:paraId="131CEB17" w14:textId="77777777" w:rsidR="000F0A8E" w:rsidRDefault="000F0A8E" w:rsidP="00280A97">
      <w:pPr>
        <w:pStyle w:val="ANormal"/>
      </w:pPr>
    </w:p>
    <w:p w14:paraId="5B8FAE41" w14:textId="683D9959" w:rsidR="00280A97" w:rsidRDefault="00280A97" w:rsidP="00280A97">
      <w:pPr>
        <w:pStyle w:val="ANormal"/>
        <w:numPr>
          <w:ilvl w:val="0"/>
          <w:numId w:val="16"/>
        </w:numPr>
      </w:pPr>
      <w:r>
        <w:t>Kommunallagens balanskrav ska uppfyllas, vilket innebär att ekonomiplanen ska vara i balans eller visa överskott. Ett underskott i kommunens balansräkning ska täckas inom fyra år från ingången av det år som följer efter det att bokslutet fastställdes. Om underskottet inte täckts inom fyra år kan ett utvärderingsförfarande inledas.</w:t>
      </w:r>
    </w:p>
    <w:p w14:paraId="321CDED6" w14:textId="6330F541" w:rsidR="00280A97" w:rsidRDefault="00280A97" w:rsidP="00280A97">
      <w:pPr>
        <w:pStyle w:val="ANormal"/>
        <w:numPr>
          <w:ilvl w:val="0"/>
          <w:numId w:val="16"/>
        </w:numPr>
      </w:pPr>
      <w:r>
        <w:t xml:space="preserve">Ett utvärderingsförfarande kan också inledas för kommuner som två år i följd haft tillräckligt stort underskott. För att detta ska inträffa </w:t>
      </w:r>
      <w:r w:rsidR="00D10A91">
        <w:t>ska</w:t>
      </w:r>
      <w:r>
        <w:t xml:space="preserve"> underskottet i kommunens senaste koncernbokslut vara minst 1</w:t>
      </w:r>
      <w:r w:rsidR="004B746A">
        <w:t> </w:t>
      </w:r>
      <w:r>
        <w:t>000 euro per invånare och året innan minst 500 euro per invånare.</w:t>
      </w:r>
    </w:p>
    <w:p w14:paraId="189D8ED0" w14:textId="77777777" w:rsidR="00280A97" w:rsidRDefault="00280A97" w:rsidP="00280A97">
      <w:pPr>
        <w:pStyle w:val="ANormal"/>
      </w:pPr>
      <w:r>
        <w:t xml:space="preserve"> </w:t>
      </w:r>
    </w:p>
    <w:p w14:paraId="6F7C7795" w14:textId="7AFE89D3" w:rsidR="00280A97" w:rsidRDefault="00280A97" w:rsidP="00280A97">
      <w:pPr>
        <w:pStyle w:val="ANormal"/>
      </w:pPr>
      <w:r>
        <w:tab/>
        <w:t xml:space="preserve">Utvärderingsförfarandet kan också inledas om </w:t>
      </w:r>
      <w:r w:rsidR="00D10A91">
        <w:t xml:space="preserve">följande </w:t>
      </w:r>
      <w:r>
        <w:t xml:space="preserve">fyra </w:t>
      </w:r>
      <w:r w:rsidR="00EE1173">
        <w:t xml:space="preserve">förutsättningar </w:t>
      </w:r>
      <w:r>
        <w:t>uppfyll</w:t>
      </w:r>
      <w:r w:rsidR="00EE1173">
        <w:t>s</w:t>
      </w:r>
      <w:r>
        <w:t xml:space="preserve"> </w:t>
      </w:r>
      <w:r w:rsidR="00900C31">
        <w:t xml:space="preserve">samtidigt </w:t>
      </w:r>
      <w:r>
        <w:t>två år i följd:</w:t>
      </w:r>
    </w:p>
    <w:p w14:paraId="04D2DB88" w14:textId="77777777" w:rsidR="000F0A8E" w:rsidRDefault="000F0A8E" w:rsidP="00280A97">
      <w:pPr>
        <w:pStyle w:val="ANormal"/>
      </w:pPr>
    </w:p>
    <w:p w14:paraId="1E6BFBB1" w14:textId="3DAB984D" w:rsidR="00280A97" w:rsidRDefault="00FC26B3" w:rsidP="00280A97">
      <w:pPr>
        <w:pStyle w:val="ANormal"/>
        <w:numPr>
          <w:ilvl w:val="0"/>
          <w:numId w:val="17"/>
        </w:numPr>
      </w:pPr>
      <w:r>
        <w:t>f</w:t>
      </w:r>
      <w:r w:rsidR="00280A97">
        <w:t>örhållandet mellan årsbidraget och avskrivningarna i kommunens koncernresultaträkning är under 80 procent</w:t>
      </w:r>
    </w:p>
    <w:p w14:paraId="2DEE49D3" w14:textId="5597DAA4" w:rsidR="00280A97" w:rsidRDefault="00FC26B3" w:rsidP="00280A97">
      <w:pPr>
        <w:pStyle w:val="ANormal"/>
        <w:numPr>
          <w:ilvl w:val="0"/>
          <w:numId w:val="17"/>
        </w:numPr>
      </w:pPr>
      <w:r>
        <w:t>k</w:t>
      </w:r>
      <w:r w:rsidR="00280A97">
        <w:t>ommunens inkomstskattesats är minst 2,0 procentenheter högre än den vägda genomsnittliga inkomstskattesatsen för alla kommuner</w:t>
      </w:r>
    </w:p>
    <w:p w14:paraId="04F17505" w14:textId="70879C1A" w:rsidR="00280A97" w:rsidRDefault="00FC26B3" w:rsidP="00280A97">
      <w:pPr>
        <w:pStyle w:val="ANormal"/>
        <w:numPr>
          <w:ilvl w:val="0"/>
          <w:numId w:val="17"/>
        </w:numPr>
      </w:pPr>
      <w:r>
        <w:t>b</w:t>
      </w:r>
      <w:r w:rsidR="00280A97">
        <w:t>eloppet av lån och hyresansvar per invånare i kommunens koncernbokslut överskrider det genomsnittliga beloppet av lån och hyresansvar i alla kommuners koncernbokslut med minst 50 procent</w:t>
      </w:r>
    </w:p>
    <w:p w14:paraId="3E230394" w14:textId="1E30EA43" w:rsidR="00280A97" w:rsidRDefault="00280A97" w:rsidP="00280A97">
      <w:pPr>
        <w:pStyle w:val="ANormal"/>
        <w:numPr>
          <w:ilvl w:val="0"/>
          <w:numId w:val="17"/>
        </w:numPr>
      </w:pPr>
      <w:r>
        <w:t>koncernbokslutets kalkylmässiga låneskötselbidrag är under 0,8.</w:t>
      </w:r>
    </w:p>
    <w:p w14:paraId="4A602BE1" w14:textId="77777777" w:rsidR="00900C31" w:rsidRDefault="00900C31" w:rsidP="00900C31">
      <w:pPr>
        <w:pStyle w:val="ANormal"/>
      </w:pPr>
    </w:p>
    <w:p w14:paraId="67E841CF" w14:textId="72ACEA2A" w:rsidR="00280A97" w:rsidRDefault="001030F9" w:rsidP="00280A97">
      <w:pPr>
        <w:pStyle w:val="ANormal"/>
      </w:pPr>
      <w:r>
        <w:tab/>
      </w:r>
      <w:r w:rsidR="00EE1173">
        <w:t xml:space="preserve">Förutom de </w:t>
      </w:r>
      <w:r w:rsidR="00900C31">
        <w:t xml:space="preserve">ovanstående </w:t>
      </w:r>
      <w:r w:rsidR="00280A97">
        <w:t>gränsvärden</w:t>
      </w:r>
      <w:r w:rsidR="00EE1173">
        <w:t>a</w:t>
      </w:r>
      <w:r w:rsidR="00280A97">
        <w:t xml:space="preserve"> som anger om kommunen </w:t>
      </w:r>
      <w:r w:rsidR="00EE1173">
        <w:t>befinner sig</w:t>
      </w:r>
      <w:r w:rsidR="00280A97">
        <w:t xml:space="preserve"> i en speciellt svår ekonomisk ställning, </w:t>
      </w:r>
      <w:r w:rsidR="00EE1173">
        <w:t>finns också</w:t>
      </w:r>
      <w:r w:rsidR="00280A97">
        <w:t xml:space="preserve"> mindre strikta gränsvärden (så kallade gula lampor eller varningslampor) </w:t>
      </w:r>
      <w:r w:rsidR="00EE1173">
        <w:t>angivna</w:t>
      </w:r>
      <w:r>
        <w:t xml:space="preserve">. Dessa </w:t>
      </w:r>
      <w:r w:rsidR="00367500" w:rsidRPr="001D49A1">
        <w:t>är inte lagstadgade utan anges i propositionen</w:t>
      </w:r>
      <w:r w:rsidR="00B1383C" w:rsidRPr="001D49A1">
        <w:rPr>
          <w:rStyle w:val="Fotnotsreferens"/>
        </w:rPr>
        <w:footnoteReference w:id="5"/>
      </w:r>
      <w:r w:rsidR="00367500" w:rsidRPr="001D49A1">
        <w:t xml:space="preserve"> till </w:t>
      </w:r>
      <w:r w:rsidR="00B1383C" w:rsidRPr="001D49A1">
        <w:t xml:space="preserve">en ändring av kriterierna i kommunallagen. </w:t>
      </w:r>
      <w:r w:rsidR="007456D4" w:rsidRPr="001D49A1">
        <w:t xml:space="preserve">De </w:t>
      </w:r>
      <w:r w:rsidRPr="001D49A1">
        <w:t xml:space="preserve">leder </w:t>
      </w:r>
      <w:r w:rsidR="007456D4" w:rsidRPr="001D49A1">
        <w:t>således</w:t>
      </w:r>
      <w:r w:rsidR="007456D4">
        <w:t xml:space="preserve"> </w:t>
      </w:r>
      <w:r w:rsidR="00280A97">
        <w:t>inte till ett utvärderingsförfarande, men indikerar att kommunen behöver ägna särskild uppmärksamhet åt att analysera sin ekonomi och dess utveckling.</w:t>
      </w:r>
    </w:p>
    <w:p w14:paraId="18FEA4E7" w14:textId="2DA66A0D" w:rsidR="00B33977" w:rsidRDefault="00FC26B3" w:rsidP="00B33977">
      <w:pPr>
        <w:pStyle w:val="ANormal"/>
      </w:pPr>
      <w:r>
        <w:tab/>
      </w:r>
      <w:r w:rsidR="00B33977">
        <w:t>Ut</w:t>
      </w:r>
      <w:r>
        <w:t>redningen</w:t>
      </w:r>
      <w:r w:rsidR="00B33977">
        <w:t xml:space="preserve"> görs av en utvärderingsgrupp </w:t>
      </w:r>
      <w:r>
        <w:t xml:space="preserve">bestående av en representant för finansministeriet och en för kommunen samt en ordförande som ska vara oavhängig av kommunen och ministeriet. </w:t>
      </w:r>
      <w:r w:rsidR="00B33977">
        <w:t xml:space="preserve">Gruppen lägger fram ett förslag </w:t>
      </w:r>
      <w:r>
        <w:t>med</w:t>
      </w:r>
      <w:r w:rsidR="00B33977">
        <w:t xml:space="preserve"> åtgärder som behövs för att garantera servicen till invånarna.</w:t>
      </w:r>
    </w:p>
    <w:p w14:paraId="33BEE677" w14:textId="1D468327" w:rsidR="00B33977" w:rsidRDefault="00B33977" w:rsidP="00B33977">
      <w:pPr>
        <w:pStyle w:val="ANormal"/>
      </w:pPr>
      <w:r>
        <w:lastRenderedPageBreak/>
        <w:tab/>
        <w:t>Fullmäktige i kommunen ska behandla gruppens åtgärdsförslag och delge finansministeriet beslutet om dem för eventuella fortsatta åtgärder. Utgående från gruppens åtgärdsförslag och fullmäktiges beslut avgör ministeriet om det i syfte att ändra kommunindelningen behövs en sådan särskild kommunindelningsutredning som avses i kommunstrukturlagen</w:t>
      </w:r>
      <w:r w:rsidR="00D77100">
        <w:t xml:space="preserve"> (FFS 1698/2009).</w:t>
      </w:r>
    </w:p>
    <w:p w14:paraId="3D9C20D3" w14:textId="1EC23E6C" w:rsidR="00B33977" w:rsidRDefault="00B33977" w:rsidP="00B33977">
      <w:pPr>
        <w:pStyle w:val="ANormal"/>
      </w:pPr>
      <w:r>
        <w:tab/>
      </w:r>
      <w:r w:rsidRPr="00B7209B">
        <w:t>Även om en kommun uppfyller kriterierna för en speciellt svår ekonomisk ställning betyder det inte nödvändigtvis att ett utvärderingsförfarande inleds, utan finansministeriet kan använda sin prövningsrätt i frågan.</w:t>
      </w:r>
    </w:p>
    <w:p w14:paraId="6556A37A" w14:textId="0C7CE503" w:rsidR="0016661E" w:rsidRDefault="0016661E" w:rsidP="00B33977">
      <w:pPr>
        <w:pStyle w:val="ANormal"/>
      </w:pPr>
      <w:r>
        <w:tab/>
      </w:r>
      <w:r w:rsidR="00D601A4">
        <w:t>Bortsett från bestämmelserna som rör kommuner som befinner sig i en speciellt svår ekonomisk ställning är r</w:t>
      </w:r>
      <w:r>
        <w:t>ikets r</w:t>
      </w:r>
      <w:r w:rsidR="00B33977">
        <w:t xml:space="preserve">egler om särskilda kommunindelningsutredningar </w:t>
      </w:r>
      <w:r>
        <w:t>i stort sett desamma som motsvarande åländsk lagstiftning.</w:t>
      </w:r>
      <w:r w:rsidR="00B33977">
        <w:t xml:space="preserve"> </w:t>
      </w:r>
      <w:r>
        <w:t>Förutom finansministeriet, kommunen eller 20 procent av invånarna i en kommun, kan en sådan utredning även initieras av utvärderingsgruppen när det gäller en kommun som befinner sig i en speciellt svår ekonomisk ställning.</w:t>
      </w:r>
    </w:p>
    <w:p w14:paraId="3D5DE9E8" w14:textId="0ECEA5C9" w:rsidR="00B33977" w:rsidRDefault="00A84DD4" w:rsidP="00A84DD4">
      <w:pPr>
        <w:pStyle w:val="ANormal"/>
      </w:pPr>
      <w:r>
        <w:tab/>
      </w:r>
      <w:r w:rsidR="00B33977">
        <w:t>Vid en särskild kommunindelningsutredning för en kommun som befinner sig i en speciellt svår ekonomisk ställning ska kommunindelningsutredaren för fullmäktige i de kommuner som deltar lägga fram ett förslag till en kommunsammanslagning samt till ett avtal om kommunsammanslagning</w:t>
      </w:r>
      <w:r>
        <w:t xml:space="preserve">. </w:t>
      </w:r>
      <w:r w:rsidR="00B33977">
        <w:t xml:space="preserve">Om fullmäktige i alla </w:t>
      </w:r>
      <w:r>
        <w:t>berörda</w:t>
      </w:r>
      <w:r w:rsidR="00B33977">
        <w:t xml:space="preserve"> kommuner godkänner utredarens förslag, gör </w:t>
      </w:r>
      <w:r>
        <w:t>de</w:t>
      </w:r>
      <w:r w:rsidR="00B33977">
        <w:t xml:space="preserve"> en gemensam framställning till finansministeriet om en ändring i kommunindelningen i enlighet med utredarens förslag.</w:t>
      </w:r>
    </w:p>
    <w:p w14:paraId="56E34C69" w14:textId="4CEE5603" w:rsidR="00B33977" w:rsidRDefault="00BC45EA" w:rsidP="00B33977">
      <w:pPr>
        <w:pStyle w:val="ANormal"/>
      </w:pPr>
      <w:r>
        <w:tab/>
        <w:t xml:space="preserve">I det fall att någon av de berörda kommunernas fullmäktige inte godkänner förslaget kan statsrådet på framställning av kommunindelningsutredaren ändå fatta beslut om en ändring av kommunindelningen, om den är nödvändig för att trygga den lagstadgade servicen för invånarna i den kommun som befinner sig i en speciellt svår ekonomisk ställning och om förutsättningarna för </w:t>
      </w:r>
      <w:r w:rsidR="002B260A">
        <w:t xml:space="preserve">en </w:t>
      </w:r>
      <w:r>
        <w:t>ändring enligt lagen för övrigt uppfylls.</w:t>
      </w:r>
    </w:p>
    <w:p w14:paraId="7BE5FBF7" w14:textId="30CA69DD" w:rsidR="00480C34" w:rsidRDefault="00493E5A" w:rsidP="00480C34">
      <w:pPr>
        <w:pStyle w:val="ANormal"/>
      </w:pPr>
      <w:r>
        <w:tab/>
      </w:r>
      <w:r w:rsidR="00480C34" w:rsidRPr="00656186">
        <w:t>Utvärderingsförfarandet har genomförts totalt 44 gånger under perioden 2007–2020.</w:t>
      </w:r>
      <w:r w:rsidR="00480C34" w:rsidRPr="00E77E9C">
        <w:t xml:space="preserve"> I fem kommuner har utvärderingsförfarandet gjorts två gånger. Utgående från boksluten för 2018 och 2019 fanns det sex kommuner som uppfyllde kriterierna för inledande av ett utvärderingsförfarande, för fem av dessa hade utvärderingsförfarandet inletts redan under 2017 eller 2019. För en kommuns del inleddes utvärderingsförfarandet 2020. I samtliga dessa kommuner uppfylldes kriteriet som beskriver underskottet per invånare. Inte i någon av kommunerna uppfylldes kriteriet med fyra nyckeltal för inledande av förfarandet. Därmed inleddes inget utvärderingsförfarande utgående från nyckeltalen för tillräcklig finansiering eller soliditet.</w:t>
      </w:r>
    </w:p>
    <w:p w14:paraId="48D72B21" w14:textId="47E6D301" w:rsidR="00493E5A" w:rsidRDefault="00480C34" w:rsidP="00493E5A">
      <w:pPr>
        <w:pStyle w:val="ANormal"/>
      </w:pPr>
      <w:r>
        <w:tab/>
      </w:r>
      <w:r w:rsidR="00493E5A">
        <w:t xml:space="preserve">I </w:t>
      </w:r>
      <w:r w:rsidR="00493E5A" w:rsidRPr="00480C34">
        <w:t>två</w:t>
      </w:r>
      <w:r w:rsidR="00493E5A">
        <w:t xml:space="preserve"> fall har</w:t>
      </w:r>
      <w:r>
        <w:t xml:space="preserve"> finansministeriet </w:t>
      </w:r>
      <w:r w:rsidRPr="00480C34">
        <w:t xml:space="preserve">utgående från </w:t>
      </w:r>
      <w:r>
        <w:t>utvärderings</w:t>
      </w:r>
      <w:r w:rsidRPr="00480C34">
        <w:t>gruppens åtgärdsförslag och kommunfullmäktiges beslut</w:t>
      </w:r>
      <w:r>
        <w:t xml:space="preserve"> beslutat om </w:t>
      </w:r>
      <w:r w:rsidR="00493E5A">
        <w:t xml:space="preserve">en särskild </w:t>
      </w:r>
      <w:r>
        <w:t>kommunindelnings</w:t>
      </w:r>
      <w:r w:rsidR="00493E5A">
        <w:t xml:space="preserve">utredning </w:t>
      </w:r>
      <w:r>
        <w:t>som har</w:t>
      </w:r>
      <w:r w:rsidR="00493E5A">
        <w:t xml:space="preserve"> lett till sammanslagning</w:t>
      </w:r>
      <w:r>
        <w:t xml:space="preserve"> av kommuner</w:t>
      </w:r>
      <w:r w:rsidR="00493E5A">
        <w:t xml:space="preserve">. Ytterligare </w:t>
      </w:r>
      <w:r w:rsidR="00493E5A" w:rsidRPr="00480C34">
        <w:t>två</w:t>
      </w:r>
      <w:r w:rsidR="00493E5A">
        <w:t xml:space="preserve"> processer har inletts</w:t>
      </w:r>
      <w:r>
        <w:t xml:space="preserve"> där statsrådet har fattat beslut om sammanslagning av kommuner utan fullmäktiges godkännande.</w:t>
      </w:r>
      <w:r w:rsidR="00493E5A">
        <w:t xml:space="preserve"> I det ena fallet hade den berörda kommunens ekonomi förbättrats efter utredningen och regeringen verkställde inte sammanslagningen. I det andra fallet upphävde Högsta förvaltningsdomstolen statsrådets beslut om tvångssammanslagning på överklagan av den berörda kommunen</w:t>
      </w:r>
      <w:r w:rsidR="00DB7F6B">
        <w:rPr>
          <w:rStyle w:val="Fotnotsreferens"/>
        </w:rPr>
        <w:footnoteReference w:id="6"/>
      </w:r>
      <w:r w:rsidR="00493E5A">
        <w:t>.</w:t>
      </w:r>
      <w:r w:rsidR="0001184B">
        <w:t xml:space="preserve"> Domstolens huvudsakliga motivering till </w:t>
      </w:r>
      <w:r w:rsidR="008A4C56">
        <w:t xml:space="preserve">att </w:t>
      </w:r>
      <w:r w:rsidR="0001184B">
        <w:t>upphäva beslutet var att den</w:t>
      </w:r>
      <w:r w:rsidR="008A4C56">
        <w:t xml:space="preserve"> nära</w:t>
      </w:r>
      <w:r w:rsidR="0001184B">
        <w:t xml:space="preserve"> förestående social- och hälsovårdsreformen </w:t>
      </w:r>
      <w:r w:rsidR="008A4C56">
        <w:t>innebar att man inte med tillräcklig säkerhet kunde dra slutsatsen att den aktuella kommunen inte skulle kunna garantera sina invånare den lagstadgade servicen.</w:t>
      </w:r>
    </w:p>
    <w:p w14:paraId="40697B46" w14:textId="77777777" w:rsidR="001B2A3D" w:rsidRPr="00493E5A" w:rsidRDefault="001B2A3D" w:rsidP="00493E5A">
      <w:pPr>
        <w:pStyle w:val="ANormal"/>
      </w:pPr>
    </w:p>
    <w:p w14:paraId="2778F651" w14:textId="21661FBD" w:rsidR="001B2A3D" w:rsidRDefault="001B2A3D" w:rsidP="001B2A3D">
      <w:pPr>
        <w:pStyle w:val="RubrikC"/>
      </w:pPr>
      <w:bookmarkStart w:id="19" w:name="_Toc194570783"/>
      <w:r>
        <w:lastRenderedPageBreak/>
        <w:t>3.</w:t>
      </w:r>
      <w:r w:rsidR="000F0A8E">
        <w:t>3</w:t>
      </w:r>
      <w:r>
        <w:t xml:space="preserve"> Sverige</w:t>
      </w:r>
      <w:bookmarkEnd w:id="19"/>
    </w:p>
    <w:p w14:paraId="668E3B1E" w14:textId="77777777" w:rsidR="001B2A3D" w:rsidRDefault="001B2A3D" w:rsidP="001B2A3D">
      <w:pPr>
        <w:pStyle w:val="Rubrikmellanrum"/>
      </w:pPr>
    </w:p>
    <w:p w14:paraId="797EE8DA" w14:textId="6E88DDA8" w:rsidR="001B2A3D" w:rsidRDefault="001B2A3D" w:rsidP="001B2A3D">
      <w:pPr>
        <w:pStyle w:val="ANormal"/>
      </w:pPr>
      <w:r>
        <w:t xml:space="preserve">I den svenska kommunallagstiftningen </w:t>
      </w:r>
      <w:r w:rsidR="00500752">
        <w:t>finns bestämmelser om</w:t>
      </w:r>
      <w:r>
        <w:t xml:space="preserve"> god ekonomisk hushållning. </w:t>
      </w:r>
      <w:r w:rsidR="00500752">
        <w:t xml:space="preserve">Det så kallade </w:t>
      </w:r>
      <w:r>
        <w:t xml:space="preserve">balanskravet </w:t>
      </w:r>
      <w:r w:rsidR="00500752">
        <w:t>innebär att intäkterna ska överstiga kostnaderna</w:t>
      </w:r>
      <w:r>
        <w:t xml:space="preserve"> samt att om ett negativt resultat uppstår bör detta åtgärdas inom tre år. </w:t>
      </w:r>
      <w:r w:rsidR="00500752">
        <w:t>Med hänvisning till grundlagsstadgandet om kommunalt självstyre finns det trots det legala kravet om god ekonomisk hushållning</w:t>
      </w:r>
      <w:r w:rsidR="00500752" w:rsidRPr="00500752">
        <w:t xml:space="preserve"> </w:t>
      </w:r>
      <w:r w:rsidR="00500752">
        <w:t>ingen laglig grund för att tvångsomhänderta kommuner.</w:t>
      </w:r>
      <w:r w:rsidR="00500752" w:rsidRPr="00500752">
        <w:t xml:space="preserve"> </w:t>
      </w:r>
      <w:r w:rsidR="00500752">
        <w:t>Att försätta en kommun i konkurs är inte heller möjligt eftersom skattebasen kvarstår.</w:t>
      </w:r>
    </w:p>
    <w:p w14:paraId="00EE7428" w14:textId="65DC6827" w:rsidR="006D7A37" w:rsidRDefault="001B2A3D" w:rsidP="001B2A3D">
      <w:pPr>
        <w:pStyle w:val="ANormal"/>
      </w:pPr>
      <w:r>
        <w:tab/>
      </w:r>
      <w:r w:rsidR="00500752">
        <w:t>I</w:t>
      </w:r>
      <w:r>
        <w:t xml:space="preserve"> kommunallag</w:t>
      </w:r>
      <w:r w:rsidR="00500752">
        <w:t>en</w:t>
      </w:r>
      <w:r>
        <w:t xml:space="preserve"> </w:t>
      </w:r>
      <w:r w:rsidR="00500752">
        <w:t>finns</w:t>
      </w:r>
      <w:r>
        <w:t xml:space="preserve"> </w:t>
      </w:r>
      <w:r w:rsidR="00500752">
        <w:t xml:space="preserve">krav på </w:t>
      </w:r>
      <w:r>
        <w:t xml:space="preserve">kommunerna att upprätta treåriga ekonomiska planer som komplement till </w:t>
      </w:r>
      <w:r w:rsidR="00FE5F37">
        <w:t>sina ordinarie</w:t>
      </w:r>
      <w:r>
        <w:t xml:space="preserve"> </w:t>
      </w:r>
      <w:r w:rsidR="00FE5F37">
        <w:t>års</w:t>
      </w:r>
      <w:r>
        <w:t>budget</w:t>
      </w:r>
      <w:r w:rsidR="00FE5F37">
        <w:t>ar</w:t>
      </w:r>
      <w:r w:rsidR="00AD3C83">
        <w:t xml:space="preserve"> </w:t>
      </w:r>
      <w:r>
        <w:t xml:space="preserve">i syftet är att underlätta strukturella åtgärder som är nödvändiga för att uppnå balans i ekonomin. </w:t>
      </w:r>
      <w:r w:rsidR="00AD3C83">
        <w:t>Det finns</w:t>
      </w:r>
      <w:r>
        <w:t xml:space="preserve"> också ett utjämningssystem, som i viss utsträckning omfördelar medel mellan kommuner med hög respektive låg skattekraft och höga respektive låga strukturella kostnader. Utjämningssystemet motiveras med att det ska ge alla kommuner likvärdiga ekonomiska förutsättningar.</w:t>
      </w:r>
    </w:p>
    <w:p w14:paraId="703C43E9" w14:textId="53949FD8" w:rsidR="001B2A3D" w:rsidRDefault="001B2A3D" w:rsidP="001B2A3D">
      <w:pPr>
        <w:pStyle w:val="ANormal"/>
      </w:pPr>
      <w:r>
        <w:tab/>
        <w:t>Fullmäktige ska besluta om riktlinjer för god ekonomisk hushållning för kommunen eller regionen. För verksamheten ska anges mål och riktlinjer som är av betydelse för en god ekonomisk hushållning. För ekonomin ska anges de finansiella mål som är av betydelse för en god ekonomisk hushållning. En delårsrapport ska behandlas varje år av fullmäktige, och revisorer ska kontrollera denna samt årsbokslutet, och se till att verksamhetens och budgetens mål uppfylls.</w:t>
      </w:r>
    </w:p>
    <w:p w14:paraId="62DBE016" w14:textId="07C50F18" w:rsidR="00CD175F" w:rsidRDefault="00953401" w:rsidP="00953401">
      <w:pPr>
        <w:pStyle w:val="ANormal"/>
      </w:pPr>
      <w:r>
        <w:tab/>
        <w:t>Svenska kommuner har även möjlighet att reservera medel för sämre tider. Kommuner och regioner får till en resultatutjämningsreserv reservera medel som får användas för att utjämna intäkter över en konjunkturcykel. Reservering får göras med högst ett belopp som motsvarar det lägsta av antingen den del av årets resultat eller den del av årets resultat efter balanskravsjusteringar, som överstiger</w:t>
      </w:r>
    </w:p>
    <w:p w14:paraId="379EDB56" w14:textId="77777777" w:rsidR="000F0A8E" w:rsidRDefault="000F0A8E" w:rsidP="00953401">
      <w:pPr>
        <w:pStyle w:val="ANormal"/>
      </w:pPr>
    </w:p>
    <w:p w14:paraId="4C55AA39" w14:textId="2DE0B53B" w:rsidR="00CD175F" w:rsidRDefault="00953401" w:rsidP="00CD175F">
      <w:pPr>
        <w:pStyle w:val="ANormal"/>
        <w:numPr>
          <w:ilvl w:val="0"/>
          <w:numId w:val="34"/>
        </w:numPr>
      </w:pPr>
      <w:r>
        <w:t>en procent av summan av skatteintäkter samt generella statsbidrag och kommunalekonomisk utjämning, eller</w:t>
      </w:r>
    </w:p>
    <w:p w14:paraId="0C9F0887" w14:textId="2C2382F2" w:rsidR="00953401" w:rsidRDefault="00953401" w:rsidP="00CD175F">
      <w:pPr>
        <w:pStyle w:val="ANormal"/>
        <w:numPr>
          <w:ilvl w:val="0"/>
          <w:numId w:val="34"/>
        </w:numPr>
      </w:pPr>
      <w:r>
        <w:t>två procent av summan av skatteintäkter samt generella statsbidrag och kommunalekonomisk utjämning, om kommunen eller regionen har ett negativt eget kapital, inklusive ansvarsförbindelsen för pensionsförpliktelser.</w:t>
      </w:r>
    </w:p>
    <w:p w14:paraId="69287114" w14:textId="77777777" w:rsidR="00953401" w:rsidRDefault="00953401" w:rsidP="001B2A3D">
      <w:pPr>
        <w:pStyle w:val="ANormal"/>
      </w:pPr>
    </w:p>
    <w:p w14:paraId="5306443E" w14:textId="2095640A" w:rsidR="001B2A3D" w:rsidRDefault="001B2A3D" w:rsidP="001B2A3D">
      <w:pPr>
        <w:pStyle w:val="ANormal"/>
      </w:pPr>
      <w:r>
        <w:tab/>
        <w:t xml:space="preserve">Kommuner och regioner ska upprätta </w:t>
      </w:r>
      <w:r w:rsidR="00CD175F">
        <w:t>b</w:t>
      </w:r>
      <w:r>
        <w:t>udgeten så att intäkterna överstiger kostnaderna. Undantag från detta får göras i den utsträckning som medel från resultatutjämningsreserv</w:t>
      </w:r>
      <w:r w:rsidR="00CD175F">
        <w:t>en</w:t>
      </w:r>
      <w:r>
        <w:t xml:space="preserve"> tas i anspråk eller om det finns synnerliga skäl. I budgeten ska skattesatsen och anslagen anges.</w:t>
      </w:r>
    </w:p>
    <w:p w14:paraId="3274EF71" w14:textId="1E2B91AD" w:rsidR="001B2A3D" w:rsidRDefault="001B2A3D" w:rsidP="001B2A3D">
      <w:pPr>
        <w:pStyle w:val="ANormal"/>
      </w:pPr>
      <w:r>
        <w:tab/>
        <w:t>Av budgeten ska det vidare framgå hur verksamheten ska finansieras och hur den ekonomiska ställningen beräknas vara vid budgetårets slut. De finansiella mål som är av betydelse för en god ekonomisk hushållning ska anges. Budgeten ska även innehålla en plan för verksamheten under budgetåret. I planen ska det anges mål och riktlinjer som är av betydelse för en god ekonomisk hushållning. Budgeten ska också innehålla en plan för ekonomin för en period av tre år. Om balanskravsresultatet för ett visst räkenskapsår är negativt, ska det regleras under de närmast följande tre åren. Fullmäktige ska anta en åtgärdsplan för hur regleringen ska ske. Beslut om reglering ska fattas senast i budgeten det tredje året efter det år då det negativa balanskravsresultatet uppkom. Fullmäktige får besluta att en reglering av ett negativt balanskravsresultat inte ska göras om det finns synnerliga skäl</w:t>
      </w:r>
      <w:r w:rsidR="000F0A8E">
        <w:t>.</w:t>
      </w:r>
    </w:p>
    <w:p w14:paraId="60FE8A46" w14:textId="77777777" w:rsidR="00953401" w:rsidRDefault="00953401" w:rsidP="00953401">
      <w:pPr>
        <w:pStyle w:val="ANormal"/>
      </w:pPr>
      <w:r>
        <w:tab/>
        <w:t xml:space="preserve">I februari 2020 offentliggjorde den svenska regeringen slutbetänkandet för en stor kommunutredning. Den är utförd av en parlamentariskt sammansatt kommitté i syfte att utarbeta en strategi för att stärka kommunernas kapacitet att fullgöra sina uppgifter och hantera sina utmaningar. Kommittén </w:t>
      </w:r>
      <w:r>
        <w:lastRenderedPageBreak/>
        <w:t>gavs även i uppdrag att utreda förutsättningarna för att ge kommunerna generella möjligheter till avtalssamverkan. Utredningen befäste snarare vikten av kommunalt självstyre och öppnade inte för exempelvis tvångssammanslagningar. Däremot belystes vikten av interkommunalt samarbete inom ett brett register av verksamheter som en positiv faktor för den kommunala ekonomin. Det konstaterades också att större kommuner ofrånkomligen ger robustare ekonomiska förutsättningar. Där måste en avvägning göras kring vad som är en lagom storlek på en kommun i relation till andra faktorer som administrativ effektivitet och lokaldemokrati.</w:t>
      </w:r>
    </w:p>
    <w:p w14:paraId="79B1F191" w14:textId="77777777" w:rsidR="00500752" w:rsidRDefault="00500752" w:rsidP="009B24CA">
      <w:pPr>
        <w:pStyle w:val="ANormal"/>
      </w:pPr>
    </w:p>
    <w:p w14:paraId="7DDDF2CB" w14:textId="3F6DA071" w:rsidR="009B24CA" w:rsidRDefault="009B24CA" w:rsidP="009B24CA">
      <w:pPr>
        <w:pStyle w:val="RubrikC"/>
      </w:pPr>
      <w:bookmarkStart w:id="20" w:name="_Toc72760289"/>
      <w:bookmarkStart w:id="21" w:name="_Toc194570784"/>
      <w:r>
        <w:t>3.</w:t>
      </w:r>
      <w:r w:rsidR="000F0A8E">
        <w:t>4</w:t>
      </w:r>
      <w:r>
        <w:t xml:space="preserve"> Norge</w:t>
      </w:r>
      <w:bookmarkEnd w:id="20"/>
      <w:bookmarkEnd w:id="21"/>
    </w:p>
    <w:p w14:paraId="46B842FE" w14:textId="77777777" w:rsidR="009B24CA" w:rsidRDefault="009B24CA" w:rsidP="009B24CA">
      <w:pPr>
        <w:pStyle w:val="Rubrikmellanrum"/>
      </w:pPr>
    </w:p>
    <w:p w14:paraId="2912EB47" w14:textId="6BB0EBBC" w:rsidR="00493E5A" w:rsidRDefault="00493E5A" w:rsidP="00493E5A">
      <w:pPr>
        <w:pStyle w:val="ANormal"/>
      </w:pPr>
      <w:r>
        <w:t xml:space="preserve">Norge har </w:t>
      </w:r>
      <w:r w:rsidR="002C3FE0">
        <w:t>på kommunområdet lik</w:t>
      </w:r>
      <w:r>
        <w:t xml:space="preserve">som Finland genomlevt flera olika utvecklingsfaser och varierande reformstrategier under 2000-talet. Mellan 2014 och 2017 genomfördes en kommunreform där 119 kommuner slogs samman och bildade 47 nya, vilket var den största förändringen i norsk kommunstruktur sedan 1960-talet. Det gav en minskning av antalet kommuner med 17 </w:t>
      </w:r>
      <w:r w:rsidR="0090098B">
        <w:t>procent</w:t>
      </w:r>
      <w:r>
        <w:t xml:space="preserve">, till totalt 356 jämfört med de 428 som var verksamma innan reformen inleddes. </w:t>
      </w:r>
      <w:r w:rsidR="002C3FE0">
        <w:t>Fortfarande</w:t>
      </w:r>
      <w:r>
        <w:t xml:space="preserve"> har</w:t>
      </w:r>
      <w:r w:rsidR="002C3FE0">
        <w:t xml:space="preserve"> dock</w:t>
      </w:r>
      <w:r>
        <w:t xml:space="preserve"> hälften av kommunerna under 5</w:t>
      </w:r>
      <w:r w:rsidR="002C3FE0">
        <w:t> </w:t>
      </w:r>
      <w:r>
        <w:t>000 invånare och fler än 120 kommuner har färre än 3</w:t>
      </w:r>
      <w:r w:rsidR="002C3FE0">
        <w:t> </w:t>
      </w:r>
      <w:r>
        <w:t xml:space="preserve">000 invånare. De minsta kommunerna har mycket större utmaningar till följd av en åldrande befolkning än centrumkommunerna som </w:t>
      </w:r>
      <w:r w:rsidR="00FD1A7C">
        <w:t>i stället</w:t>
      </w:r>
      <w:r>
        <w:t xml:space="preserve"> växer. Detta i kombination med ökade krav på kommunernas verksamheter gör att förutsättningarna för olika kommuner att utföra sina lagstadgade uppdrag skiljer sig mycket åt.</w:t>
      </w:r>
    </w:p>
    <w:p w14:paraId="79619DDE" w14:textId="7D507F95" w:rsidR="00493E5A" w:rsidRDefault="00493E5A" w:rsidP="00493E5A">
      <w:pPr>
        <w:pStyle w:val="ANormal"/>
      </w:pPr>
      <w:r>
        <w:tab/>
        <w:t>I december 2017 fattades beslut om att alla kommunsammanslagningar mellan 2017 och 2021 ska bygga på frivillighet och lokala initiativ. Detta uppmuntras från statligt håll genom att större ekonomiska verkningsmedel tillförs sammanslagningar som sker under samma period. Det rör sig om ett engångsbelopp tänkt att täcka de direkta kostnaderna för sammanslagning, ett ersättningsbelopp som betalas ut över en längre period i syfte att ersätta andra förlorade statliga bidrag som effekt av sammanslagningen, ett tillskott till vissa större orter av regional betydelse samt ett direkt bidrag för kostnader kopplat till kommuners utredningsarbete inför sammanslagningar.</w:t>
      </w:r>
    </w:p>
    <w:p w14:paraId="0461635D" w14:textId="77777777" w:rsidR="00FE5F37" w:rsidRDefault="00493E5A" w:rsidP="00493E5A">
      <w:pPr>
        <w:pStyle w:val="ANormal"/>
      </w:pPr>
      <w:r>
        <w:tab/>
        <w:t>I Norge är kommunerna i stor utsträckning beroende av statsbidrag och norska kommuners beskattningsrätt är begränsad med ett fastställt skattetak på knappt 12 procent. Kommunerna har utöver det möjlighet att ta ut fastighetsavgift. Norge har ett kombinerat inkomst- och kostnadsutjämningssystem som kompletteras med regionalpolitiska tillägg.</w:t>
      </w:r>
      <w:r w:rsidR="00FE5F37">
        <w:t xml:space="preserve"> </w:t>
      </w:r>
    </w:p>
    <w:p w14:paraId="40D76612" w14:textId="143B73BD" w:rsidR="00493E5A" w:rsidRDefault="00FE5F37" w:rsidP="00493E5A">
      <w:pPr>
        <w:pStyle w:val="ANormal"/>
      </w:pPr>
      <w:r>
        <w:tab/>
      </w:r>
      <w:r w:rsidR="00493E5A">
        <w:t xml:space="preserve">Den funktion som mest konkret </w:t>
      </w:r>
      <w:r>
        <w:t xml:space="preserve">svarar </w:t>
      </w:r>
      <w:r w:rsidR="00493E5A">
        <w:t>mot problem med kommunal ekonomi och servicenivå är Register o</w:t>
      </w:r>
      <w:r w:rsidR="0090098B">
        <w:t>m</w:t>
      </w:r>
      <w:r w:rsidR="00493E5A">
        <w:t xml:space="preserve"> betinget godkjenning og kontroll (R</w:t>
      </w:r>
      <w:r w:rsidR="0090098B">
        <w:t>OBEK</w:t>
      </w:r>
      <w:r w:rsidR="00493E5A">
        <w:t>). Den norska kommunallagen kräver att ministeriet kontrollerar kommuner som är i ekonomisk obalans</w:t>
      </w:r>
      <w:r w:rsidR="00012C36">
        <w:t xml:space="preserve"> och</w:t>
      </w:r>
      <w:r w:rsidR="00493E5A">
        <w:t xml:space="preserve"> R</w:t>
      </w:r>
      <w:r w:rsidR="0090098B">
        <w:t>OBEK</w:t>
      </w:r>
      <w:r w:rsidR="00493E5A">
        <w:t xml:space="preserve"> är ett register över sådana kommuner</w:t>
      </w:r>
      <w:r>
        <w:t>.</w:t>
      </w:r>
      <w:r w:rsidR="00493E5A">
        <w:t xml:space="preserve"> Det handlar rent konkret om kommuner där underskott har noterats i antingen finansplanen, årsbudgeten eller årsredovisningen. Kommuner som inte fattar beslut om årliga budgetar, ekonomiska planer eller årsbokslut inom de tidsfrister som fastställs i lagen uppfyller också kriterierna för registrering.</w:t>
      </w:r>
    </w:p>
    <w:p w14:paraId="4774F2BB" w14:textId="64514EB4" w:rsidR="00493E5A" w:rsidRDefault="00493E5A" w:rsidP="00493E5A">
      <w:pPr>
        <w:pStyle w:val="ANormal"/>
      </w:pPr>
      <w:r>
        <w:tab/>
        <w:t>Kommuner som är registrerade i R</w:t>
      </w:r>
      <w:r w:rsidR="0090098B">
        <w:t>OBEK</w:t>
      </w:r>
      <w:r>
        <w:t xml:space="preserve"> får sina årsbudgetar kontrollerade av departementet som också ska godkänna beslut om att uppta lån eller ingående av avtal där kostnadsbördan kan medföra utgifter utöver de nästkommande fyra budgetåren. Sådana avtal anses inte giltiga innan de har godkänts av departementet. Beroende på vilken typ av kommun det rör sig om enligt den norska kategoriseringen utförs detta antingen genom en så kallad fylkesmann (en slags landskapsdirektör som agerar å departementets vägnar) eller direkt av departementet. Kommuner som är registrerade i R</w:t>
      </w:r>
      <w:r w:rsidR="0090098B">
        <w:t>OBEK</w:t>
      </w:r>
      <w:r>
        <w:t xml:space="preserve"> är skyldiga att fastställa en åtgärdsplan som säkrar att ekonomin åter balanseras. Registrering medför också krav på hur de statliga bidrag kommunerna upptar </w:t>
      </w:r>
      <w:r>
        <w:lastRenderedPageBreak/>
        <w:t>från staten används – syftet ska vara att skyndsamt åtgärda de ekonomiska underskotten.</w:t>
      </w:r>
    </w:p>
    <w:p w14:paraId="25EEDDD2" w14:textId="2C903DF0" w:rsidR="009B24CA" w:rsidRDefault="00493E5A" w:rsidP="00493E5A">
      <w:pPr>
        <w:pStyle w:val="ANormal"/>
      </w:pPr>
      <w:r>
        <w:tab/>
        <w:t>Inom vissa verksamhetsområden har staten befogenhet att påtvinga samarbete mellan olika kommuner, när en kommun inte är i stånd att utföra sina uppgifter på egen hand. Det gäller vissa delar inom rättsområdena hälsa- och omsorg, folkhälsa, planering och byggande samt brand- och explosionsskydd. I praktiken används dock dessa bestämmelser i ytterst begränsad omfattning.</w:t>
      </w:r>
    </w:p>
    <w:p w14:paraId="105751D5" w14:textId="77777777" w:rsidR="009B24CA" w:rsidRDefault="009B24CA" w:rsidP="009B24CA">
      <w:pPr>
        <w:pStyle w:val="ANormal"/>
      </w:pPr>
    </w:p>
    <w:p w14:paraId="00EB0723" w14:textId="23D904BC" w:rsidR="009B24CA" w:rsidRDefault="009B24CA" w:rsidP="009B24CA">
      <w:pPr>
        <w:pStyle w:val="RubrikC"/>
      </w:pPr>
      <w:bookmarkStart w:id="22" w:name="_Toc72760290"/>
      <w:bookmarkStart w:id="23" w:name="_Toc194570785"/>
      <w:r>
        <w:t>3.</w:t>
      </w:r>
      <w:r w:rsidR="000F0A8E">
        <w:t>5</w:t>
      </w:r>
      <w:r>
        <w:t xml:space="preserve"> Danmark</w:t>
      </w:r>
      <w:bookmarkEnd w:id="22"/>
      <w:bookmarkEnd w:id="23"/>
    </w:p>
    <w:p w14:paraId="537D8A61" w14:textId="77777777" w:rsidR="009B24CA" w:rsidRDefault="009B24CA" w:rsidP="009B24CA">
      <w:pPr>
        <w:pStyle w:val="Rubrikmellanrum"/>
      </w:pPr>
    </w:p>
    <w:p w14:paraId="52BE2499" w14:textId="5797586B" w:rsidR="00637F23" w:rsidRDefault="00637F23" w:rsidP="00637F23">
      <w:pPr>
        <w:pStyle w:val="ANormal"/>
      </w:pPr>
      <w:r>
        <w:t xml:space="preserve">Danmark genomförde 2007 en omfattande kommunreform som var ofrivillig och snabb, cirka två och ett halvt år från politisk uppgörelse till verkställd reform. Kommunerna tilldelades nya lagstadgade uppgifter och antalet kommuner minskade från 271 till 98. Reformen innebar en omfattande omfördelning av ansvaret mellan förvaltningsnivåerna och bestod också i nedläggning av de tidigare </w:t>
      </w:r>
      <w:r w:rsidR="0089457E">
        <w:t>tretton</w:t>
      </w:r>
      <w:r>
        <w:t xml:space="preserve"> amtskommunerna (motsvarade län/regioner) och inrättandet av fem nya regioner med sjukvårdsansvar.</w:t>
      </w:r>
    </w:p>
    <w:p w14:paraId="793FBE84" w14:textId="0C04DF91" w:rsidR="00637F23" w:rsidRDefault="00637F23" w:rsidP="00637F23">
      <w:pPr>
        <w:pStyle w:val="ANormal"/>
      </w:pPr>
      <w:r>
        <w:tab/>
        <w:t>När det gäller den kommunala ekonomin visar studier att kommunsammanslagningarna ökade kommunernas ekonomiska styrningskapacitet och att kommunerna generellt sett förbättrade sina driftsresultat. De danska kommunerna har ett mindre självbestämmande än exempelvis de finländska och svenska, och de är i högre grad beroende av staten när det gäller den egna försörjningen. Det större statliga inflytandet minskar risken för att kommuner hamnar i ekonomisk obalans på eget bevåg, men innebär också ett mindre kommunalt självstyre med lägre beskattningsrätt.</w:t>
      </w:r>
    </w:p>
    <w:p w14:paraId="58B87DCC" w14:textId="53551B67" w:rsidR="00637F23" w:rsidRDefault="00637F23" w:rsidP="00637F23">
      <w:pPr>
        <w:pStyle w:val="ANormal"/>
      </w:pPr>
      <w:r>
        <w:tab/>
        <w:t>Ministeriet kan efterfråga uppgifter och fatta enskilda beslut relaterade till kommunernas budget och räkenskaper om den årliga revisionen visar på anmärkningar. Man har också rätt att fatta beslut om kommunernas rätt att uppta lån eller andra ekonomiska förpliktelser som sträcker sig så långt att kommuner inte får göra detta utan tillåtelse när det gäller skattefinansierad verksamhet. För tillsyn av kommuner ansvarar den så kallade Ankestyrelsen som själva avgör om ett tillsynsärende ska upprättas. Beroende på ett ärendes natur och omständigheter kan Ankestyrelsen exempelvis begära in uppgifter, belägga kommuner med tidsfrister eller rekommendationer och upphäva kommunala beslut som strider mot gällande lag. Det finns också ett sanktionssystem som gäller både storleken på de kommunala utgifterna och nivån på skattesatsen.</w:t>
      </w:r>
    </w:p>
    <w:p w14:paraId="4300E575" w14:textId="77777777" w:rsidR="009B24CA" w:rsidRDefault="009B24CA" w:rsidP="009B24CA">
      <w:pPr>
        <w:pStyle w:val="ANormal"/>
      </w:pPr>
    </w:p>
    <w:p w14:paraId="146F94EB" w14:textId="6846268E" w:rsidR="009B24CA" w:rsidRDefault="009B24CA" w:rsidP="009B24CA">
      <w:pPr>
        <w:pStyle w:val="RubrikC"/>
      </w:pPr>
      <w:bookmarkStart w:id="24" w:name="_Toc72760291"/>
      <w:bookmarkStart w:id="25" w:name="_Toc194570786"/>
      <w:r>
        <w:t>3.</w:t>
      </w:r>
      <w:r w:rsidR="000F0A8E">
        <w:t>6</w:t>
      </w:r>
      <w:r>
        <w:t xml:space="preserve"> Island</w:t>
      </w:r>
      <w:bookmarkEnd w:id="24"/>
      <w:bookmarkEnd w:id="25"/>
    </w:p>
    <w:p w14:paraId="17B0C5ED" w14:textId="77777777" w:rsidR="009B24CA" w:rsidRDefault="009B24CA" w:rsidP="009B24CA">
      <w:pPr>
        <w:pStyle w:val="Rubrikmellanrum"/>
      </w:pPr>
    </w:p>
    <w:p w14:paraId="7345B173" w14:textId="53B57798" w:rsidR="00637F23" w:rsidRDefault="00637F23" w:rsidP="0089457E">
      <w:pPr>
        <w:pStyle w:val="ANormal"/>
      </w:pPr>
      <w:bookmarkStart w:id="26" w:name="_Toc72760292"/>
      <w:r w:rsidRPr="00637F23">
        <w:t>Den isländska kommunallagen är den enda nordiska kommunallagen där man beaktat exceptionella situationer. Dessa regler är i första hand inte utformade för kommuner i ekonomisk obalans. Mest troligt är att bestämmelserna existerar med naturkatastrofer i åtanke, men kan enligt ordalydelsen också tillämpas på andra nödsituationer. Enligt lagen kan det statliga ministeriet ge fullmäktige och lämpliga nämnder i en grannkommun i uppgift att sköta en kommuns förvaltning om kommunfullmäktige anses oförmöget att funktionera i en nödsituation. Ministeriet kan dessutom genom förordning utse ett särskilt organ som ska sörja för ett funktionsodugligt fullmäktiges och en funktionsoduglig nämnds uppgifter.</w:t>
      </w:r>
    </w:p>
    <w:p w14:paraId="73B9F4EE" w14:textId="77777777" w:rsidR="00637F23" w:rsidRPr="00637F23" w:rsidRDefault="00637F23" w:rsidP="00637F23">
      <w:pPr>
        <w:rPr>
          <w:sz w:val="22"/>
          <w:szCs w:val="20"/>
        </w:rPr>
      </w:pPr>
    </w:p>
    <w:p w14:paraId="3E15937D" w14:textId="4CDB4232" w:rsidR="009B24CA" w:rsidRDefault="009B24CA" w:rsidP="009B24CA">
      <w:pPr>
        <w:pStyle w:val="RubrikB"/>
      </w:pPr>
      <w:bookmarkStart w:id="27" w:name="_Toc72760293"/>
      <w:bookmarkStart w:id="28" w:name="_Toc194570787"/>
      <w:bookmarkEnd w:id="26"/>
      <w:r>
        <w:t>4. Överväganden</w:t>
      </w:r>
      <w:bookmarkEnd w:id="27"/>
      <w:bookmarkEnd w:id="28"/>
    </w:p>
    <w:p w14:paraId="5CC80829" w14:textId="77777777" w:rsidR="009B24CA" w:rsidRDefault="009B24CA" w:rsidP="009B24CA">
      <w:pPr>
        <w:pStyle w:val="Rubrikmellanrum"/>
      </w:pPr>
    </w:p>
    <w:p w14:paraId="1881D646" w14:textId="4304F493" w:rsidR="00E27D1B" w:rsidRDefault="00A14A9D" w:rsidP="00797873">
      <w:pPr>
        <w:pStyle w:val="ANormal"/>
      </w:pPr>
      <w:r w:rsidRPr="007C1D11">
        <w:t>Bokslutsuppgifterna för de åländska kommunerna som grupp indikerar</w:t>
      </w:r>
      <w:r w:rsidR="00341828" w:rsidRPr="007C1D11">
        <w:t xml:space="preserve"> att </w:t>
      </w:r>
      <w:r w:rsidRPr="007C1D11">
        <w:t xml:space="preserve">deras ekonomiska förutsättningar att bedriva sin verksamhet i någon mån har förbättrats under de senaste åren. Detta trots att det har skett en generell utveckling av ökade kostnader medan intäkterna inte har ökat i </w:t>
      </w:r>
      <w:r w:rsidR="009C564E" w:rsidRPr="007C1D11">
        <w:t>motsvarande</w:t>
      </w:r>
      <w:r w:rsidRPr="00A14A9D">
        <w:t xml:space="preserve"> </w:t>
      </w:r>
      <w:r w:rsidRPr="00A14A9D">
        <w:lastRenderedPageBreak/>
        <w:t>takt.</w:t>
      </w:r>
      <w:r w:rsidR="00DA3854">
        <w:t xml:space="preserve"> </w:t>
      </w:r>
      <w:r w:rsidR="00412CCE">
        <w:t xml:space="preserve">Men </w:t>
      </w:r>
      <w:r w:rsidR="0018646B">
        <w:t>framför allt</w:t>
      </w:r>
      <w:r w:rsidR="00E27D1B">
        <w:t xml:space="preserve"> är </w:t>
      </w:r>
      <w:r w:rsidR="004E3574">
        <w:t xml:space="preserve">de enskilda </w:t>
      </w:r>
      <w:r w:rsidR="00E27D1B">
        <w:t xml:space="preserve">kommunernas förutsättningar väldigt olika. Flera av kommunerna </w:t>
      </w:r>
      <w:r w:rsidR="004E3574">
        <w:t>har under</w:t>
      </w:r>
      <w:r w:rsidR="00E27D1B">
        <w:t xml:space="preserve"> </w:t>
      </w:r>
      <w:r w:rsidR="004E3574">
        <w:t xml:space="preserve">flera år visat </w:t>
      </w:r>
      <w:r w:rsidR="00E27D1B">
        <w:t xml:space="preserve">negativa resultat. En kommun kan inte gå i konkurs, men kan likväl ha svårt att klara sin ekonomi. </w:t>
      </w:r>
      <w:r w:rsidR="00D70D2A">
        <w:t xml:space="preserve">En sådan situation kan leda till att kommunen får problem med att upprätthålla den lagstadgade servicen till invånarna. </w:t>
      </w:r>
      <w:r w:rsidR="00E27D1B">
        <w:t xml:space="preserve">Det finns därför behov av mekanismer för att </w:t>
      </w:r>
      <w:r w:rsidR="001A4341">
        <w:t>dels</w:t>
      </w:r>
      <w:r w:rsidR="00E27D1B">
        <w:t xml:space="preserve"> definiera vilka kommuner som </w:t>
      </w:r>
      <w:r w:rsidR="001A4341">
        <w:t>har</w:t>
      </w:r>
      <w:r w:rsidR="00D70D2A">
        <w:t xml:space="preserve"> en</w:t>
      </w:r>
      <w:r w:rsidR="00E27D1B">
        <w:t xml:space="preserve"> synnerligen ansträngd ekonomi</w:t>
      </w:r>
      <w:r w:rsidR="001A4341">
        <w:t>,</w:t>
      </w:r>
      <w:r w:rsidR="00E27D1B">
        <w:t xml:space="preserve"> </w:t>
      </w:r>
      <w:r w:rsidR="001A4341">
        <w:t>dels</w:t>
      </w:r>
      <w:r w:rsidR="00E27D1B">
        <w:t xml:space="preserve"> </w:t>
      </w:r>
      <w:r w:rsidR="001A4341">
        <w:t>skapa ett förfarande</w:t>
      </w:r>
      <w:r w:rsidR="00E27D1B">
        <w:t xml:space="preserve"> för att hantera en kommun i en sådan situation.</w:t>
      </w:r>
    </w:p>
    <w:p w14:paraId="56772043" w14:textId="6641FB09" w:rsidR="00033964" w:rsidRDefault="001A4341" w:rsidP="00033964">
      <w:pPr>
        <w:pStyle w:val="ANormal"/>
      </w:pPr>
      <w:r>
        <w:tab/>
      </w:r>
      <w:r w:rsidR="00033964">
        <w:t xml:space="preserve">Landskapsregeringen föreslår </w:t>
      </w:r>
      <w:r>
        <w:t>därför</w:t>
      </w:r>
      <w:r w:rsidR="00033964">
        <w:t xml:space="preserve"> ny landskapslagstiftning för att reglera situationer med</w:t>
      </w:r>
      <w:r w:rsidR="003F7BD1">
        <w:t xml:space="preserve"> kommuner som har en synnerligen ansträngd ekonomi</w:t>
      </w:r>
      <w:r w:rsidR="00033964">
        <w:t>. Syftet är att på ett förutsägbart sätt säkra den kommunala serviceproduktionen för invånar</w:t>
      </w:r>
      <w:r w:rsidR="00D70D2A">
        <w:t>na</w:t>
      </w:r>
      <w:r w:rsidR="00033964">
        <w:t xml:space="preserve"> på Åland. Utgångspunkten för </w:t>
      </w:r>
      <w:r w:rsidR="00D70D2A">
        <w:t>förslaget</w:t>
      </w:r>
      <w:r w:rsidR="00033964">
        <w:t xml:space="preserve"> är fortsättningsvis ett starkt kommunalt självbestämmande, där kommunernas uppdrag är att producera lagstadgad service för de boende i kommunen.</w:t>
      </w:r>
    </w:p>
    <w:p w14:paraId="685BC353" w14:textId="1C813ED6" w:rsidR="00777623" w:rsidRDefault="00D70D2A" w:rsidP="00777623">
      <w:pPr>
        <w:pStyle w:val="ANormal"/>
      </w:pPr>
      <w:r>
        <w:tab/>
      </w:r>
      <w:r w:rsidR="00C45C1C">
        <w:t>I</w:t>
      </w:r>
      <w:r w:rsidR="00033964">
        <w:t xml:space="preserve"> lagstiftningen </w:t>
      </w:r>
      <w:r w:rsidR="00C45C1C">
        <w:t>bör det finnas en tydlig avgränsning för när en kommuns ekonomi definieras som</w:t>
      </w:r>
      <w:r w:rsidR="00033964">
        <w:t xml:space="preserve"> synnerligen ansträngd</w:t>
      </w:r>
      <w:r w:rsidR="00C45C1C">
        <w:t>.</w:t>
      </w:r>
      <w:r w:rsidR="00033964">
        <w:t xml:space="preserve"> </w:t>
      </w:r>
      <w:r w:rsidR="00C45C1C">
        <w:t>Det</w:t>
      </w:r>
      <w:r w:rsidR="00033964">
        <w:t xml:space="preserve"> </w:t>
      </w:r>
      <w:r w:rsidR="00C45C1C">
        <w:t>behöver också finnas en reglerad process</w:t>
      </w:r>
      <w:r w:rsidR="00033964">
        <w:t xml:space="preserve"> för att </w:t>
      </w:r>
      <w:r w:rsidR="00C45C1C">
        <w:t xml:space="preserve">hantera en sådan </w:t>
      </w:r>
      <w:r w:rsidR="00033964">
        <w:t>situation</w:t>
      </w:r>
      <w:r w:rsidR="00777623">
        <w:t xml:space="preserve"> och </w:t>
      </w:r>
      <w:r w:rsidR="00C45C1C">
        <w:t>därigenom</w:t>
      </w:r>
      <w:r w:rsidR="00777623">
        <w:t xml:space="preserve"> garantera invånarna den service de enligt lag har rätt till</w:t>
      </w:r>
      <w:r w:rsidR="00033964">
        <w:t xml:space="preserve">. </w:t>
      </w:r>
      <w:r w:rsidR="002113D4">
        <w:t xml:space="preserve">Syftet med processen ska vara </w:t>
      </w:r>
      <w:r w:rsidR="00777623">
        <w:t xml:space="preserve">att bistå kommunerna att analysera ekonomin och verksamhetsförutsättningarna samt </w:t>
      </w:r>
      <w:r w:rsidR="002113D4">
        <w:t xml:space="preserve">att </w:t>
      </w:r>
      <w:r w:rsidR="00777623">
        <w:t>tillsammans åstadkomma förbättringsförslag.</w:t>
      </w:r>
      <w:r w:rsidR="0016599C">
        <w:t xml:space="preserve"> </w:t>
      </w:r>
      <w:r w:rsidR="00777623">
        <w:t xml:space="preserve">Vid det fall att förbättringsförslagen inte ger önskad effekt </w:t>
      </w:r>
      <w:r w:rsidR="00C45C1C">
        <w:t>bör</w:t>
      </w:r>
      <w:r w:rsidR="00777623">
        <w:t xml:space="preserve"> </w:t>
      </w:r>
      <w:r w:rsidR="002113D4">
        <w:t>nästa steg i processen</w:t>
      </w:r>
      <w:r w:rsidR="0016599C">
        <w:t xml:space="preserve"> </w:t>
      </w:r>
      <w:r w:rsidR="002113D4">
        <w:t>utgöras</w:t>
      </w:r>
      <w:r w:rsidR="0016599C">
        <w:t xml:space="preserve"> av</w:t>
      </w:r>
      <w:r w:rsidR="00777623">
        <w:t xml:space="preserve"> en särskild kommunindelningsutredning enligt kommunstrukturlagen. </w:t>
      </w:r>
      <w:r w:rsidR="009A2CA2" w:rsidRPr="001D49A1">
        <w:t xml:space="preserve">Målsättningen ska </w:t>
      </w:r>
      <w:r w:rsidR="00542D2B" w:rsidRPr="001D49A1">
        <w:t>ändå</w:t>
      </w:r>
      <w:r w:rsidR="009A2CA2" w:rsidRPr="001D49A1">
        <w:t xml:space="preserve"> </w:t>
      </w:r>
      <w:r w:rsidR="001C7CC6" w:rsidRPr="001D49A1">
        <w:t>i första hand</w:t>
      </w:r>
      <w:r w:rsidR="009A2CA2" w:rsidRPr="001D49A1">
        <w:t xml:space="preserve"> vara att den enskilda kommunen om möjligt själv ska fortsätta ansvara för </w:t>
      </w:r>
      <w:r w:rsidR="00542D2B" w:rsidRPr="001D49A1">
        <w:t xml:space="preserve">den lagstadgade servicen till invånarna. En kommunindelningsutredning är en resurskrävande process, både för kommunerna och landskapet, och bör därför undvikas om inte de aktuella kommunerna själva har ambitionen att gå samman. Det kan dock uppstå situationer där det krävs att landskapsregeringen tar initiativet till en kommunindelningsutredning när en kommun har en synnerligen ansträngd ekonomi. </w:t>
      </w:r>
      <w:r w:rsidR="00777623" w:rsidRPr="001D49A1">
        <w:t xml:space="preserve">Som </w:t>
      </w:r>
      <w:r w:rsidR="0016599C" w:rsidRPr="001D49A1">
        <w:t xml:space="preserve">ett potentiellt sista steg </w:t>
      </w:r>
      <w:r w:rsidR="004E3574" w:rsidRPr="001D49A1">
        <w:t>bör</w:t>
      </w:r>
      <w:r w:rsidR="00777623" w:rsidRPr="001D49A1">
        <w:t xml:space="preserve"> </w:t>
      </w:r>
      <w:r w:rsidR="004E3574" w:rsidRPr="001D49A1">
        <w:t xml:space="preserve">landskapsregeringen </w:t>
      </w:r>
      <w:r w:rsidR="00F713E0" w:rsidRPr="001D49A1">
        <w:t xml:space="preserve">även </w:t>
      </w:r>
      <w:r w:rsidR="004E3574" w:rsidRPr="001D49A1">
        <w:t>ha</w:t>
      </w:r>
      <w:r w:rsidR="00777623" w:rsidRPr="001D49A1">
        <w:t xml:space="preserve"> möjlighet att fatta tvingande beslut om ändringar av kommunstrukturen. </w:t>
      </w:r>
      <w:r w:rsidR="001D709E" w:rsidRPr="001D49A1">
        <w:t xml:space="preserve">Utan en sådan möjlighet finns risken för att en kommun som inte kommer till rätta med sin ansträngda ekonomi hamnar i en situation där det ena utvärderingsförfarandet avlöser det andra. En sådan situation kan till exempel uppstå om kommunen inte kan komma överens med någon annan kommun om ett samgående. </w:t>
      </w:r>
      <w:r w:rsidR="00777623" w:rsidRPr="001D49A1">
        <w:t>Målsättningen med detta är att säkra en god och trygg serviceproduktion för alla Ålands invånare</w:t>
      </w:r>
      <w:r w:rsidR="00B46B28" w:rsidRPr="001D49A1">
        <w:t>. Det är således bara om det är den enda möjligheten att trygga invånarnas rätt till service som det ska vara möjligt att fatta beslut om att kommuner ska gå samman trots att fullmäktige i någon av kommunerna motsätter sig det.</w:t>
      </w:r>
    </w:p>
    <w:p w14:paraId="62D4DF63" w14:textId="397B3F99" w:rsidR="00033964" w:rsidRDefault="00C45C1C" w:rsidP="00033964">
      <w:pPr>
        <w:pStyle w:val="ANormal"/>
      </w:pPr>
      <w:r>
        <w:tab/>
        <w:t xml:space="preserve">Med hänvisning till den här avsedda lagstiftningens nära koppling till grundlagens bestämmelser om kommunal självstyrelse </w:t>
      </w:r>
      <w:r w:rsidR="002113D4">
        <w:t xml:space="preserve">och de </w:t>
      </w:r>
      <w:r>
        <w:t>medborgerliga rättigheter</w:t>
      </w:r>
      <w:r w:rsidR="002113D4">
        <w:t>na</w:t>
      </w:r>
      <w:r w:rsidR="00416858">
        <w:t xml:space="preserve"> har landskapsregeringen valt att utforma lagförslaget på ett sätt som på ett principiellt plan ligger nära motsvarande rikslagstiftning.</w:t>
      </w:r>
    </w:p>
    <w:p w14:paraId="45872C80" w14:textId="688AEE4C" w:rsidR="00D07ACF" w:rsidRDefault="00983545" w:rsidP="00033964">
      <w:pPr>
        <w:pStyle w:val="ANormal"/>
      </w:pPr>
      <w:r>
        <w:tab/>
      </w:r>
      <w:r w:rsidR="00B2700D" w:rsidRPr="000844AA">
        <w:t>D</w:t>
      </w:r>
      <w:r w:rsidRPr="000844AA">
        <w:t>en landskapslag om tillfälligt likviditetsstöd till kommuner</w:t>
      </w:r>
      <w:r w:rsidR="00B2700D" w:rsidRPr="000844AA">
        <w:t xml:space="preserve"> som nu tillämpas </w:t>
      </w:r>
      <w:r w:rsidRPr="000844AA">
        <w:t>är temporär och gäller fram till utgången av 2026.</w:t>
      </w:r>
      <w:r w:rsidR="008F492B" w:rsidRPr="000844AA">
        <w:t xml:space="preserve"> </w:t>
      </w:r>
      <w:r w:rsidR="000255C5" w:rsidRPr="000844AA">
        <w:t xml:space="preserve">Högst sannolikt kommer det dock att uppstå situationer där en kommun som är föremål för ett utvärderingsförfarande enligt den här föreslagna lagstiftningen kommer att ha behov av likviditetsstöd även efter 2026. </w:t>
      </w:r>
      <w:r w:rsidR="008F492B" w:rsidRPr="000844AA">
        <w:t xml:space="preserve">Landskapsregeringen kommer därför att </w:t>
      </w:r>
      <w:r w:rsidR="000255C5" w:rsidRPr="000844AA">
        <w:t xml:space="preserve">så snart som möjligt </w:t>
      </w:r>
      <w:r w:rsidR="008F492B" w:rsidRPr="000844AA">
        <w:t xml:space="preserve">lämna ett lagförslag </w:t>
      </w:r>
      <w:r w:rsidR="007B4383" w:rsidRPr="000844AA">
        <w:t xml:space="preserve">om </w:t>
      </w:r>
      <w:r w:rsidR="00F820FC" w:rsidRPr="000844AA">
        <w:t>tillfälligt</w:t>
      </w:r>
      <w:r w:rsidR="007B4383" w:rsidRPr="000844AA">
        <w:t xml:space="preserve"> likviditetsstöd till kommuner med synnerligen ansträngd ekonomi. </w:t>
      </w:r>
      <w:r w:rsidR="002E1686" w:rsidRPr="000844AA">
        <w:t>Avsikten är att stödet i stort ska motsvara det som nu tillämpas. Syftet med stödet är att det ska vara en sista utväg för att undvika en situation där kommunen under den tid utvärderingsförfarandet pågår inte kan trygga invånarnas rätt till lagstadgad service.</w:t>
      </w:r>
    </w:p>
    <w:p w14:paraId="0BA01376" w14:textId="77777777" w:rsidR="002E1686" w:rsidRDefault="002E1686" w:rsidP="00033964">
      <w:pPr>
        <w:pStyle w:val="ANormal"/>
      </w:pPr>
    </w:p>
    <w:p w14:paraId="2C279974" w14:textId="77777777" w:rsidR="009B24CA" w:rsidRDefault="009B24CA" w:rsidP="009B24CA">
      <w:pPr>
        <w:pStyle w:val="RubrikB"/>
      </w:pPr>
      <w:bookmarkStart w:id="29" w:name="_Toc72760296"/>
      <w:bookmarkStart w:id="30" w:name="_Toc194570788"/>
      <w:r>
        <w:lastRenderedPageBreak/>
        <w:t>5. Landskapsregeringens förslag</w:t>
      </w:r>
      <w:bookmarkEnd w:id="29"/>
      <w:bookmarkEnd w:id="30"/>
    </w:p>
    <w:p w14:paraId="0636D435" w14:textId="77777777" w:rsidR="009B24CA" w:rsidRDefault="009B24CA" w:rsidP="009B24CA">
      <w:pPr>
        <w:pStyle w:val="Rubrikmellanrum"/>
      </w:pPr>
    </w:p>
    <w:p w14:paraId="0077994C" w14:textId="1F0B940E" w:rsidR="009B24CA" w:rsidRDefault="00D063C0" w:rsidP="00D063C0">
      <w:pPr>
        <w:pStyle w:val="RubrikC"/>
      </w:pPr>
      <w:bookmarkStart w:id="31" w:name="_Toc194570789"/>
      <w:r>
        <w:t xml:space="preserve">5.1 </w:t>
      </w:r>
      <w:r w:rsidR="006B0625">
        <w:t>F</w:t>
      </w:r>
      <w:r w:rsidR="00FA0A69">
        <w:t>örslaget</w:t>
      </w:r>
      <w:r w:rsidR="006B0625">
        <w:t xml:space="preserve"> i korthet</w:t>
      </w:r>
      <w:bookmarkEnd w:id="31"/>
    </w:p>
    <w:p w14:paraId="49C30E81" w14:textId="5B1051D0" w:rsidR="00D063C0" w:rsidRDefault="00D063C0" w:rsidP="00D063C0">
      <w:pPr>
        <w:pStyle w:val="Rubrikmellanrum"/>
      </w:pPr>
    </w:p>
    <w:p w14:paraId="6F6C9811" w14:textId="0C48863A" w:rsidR="00D063C0" w:rsidRDefault="00D063C0" w:rsidP="004E0BCB">
      <w:pPr>
        <w:pStyle w:val="ANormal"/>
      </w:pPr>
      <w:r>
        <w:t>Med utgångspunkt i de</w:t>
      </w:r>
      <w:r w:rsidR="000D3EFB">
        <w:t>n</w:t>
      </w:r>
      <w:r>
        <w:t xml:space="preserve"> kommunala självstyre</w:t>
      </w:r>
      <w:r w:rsidR="000D3EFB">
        <w:t>lsen</w:t>
      </w:r>
      <w:r>
        <w:t xml:space="preserve"> är det i första hand kommunerna själva som fattar beslut om kommunala angelägenheter och styr sin ekonomi. Om en situation uppstår där en kommun har en </w:t>
      </w:r>
      <w:r w:rsidR="002113D4">
        <w:t xml:space="preserve">synnerligen </w:t>
      </w:r>
      <w:r>
        <w:t>ansträngd ekonomi syftar åtgärderna i förslaget till att kommunen bereds möjlighet att inom sina egna organ besluta om eventuella åtgärder för att kunna upprätthålla sin lagstadgade serviceproduktion.</w:t>
      </w:r>
    </w:p>
    <w:p w14:paraId="4EBF9217" w14:textId="6B87016B" w:rsidR="00D063C0" w:rsidRDefault="00D063C0" w:rsidP="004E0BCB">
      <w:pPr>
        <w:pStyle w:val="ANormal"/>
      </w:pPr>
      <w:r>
        <w:tab/>
        <w:t xml:space="preserve">Först i sista hand kan det bli </w:t>
      </w:r>
      <w:r w:rsidRPr="002113D4">
        <w:t>aktuellt</w:t>
      </w:r>
      <w:r>
        <w:t xml:space="preserve"> att </w:t>
      </w:r>
      <w:r w:rsidR="002113D4">
        <w:t>göra</w:t>
      </w:r>
      <w:r>
        <w:t xml:space="preserve"> förändringar i kommunstrukturen. För att detta faktiskt ska leda till förändring av förutsättningarna för kommunmedlemmarna är det ändamålsenligt att de nya kommunala enheter som uppstår inom ramen för detta regelverk syftar till bärkraftighet.</w:t>
      </w:r>
    </w:p>
    <w:p w14:paraId="3A000DAF" w14:textId="2CD50674" w:rsidR="00FA0A69" w:rsidRDefault="00FA0A69" w:rsidP="00797873">
      <w:pPr>
        <w:pStyle w:val="ANormal"/>
      </w:pPr>
      <w:r>
        <w:tab/>
        <w:t xml:space="preserve">Det föreslagna utvärderingsförfarandet initieras när ekonomin i en kommun uppfyller de i lagen angivna förutsättningarna. Detta sker på basen av </w:t>
      </w:r>
      <w:r w:rsidR="002113D4">
        <w:t xml:space="preserve">en </w:t>
      </w:r>
      <w:r>
        <w:t>årlig nyckeltalsuppföljning utifrån publicerade bokslutsuppgifter. Utvärderingsförfarandet syftar till att analysera kommunens ekonomi och verksamhetsförutsättningar samt att identifiera möjliga åtgärder som kan förändra utvecklingen i den kommunala ekonomin och därmed säkra möjligheten till fortsatt kommunal serviceproduktion över tid</w:t>
      </w:r>
      <w:r w:rsidRPr="00FA5F38">
        <w:t xml:space="preserve">. Under utvärderingsförfarandet </w:t>
      </w:r>
      <w:r w:rsidR="002113D4" w:rsidRPr="00FA5F38">
        <w:t>begränsas kommunens möjligheter att inleda nya större investeringar</w:t>
      </w:r>
      <w:r w:rsidR="002113D4" w:rsidRPr="000844AA">
        <w:t>.</w:t>
      </w:r>
      <w:r w:rsidR="00C748B5" w:rsidRPr="000844AA">
        <w:t xml:space="preserve"> Avsikten är också att kommunen under förfarandet ska kunna beviljas ett likviditetsstöd om det är nödvändigt för att trygga kommuninvånarnas rätt till service.</w:t>
      </w:r>
    </w:p>
    <w:p w14:paraId="5EF2485A" w14:textId="4A8FA028" w:rsidR="00FA0A69" w:rsidRDefault="008C649F" w:rsidP="004E0BCB">
      <w:pPr>
        <w:pStyle w:val="ANormal"/>
      </w:pPr>
      <w:r>
        <w:tab/>
      </w:r>
      <w:r w:rsidR="00FA0A69">
        <w:t>Utvärderings</w:t>
      </w:r>
      <w:r w:rsidR="002113D4">
        <w:t>förfarandet utmynnar i att en utvärderings</w:t>
      </w:r>
      <w:r w:rsidR="00FA0A69">
        <w:t>rapport tillställs</w:t>
      </w:r>
      <w:r w:rsidR="002113D4">
        <w:t xml:space="preserve"> kommunfullmäktige och</w:t>
      </w:r>
      <w:r w:rsidR="00FA0A69">
        <w:t xml:space="preserve"> landskapsregeringen.</w:t>
      </w:r>
      <w:r w:rsidR="002113D4">
        <w:t xml:space="preserve"> F</w:t>
      </w:r>
      <w:r w:rsidR="00FA0A69">
        <w:t>ullmäktige fattar beslut om genomföra</w:t>
      </w:r>
      <w:r w:rsidR="002113D4">
        <w:t>nde av de</w:t>
      </w:r>
      <w:r w:rsidR="00FA0A69">
        <w:t xml:space="preserve"> åtgärder</w:t>
      </w:r>
      <w:r w:rsidR="002113D4">
        <w:t xml:space="preserve"> som ingår i rapporten</w:t>
      </w:r>
      <w:r w:rsidR="00FA0A69">
        <w:t>. Beslut och genomfö</w:t>
      </w:r>
      <w:r w:rsidR="001816CE">
        <w:softHyphen/>
      </w:r>
      <w:r w:rsidR="00FA0A69">
        <w:t>rande av åtgärder</w:t>
      </w:r>
      <w:r w:rsidR="002113D4">
        <w:t>na</w:t>
      </w:r>
      <w:r w:rsidR="00FA0A69">
        <w:t xml:space="preserve"> rapporteras tillbaka till landskapsregeringen. </w:t>
      </w:r>
      <w:r w:rsidR="00FA0A69" w:rsidRPr="001722E9">
        <w:t>Kommunen ska inom viss tid visa att de vidtagna åtgärderna har haft avsedd effekt.</w:t>
      </w:r>
    </w:p>
    <w:p w14:paraId="0FCE9DDC" w14:textId="030007E2" w:rsidR="00FA0A69" w:rsidRDefault="00FA0A69" w:rsidP="004E0BCB">
      <w:pPr>
        <w:pStyle w:val="ANormal"/>
      </w:pPr>
      <w:r>
        <w:tab/>
        <w:t>I det fall åtgärderna inte haft avsedd effekt eller om bedömningen under utvärderingsförfarandet är att det saknas möjlighet att rädda kommunens ekonomi</w:t>
      </w:r>
      <w:r w:rsidR="00A76590">
        <w:t>,</w:t>
      </w:r>
      <w:r>
        <w:t xml:space="preserve"> kan landskapsregeringen fatta beslut om att inleda en särskild kommunindelningsutredning</w:t>
      </w:r>
      <w:r w:rsidR="00A76590">
        <w:t xml:space="preserve"> i enlighet med kommunstrukturlagen</w:t>
      </w:r>
      <w:r>
        <w:t>.</w:t>
      </w:r>
    </w:p>
    <w:p w14:paraId="048AA963" w14:textId="033AD7EE" w:rsidR="00FA0A69" w:rsidRDefault="00FA0A69" w:rsidP="004E0BCB">
      <w:pPr>
        <w:pStyle w:val="ANormal"/>
      </w:pPr>
      <w:r>
        <w:tab/>
        <w:t>Kommunindelningsutredningen kan leda till ändringar i kommunstrukturen</w:t>
      </w:r>
      <w:r w:rsidR="00A76590">
        <w:t>, genom</w:t>
      </w:r>
      <w:r>
        <w:t xml:space="preserve"> </w:t>
      </w:r>
      <w:r w:rsidR="00A76590">
        <w:t>att</w:t>
      </w:r>
      <w:r>
        <w:t xml:space="preserve"> en ny konstellation bestående av två eller flera tidigare kommuner bedöms bli en bärkraftig kommunal enhet. Ramar för hur en ny kommun sätts samman finns i kommunstrukturlagen</w:t>
      </w:r>
      <w:r w:rsidRPr="00AA47AB">
        <w:t xml:space="preserve">, </w:t>
      </w:r>
      <w:r w:rsidR="000146BD" w:rsidRPr="00AA47AB">
        <w:t>som också innehåller regler om</w:t>
      </w:r>
      <w:r>
        <w:t xml:space="preserve"> de stöd som utgår vid en kommunsamgång. En förändring av kommunstrukturen kan i detta skede även </w:t>
      </w:r>
      <w:r w:rsidR="006E6089">
        <w:t xml:space="preserve">under vissa förutsättningar </w:t>
      </w:r>
      <w:r>
        <w:t xml:space="preserve">ske </w:t>
      </w:r>
      <w:r w:rsidR="006E6089">
        <w:t>utan</w:t>
      </w:r>
      <w:r>
        <w:t xml:space="preserve"> berörda kommuners </w:t>
      </w:r>
      <w:r w:rsidR="006E6089">
        <w:t>godkännande</w:t>
      </w:r>
      <w:r>
        <w:t>.</w:t>
      </w:r>
    </w:p>
    <w:p w14:paraId="0F422E23" w14:textId="292BD5C3" w:rsidR="00D063C0" w:rsidRDefault="00D063C0" w:rsidP="00D063C0">
      <w:pPr>
        <w:pStyle w:val="ANormal"/>
      </w:pPr>
    </w:p>
    <w:p w14:paraId="11B4722F" w14:textId="1A3BB1AF" w:rsidR="00D063C0" w:rsidRDefault="00D063C0" w:rsidP="00D063C0">
      <w:pPr>
        <w:pStyle w:val="RubrikC"/>
      </w:pPr>
      <w:bookmarkStart w:id="32" w:name="_Toc194570790"/>
      <w:r>
        <w:t>5.</w:t>
      </w:r>
      <w:r w:rsidR="00AA6718">
        <w:t>2</w:t>
      </w:r>
      <w:r>
        <w:t xml:space="preserve"> </w:t>
      </w:r>
      <w:r w:rsidR="00EE2DC7">
        <w:t>Definitionen av</w:t>
      </w:r>
      <w:r>
        <w:t xml:space="preserve"> en synnerligen ansträngd ekonomi</w:t>
      </w:r>
      <w:bookmarkEnd w:id="32"/>
    </w:p>
    <w:p w14:paraId="42FB7B55" w14:textId="44B74C63" w:rsidR="00D063C0" w:rsidRDefault="00D063C0" w:rsidP="00D063C0">
      <w:pPr>
        <w:pStyle w:val="Rubrikmellanrum"/>
      </w:pPr>
    </w:p>
    <w:p w14:paraId="0BDD2F68" w14:textId="3F705404" w:rsidR="0065786A" w:rsidRPr="00D063C0" w:rsidRDefault="0065786A" w:rsidP="0065786A">
      <w:pPr>
        <w:pStyle w:val="ANormal"/>
      </w:pPr>
      <w:r>
        <w:t>Syftet med att skapa en tydlig definition av en synnerligen ansträngd ekonomi är också att bistå kommunerna i arbetet med den ekonomiska analysen samt att skapa en gemensam utgångspunkt när det gäller vad som kan anses vara en tillräcklig nivå på ekonomin. Vilken nivå på ekonomin som är tillräcklig för den enskilda kommunen är dock inte en okomplicerad fråga. Därför poängteras att den föreslagna definitionen inte i sig är en fullständig analys av en kommuns ekonomiska situation. I de fall där en mer heltäckande analys behöver göras för att få en djupgående bild över kommunens situation, sker det genom det föreslagna utvärderingsförfarandet.</w:t>
      </w:r>
    </w:p>
    <w:p w14:paraId="001C76A6" w14:textId="7FFD51D4" w:rsidR="001C59A8" w:rsidRDefault="0065786A" w:rsidP="001C59A8">
      <w:pPr>
        <w:pStyle w:val="ANormal"/>
      </w:pPr>
      <w:r>
        <w:tab/>
      </w:r>
      <w:r w:rsidR="00464929">
        <w:t xml:space="preserve">Landskapsregeringens målsättning är att </w:t>
      </w:r>
      <w:r w:rsidR="00EE2DC7">
        <w:t xml:space="preserve">kriterierna för att </w:t>
      </w:r>
      <w:r w:rsidR="00E6325A">
        <w:t>defini</w:t>
      </w:r>
      <w:r w:rsidR="00EE2DC7">
        <w:t>era när en ekonomi är</w:t>
      </w:r>
      <w:r w:rsidR="001C59A8">
        <w:t xml:space="preserve"> synnerligen ansträngd </w:t>
      </w:r>
      <w:r w:rsidR="00464929">
        <w:t>ska</w:t>
      </w:r>
      <w:r w:rsidR="001C59A8">
        <w:t xml:space="preserve"> vara så tydliga och enkla som möjligt. En utgångspunkt i formuleringen av </w:t>
      </w:r>
      <w:r w:rsidR="00E6325A">
        <w:t xml:space="preserve">kriterierna </w:t>
      </w:r>
      <w:r w:rsidR="001C59A8">
        <w:t xml:space="preserve">har varit att </w:t>
      </w:r>
      <w:r w:rsidR="00464929">
        <w:t>undvika att</w:t>
      </w:r>
      <w:r w:rsidR="001C59A8">
        <w:t xml:space="preserve"> inskränka den kommunala självstyrelsen, samtidigt som kommuninvånarnas rätt till service måste beaktas. Med den utgångspunkten skulle alltför hårda </w:t>
      </w:r>
      <w:r w:rsidR="001C59A8">
        <w:lastRenderedPageBreak/>
        <w:t xml:space="preserve">och komplicerade kriterier kunna ses som ett </w:t>
      </w:r>
      <w:r w:rsidR="0069671A">
        <w:t xml:space="preserve">för stort </w:t>
      </w:r>
      <w:r w:rsidR="001C59A8">
        <w:t xml:space="preserve">ingrepp i det kommunala självbestämmandet, medan alltför milda och begränsade kriterier å andra sidan inte </w:t>
      </w:r>
      <w:r w:rsidR="0069671A">
        <w:t xml:space="preserve">i tillräcklig grad </w:t>
      </w:r>
      <w:r w:rsidR="001C59A8">
        <w:t>ser till kommuninvånarens bästa.</w:t>
      </w:r>
      <w:r w:rsidR="00464929" w:rsidRPr="00464929">
        <w:t xml:space="preserve"> </w:t>
      </w:r>
      <w:r w:rsidR="00464929">
        <w:t xml:space="preserve">En annan premiss har varit att inte göra </w:t>
      </w:r>
      <w:r w:rsidR="0069671A">
        <w:t xml:space="preserve">själva </w:t>
      </w:r>
      <w:r w:rsidR="00464929">
        <w:t xml:space="preserve">förfarandet för komplicerat, trots att en kommuns ekonomi är </w:t>
      </w:r>
      <w:r w:rsidR="00E6325A">
        <w:t>så</w:t>
      </w:r>
      <w:r w:rsidR="00464929">
        <w:t xml:space="preserve"> komplex att ett visst antal parametrar ändå måste beaktas.</w:t>
      </w:r>
      <w:r w:rsidR="008B35FE">
        <w:t xml:space="preserve"> Slutligen har det också varit viktigt att </w:t>
      </w:r>
      <w:r w:rsidR="000D3EFB">
        <w:t>de u</w:t>
      </w:r>
      <w:r w:rsidR="008B35FE">
        <w:t xml:space="preserve">ppgifter som </w:t>
      </w:r>
      <w:r w:rsidR="000D3EFB">
        <w:t xml:space="preserve">utgör grund för </w:t>
      </w:r>
      <w:r w:rsidR="008B35FE">
        <w:t>kriterierna ska vara lättillgängliga.</w:t>
      </w:r>
    </w:p>
    <w:p w14:paraId="554D4D54" w14:textId="5465CDB0" w:rsidR="0035006E" w:rsidRDefault="008B35FE" w:rsidP="0035006E">
      <w:pPr>
        <w:pStyle w:val="ANormal"/>
      </w:pPr>
      <w:r>
        <w:tab/>
      </w:r>
      <w:r w:rsidR="0069671A">
        <w:t>Utifrån</w:t>
      </w:r>
      <w:r>
        <w:t xml:space="preserve"> dessa målsättningar föreslår landskapsregeringen att ekonomiska nyckeltal ska utgöra grund för bedömningen av en kommuns ekonomiska situation. </w:t>
      </w:r>
      <w:r w:rsidR="00327B29">
        <w:t xml:space="preserve">Landskapsregeringen gav </w:t>
      </w:r>
      <w:r w:rsidR="00DC1F01">
        <w:t xml:space="preserve">i början av 2020 </w:t>
      </w:r>
      <w:r w:rsidR="00327B29">
        <w:t>Ålands statistik- och utredningsbyrå (Å</w:t>
      </w:r>
      <w:r w:rsidR="00225F4C">
        <w:t>SUB</w:t>
      </w:r>
      <w:r w:rsidR="00327B29">
        <w:t xml:space="preserve">) i uppdrag att utreda olika parametrar som skulle kunna användas i detta sammanhang. </w:t>
      </w:r>
      <w:r w:rsidR="00DC1F01">
        <w:t>Med utgångspunkt i</w:t>
      </w:r>
      <w:r w:rsidR="00327B29">
        <w:t xml:space="preserve"> </w:t>
      </w:r>
      <w:r w:rsidR="00DC1F01">
        <w:t>Å</w:t>
      </w:r>
      <w:r w:rsidR="00225F4C">
        <w:t>SUB</w:t>
      </w:r>
      <w:r w:rsidR="00DC1F01">
        <w:t xml:space="preserve">s </w:t>
      </w:r>
      <w:r w:rsidR="000D3EFB">
        <w:t>pm</w:t>
      </w:r>
      <w:r w:rsidR="000D3EFB">
        <w:rPr>
          <w:rStyle w:val="Fotnotsreferens"/>
        </w:rPr>
        <w:footnoteReference w:id="7"/>
      </w:r>
      <w:r w:rsidR="00DC1F01">
        <w:t xml:space="preserve"> </w:t>
      </w:r>
      <w:r w:rsidR="00A50DAB">
        <w:t>föreslår landskapsregeringen att tre nyckeltal ska ligga till grund för definitionen av en synnerligen ansträngd ekonomi</w:t>
      </w:r>
      <w:r w:rsidR="0035006E">
        <w:t xml:space="preserve">. </w:t>
      </w:r>
      <w:r w:rsidR="0069671A">
        <w:t>De föreslagna nyckeltalen är sådana som framgår av kommunens bokslut.</w:t>
      </w:r>
      <w:r w:rsidR="0069671A" w:rsidRPr="00327B29">
        <w:t xml:space="preserve"> </w:t>
      </w:r>
      <w:r w:rsidR="0069671A" w:rsidRPr="00E77E9C">
        <w:t>Enligt förslaget</w:t>
      </w:r>
      <w:r w:rsidR="0035006E" w:rsidRPr="00E77E9C">
        <w:t xml:space="preserve"> ska ett </w:t>
      </w:r>
      <w:r w:rsidR="0069671A" w:rsidRPr="00E77E9C">
        <w:t xml:space="preserve">av nyckeltalen </w:t>
      </w:r>
      <w:r w:rsidR="0035006E" w:rsidRPr="00E77E9C">
        <w:t xml:space="preserve">utgöra ett enskilt kriterium medan de två andra </w:t>
      </w:r>
      <w:r w:rsidR="0029783E" w:rsidRPr="00E77E9C">
        <w:t xml:space="preserve">nyckeltalen tillsammans </w:t>
      </w:r>
      <w:r w:rsidR="0035006E" w:rsidRPr="00E77E9C">
        <w:t xml:space="preserve">ska beaktas </w:t>
      </w:r>
      <w:r w:rsidR="0029783E" w:rsidRPr="00E77E9C">
        <w:t>som ett kriterium</w:t>
      </w:r>
      <w:r w:rsidR="0035006E" w:rsidRPr="00E77E9C">
        <w:t xml:space="preserve">. </w:t>
      </w:r>
      <w:r w:rsidR="00A93206" w:rsidRPr="00E77E9C">
        <w:t>När det gäller nyckeltalen i det sistnämnda kriteriet används uppgifterna för kommunkoncernen i det fall att kommunen i fråga gör upp koncernbokslut.</w:t>
      </w:r>
      <w:r w:rsidR="00A93206">
        <w:t xml:space="preserve"> </w:t>
      </w:r>
      <w:r w:rsidR="0035006E">
        <w:t xml:space="preserve">Ekonomin definieras som synnerligen ansträngd om </w:t>
      </w:r>
      <w:r w:rsidR="008811DE">
        <w:t xml:space="preserve">minst </w:t>
      </w:r>
      <w:r w:rsidR="0029783E">
        <w:t>ett av kriterierna</w:t>
      </w:r>
      <w:r w:rsidR="0035006E">
        <w:t xml:space="preserve"> uppfylls.</w:t>
      </w:r>
      <w:r w:rsidR="008E6905">
        <w:t xml:space="preserve"> De nyckeltal som föreslås är följande:</w:t>
      </w:r>
    </w:p>
    <w:p w14:paraId="770D1665" w14:textId="77777777" w:rsidR="0065786A" w:rsidRDefault="0065786A" w:rsidP="0035006E">
      <w:pPr>
        <w:pStyle w:val="ANormal"/>
      </w:pPr>
    </w:p>
    <w:p w14:paraId="77B5A075" w14:textId="1E452EC7" w:rsidR="008E6905" w:rsidRDefault="008E6905" w:rsidP="008E6905">
      <w:pPr>
        <w:pStyle w:val="ANormal"/>
        <w:numPr>
          <w:ilvl w:val="0"/>
          <w:numId w:val="30"/>
        </w:numPr>
      </w:pPr>
      <w:r w:rsidRPr="008E6905">
        <w:t>Ackumulerat överskott/underskott i balansräkningen</w:t>
      </w:r>
      <w:r w:rsidR="00A93206">
        <w:t>, inklusive avskrivningsdifferenser och reserveringar</w:t>
      </w:r>
    </w:p>
    <w:p w14:paraId="0DFD3EA3" w14:textId="39CB9096" w:rsidR="008E6905" w:rsidRDefault="008E6905" w:rsidP="008E6905">
      <w:pPr>
        <w:pStyle w:val="ANormal"/>
        <w:numPr>
          <w:ilvl w:val="0"/>
          <w:numId w:val="30"/>
        </w:numPr>
      </w:pPr>
      <w:r w:rsidRPr="008E6905">
        <w:t>Årsbidrag i förhållande till avskrivningar i resultaträkningen</w:t>
      </w:r>
    </w:p>
    <w:p w14:paraId="5176A1E5" w14:textId="1875756F" w:rsidR="008E6905" w:rsidRDefault="008E6905" w:rsidP="008E6905">
      <w:pPr>
        <w:pStyle w:val="ANormal"/>
        <w:numPr>
          <w:ilvl w:val="0"/>
          <w:numId w:val="30"/>
        </w:numPr>
      </w:pPr>
      <w:r>
        <w:t>Soliditet</w:t>
      </w:r>
      <w:r w:rsidR="009207B6">
        <w:t>sgrad</w:t>
      </w:r>
    </w:p>
    <w:p w14:paraId="2CE3CF5B" w14:textId="77777777" w:rsidR="0065786A" w:rsidRDefault="0065786A" w:rsidP="004657CE">
      <w:pPr>
        <w:pStyle w:val="ANormal"/>
      </w:pPr>
    </w:p>
    <w:p w14:paraId="4E9366B4" w14:textId="3EEFB969" w:rsidR="004657CE" w:rsidRDefault="0065786A" w:rsidP="00797873">
      <w:pPr>
        <w:pStyle w:val="ANormal"/>
      </w:pPr>
      <w:r>
        <w:tab/>
      </w:r>
      <w:r w:rsidR="00B93B6F">
        <w:t xml:space="preserve">Nyckeltal 1 anger om kommunen har ett ackumulerat underskott eller inte. </w:t>
      </w:r>
      <w:r w:rsidR="008E6905" w:rsidRPr="00AA47AB">
        <w:t xml:space="preserve">Kriteriet för en synnerligen ansträngd ekonomi uppfylls om </w:t>
      </w:r>
      <w:r w:rsidR="00FD40AF" w:rsidRPr="00AA47AB">
        <w:t>det</w:t>
      </w:r>
      <w:r w:rsidR="00B93B6F" w:rsidRPr="00AA47AB">
        <w:t xml:space="preserve"> ackumulera</w:t>
      </w:r>
      <w:r w:rsidR="00FD40AF" w:rsidRPr="00AA47AB">
        <w:t>de</w:t>
      </w:r>
      <w:r w:rsidR="00B93B6F" w:rsidRPr="00AA47AB">
        <w:t xml:space="preserve"> underskott</w:t>
      </w:r>
      <w:r w:rsidR="00FD40AF" w:rsidRPr="00AA47AB">
        <w:t>et</w:t>
      </w:r>
      <w:r w:rsidR="00B93B6F" w:rsidRPr="00AA47AB">
        <w:t xml:space="preserve"> </w:t>
      </w:r>
      <w:r w:rsidR="00FD40AF" w:rsidRPr="00AA47AB">
        <w:t xml:space="preserve">kvarstår under </w:t>
      </w:r>
      <w:r w:rsidR="00244D24" w:rsidRPr="00AA47AB">
        <w:t>fem</w:t>
      </w:r>
      <w:r w:rsidR="00FD40AF" w:rsidRPr="00AA47AB">
        <w:t xml:space="preserve"> år i följd</w:t>
      </w:r>
      <w:r w:rsidR="00B93B6F" w:rsidRPr="00AA47AB">
        <w:t>.</w:t>
      </w:r>
      <w:r w:rsidR="00B93B6F">
        <w:t xml:space="preserve">  </w:t>
      </w:r>
      <w:r w:rsidR="004657CE">
        <w:t>O</w:t>
      </w:r>
      <w:r w:rsidR="00B93B6F">
        <w:t xml:space="preserve">m en kommun inte har ett ackumulerat överskott </w:t>
      </w:r>
      <w:r w:rsidR="004B504F">
        <w:t>kan</w:t>
      </w:r>
      <w:r w:rsidR="00B93B6F">
        <w:t xml:space="preserve"> det</w:t>
      </w:r>
      <w:r w:rsidR="004B504F">
        <w:t xml:space="preserve"> ses som</w:t>
      </w:r>
      <w:r w:rsidR="00B93B6F">
        <w:t xml:space="preserve"> ett tecken på att kommunens ekonomi inte räcker till för att sköta samhällsservicen. Ett ackumulerat underskott uppstår om kommunens resultat under en lång tid inte visat tillräckligt positivt, </w:t>
      </w:r>
      <w:r w:rsidR="004B504F">
        <w:t>vilket leder till</w:t>
      </w:r>
      <w:r w:rsidR="00B93B6F">
        <w:t xml:space="preserve"> att de negativa resultaten ackumuleras till ett underskott. Förenklat sett har kostnaderna för samhällsservicen och kommune</w:t>
      </w:r>
      <w:r w:rsidR="004657CE">
        <w:t>n</w:t>
      </w:r>
      <w:r w:rsidR="00B93B6F">
        <w:t xml:space="preserve">s åtaganden under en längre tid överstigit intäkterna. </w:t>
      </w:r>
      <w:r w:rsidR="004657CE">
        <w:t xml:space="preserve">Därför är det motiverat att detta nyckeltal utgör ett enskilt kriterium som visar att </w:t>
      </w:r>
      <w:r w:rsidR="0071027C">
        <w:t>ekonomin är</w:t>
      </w:r>
      <w:r w:rsidR="004657CE">
        <w:t xml:space="preserve"> synnerligen ansträngd</w:t>
      </w:r>
      <w:r w:rsidR="00D858F4">
        <w:t xml:space="preserve"> och </w:t>
      </w:r>
      <w:r w:rsidR="0071027C">
        <w:t xml:space="preserve">att kommunen </w:t>
      </w:r>
      <w:r w:rsidR="00D858F4">
        <w:t>därmed inte längre kan garantera servicen till kommuninvånarna.</w:t>
      </w:r>
    </w:p>
    <w:p w14:paraId="6359F379" w14:textId="5F204489" w:rsidR="00817D14" w:rsidRDefault="0065786A" w:rsidP="00797873">
      <w:pPr>
        <w:pStyle w:val="ANormal"/>
      </w:pPr>
      <w:r>
        <w:tab/>
      </w:r>
      <w:r w:rsidR="00B93B6F">
        <w:t>Nyckeltal 2 anger om kommunens årsbidrag täcker avskrivningarna</w:t>
      </w:r>
      <w:r w:rsidR="000A41C3">
        <w:t>,</w:t>
      </w:r>
      <w:r w:rsidR="00B93B6F">
        <w:t xml:space="preserve"> </w:t>
      </w:r>
      <w:r w:rsidR="000A41C3">
        <w:t>vilket</w:t>
      </w:r>
      <w:r w:rsidR="00817D14">
        <w:t xml:space="preserve"> i stort sett </w:t>
      </w:r>
      <w:r w:rsidR="000A41C3">
        <w:t xml:space="preserve">visar </w:t>
      </w:r>
      <w:r w:rsidR="00817D14">
        <w:t>kommunens resultat</w:t>
      </w:r>
      <w:r w:rsidR="00B93B6F">
        <w:t xml:space="preserve">. </w:t>
      </w:r>
      <w:r w:rsidR="00817D14" w:rsidRPr="009A3D59">
        <w:t xml:space="preserve">Kriteriet för en synnerligen ansträngd ekonomi uppfylls om nyckeltalet </w:t>
      </w:r>
      <w:r w:rsidR="000A41C3" w:rsidRPr="009A3D59">
        <w:t xml:space="preserve">i medeltal för de tre senaste åren </w:t>
      </w:r>
      <w:r w:rsidR="00817D14" w:rsidRPr="009A3D59">
        <w:t xml:space="preserve">visar under </w:t>
      </w:r>
      <w:r w:rsidR="00AA47AB" w:rsidRPr="009A3D59">
        <w:t>8</w:t>
      </w:r>
      <w:r w:rsidR="00817D14" w:rsidRPr="009A3D59">
        <w:t>0 procent</w:t>
      </w:r>
      <w:r w:rsidR="000A41C3" w:rsidRPr="009A3D59">
        <w:t>.</w:t>
      </w:r>
      <w:r w:rsidR="00817D14" w:rsidRPr="009A3D59">
        <w:t xml:space="preserve"> </w:t>
      </w:r>
      <w:r w:rsidR="00E43BFE" w:rsidRPr="009A3D59">
        <w:t>Det beskriver en situation där årsbidraget i resultaträkningen inte räcker till att täcka avskrivningarna och där det sannolikt uppkommer ett underskott för kommunen.</w:t>
      </w:r>
      <w:r w:rsidR="00817D14" w:rsidRPr="00817D14">
        <w:t xml:space="preserve"> </w:t>
      </w:r>
      <w:r w:rsidR="00817D14">
        <w:t xml:space="preserve">Eftersom årsbidraget i en kommun kan vara volatilt används </w:t>
      </w:r>
      <w:r w:rsidR="000A41C3">
        <w:t xml:space="preserve">inte nyckeltalet för ett enskilt år som kriterium, utan ett medeltal för </w:t>
      </w:r>
      <w:r w:rsidR="00817D14">
        <w:t xml:space="preserve">tre </w:t>
      </w:r>
      <w:r w:rsidR="000A41C3">
        <w:t>år</w:t>
      </w:r>
      <w:r w:rsidR="00817D14">
        <w:t>.</w:t>
      </w:r>
    </w:p>
    <w:p w14:paraId="53074F03" w14:textId="73F2171B" w:rsidR="00B93B6F" w:rsidRDefault="00ED27C4" w:rsidP="00B93B6F">
      <w:pPr>
        <w:pStyle w:val="ANormal"/>
      </w:pPr>
      <w:r>
        <w:tab/>
      </w:r>
      <w:r w:rsidR="00B93B6F">
        <w:t>Nyckeltal 3 anger kommunens långsiktiga betalningsförmåga</w:t>
      </w:r>
      <w:r w:rsidR="008E6905">
        <w:t>.</w:t>
      </w:r>
      <w:r w:rsidR="00B93B6F">
        <w:t xml:space="preserve"> </w:t>
      </w:r>
      <w:r w:rsidR="008E6905">
        <w:t>S</w:t>
      </w:r>
      <w:r w:rsidR="00B93B6F">
        <w:t>oliditet</w:t>
      </w:r>
      <w:r w:rsidR="009207B6">
        <w:t>sgrad</w:t>
      </w:r>
      <w:r w:rsidR="00B93B6F">
        <w:t xml:space="preserve">en </w:t>
      </w:r>
      <w:r w:rsidR="008E6905">
        <w:t>be</w:t>
      </w:r>
      <w:r w:rsidR="00B93B6F">
        <w:t xml:space="preserve">räknas </w:t>
      </w:r>
      <w:r w:rsidR="008E6905">
        <w:t>genom att dividera det</w:t>
      </w:r>
      <w:r w:rsidR="00B93B6F">
        <w:t xml:space="preserve"> egna kapitalet</w:t>
      </w:r>
      <w:r w:rsidR="008E6905">
        <w:t xml:space="preserve"> med </w:t>
      </w:r>
      <w:r w:rsidR="008E6905" w:rsidRPr="00ED27C4">
        <w:t xml:space="preserve">balansomslutningen, </w:t>
      </w:r>
      <w:r w:rsidRPr="00ED27C4">
        <w:t>vilken utgörs av</w:t>
      </w:r>
      <w:r w:rsidR="008E6905" w:rsidRPr="00ED27C4">
        <w:t xml:space="preserve"> summan av eget kapital och skulder</w:t>
      </w:r>
      <w:r w:rsidR="00B93B6F" w:rsidRPr="00ED27C4">
        <w:t>. P</w:t>
      </w:r>
      <w:r w:rsidR="00B93B6F">
        <w:t>å det viset bedöms också kommunens lånegrad. En tillräcklig soliditet</w:t>
      </w:r>
      <w:r w:rsidR="009207B6">
        <w:t>sgrad</w:t>
      </w:r>
      <w:r w:rsidR="00B93B6F">
        <w:t xml:space="preserve"> anses ligga över 50 procent, det vill säga </w:t>
      </w:r>
      <w:r>
        <w:t xml:space="preserve">att </w:t>
      </w:r>
      <w:r w:rsidR="00B93B6F">
        <w:t xml:space="preserve">det egna kapitalet ska utgöra minst 50 procent av </w:t>
      </w:r>
      <w:r w:rsidR="00B93B6F" w:rsidRPr="001722E9">
        <w:t>det totala kapitalet.</w:t>
      </w:r>
    </w:p>
    <w:p w14:paraId="2DF48A81" w14:textId="40876EBB" w:rsidR="0018522D" w:rsidRDefault="0018522D" w:rsidP="0018522D">
      <w:pPr>
        <w:pStyle w:val="ANormal"/>
      </w:pPr>
      <w:r>
        <w:lastRenderedPageBreak/>
        <w:tab/>
        <w:t xml:space="preserve">Nyckeltal 2 och 3 hör ihop. En kommun som har god soliditet och </w:t>
      </w:r>
      <w:r w:rsidR="00ED27C4">
        <w:t xml:space="preserve">ett </w:t>
      </w:r>
      <w:r>
        <w:t>årsbidrag</w:t>
      </w:r>
      <w:r w:rsidR="00ED27C4">
        <w:t xml:space="preserve"> som</w:t>
      </w:r>
      <w:r>
        <w:t xml:space="preserve"> täcker avskrivningar</w:t>
      </w:r>
      <w:r w:rsidR="00ED27C4">
        <w:t>na har en ekonomi som</w:t>
      </w:r>
      <w:r>
        <w:t xml:space="preserve"> är stark och livskraftig. Skulle årsbidragen några år minska kan kommunen åtgärda detta genom exempelvis ökade lån för att säkra sin likviditet. I ett skede där en kommun har</w:t>
      </w:r>
      <w:r w:rsidR="000C7BE8">
        <w:t xml:space="preserve"> varit tvungen att</w:t>
      </w:r>
      <w:r>
        <w:t xml:space="preserve"> låna så </w:t>
      </w:r>
      <w:r w:rsidR="000C7BE8">
        <w:t>mycket</w:t>
      </w:r>
      <w:r>
        <w:t xml:space="preserve"> att soliditet</w:t>
      </w:r>
      <w:r w:rsidR="009207B6">
        <w:t>sgrad</w:t>
      </w:r>
      <w:r>
        <w:t xml:space="preserve">en understiger 50 procent, </w:t>
      </w:r>
      <w:r w:rsidRPr="009A3D59">
        <w:t xml:space="preserve">samtidigt som årsbidraget </w:t>
      </w:r>
      <w:r w:rsidR="00D05AD0" w:rsidRPr="009A3D59">
        <w:t>inte täcker förslitningen på befintliga tillgångar eller räcker till för uppbyggnad av eget kassaflöde för framtida investeringar</w:t>
      </w:r>
      <w:r w:rsidRPr="009A3D59">
        <w:t>,</w:t>
      </w:r>
      <w:r>
        <w:t xml:space="preserve"> hotas dock kommunens </w:t>
      </w:r>
      <w:r w:rsidR="00DD4F08">
        <w:t>ekonomi</w:t>
      </w:r>
      <w:r>
        <w:t xml:space="preserve"> och </w:t>
      </w:r>
      <w:r w:rsidR="00DD4F08">
        <w:t>därmed också kapaciteten</w:t>
      </w:r>
      <w:r>
        <w:t xml:space="preserve"> att producera samhällsservice. Detta eftersom resultatet inte räcker till, samtidigt som </w:t>
      </w:r>
      <w:r w:rsidR="00DD4F08">
        <w:t>bedömningen är</w:t>
      </w:r>
      <w:r>
        <w:t xml:space="preserve"> att kommunen</w:t>
      </w:r>
      <w:r w:rsidR="00DD4F08">
        <w:t>s</w:t>
      </w:r>
      <w:r w:rsidR="00DD4F08" w:rsidRPr="00DD4F08">
        <w:t xml:space="preserve"> </w:t>
      </w:r>
      <w:r w:rsidR="00DD4F08">
        <w:t>lånegrad</w:t>
      </w:r>
      <w:r w:rsidR="00DD4F08" w:rsidRPr="00DD4F08">
        <w:t xml:space="preserve"> </w:t>
      </w:r>
      <w:r w:rsidR="00DD4F08">
        <w:t>är för hög</w:t>
      </w:r>
      <w:r>
        <w:t xml:space="preserve">. Kriteriet för en synnerligen ansträngd ekonomi uppfylls om de båda nyckeltalens gränsvärden underskrids två år i </w:t>
      </w:r>
      <w:r w:rsidR="00323CEB">
        <w:t>följd</w:t>
      </w:r>
      <w:r>
        <w:t>.</w:t>
      </w:r>
    </w:p>
    <w:p w14:paraId="66881A69" w14:textId="089DF6B1" w:rsidR="00E15FC0" w:rsidRDefault="00E15FC0" w:rsidP="0018522D">
      <w:pPr>
        <w:pStyle w:val="ANormal"/>
      </w:pPr>
      <w:r>
        <w:tab/>
      </w:r>
      <w:r w:rsidRPr="001D49A1">
        <w:t xml:space="preserve">Landskapsregeringen har valt att inte ange några mindre strikta gränsvärden för nyckeltalen motsvarande de så kallade varningslampor som finns i riket. Dessa skulle i så fall enbart vara riktgivande och inte leda till några </w:t>
      </w:r>
      <w:r w:rsidR="00AD6A2A" w:rsidRPr="001D49A1">
        <w:t>formella</w:t>
      </w:r>
      <w:r w:rsidRPr="001D49A1">
        <w:t xml:space="preserve"> åtgärder utan endast fungera som en indikation på att kommunens ekonomi riskerar att bli synnerligen ansträngd.</w:t>
      </w:r>
      <w:r w:rsidR="00AD6A2A" w:rsidRPr="001D49A1">
        <w:t xml:space="preserve"> I det läget är kommunen med all säkerhet redan medveten om sin ekonomiska situation och vidtar de åtgärder som är nödvändiga. Det finns inget som hindrar att kommunerna själva sätter upp mindre strikta gränsvärden och bestämmer hur </w:t>
      </w:r>
      <w:r w:rsidR="00E40E2D" w:rsidRPr="001D49A1">
        <w:t xml:space="preserve">den egna </w:t>
      </w:r>
      <w:r w:rsidR="00AD6A2A" w:rsidRPr="001D49A1">
        <w:t>ekonomin ska hanteras när de underskrids.</w:t>
      </w:r>
    </w:p>
    <w:p w14:paraId="2A8CE244" w14:textId="5E4FB35C" w:rsidR="00B90324" w:rsidRDefault="00B90324" w:rsidP="00B90324">
      <w:pPr>
        <w:pStyle w:val="ANormal"/>
      </w:pPr>
    </w:p>
    <w:p w14:paraId="32A0CC34" w14:textId="7F1C3CD2" w:rsidR="00B613B9" w:rsidRDefault="00B613B9" w:rsidP="00B613B9">
      <w:pPr>
        <w:pStyle w:val="RubrikC"/>
      </w:pPr>
      <w:bookmarkStart w:id="34" w:name="_Toc194570791"/>
      <w:r>
        <w:t>5.</w:t>
      </w:r>
      <w:r w:rsidR="00E96413">
        <w:t>3</w:t>
      </w:r>
      <w:r>
        <w:t xml:space="preserve"> Utvärderingsförfarande</w:t>
      </w:r>
      <w:bookmarkEnd w:id="34"/>
    </w:p>
    <w:p w14:paraId="5B6546C8" w14:textId="57594C2F" w:rsidR="00B613B9" w:rsidRDefault="00B613B9" w:rsidP="00B613B9">
      <w:pPr>
        <w:pStyle w:val="Rubrikmellanrum"/>
      </w:pPr>
    </w:p>
    <w:p w14:paraId="625C0479" w14:textId="72631C0A" w:rsidR="00515BEE" w:rsidRDefault="00B613B9" w:rsidP="00515BEE">
      <w:pPr>
        <w:pStyle w:val="ANormal"/>
      </w:pPr>
      <w:r>
        <w:t>E</w:t>
      </w:r>
      <w:r w:rsidR="00A915F3">
        <w:t xml:space="preserve">nligt förslaget </w:t>
      </w:r>
      <w:r w:rsidR="00720B33">
        <w:t>inleds</w:t>
      </w:r>
      <w:r w:rsidR="00A915F3">
        <w:t xml:space="preserve"> e</w:t>
      </w:r>
      <w:r>
        <w:t xml:space="preserve">tt utvärderingsförfarande </w:t>
      </w:r>
      <w:r w:rsidR="00515BEE">
        <w:t>när en</w:t>
      </w:r>
      <w:r>
        <w:t xml:space="preserve"> kommun uppfyller </w:t>
      </w:r>
      <w:r w:rsidR="00A12303">
        <w:t xml:space="preserve">minst ett av </w:t>
      </w:r>
      <w:r>
        <w:t xml:space="preserve">de </w:t>
      </w:r>
      <w:r w:rsidR="00A12303">
        <w:t xml:space="preserve">två </w:t>
      </w:r>
      <w:r>
        <w:t xml:space="preserve">kriterier som anges i lagen. </w:t>
      </w:r>
      <w:r w:rsidR="00515BEE">
        <w:t xml:space="preserve">Kommunen och landskapsregeringen </w:t>
      </w:r>
      <w:r w:rsidR="00432652">
        <w:t xml:space="preserve">ska </w:t>
      </w:r>
      <w:r w:rsidR="00515BEE">
        <w:t xml:space="preserve">tillsammans </w:t>
      </w:r>
      <w:r w:rsidR="00432652">
        <w:t xml:space="preserve">utreda </w:t>
      </w:r>
      <w:r w:rsidR="00515BEE">
        <w:t>vilka möjligheter kommunen har att tillgodose de tjänster som lagstiftningen kräver och</w:t>
      </w:r>
      <w:r w:rsidR="00432652">
        <w:t xml:space="preserve"> att</w:t>
      </w:r>
      <w:r w:rsidR="00515BEE">
        <w:t xml:space="preserve"> agera för att trygga förutsättningarna för fortsatt serviceproduktion.</w:t>
      </w:r>
    </w:p>
    <w:p w14:paraId="352FAF98" w14:textId="296D50C2" w:rsidR="00783E5A" w:rsidRDefault="00783E5A" w:rsidP="00783E5A">
      <w:pPr>
        <w:pStyle w:val="ANormal"/>
      </w:pPr>
      <w:r>
        <w:tab/>
      </w:r>
      <w:r w:rsidR="00432652">
        <w:t>B</w:t>
      </w:r>
      <w:r>
        <w:t xml:space="preserve">eslutet om att ett utvärderingsförfarande </w:t>
      </w:r>
      <w:r w:rsidR="00432652">
        <w:t xml:space="preserve">ska inledas </w:t>
      </w:r>
      <w:r>
        <w:t>kommer inte att vara frågan om någon prövning från landskapsregeringens sida, utan förfarandet är en direkt följd av bestämmelserna i lagen och av de uppgifter som ingår i kommunens eller kommunkoncernens bokslut. I vissa fall kan det tänkas att kommunens ekonomiska situation har uppkommit genom att tillfälliga omständigheter har gjort att kriterierna i lagen uppfylls. Även i dessa fall inleds alltså ett utvärderingsförfarande, ett förfarande som då sannolikt kommer att visa att de ekonomiska problemen är av övergående art samt att inga eller ett fåtal åtgärder behöver vidtas. Därvid stannar processen.</w:t>
      </w:r>
    </w:p>
    <w:p w14:paraId="1E6D33BE" w14:textId="6C1632CA" w:rsidR="00465119" w:rsidRDefault="00751DA7" w:rsidP="00751DA7">
      <w:pPr>
        <w:pStyle w:val="ANormal"/>
      </w:pPr>
      <w:r>
        <w:tab/>
      </w:r>
      <w:r w:rsidR="00B613B9">
        <w:t>Utvärderingen görs av en utvärderingsgrupp där en av medlemmarna utses av landskapsregeringen och en av kommunen. Efter att ha hört kommunen utser landskapsregeringen en oberoende person till ordförande</w:t>
      </w:r>
      <w:r w:rsidR="00B613B9" w:rsidRPr="00A033C8">
        <w:t xml:space="preserve">. </w:t>
      </w:r>
      <w:bookmarkStart w:id="35" w:name="_Hlk85703094"/>
      <w:r w:rsidR="00A17586" w:rsidRPr="00A033C8">
        <w:t xml:space="preserve">Landskapsregeringen ansvarar </w:t>
      </w:r>
      <w:r w:rsidR="00E72F82" w:rsidRPr="00A033C8">
        <w:t xml:space="preserve">också </w:t>
      </w:r>
      <w:r w:rsidR="00A17586" w:rsidRPr="00A033C8">
        <w:t xml:space="preserve">för att det finns en modell för utvärderingen </w:t>
      </w:r>
      <w:r w:rsidR="00CD485E" w:rsidRPr="00A033C8">
        <w:t xml:space="preserve">medan </w:t>
      </w:r>
      <w:r w:rsidR="00AF63DC" w:rsidRPr="00A033C8">
        <w:t xml:space="preserve">kommunens roll är att producera de uppgifter som behövs för att genomföra analysen av ekonomin samt komma fram till möjliga lösningar på den uppkomna situationen. </w:t>
      </w:r>
      <w:r w:rsidR="00B76008" w:rsidRPr="00A033C8">
        <w:t>Utvärderingsförfarandet kommer således</w:t>
      </w:r>
      <w:r w:rsidR="00AF63DC" w:rsidRPr="00A033C8">
        <w:t xml:space="preserve"> att kräva mer av kommunens resurser än enbart representanten i utvärderingsgruppen. Utvärderingsgruppens roll är främst att sammanställa </w:t>
      </w:r>
      <w:r w:rsidR="00B76008" w:rsidRPr="00A033C8">
        <w:t xml:space="preserve">den ekonomiska </w:t>
      </w:r>
      <w:r w:rsidR="00AF63DC" w:rsidRPr="00A033C8">
        <w:t xml:space="preserve">analysen </w:t>
      </w:r>
      <w:r w:rsidR="00B76008" w:rsidRPr="00A033C8">
        <w:t xml:space="preserve">samt formulera de åtgärdsförslag som den utmynnar i </w:t>
      </w:r>
      <w:r w:rsidR="00AF63DC" w:rsidRPr="00A033C8">
        <w:t>till en rapport.</w:t>
      </w:r>
      <w:r w:rsidR="00E72F82">
        <w:t xml:space="preserve"> Hela </w:t>
      </w:r>
      <w:r w:rsidR="00E72F82" w:rsidRPr="00A9196A">
        <w:t xml:space="preserve">utvärderingsförfarandet kan komma att pågå under en period på </w:t>
      </w:r>
      <w:r w:rsidR="006E2C35">
        <w:t>drygt</w:t>
      </w:r>
      <w:r w:rsidR="00E72F82" w:rsidRPr="00A9196A">
        <w:t xml:space="preserve"> ett år beroende på utvärderingens komplexitet.</w:t>
      </w:r>
    </w:p>
    <w:p w14:paraId="6A5470CC" w14:textId="750E02D8" w:rsidR="00751DA7" w:rsidRDefault="00751DA7" w:rsidP="00751DA7">
      <w:pPr>
        <w:pStyle w:val="ANormal"/>
      </w:pPr>
      <w:r>
        <w:tab/>
        <w:t xml:space="preserve">Under den tid utvärderingsförfarandet pågår </w:t>
      </w:r>
      <w:r w:rsidR="002225BC">
        <w:t xml:space="preserve">begränsas </w:t>
      </w:r>
      <w:r>
        <w:t>kommunen</w:t>
      </w:r>
      <w:r w:rsidR="002225BC">
        <w:t>s möjligheter att</w:t>
      </w:r>
      <w:r>
        <w:t xml:space="preserve"> fatta beslut om större investeringar</w:t>
      </w:r>
      <w:r w:rsidR="00B91806">
        <w:t xml:space="preserve"> i byggnader</w:t>
      </w:r>
      <w:r>
        <w:t xml:space="preserve">. </w:t>
      </w:r>
      <w:r w:rsidR="00B91806">
        <w:t xml:space="preserve">Förslaget motiveras av att det inte bör vara möjligt för en kommun med synnerligen ansträngd ekonomi att inleda investeringar med avseende på en framtida eventuell samgång med andra kommuner. Om det senare sker en ändring av kommunindelningen kan det visa sig att placeringen av till exempel en ny skola eller ett nytt äldreboende är oändamålsenlig för den nya kommunen. </w:t>
      </w:r>
      <w:r w:rsidR="00C65086">
        <w:t xml:space="preserve">En </w:t>
      </w:r>
      <w:r w:rsidR="00C65086">
        <w:lastRenderedPageBreak/>
        <w:t>begränsning av kommunens investeringar under förfarandet underlättar också för utvärderingsgruppen att göra en korrekt analys av kommunens ekonomi. Begränsningen</w:t>
      </w:r>
      <w:r>
        <w:t xml:space="preserve"> ska enbart gälla investeringar</w:t>
      </w:r>
      <w:r w:rsidR="002225BC">
        <w:t xml:space="preserve"> som förutsätter att kommunen ökar sin </w:t>
      </w:r>
      <w:r w:rsidR="002225BC" w:rsidRPr="00656186">
        <w:t>lånebörda</w:t>
      </w:r>
      <w:r w:rsidR="002225BC">
        <w:t xml:space="preserve">. Investeringar som avses är </w:t>
      </w:r>
      <w:r w:rsidRPr="002225BC">
        <w:t>exempelvis byggande eller köp av anläggningar</w:t>
      </w:r>
      <w:r>
        <w:t xml:space="preserve">. </w:t>
      </w:r>
      <w:r w:rsidR="002225BC">
        <w:t>Däremot omfattas i</w:t>
      </w:r>
      <w:r>
        <w:t xml:space="preserve">nvesteringar som </w:t>
      </w:r>
      <w:r w:rsidR="005F5346">
        <w:t xml:space="preserve">bland annat </w:t>
      </w:r>
      <w:r>
        <w:t xml:space="preserve">hänför sig till årligt underhåll av byggnader inte av begränsningen. Enligt förslaget </w:t>
      </w:r>
      <w:r w:rsidR="002225BC">
        <w:t>ska</w:t>
      </w:r>
      <w:r>
        <w:t xml:space="preserve"> </w:t>
      </w:r>
      <w:r w:rsidR="00A96ED9">
        <w:t>landskapsregeringen</w:t>
      </w:r>
      <w:r>
        <w:t xml:space="preserve"> också </w:t>
      </w:r>
      <w:r w:rsidR="002225BC">
        <w:t xml:space="preserve">kunna </w:t>
      </w:r>
      <w:r w:rsidR="00A96ED9">
        <w:t>bevilja</w:t>
      </w:r>
      <w:r>
        <w:t xml:space="preserve"> dispens när det gäller investeringar som är nödvändiga för att </w:t>
      </w:r>
      <w:r w:rsidR="00A96ED9">
        <w:t>upprätthålla den</w:t>
      </w:r>
      <w:r>
        <w:t xml:space="preserve"> lagstadgad</w:t>
      </w:r>
      <w:r w:rsidR="00A96ED9">
        <w:t>e</w:t>
      </w:r>
      <w:r>
        <w:t xml:space="preserve"> service</w:t>
      </w:r>
      <w:r w:rsidR="00A96ED9">
        <w:t>n</w:t>
      </w:r>
      <w:r>
        <w:t xml:space="preserve"> för invånarna.</w:t>
      </w:r>
    </w:p>
    <w:p w14:paraId="63C4B66C" w14:textId="6C8CBEDA" w:rsidR="00A96ED9" w:rsidRDefault="00A96ED9" w:rsidP="00A96ED9">
      <w:pPr>
        <w:pStyle w:val="ANormal"/>
      </w:pPr>
      <w:r>
        <w:tab/>
        <w:t>Utvärderingsgruppens arbete utmynnar i ett förslag med åtgärder som kommunen behöver vidta för att garantera servicen till kommuninvånarna</w:t>
      </w:r>
      <w:r w:rsidR="00A617E1">
        <w:t xml:space="preserve"> </w:t>
      </w:r>
      <w:r w:rsidR="00A617E1" w:rsidRPr="00E77E9C">
        <w:t xml:space="preserve">och en bedömning av </w:t>
      </w:r>
      <w:r w:rsidR="001B79E9" w:rsidRPr="00E77E9C">
        <w:t>hur lång tid som behövs</w:t>
      </w:r>
      <w:r w:rsidR="00A617E1" w:rsidRPr="00E77E9C">
        <w:t xml:space="preserve"> för </w:t>
      </w:r>
      <w:r w:rsidR="007C4DC3" w:rsidRPr="00E77E9C">
        <w:t>att genomföra</w:t>
      </w:r>
      <w:r w:rsidR="001B79E9" w:rsidRPr="00E77E9C">
        <w:t xml:space="preserve"> </w:t>
      </w:r>
      <w:r w:rsidR="00A617E1" w:rsidRPr="00E77E9C">
        <w:t>åtgärderna</w:t>
      </w:r>
      <w:r w:rsidRPr="00E77E9C">
        <w:t>.</w:t>
      </w:r>
      <w:r w:rsidR="00F15B75" w:rsidRPr="00F15B75">
        <w:t xml:space="preserve"> </w:t>
      </w:r>
      <w:r w:rsidR="00F15B75">
        <w:t xml:space="preserve">Fullmäktige behandlar därefter </w:t>
      </w:r>
      <w:r w:rsidR="002225BC">
        <w:t>åtgärds</w:t>
      </w:r>
      <w:r w:rsidR="00F15B75">
        <w:t>förslag</w:t>
      </w:r>
      <w:r w:rsidR="002225BC">
        <w:t>et</w:t>
      </w:r>
      <w:r w:rsidR="00F15B75">
        <w:t xml:space="preserve"> och delger landskapsregeringen </w:t>
      </w:r>
      <w:r w:rsidR="00A12303">
        <w:t>de</w:t>
      </w:r>
      <w:r w:rsidR="00F15B75">
        <w:t xml:space="preserve"> beslut som fattas och eventuella fortsatta åtgärder. Det är dock rimligt att anta att kommunen i många fall redan </w:t>
      </w:r>
      <w:r w:rsidR="00A12303">
        <w:t>före</w:t>
      </w:r>
      <w:r w:rsidR="00F15B75">
        <w:t xml:space="preserve"> utvärderingsförfarandet har vidtagit de åtgärder som har varit möjliga för att upprätthålla servicen</w:t>
      </w:r>
      <w:r w:rsidR="00720B33">
        <w:t>.</w:t>
      </w:r>
    </w:p>
    <w:bookmarkEnd w:id="35"/>
    <w:p w14:paraId="5809D9F9" w14:textId="45AECCFC" w:rsidR="00432652" w:rsidRDefault="00720B33" w:rsidP="00B613B9">
      <w:pPr>
        <w:pStyle w:val="ANormal"/>
      </w:pPr>
      <w:r>
        <w:tab/>
      </w:r>
      <w:r w:rsidR="00B613B9">
        <w:t xml:space="preserve">Utgående från </w:t>
      </w:r>
      <w:r>
        <w:t>utvärderings</w:t>
      </w:r>
      <w:r w:rsidR="00B613B9">
        <w:t>gruppens åtgärdsförslag och fullmäktiges efterföljande beslut avgör landskapsregeringen om en ändring av kommunindelningen bör komma i fråga, varvid en särskild kommunindelningsutredning som avses i kommunstrukturlagen aktualiseras.</w:t>
      </w:r>
      <w:r w:rsidR="00432652">
        <w:t xml:space="preserve"> Till skillnad från beslutet om inledande av utvärderingsförfarandet fattar landskapsregeringen beslut om </w:t>
      </w:r>
      <w:r w:rsidR="00731AB7">
        <w:t>behovet av</w:t>
      </w:r>
      <w:r w:rsidR="00432652">
        <w:t xml:space="preserve"> en särskild kommunindelningsutredning baserat på en prövning av det enskilda fallet.</w:t>
      </w:r>
    </w:p>
    <w:p w14:paraId="2A72C3F8" w14:textId="0FD4CF2C" w:rsidR="00751DA7" w:rsidRDefault="00751DA7" w:rsidP="009B24CA">
      <w:pPr>
        <w:pStyle w:val="ANormal"/>
      </w:pPr>
    </w:p>
    <w:p w14:paraId="4EA7D53F" w14:textId="7956319B" w:rsidR="00B613B9" w:rsidRDefault="00B613B9" w:rsidP="00B613B9">
      <w:pPr>
        <w:pStyle w:val="RubrikC"/>
      </w:pPr>
      <w:bookmarkStart w:id="36" w:name="_Toc194570792"/>
      <w:r>
        <w:t>5.</w:t>
      </w:r>
      <w:r w:rsidR="00295002">
        <w:t>4</w:t>
      </w:r>
      <w:r>
        <w:t xml:space="preserve"> Ändring av kommunindelningen</w:t>
      </w:r>
      <w:bookmarkEnd w:id="36"/>
    </w:p>
    <w:p w14:paraId="5046144D" w14:textId="2B85AE08" w:rsidR="00B613B9" w:rsidRDefault="00B613B9" w:rsidP="00B613B9">
      <w:pPr>
        <w:pStyle w:val="Rubrikmellanrum"/>
      </w:pPr>
    </w:p>
    <w:p w14:paraId="343CCA45" w14:textId="61BFF652" w:rsidR="00295002" w:rsidRDefault="00B90859" w:rsidP="00B613B9">
      <w:pPr>
        <w:pStyle w:val="ANormal"/>
      </w:pPr>
      <w:r>
        <w:t>I kommunstrukturlagens 4</w:t>
      </w:r>
      <w:r w:rsidR="004B746A">
        <w:t> kap.</w:t>
      </w:r>
      <w:r w:rsidRPr="00B90859">
        <w:t xml:space="preserve"> </w:t>
      </w:r>
      <w:r>
        <w:t>finns b</w:t>
      </w:r>
      <w:r w:rsidR="00B613B9">
        <w:t>estämmelser om särskilda kommunindelningsutredningar</w:t>
      </w:r>
      <w:r>
        <w:t xml:space="preserve">. En sådan utredning kan under vissa angivna förutsättningar initieras av landskapsregeringen, en enskild kommun eller av 20 procent av de röstberättigade invånarna i en kommun. </w:t>
      </w:r>
      <w:r w:rsidR="007F3EEE">
        <w:t xml:space="preserve">De förutsättningar som anges är om ett ärendes omfattning, svårighetsgrad eller någon annan väsentlig orsak motiverar det. Det är således redan enligt gällande lag </w:t>
      </w:r>
      <w:r w:rsidR="00211E21">
        <w:t xml:space="preserve">möjligt </w:t>
      </w:r>
      <w:r w:rsidR="007F3EEE">
        <w:t>att inleda en särskild kommunindelningsutredning i ett fall där kommunen har sådana ekonomiska svårigheter att den lagstadgade servicen inte längre kan garanteras.</w:t>
      </w:r>
      <w:r w:rsidR="00211E21">
        <w:t xml:space="preserve"> Landskapsregeringen föreslår att även </w:t>
      </w:r>
      <w:r w:rsidR="004336EB">
        <w:t xml:space="preserve">den </w:t>
      </w:r>
      <w:r w:rsidR="00211E21">
        <w:t xml:space="preserve">utvärderingsgrupp </w:t>
      </w:r>
      <w:r w:rsidR="004336EB">
        <w:t xml:space="preserve">som avses i den föreslagna landskapslagen </w:t>
      </w:r>
      <w:r w:rsidR="0052731E">
        <w:t>om ett utvärderingsförfarande för</w:t>
      </w:r>
      <w:r w:rsidR="004336EB">
        <w:t xml:space="preserve"> kommuner med synnerligen ansträngd ekonomi ska kunna initiera en särskild kommunindelningsutredning. </w:t>
      </w:r>
      <w:r w:rsidR="004336EB" w:rsidRPr="00800EA6">
        <w:t xml:space="preserve">Det är dock alltid landskapsregeringen som fattar beslutet om </w:t>
      </w:r>
      <w:r w:rsidR="008811DE">
        <w:t xml:space="preserve">att </w:t>
      </w:r>
      <w:r w:rsidR="004336EB" w:rsidRPr="00800EA6">
        <w:t>en sådan utredning ska inledas</w:t>
      </w:r>
      <w:r w:rsidR="004336EB">
        <w:t>.</w:t>
      </w:r>
    </w:p>
    <w:p w14:paraId="53FB832D" w14:textId="1C598B72" w:rsidR="00ED49FD" w:rsidRDefault="00ED49FD" w:rsidP="00B613B9">
      <w:pPr>
        <w:pStyle w:val="ANormal"/>
      </w:pPr>
      <w:r>
        <w:tab/>
      </w:r>
      <w:r w:rsidR="00B613B9">
        <w:t xml:space="preserve">När landskapsregeringen har fattat beslut om att en </w:t>
      </w:r>
      <w:r>
        <w:t>särskild kommunindelnings</w:t>
      </w:r>
      <w:r w:rsidR="00B613B9">
        <w:t xml:space="preserve">utredning ska utföras har alla kommuner en skyldighet att medverka i utredningen. Om kommunindelningsutredaren utgående från utredningen anser att det är nödvändigt att ändra kommunindelningen ska utredaren lägga fram ett förslag till kommunsammanslagning samt till avtal om kommunsammanslagning för fullmäktige i de </w:t>
      </w:r>
      <w:r w:rsidR="00800EA6">
        <w:t xml:space="preserve">berörda </w:t>
      </w:r>
      <w:r w:rsidR="00B613B9">
        <w:t>kommuner</w:t>
      </w:r>
      <w:r w:rsidR="00800EA6">
        <w:t>na</w:t>
      </w:r>
      <w:r w:rsidR="00B613B9">
        <w:t>. Det kan handla om sammanslagning av den kommun som har en synnerligen ansträngd ekonomi med en redan befintlig kommun. Det kan också handla om delning av området för den kommun som har en synnerligen ansträngd ekonomi mellan två eller flera befintliga kommuner</w:t>
      </w:r>
      <w:r w:rsidR="00800EA6">
        <w:t>,</w:t>
      </w:r>
      <w:r w:rsidR="00B613B9">
        <w:t xml:space="preserve"> eller att en del av kommunen överförs till en annan kommun. Det kan också bli fråga om att fler än två kommuner slås samman.</w:t>
      </w:r>
    </w:p>
    <w:p w14:paraId="369141F3" w14:textId="32475E38" w:rsidR="00ED49FD" w:rsidRDefault="00B613B9" w:rsidP="00B613B9">
      <w:pPr>
        <w:pStyle w:val="ANormal"/>
      </w:pPr>
      <w:r>
        <w:tab/>
        <w:t>Om fullmäktige i de berörda kommunerna godkänner utredarens förslag gör kommunerna en gemensam framställning till landskapsregeringen om en ändring i kommunindelningen i enlighet med utredarens förslag. Landskapsregeringen kan därefter fatta beslut om ändringen förutsatt att den inte uppenbarligen strid</w:t>
      </w:r>
      <w:r w:rsidR="00ED49FD">
        <w:t>er</w:t>
      </w:r>
      <w:r>
        <w:t xml:space="preserve"> mot förutsättningarna för en ändring </w:t>
      </w:r>
      <w:r w:rsidR="00ED49FD">
        <w:t>enligt</w:t>
      </w:r>
      <w:r>
        <w:t xml:space="preserve"> kommunstrukturlagen.</w:t>
      </w:r>
    </w:p>
    <w:p w14:paraId="42723D80" w14:textId="352B7F72" w:rsidR="00B613B9" w:rsidRDefault="00ED49FD" w:rsidP="00B613B9">
      <w:pPr>
        <w:pStyle w:val="ANormal"/>
      </w:pPr>
      <w:r>
        <w:lastRenderedPageBreak/>
        <w:tab/>
      </w:r>
      <w:r w:rsidR="00B613B9">
        <w:t xml:space="preserve">Om fullmäktige </w:t>
      </w:r>
      <w:r>
        <w:t xml:space="preserve">i någon av de berörda kommunerna </w:t>
      </w:r>
      <w:r w:rsidR="00B613B9">
        <w:t xml:space="preserve">inte godkänner förslaget ska utredaren </w:t>
      </w:r>
      <w:r>
        <w:t xml:space="preserve">enligt lagens nu gällande lydelse </w:t>
      </w:r>
      <w:r w:rsidR="00B613B9">
        <w:t>lämna förslaget och kommunernas utlåtanden till landskapsregeringen.</w:t>
      </w:r>
      <w:r>
        <w:t xml:space="preserve"> I den situationen finns det för närvarande ingen möjlighet för landskapsregeringen att fatta beslut om ändringar i kommunindelningen.</w:t>
      </w:r>
      <w:r w:rsidR="00561571">
        <w:t xml:space="preserve"> Landskapsregeringen föreslår att </w:t>
      </w:r>
      <w:r w:rsidR="00B613B9">
        <w:t>en sådan möjlighet</w:t>
      </w:r>
      <w:r w:rsidR="00561571" w:rsidRPr="00561571">
        <w:t xml:space="preserve"> </w:t>
      </w:r>
      <w:r w:rsidR="00561571">
        <w:t>införs</w:t>
      </w:r>
      <w:r w:rsidR="00B613B9">
        <w:t xml:space="preserve">. </w:t>
      </w:r>
      <w:r w:rsidR="00561571">
        <w:t>Enligt förslaget ska l</w:t>
      </w:r>
      <w:r w:rsidR="00B613B9">
        <w:t xml:space="preserve">andskapsregeringen på framställning av kommunindelningsutredaren kunna fatta beslut om en ändring i kommunindelningen för en kommun som har en synnerligen ansträngd ekonomi trots motstånd från fullmäktige i den eller de kommuner som berörs av ändringen, om ändringen är nödvändig för att trygga den lagstadgade servicen för invånarna i den kommun som har synnerligen ansträngd ekonomi och om förutsättningarna för en ändring i kommunindelningen enligt kommunstrukturlagen </w:t>
      </w:r>
      <w:r w:rsidR="007C23E5">
        <w:t xml:space="preserve">för övrigt </w:t>
      </w:r>
      <w:r w:rsidR="00B613B9">
        <w:t>uppfylls.</w:t>
      </w:r>
    </w:p>
    <w:p w14:paraId="4F6DBE41" w14:textId="77777777" w:rsidR="00CE6257" w:rsidRDefault="00CE6257" w:rsidP="00CE6257">
      <w:pPr>
        <w:pStyle w:val="ANormal"/>
      </w:pPr>
    </w:p>
    <w:p w14:paraId="4028A59F" w14:textId="7ABA081B" w:rsidR="00CE6257" w:rsidRPr="00884A2F" w:rsidRDefault="00CE6257" w:rsidP="00797873">
      <w:pPr>
        <w:pStyle w:val="RubrikC"/>
      </w:pPr>
      <w:bookmarkStart w:id="37" w:name="_Toc191908111"/>
      <w:bookmarkStart w:id="38" w:name="_Toc194570793"/>
      <w:r w:rsidRPr="00884A2F">
        <w:t xml:space="preserve">5.5 </w:t>
      </w:r>
      <w:r w:rsidR="008478CC">
        <w:t>Komplettering</w:t>
      </w:r>
      <w:r w:rsidRPr="00884A2F">
        <w:t xml:space="preserve"> av kommunstrukturlagen</w:t>
      </w:r>
      <w:bookmarkEnd w:id="37"/>
      <w:bookmarkEnd w:id="38"/>
    </w:p>
    <w:p w14:paraId="72668EB7" w14:textId="77777777" w:rsidR="00CE6257" w:rsidRPr="00884A2F" w:rsidRDefault="00CE6257" w:rsidP="00797873">
      <w:pPr>
        <w:pStyle w:val="Rubrikmellanrum"/>
      </w:pPr>
    </w:p>
    <w:p w14:paraId="637DE708" w14:textId="76F660F5" w:rsidR="00CE6257" w:rsidRDefault="00CE6257" w:rsidP="00797873">
      <w:pPr>
        <w:pStyle w:val="ANormal"/>
      </w:pPr>
      <w:r w:rsidRPr="00884A2F">
        <w:t>Enligt 27</w:t>
      </w:r>
      <w:r w:rsidR="004B746A">
        <w:t> §</w:t>
      </w:r>
      <w:r w:rsidRPr="00884A2F">
        <w:t xml:space="preserve"> 16 punkten i självstyrelselagen hör fastighetsbildning och fastighetsregistrering samt därmed sammanhängande uppgifter till rikets lagstiftningsbehörighet. I rikets kommunstrukturlag finns bestämmelser om förhållandet mellan kommunindelningen och den kamerala indelningen. För vinnande av enhetlighet och överskådlighet intogs motsvarande bestämmelser i den åländska kommunstrukturlagen med stöd av </w:t>
      </w:r>
      <w:r w:rsidR="001639E0" w:rsidRPr="00884A2F">
        <w:t>självstyrelselagen</w:t>
      </w:r>
      <w:r w:rsidR="001639E0">
        <w:t>s</w:t>
      </w:r>
      <w:r w:rsidR="001639E0" w:rsidRPr="00884A2F">
        <w:t xml:space="preserve"> </w:t>
      </w:r>
      <w:r w:rsidRPr="00884A2F">
        <w:t>19</w:t>
      </w:r>
      <w:r w:rsidR="004B746A">
        <w:t> §</w:t>
      </w:r>
      <w:r w:rsidRPr="00884A2F">
        <w:t xml:space="preserve"> 3</w:t>
      </w:r>
      <w:r w:rsidR="004B746A">
        <w:t> mom.</w:t>
      </w:r>
      <w:r w:rsidRPr="00884A2F">
        <w:t xml:space="preserve"> Vid lagstiftningskontrollen ansåg emellertid Högsta domstolen att bestämmelsen i landskapslagen avvek för mycket från motsvarigheten i rikets kommunstrukturlag för att uppfylla kraven i 19</w:t>
      </w:r>
      <w:r w:rsidR="004B746A">
        <w:t> §</w:t>
      </w:r>
      <w:r w:rsidRPr="00884A2F">
        <w:t xml:space="preserve"> 3</w:t>
      </w:r>
      <w:r w:rsidR="004B746A">
        <w:t> mom.</w:t>
      </w:r>
      <w:r w:rsidRPr="00884A2F">
        <w:t xml:space="preserve"> i självstyrelselagen. Paragrafen förordnades därför att förfalla. Högsta domstolen konstaterade samtidigt att detta inte påverkade landskapslagens tillämpning i övrigt samt att bestämmelserna i rikets kommunstrukturlag kan tillämpas på förenhetligande och den kamerala indelningen i de situationer som avsågs i paragrafen. Trots det har lagstiftningen uppfattats som otydlig och landskapsregeringen föreslår därför att bestämmelser som motsvarar dem i rikets kommunstrukturlag tas in i landskapslagen.</w:t>
      </w:r>
      <w:r w:rsidR="008478CC">
        <w:t xml:space="preserve"> Förslaget har till den här delen inget samband med den föreslagna lagstiftningen om kommuner med synnerligen ansträngd ekonomi.</w:t>
      </w:r>
    </w:p>
    <w:p w14:paraId="5D069C5F" w14:textId="77777777" w:rsidR="005B1564" w:rsidRDefault="005B1564" w:rsidP="005B1564">
      <w:pPr>
        <w:pStyle w:val="ANormal"/>
      </w:pPr>
    </w:p>
    <w:p w14:paraId="1329F515" w14:textId="0CF10FD9" w:rsidR="004A5909" w:rsidRDefault="004A5909" w:rsidP="004A5909">
      <w:pPr>
        <w:pStyle w:val="RubrikB"/>
      </w:pPr>
      <w:bookmarkStart w:id="39" w:name="_Toc72760284"/>
      <w:bookmarkStart w:id="40" w:name="_Toc194570794"/>
      <w:r>
        <w:t>6. Förhållande till grundlagen</w:t>
      </w:r>
      <w:bookmarkEnd w:id="39"/>
      <w:bookmarkEnd w:id="40"/>
    </w:p>
    <w:p w14:paraId="4BABF4A1" w14:textId="77777777" w:rsidR="004A5909" w:rsidRDefault="004A5909" w:rsidP="004A5909">
      <w:pPr>
        <w:pStyle w:val="Rubrikmellanrum"/>
      </w:pPr>
    </w:p>
    <w:p w14:paraId="4121F2D1" w14:textId="69CB2C3C" w:rsidR="008346F7" w:rsidRDefault="00E534FD" w:rsidP="008346F7">
      <w:pPr>
        <w:pStyle w:val="ANormal"/>
      </w:pPr>
      <w:r>
        <w:t>Både förslaget om en landskapslag om ett förfarande för kommuner med synnerligen ansträngd ekonomi och den föreslagna ändringen av kommunstrukturlagen har ett innehåll som anknyter till grundlagens bestämmelser om kommunernas rätt till självstyrelse.</w:t>
      </w:r>
      <w:r w:rsidR="00E52F09">
        <w:t xml:space="preserve"> </w:t>
      </w:r>
      <w:r w:rsidR="008346F7">
        <w:t>Enligt 121</w:t>
      </w:r>
      <w:r w:rsidR="004B746A">
        <w:t> §</w:t>
      </w:r>
      <w:r w:rsidR="008346F7">
        <w:t xml:space="preserve"> 1</w:t>
      </w:r>
      <w:r w:rsidR="004B746A">
        <w:t> mom.</w:t>
      </w:r>
      <w:r w:rsidR="008346F7">
        <w:t xml:space="preserve"> i grundlagen är Finland indelat i kommuner, vilkas förvaltning ska grunda sig på självstyrelse för kommunens invånare. Enligt paragrafens 2</w:t>
      </w:r>
      <w:r w:rsidR="004B746A">
        <w:t> mom.</w:t>
      </w:r>
      <w:r w:rsidR="008346F7">
        <w:t xml:space="preserve"> utfärdas bestämmelser om de allmänna grunderna för kommunernas förvaltning genom lag. Enligt 122</w:t>
      </w:r>
      <w:r w:rsidR="004B746A">
        <w:t> §</w:t>
      </w:r>
      <w:r w:rsidR="008346F7">
        <w:t xml:space="preserve"> 2</w:t>
      </w:r>
      <w:r w:rsidR="004B746A">
        <w:t> mom.</w:t>
      </w:r>
      <w:r w:rsidR="008346F7">
        <w:t xml:space="preserve"> i grundlagen utfärdas bestämmelser om grunderna för kommunindelning genom lag.</w:t>
      </w:r>
    </w:p>
    <w:p w14:paraId="5288EA7C" w14:textId="386D3F18" w:rsidR="003D343A" w:rsidRDefault="008346F7" w:rsidP="004A5909">
      <w:pPr>
        <w:pStyle w:val="ANormal"/>
      </w:pPr>
      <w:r>
        <w:tab/>
        <w:t>Rikets lagstiftning om kommuner som befinner sig i en speciellt svår ekonomisk ställning har vid ett flertal tillfällen behandlats av riksdagens grund</w:t>
      </w:r>
      <w:r>
        <w:softHyphen/>
        <w:t xml:space="preserve">lagsutskott. </w:t>
      </w:r>
      <w:r w:rsidR="003D343A">
        <w:t>När e</w:t>
      </w:r>
      <w:r>
        <w:t xml:space="preserve">tt utvärderingsförfarande </w:t>
      </w:r>
      <w:r w:rsidR="003D343A">
        <w:t xml:space="preserve">för sådana kommuner </w:t>
      </w:r>
      <w:r>
        <w:t xml:space="preserve">infördes </w:t>
      </w:r>
      <w:r w:rsidR="00224220">
        <w:t>där</w:t>
      </w:r>
      <w:r>
        <w:t xml:space="preserve"> 2007</w:t>
      </w:r>
      <w:r w:rsidR="003D343A">
        <w:t>,</w:t>
      </w:r>
      <w:r w:rsidR="00224220">
        <w:t xml:space="preserve"> konstaterade </w:t>
      </w:r>
      <w:r w:rsidR="003D343A">
        <w:t>utskottet</w:t>
      </w:r>
      <w:r w:rsidR="00224220">
        <w:t xml:space="preserve"> i sitt utlåtande</w:t>
      </w:r>
      <w:r w:rsidR="002A2316">
        <w:rPr>
          <w:rStyle w:val="Fotnotsreferens"/>
        </w:rPr>
        <w:footnoteReference w:id="8"/>
      </w:r>
      <w:r w:rsidR="00224220">
        <w:t xml:space="preserve"> att det utifrån grundlagen inte är något problem att påföra kommunerna en sådan utredningsskyldighet, så länge det sker genom lag.</w:t>
      </w:r>
    </w:p>
    <w:p w14:paraId="5EA37DE7" w14:textId="60304FAB" w:rsidR="008346F7" w:rsidRDefault="003D343A" w:rsidP="004A5909">
      <w:pPr>
        <w:pStyle w:val="ANormal"/>
      </w:pPr>
      <w:r>
        <w:tab/>
        <w:t>Det utvärderingsförfarande som landskapsregeringen föreslår här mot</w:t>
      </w:r>
      <w:r w:rsidR="000F0A8E">
        <w:t>-</w:t>
      </w:r>
      <w:r>
        <w:t xml:space="preserve">svarar i princip det som tillämpas i riket, förutom när det gäller en väsentlig punkt. </w:t>
      </w:r>
      <w:r w:rsidR="001D3D01">
        <w:t xml:space="preserve">Någon motsvarighet till den </w:t>
      </w:r>
      <w:r>
        <w:t xml:space="preserve">föreslagna begränsningen av kommunens rätt att göra investeringar </w:t>
      </w:r>
      <w:r w:rsidR="001D3D01">
        <w:t xml:space="preserve">gäller inte för kommuner som befinner sig i en </w:t>
      </w:r>
      <w:r w:rsidR="001D3D01">
        <w:lastRenderedPageBreak/>
        <w:t>speciellt svår ekonomisk ställning</w:t>
      </w:r>
      <w:r w:rsidR="0047743A">
        <w:t xml:space="preserve"> i riket</w:t>
      </w:r>
      <w:r w:rsidR="001D3D01">
        <w:t xml:space="preserve">. </w:t>
      </w:r>
      <w:r w:rsidR="006B6216">
        <w:t xml:space="preserve">Däremot har en sådan begränsning införts tillfälligt för </w:t>
      </w:r>
      <w:r w:rsidR="009E7A64">
        <w:t>alla</w:t>
      </w:r>
      <w:r w:rsidR="006B6216">
        <w:t xml:space="preserve"> kommuner</w:t>
      </w:r>
      <w:r w:rsidR="0047743A">
        <w:t xml:space="preserve"> </w:t>
      </w:r>
      <w:r w:rsidR="006B6216">
        <w:t>i samband med</w:t>
      </w:r>
      <w:r w:rsidR="002A2316">
        <w:t xml:space="preserve"> genomförandet av den stora</w:t>
      </w:r>
      <w:r w:rsidR="006B6216">
        <w:t xml:space="preserve"> </w:t>
      </w:r>
      <w:r w:rsidR="00225BE4">
        <w:t xml:space="preserve">social- och hälsovårdsreformen. </w:t>
      </w:r>
      <w:r w:rsidR="00225BE4" w:rsidRPr="00656186">
        <w:t>Lagen om temporär begränsning av vissa av kommunernas och samkommunernas rättshandlingar inom social- och hälsovården (FFS 548/2016) trädde i kraft den 1 juli 20</w:t>
      </w:r>
      <w:r w:rsidR="00CA42E0" w:rsidRPr="00656186">
        <w:t>16 och skulle ursprungligen gälla till utgången av 2019. Eftersom reformen dr</w:t>
      </w:r>
      <w:r w:rsidR="002A2316" w:rsidRPr="00656186">
        <w:t>o</w:t>
      </w:r>
      <w:r w:rsidR="00CA42E0" w:rsidRPr="00656186">
        <w:t xml:space="preserve">g ut på tiden </w:t>
      </w:r>
      <w:r w:rsidR="00656186" w:rsidRPr="00656186">
        <w:t>förlängdes</w:t>
      </w:r>
      <w:r w:rsidR="00CA42E0" w:rsidRPr="00656186">
        <w:t xml:space="preserve"> tillämpningen av lagen i olika omgångar så att den </w:t>
      </w:r>
      <w:r w:rsidR="00656186" w:rsidRPr="00656186">
        <w:t>slutligen kom att gälla</w:t>
      </w:r>
      <w:r w:rsidR="00CA42E0" w:rsidRPr="00656186">
        <w:t xml:space="preserve"> till utgången av 202</w:t>
      </w:r>
      <w:r w:rsidR="00656186" w:rsidRPr="00656186">
        <w:t>2</w:t>
      </w:r>
      <w:r w:rsidR="006723CA">
        <w:t>, då den upphävdes.</w:t>
      </w:r>
      <w:r w:rsidR="00225BE4">
        <w:t xml:space="preserve"> </w:t>
      </w:r>
      <w:r w:rsidR="00141BE0">
        <w:t>Lagen inneb</w:t>
      </w:r>
      <w:r w:rsidR="006723CA">
        <w:t>a</w:t>
      </w:r>
      <w:r w:rsidR="00141BE0">
        <w:t>r bland annat att kommunerna inte f</w:t>
      </w:r>
      <w:r w:rsidR="006723CA">
        <w:t>ick</w:t>
      </w:r>
      <w:r w:rsidR="00141BE0">
        <w:t xml:space="preserve"> ingå förbindelser om investeringar i byggnader som används inom social- och hälsovården om de totala kostnaderna överst</w:t>
      </w:r>
      <w:r w:rsidR="006723CA">
        <w:t>e</w:t>
      </w:r>
      <w:r w:rsidR="00141BE0">
        <w:t>g fem miljoner euro. Begränsningen gäll</w:t>
      </w:r>
      <w:r w:rsidR="006723CA">
        <w:t>de</w:t>
      </w:r>
      <w:r w:rsidR="00141BE0">
        <w:t xml:space="preserve"> också samkommuner (</w:t>
      </w:r>
      <w:r w:rsidR="0047743A">
        <w:t xml:space="preserve">motsvarar åländska </w:t>
      </w:r>
      <w:r w:rsidR="00141BE0">
        <w:t>kommun</w:t>
      </w:r>
      <w:r w:rsidR="0047743A">
        <w:t>al</w:t>
      </w:r>
      <w:r w:rsidR="00141BE0">
        <w:t>förbund) och bolag som är helägda av en kommun eller samkommun.</w:t>
      </w:r>
      <w:r w:rsidR="00F33141">
        <w:t xml:space="preserve"> Undantagna </w:t>
      </w:r>
      <w:r w:rsidR="006723CA">
        <w:t>va</w:t>
      </w:r>
      <w:r w:rsidR="00F33141">
        <w:t>r investeringar som hör till det årliga underhållet. Dessutom f</w:t>
      </w:r>
      <w:r w:rsidR="006723CA">
        <w:t>a</w:t>
      </w:r>
      <w:r w:rsidR="00F33141">
        <w:t xml:space="preserve">nns en möjlighet för social- och hälsovårdsministeriet att bevilja dispens, om investeringen </w:t>
      </w:r>
      <w:r w:rsidR="006723CA">
        <w:t>va</w:t>
      </w:r>
      <w:r w:rsidR="00F33141">
        <w:t xml:space="preserve">r nödvändig och brådskande för att trygga tillgången till </w:t>
      </w:r>
      <w:r w:rsidR="006310E2">
        <w:t>tjänsterna</w:t>
      </w:r>
      <w:r w:rsidR="00F33141">
        <w:t>.</w:t>
      </w:r>
    </w:p>
    <w:p w14:paraId="79B715D5" w14:textId="0290E9CF" w:rsidR="007A44A8" w:rsidRDefault="0008230A" w:rsidP="004A5909">
      <w:pPr>
        <w:pStyle w:val="ANormal"/>
      </w:pPr>
      <w:r>
        <w:tab/>
        <w:t>Begränsningen av investeringar motivera</w:t>
      </w:r>
      <w:r w:rsidR="00532C8D">
        <w:t>de</w:t>
      </w:r>
      <w:r>
        <w:t xml:space="preserve">s </w:t>
      </w:r>
      <w:r w:rsidR="0047743A">
        <w:t>med att</w:t>
      </w:r>
      <w:r>
        <w:t xml:space="preserve"> man ville trygga verksamhetsmöjligheterna för de nya </w:t>
      </w:r>
      <w:r w:rsidR="0047743A">
        <w:t>välfärds</w:t>
      </w:r>
      <w:r>
        <w:t xml:space="preserve">områden som skulle bildas för att ansvara för social- och hälsovården genom reformen. </w:t>
      </w:r>
      <w:r w:rsidR="0047743A">
        <w:t>Efter att arbetet med reformen hade inletts visade det sig</w:t>
      </w:r>
      <w:r>
        <w:t xml:space="preserve"> att</w:t>
      </w:r>
      <w:r w:rsidR="0047743A">
        <w:t xml:space="preserve"> vissa</w:t>
      </w:r>
      <w:r>
        <w:t xml:space="preserve"> kommuner strävade efter att bevara den rådande servicestrukturen och att binda mera betydande resurser till det egna området</w:t>
      </w:r>
      <w:r w:rsidR="007A44A8">
        <w:t>,</w:t>
      </w:r>
      <w:r w:rsidR="000A78A6">
        <w:t xml:space="preserve"> vilket kunde komma att stå i konflikt med reformens mål. Många kommuner verkade utgå från att de nya områdena sedan skulle överta byggnaderna och även eventuella lån som tagits för byggandet.</w:t>
      </w:r>
      <w:r w:rsidR="007A44A8">
        <w:t xml:space="preserve"> </w:t>
      </w:r>
      <w:r w:rsidR="009C776C">
        <w:t xml:space="preserve">Risken fanns att många byggprojekt skulle resultera i nya eller renoverade byggnader som antingen skulle stå oanvända eller användas ineffektivt bara för att de existerade, vilket inte skulle vara samhällsekonomiskt försvarbart. </w:t>
      </w:r>
      <w:r w:rsidR="007A44A8">
        <w:t>Grundlagsutskottet hade redan tidigare bedömt att det fanns vägande skäl för en reform av social- och hälsovårdstjänsterna, skäl som anknyter till de grundläggande fri- och rättigheterna. Utskotte</w:t>
      </w:r>
      <w:r w:rsidR="0066077E">
        <w:t xml:space="preserve">t </w:t>
      </w:r>
      <w:r w:rsidR="00D26304">
        <w:t>påpekade</w:t>
      </w:r>
      <w:r w:rsidR="0066077E">
        <w:t xml:space="preserve"> i sitt utlåtande</w:t>
      </w:r>
      <w:r w:rsidR="002A2316">
        <w:rPr>
          <w:rStyle w:val="Fotnotsreferens"/>
        </w:rPr>
        <w:footnoteReference w:id="9"/>
      </w:r>
      <w:r w:rsidR="009C776C">
        <w:t xml:space="preserve"> över den temporära lagen</w:t>
      </w:r>
      <w:r w:rsidR="0066077E">
        <w:t xml:space="preserve"> att det var viktigt att genom den planerade reformen trygga medborgarnas social- och hälsovårdstjänster på lika grunder i hela landet.</w:t>
      </w:r>
      <w:r w:rsidR="009C776C">
        <w:t xml:space="preserve"> Med hänsyn till det godtagbara syftet med lagstiftningen samt dess proportionalitet och avgränsade omfattning ansåg utskottet att den inte utgjorde ett problem med avseende på den kommunala självstyrelsen enligt 121</w:t>
      </w:r>
      <w:r w:rsidR="004B746A">
        <w:t> §</w:t>
      </w:r>
      <w:r w:rsidR="009C776C">
        <w:t xml:space="preserve"> i grundlagen.</w:t>
      </w:r>
    </w:p>
    <w:p w14:paraId="0894A48A" w14:textId="3574138F" w:rsidR="007A44A8" w:rsidRDefault="000A78A6" w:rsidP="004A5909">
      <w:pPr>
        <w:pStyle w:val="ANormal"/>
      </w:pPr>
      <w:r>
        <w:tab/>
      </w:r>
      <w:r w:rsidR="00EE1AA9">
        <w:t xml:space="preserve">Landskapsregeringen anser att den begränsning av rätten att </w:t>
      </w:r>
      <w:r w:rsidR="0047743A">
        <w:t>göra</w:t>
      </w:r>
      <w:r w:rsidR="00EE1AA9">
        <w:t xml:space="preserve"> investeringar som ingår i detta förslag är jämförbar med den begränsning som ingår i den ovan nämnda rikslagen. Begränsningen motiveras för det första av ett behov av att under utvärderingsförfarandet kunna göra en adekvat bedömning av kommunens ekonomiska situation. För det andra är det också motiverat att förhindra investeringar som skulle kunna göras av kommuner med synnerligen ansträngd ekonomi i syfte att binda betydande resurser till det egna området, särskilt i en situation där ett samgående med en eller flera andra kommuner kan bli aktuellt. </w:t>
      </w:r>
      <w:r w:rsidR="00956AEE" w:rsidRPr="00956AEE">
        <w:t>Gränsen för otillåtna investeringar</w:t>
      </w:r>
      <w:r w:rsidR="00956AEE">
        <w:t xml:space="preserve"> i det här förslaget är formulerad </w:t>
      </w:r>
      <w:r w:rsidR="00004B5F">
        <w:t>utgående från</w:t>
      </w:r>
      <w:r w:rsidR="00956AEE">
        <w:t xml:space="preserve"> kommunens behov av lån för att genomföra </w:t>
      </w:r>
      <w:r w:rsidR="000C7404">
        <w:t xml:space="preserve">den aktuella </w:t>
      </w:r>
      <w:r w:rsidR="00956AEE">
        <w:t>investering</w:t>
      </w:r>
      <w:r w:rsidR="000C7404">
        <w:t>en</w:t>
      </w:r>
      <w:r w:rsidR="00956AEE">
        <w:t>, medan den i rikslagstiftningen definiera</w:t>
      </w:r>
      <w:r w:rsidR="00532C8D">
        <w:t>de</w:t>
      </w:r>
      <w:r w:rsidR="00956AEE">
        <w:t xml:space="preserve">s </w:t>
      </w:r>
      <w:r w:rsidR="00696754">
        <w:t>med hänvisning till</w:t>
      </w:r>
      <w:r w:rsidR="00956AEE">
        <w:t xml:space="preserve"> </w:t>
      </w:r>
      <w:r w:rsidR="00696754">
        <w:t>investeringens</w:t>
      </w:r>
      <w:r w:rsidR="00956AEE">
        <w:t xml:space="preserve"> </w:t>
      </w:r>
      <w:r w:rsidR="00696754">
        <w:t>total</w:t>
      </w:r>
      <w:r w:rsidR="00956AEE">
        <w:t>belopp</w:t>
      </w:r>
      <w:r w:rsidR="00696754">
        <w:t>.</w:t>
      </w:r>
      <w:r w:rsidR="00004B5F">
        <w:t xml:space="preserve"> Enligt landskapsregeringens bedömning påverkar inte denna skillnad regleringens förhållande till grundlagens skydd av den kommunala självstyrelsen. </w:t>
      </w:r>
      <w:r w:rsidR="00EE1AA9">
        <w:t xml:space="preserve">För övrigt avgränsas investeringarna på samma sätt som i rikslagen. </w:t>
      </w:r>
      <w:r w:rsidR="00F04962">
        <w:t xml:space="preserve">Begränsningen gäller inte investeringar som hänför sig till årligt underhåll eller sådana som är nödvändiga utifrån en tillsynsmyndighets inspektioner. Landskapsregeringen kan också bevilja dispens om investeringen är nödvändig och brådskande för att trygga tillgången till kommunala tjänster. Även om den föreslagna </w:t>
      </w:r>
      <w:r w:rsidR="00F04962">
        <w:lastRenderedPageBreak/>
        <w:t xml:space="preserve">regleringen </w:t>
      </w:r>
      <w:r w:rsidR="00E5335A">
        <w:t xml:space="preserve">i sig </w:t>
      </w:r>
      <w:r w:rsidR="00F04962">
        <w:t xml:space="preserve">inte är temporär är ändå den tid då rätten att ingå förbindelser om investeringar </w:t>
      </w:r>
      <w:r w:rsidR="00E5335A">
        <w:t>begränsas</w:t>
      </w:r>
      <w:r w:rsidR="00F04962">
        <w:t xml:space="preserve"> för den enskilda kommunen tydligt avgränsad i lagen.</w:t>
      </w:r>
      <w:r w:rsidR="00E10221">
        <w:t xml:space="preserve"> Den tiden är också betydligt kortare än den tid den temporära lagen </w:t>
      </w:r>
      <w:r w:rsidR="00532C8D">
        <w:t>kom att</w:t>
      </w:r>
      <w:r w:rsidR="00E10221">
        <w:t xml:space="preserve"> tillämpas i riket. </w:t>
      </w:r>
      <w:r w:rsidR="00E5335A">
        <w:t>I sitt utlåtande</w:t>
      </w:r>
      <w:r w:rsidR="002A2316">
        <w:rPr>
          <w:rStyle w:val="Fotnotsreferens"/>
        </w:rPr>
        <w:footnoteReference w:id="10"/>
      </w:r>
      <w:r w:rsidR="00E5335A">
        <w:t xml:space="preserve"> över den senaste förlängningen av lagens tillämpning ansåg grundlagsutskottet att en giltighetstid på närmare tio år inte är helt oproblematisk, och att den endast med möda kan anses vara temporär i ordets egentliga bemärkelse.</w:t>
      </w:r>
    </w:p>
    <w:p w14:paraId="4376E77D" w14:textId="4739E879" w:rsidR="003D343A" w:rsidRDefault="004F0B82" w:rsidP="004A5909">
      <w:pPr>
        <w:pStyle w:val="ANormal"/>
      </w:pPr>
      <w:r>
        <w:tab/>
        <w:t>När det gäller den föreslagna möjligheten för landskapsregeringen att fatta beslut om en ändring av kommunindelningen trots att någon av de berörda kommunernas fullmäktige inte godkänner samgåendet, har motsvarande bestämmelser i rikslagstiftningen behandlats av grundlagsutskottet när de infördes där 2013. I sitt utlåtande</w:t>
      </w:r>
      <w:r w:rsidR="002A2316">
        <w:rPr>
          <w:rStyle w:val="Fotnotsreferens"/>
        </w:rPr>
        <w:footnoteReference w:id="11"/>
      </w:r>
      <w:r>
        <w:t xml:space="preserve"> konstatera</w:t>
      </w:r>
      <w:r w:rsidR="00532C8D">
        <w:t>de</w:t>
      </w:r>
      <w:r>
        <w:t xml:space="preserve"> utskottet att det i en sådan situation måste beaktas att avsikten i fråga om en kommun som befinner sig i en speciellt svår ekonomisk ställning är att trygga kommuninvånarnas grundlagsstadgade rättigheter. Intressena bakom ett samgående mot kommunens vilja väger i så fall så tungt att de berättigar ett så pass betydande ingrepp i den kommunala självstyrelsen. Utskottet betona</w:t>
      </w:r>
      <w:r w:rsidR="00532C8D">
        <w:t>de</w:t>
      </w:r>
      <w:r>
        <w:t xml:space="preserve"> dock ställningen hos de kommuner som motsätter sig, </w:t>
      </w:r>
      <w:r w:rsidR="00621CD2">
        <w:t xml:space="preserve">och att det är viktigt att ändringen av kommunindelningen mot en kommuns vilja bör vara motiverad som helhet. Det innebär således att bara det faktum att de ekonomiska kriterier som lett till utvärderingsförfarandet uppfylls inte bör leda till en ändring av kommunindelningen i strid med kommunens vilja. </w:t>
      </w:r>
      <w:r w:rsidR="00621CD2" w:rsidRPr="00532C8D">
        <w:t>Utskottet ans</w:t>
      </w:r>
      <w:r w:rsidR="00532C8D" w:rsidRPr="00532C8D">
        <w:t>åg</w:t>
      </w:r>
      <w:r w:rsidR="00621CD2" w:rsidRPr="00532C8D">
        <w:t xml:space="preserve"> det också vara angeläget att tröskeln för möjligheten att ändra kommunindelningen mot kommunens vilja utreds genom att förutsätta att ändringen är nödvändig (”för att trygga den service som förutsätts i lagstiftningen”).</w:t>
      </w:r>
      <w:r w:rsidR="00621CD2">
        <w:t xml:space="preserve"> Nödvändighetskriteriet ans</w:t>
      </w:r>
      <w:r w:rsidR="00532C8D">
        <w:t>åg</w:t>
      </w:r>
      <w:r w:rsidR="00621CD2">
        <w:t xml:space="preserve">s också begränsa antalet kommuner som kan omfattas av samgåendet. </w:t>
      </w:r>
    </w:p>
    <w:p w14:paraId="6088F207" w14:textId="388A66BD" w:rsidR="00D171BF" w:rsidRDefault="00D171BF" w:rsidP="004A5909">
      <w:pPr>
        <w:pStyle w:val="ANormal"/>
      </w:pPr>
      <w:r>
        <w:tab/>
      </w:r>
      <w:r w:rsidR="006F20AF">
        <w:t>Den föreslagna ändringen av kommunstrukturlagen som gäller särskilda kommunindelningsutredningar har avsiktligt formulerats på motsvarande sätt som rikslagstiftningen. Syftet är att inte inskränka kommunernas rätt till självstyrelse mer än nödvändigt, men att ändå kunna trygga invånarnas rätt till lagstadgad service.</w:t>
      </w:r>
    </w:p>
    <w:p w14:paraId="162DCBE0" w14:textId="77777777" w:rsidR="009B24CA" w:rsidRDefault="009B24CA" w:rsidP="009B24CA">
      <w:pPr>
        <w:pStyle w:val="ANormal"/>
      </w:pPr>
    </w:p>
    <w:p w14:paraId="75F306EB" w14:textId="036D0488" w:rsidR="009B24CA" w:rsidRDefault="004A5909" w:rsidP="009B24CA">
      <w:pPr>
        <w:pStyle w:val="RubrikB"/>
      </w:pPr>
      <w:bookmarkStart w:id="41" w:name="_Toc72760297"/>
      <w:bookmarkStart w:id="42" w:name="_Toc194570795"/>
      <w:r>
        <w:t>7</w:t>
      </w:r>
      <w:r w:rsidR="009B24CA">
        <w:t>. Förslagets konsekvenser</w:t>
      </w:r>
      <w:bookmarkEnd w:id="41"/>
      <w:bookmarkEnd w:id="42"/>
    </w:p>
    <w:p w14:paraId="075D6E92" w14:textId="2890C554" w:rsidR="009B24CA" w:rsidRDefault="009B24CA" w:rsidP="009B24CA">
      <w:pPr>
        <w:pStyle w:val="Rubrikmellanrum"/>
      </w:pPr>
    </w:p>
    <w:p w14:paraId="1401CEC2" w14:textId="4DD5FD4D" w:rsidR="0026556F" w:rsidRDefault="0026556F" w:rsidP="0026556F">
      <w:pPr>
        <w:pStyle w:val="RubrikC"/>
      </w:pPr>
      <w:bookmarkStart w:id="43" w:name="_Toc194570796"/>
      <w:r>
        <w:t>7.1 Samhälleliga</w:t>
      </w:r>
      <w:r w:rsidR="00F8521C">
        <w:t>,</w:t>
      </w:r>
      <w:r>
        <w:t xml:space="preserve"> organisatoriska</w:t>
      </w:r>
      <w:r w:rsidR="00F8521C">
        <w:t xml:space="preserve"> och ekonomiska</w:t>
      </w:r>
      <w:r>
        <w:t xml:space="preserve"> konsekvenser</w:t>
      </w:r>
      <w:bookmarkEnd w:id="43"/>
    </w:p>
    <w:p w14:paraId="24659F8D" w14:textId="77777777" w:rsidR="0026556F" w:rsidRDefault="0026556F" w:rsidP="0026556F">
      <w:pPr>
        <w:pStyle w:val="Rubrikmellanrum"/>
      </w:pPr>
    </w:p>
    <w:p w14:paraId="6099B817" w14:textId="521A4BBE" w:rsidR="0026556F" w:rsidRPr="003478C5" w:rsidRDefault="0026556F" w:rsidP="0026556F">
      <w:pPr>
        <w:pStyle w:val="ANormal"/>
      </w:pPr>
      <w:r>
        <w:t>Syftet</w:t>
      </w:r>
      <w:r w:rsidRPr="003478C5">
        <w:t xml:space="preserve"> med lagförslaget är att säkra den kommunala servicen</w:t>
      </w:r>
      <w:r w:rsidRPr="001D49A1">
        <w:t xml:space="preserve">. </w:t>
      </w:r>
      <w:r w:rsidR="00E40E2D" w:rsidRPr="001D49A1">
        <w:t>Även om förslaget samhällsstrukturmässigt innebär att förändringar av kommunindelningen kan komma att aktualiseras, är a</w:t>
      </w:r>
      <w:r w:rsidR="001E45A8" w:rsidRPr="001D49A1">
        <w:t>vsikten inte att åstadkomma en kommunreform.</w:t>
      </w:r>
      <w:r w:rsidRPr="003478C5">
        <w:t xml:space="preserve"> Därför bör samtidigt framhävas att kommunerna själva på frivilliga grunder kan gå in för större helheter redan nu. Detta lagförslag innebär också att förändringar av kommunstrukturen i något skede kan bli aktuella utifrån ekonomiska parametrar och i sista hand också utan fullmäktiges godkännande. Detta berör inte bara de kommuner som har en synnerligen ansträngd ekonomi utan också ekonomiskt starka kommuner.</w:t>
      </w:r>
    </w:p>
    <w:p w14:paraId="1581D2FF" w14:textId="55D89190" w:rsidR="00F8521C" w:rsidRDefault="00F8521C" w:rsidP="00F8521C">
      <w:pPr>
        <w:pStyle w:val="ANormal"/>
      </w:pPr>
      <w:r>
        <w:tab/>
      </w:r>
      <w:r w:rsidRPr="003478C5">
        <w:t>Regelverket bedöms medföra ökad tydlighet både för landskapsförvaltning</w:t>
      </w:r>
      <w:r>
        <w:t>en</w:t>
      </w:r>
      <w:r w:rsidRPr="003478C5">
        <w:t xml:space="preserve"> och kommunerna. Det innebär större möjligheter att förutse effekter och bör bidra till att underlätta ekonomisk styrning och planering av verksamheter.</w:t>
      </w:r>
    </w:p>
    <w:p w14:paraId="6F37C559" w14:textId="70551D79" w:rsidR="003478C5" w:rsidRDefault="00E95B86" w:rsidP="003478C5">
      <w:pPr>
        <w:pStyle w:val="ANormal"/>
      </w:pPr>
      <w:r>
        <w:tab/>
      </w:r>
      <w:r w:rsidR="003478C5">
        <w:t xml:space="preserve">Förslagets direkta ekonomiska konsekvenser kommer främst från hanteringen och uppföljningen av de nya processerna. Landskapsregeringens tjänstemän bör agera sakkunniga, samt regelbundet följa upp och hantera kriterierna för en </w:t>
      </w:r>
      <w:r>
        <w:t xml:space="preserve">synnerligen </w:t>
      </w:r>
      <w:r w:rsidR="003478C5">
        <w:t xml:space="preserve">ansträngd ekonomi. Beroende på hur kommunernas ekonomi utvecklas kan arbetsmängden i de föreslagna processerna skilja </w:t>
      </w:r>
      <w:r w:rsidR="003478C5">
        <w:lastRenderedPageBreak/>
        <w:t xml:space="preserve">sig avsevärt. </w:t>
      </w:r>
      <w:r>
        <w:t>Ju fler kommuner som uppfyller</w:t>
      </w:r>
      <w:r w:rsidR="003478C5">
        <w:t xml:space="preserve"> kriterierna för </w:t>
      </w:r>
      <w:r>
        <w:t xml:space="preserve">en </w:t>
      </w:r>
      <w:r w:rsidR="003478C5">
        <w:t xml:space="preserve">synnerligen ansträngd ekonomi </w:t>
      </w:r>
      <w:r>
        <w:t>desto fler</w:t>
      </w:r>
      <w:r w:rsidR="003478C5">
        <w:t xml:space="preserve"> utvärderingsförfaranden</w:t>
      </w:r>
      <w:r>
        <w:t xml:space="preserve"> kommer att inledas, vilket kommer att öka kostnaderna</w:t>
      </w:r>
      <w:r w:rsidR="003478C5">
        <w:t>.</w:t>
      </w:r>
    </w:p>
    <w:p w14:paraId="5729FF15" w14:textId="0C5894D6" w:rsidR="003478C5" w:rsidRDefault="003478C5" w:rsidP="003478C5">
      <w:pPr>
        <w:pStyle w:val="ANormal"/>
      </w:pPr>
      <w:r>
        <w:tab/>
        <w:t xml:space="preserve">Landskapsregeringen finansierar två representanter av tre i utvärderingsgruppen, i form av en oberoende ordförande och en egen representant. En ekonomisk analys och konkreta åtgärdsförslag ska presenteras av utvärderingsgruppen och en sådan process beräknas </w:t>
      </w:r>
      <w:r w:rsidRPr="00211EA7">
        <w:t>ta minst ett halvår</w:t>
      </w:r>
      <w:r>
        <w:t xml:space="preserve"> med varierande mängd arbete</w:t>
      </w:r>
      <w:r w:rsidRPr="00A033C8">
        <w:t xml:space="preserve">. </w:t>
      </w:r>
      <w:r w:rsidR="00BE1F95" w:rsidRPr="00A033C8">
        <w:t>Landskapsregeringen ska också ta fram en modell för utvärderingsförfarandet, vilken senare kan komma att kräva uppföljning och vidareutveckling.</w:t>
      </w:r>
      <w:r w:rsidR="00BE1F95">
        <w:t xml:space="preserve"> </w:t>
      </w:r>
      <w:r>
        <w:t xml:space="preserve">Således beräknas </w:t>
      </w:r>
      <w:r w:rsidR="00E95B86">
        <w:t>den</w:t>
      </w:r>
      <w:r>
        <w:t xml:space="preserve"> grundläggande administrationen av </w:t>
      </w:r>
      <w:r w:rsidR="00E95B86">
        <w:t>förfarandet</w:t>
      </w:r>
      <w:r>
        <w:t xml:space="preserve"> i sig uppgå till </w:t>
      </w:r>
      <w:r w:rsidR="000E22E0">
        <w:t>minst</w:t>
      </w:r>
      <w:r>
        <w:t xml:space="preserve"> </w:t>
      </w:r>
      <w:r w:rsidRPr="00211EA7">
        <w:t>en h</w:t>
      </w:r>
      <w:r w:rsidR="000E22E0">
        <w:t>e</w:t>
      </w:r>
      <w:r w:rsidRPr="00211EA7">
        <w:t>ltidstjänst</w:t>
      </w:r>
      <w:r w:rsidR="00211EA7">
        <w:t xml:space="preserve"> </w:t>
      </w:r>
      <w:r w:rsidR="00E95B86">
        <w:t>totalt.</w:t>
      </w:r>
      <w:r>
        <w:t xml:space="preserve"> </w:t>
      </w:r>
      <w:r w:rsidR="00E95B86">
        <w:t>Men</w:t>
      </w:r>
      <w:r>
        <w:t xml:space="preserve"> vid flertalet utvärderingsprocesser </w:t>
      </w:r>
      <w:r w:rsidR="00E95B86">
        <w:t>ökar naturligtvis behovet av resurser</w:t>
      </w:r>
      <w:r w:rsidR="000E22E0">
        <w:t>, både interna och externa</w:t>
      </w:r>
      <w:r>
        <w:t>.</w:t>
      </w:r>
    </w:p>
    <w:p w14:paraId="05CD5BB0" w14:textId="0E773BFC" w:rsidR="003478C5" w:rsidRDefault="003478C5" w:rsidP="003478C5">
      <w:pPr>
        <w:pStyle w:val="ANormal"/>
      </w:pPr>
      <w:r>
        <w:tab/>
        <w:t xml:space="preserve">Kommunerna kommer också behöva avsätta resurser för hantering av </w:t>
      </w:r>
      <w:r w:rsidR="00654584">
        <w:t>det nya regelverket</w:t>
      </w:r>
      <w:r>
        <w:t>. I detta ingår bla</w:t>
      </w:r>
      <w:r w:rsidR="00E95B86">
        <w:t>nd annat</w:t>
      </w:r>
      <w:r>
        <w:t xml:space="preserve"> att kommunen </w:t>
      </w:r>
      <w:r w:rsidR="00D22970">
        <w:t>ska stå för de</w:t>
      </w:r>
      <w:r>
        <w:t xml:space="preserve"> uppgifter och material som behövs i utvärderingsförfarandet. </w:t>
      </w:r>
      <w:r w:rsidR="00AF63DC" w:rsidRPr="00A033C8">
        <w:t>Detta kommer att ta i anspråk resurser hos kommunen utöver den representant i utvärderingsgruppen som k</w:t>
      </w:r>
      <w:r w:rsidRPr="00A033C8">
        <w:t>ommunen ska utse och finansiera</w:t>
      </w:r>
      <w:r w:rsidR="00BE1F95" w:rsidRPr="00A033C8">
        <w:t>. Omfattningen är dock beroende av hur komplexa utvärderingsförfaranden det blir frågan om</w:t>
      </w:r>
      <w:r w:rsidRPr="00A033C8">
        <w:t>.</w:t>
      </w:r>
    </w:p>
    <w:p w14:paraId="5352C7C6" w14:textId="38C2812C" w:rsidR="003478C5" w:rsidRDefault="003478C5" w:rsidP="003478C5">
      <w:pPr>
        <w:pStyle w:val="ANormal"/>
      </w:pPr>
      <w:r>
        <w:tab/>
        <w:t>Förslagets indirekta långsiktiga ekonomiska konsekvenser är mer svårbedömda. Det beror på hur kommunernas ekonomiska situation utvecklas samt utfallen av eventuella utvärderingsförfaranden. Förslaget innebär ändå med säkerhet en ökad ekonomisk trygghet för både kommuninvånare, kommunala beslutsfattare och landskapsregeringen. Detta tack vare en klar definition</w:t>
      </w:r>
      <w:r w:rsidR="00654584">
        <w:t>, ett förutsägbart förfarande</w:t>
      </w:r>
      <w:r>
        <w:t xml:space="preserve"> och </w:t>
      </w:r>
      <w:r w:rsidR="00654584">
        <w:t xml:space="preserve">en eventuell </w:t>
      </w:r>
      <w:r>
        <w:t>åtgärdsplan för en kommun vars ekonomiska situation är</w:t>
      </w:r>
      <w:r w:rsidR="00654584">
        <w:t xml:space="preserve"> synnerligen</w:t>
      </w:r>
      <w:r>
        <w:t xml:space="preserve"> ansträngd. Åtgärdsplanen bör bidra till att hindra att en redan ansträngd ekonomi inte faller djupare in i en värre situation och på det sättet skapas en ekonomisk trygghet för alla parter. Denna ekonomiska trygghet kan hypotetiskt sett vara en väsentlig inbesparing i form av uteblivna förluster för kommunerna och landskapsregeringen.</w:t>
      </w:r>
    </w:p>
    <w:p w14:paraId="7EC50A9C" w14:textId="049100D4" w:rsidR="003478C5" w:rsidRDefault="003478C5" w:rsidP="003478C5">
      <w:pPr>
        <w:pStyle w:val="ANormal"/>
      </w:pPr>
      <w:r>
        <w:tab/>
      </w:r>
      <w:r w:rsidR="00654584">
        <w:t>Att</w:t>
      </w:r>
      <w:r>
        <w:t xml:space="preserve"> nya investeringar under pågående utvärderingsförfarande </w:t>
      </w:r>
      <w:r w:rsidR="00654584">
        <w:t>inte får inledas</w:t>
      </w:r>
      <w:r>
        <w:t xml:space="preserve"> kan naturligtvis påverka kommunens möjlighet att genomföra ett projekt men är nödvändigt för att utvärderingsgruppen ska ha möjlighet att även analysera kommunens möjligheter att genomföra projektet. Tanken är dock inte att pågående projekt ska påverkas, utan att endast </w:t>
      </w:r>
      <w:r w:rsidR="00654584">
        <w:t xml:space="preserve">möjligheten att inleda </w:t>
      </w:r>
      <w:r>
        <w:t>nya projekt av viss storleksordning</w:t>
      </w:r>
      <w:r w:rsidR="00654584">
        <w:t xml:space="preserve"> begränsas</w:t>
      </w:r>
      <w:r>
        <w:t>.</w:t>
      </w:r>
    </w:p>
    <w:p w14:paraId="0DD328BB" w14:textId="3D527C2E" w:rsidR="006D41A2" w:rsidRDefault="006D41A2" w:rsidP="00797873">
      <w:pPr>
        <w:pStyle w:val="ANormal"/>
      </w:pPr>
      <w:r>
        <w:tab/>
      </w:r>
      <w:r w:rsidRPr="000844AA">
        <w:t>Slutligen bör också nämnas att det likviditetsstöd</w:t>
      </w:r>
      <w:r w:rsidR="00B10BB7">
        <w:t xml:space="preserve"> som planeras för</w:t>
      </w:r>
      <w:r w:rsidRPr="000844AA">
        <w:t xml:space="preserve"> kommuner som är föremål för ett utvärderingsförfarande kommer att medföra ökade kostnader för landskapet.</w:t>
      </w:r>
    </w:p>
    <w:p w14:paraId="31184124" w14:textId="77777777" w:rsidR="007A274E" w:rsidRDefault="007A274E" w:rsidP="007A274E">
      <w:pPr>
        <w:pStyle w:val="ANormal"/>
      </w:pPr>
    </w:p>
    <w:p w14:paraId="0A87C9F0" w14:textId="256358CD" w:rsidR="007A274E" w:rsidRDefault="005834B6" w:rsidP="00F11E1A">
      <w:pPr>
        <w:pStyle w:val="RubrikC"/>
      </w:pPr>
      <w:bookmarkStart w:id="44" w:name="_Toc194570797"/>
      <w:r>
        <w:t xml:space="preserve">7.2 </w:t>
      </w:r>
      <w:r w:rsidR="007A274E">
        <w:t>Utfall för nyckeltalen – vilka kommuner skulle uppfylla kriterierna idag?</w:t>
      </w:r>
      <w:bookmarkEnd w:id="44"/>
    </w:p>
    <w:p w14:paraId="165AB716" w14:textId="77777777" w:rsidR="007A274E" w:rsidRDefault="007A274E" w:rsidP="007A274E">
      <w:pPr>
        <w:pStyle w:val="Rubrikmellanrum"/>
      </w:pPr>
    </w:p>
    <w:p w14:paraId="79E739C2" w14:textId="26E5B431" w:rsidR="0026556F" w:rsidRPr="00E07C08" w:rsidRDefault="0026556F" w:rsidP="00797873">
      <w:pPr>
        <w:pStyle w:val="ANormal"/>
      </w:pPr>
      <w:r w:rsidRPr="00E07C08">
        <w:t xml:space="preserve">Avsikten är att den föreslagna lagstiftningen ska träda i kraft </w:t>
      </w:r>
      <w:r w:rsidR="00E07C08">
        <w:t>vid ingången av</w:t>
      </w:r>
      <w:r w:rsidRPr="00E07C08">
        <w:t xml:space="preserve"> 202</w:t>
      </w:r>
      <w:r w:rsidR="00E07C08">
        <w:t>6</w:t>
      </w:r>
      <w:r w:rsidRPr="00E07C08">
        <w:t>, vilket innebär att den komm</w:t>
      </w:r>
      <w:r w:rsidR="00E879C2" w:rsidRPr="00E07C08">
        <w:t>er</w:t>
      </w:r>
      <w:r w:rsidRPr="00E07C08">
        <w:t xml:space="preserve"> att tillämpas första gången när bokslutsuppgifterna för 202</w:t>
      </w:r>
      <w:r w:rsidR="00E07C08">
        <w:t>5</w:t>
      </w:r>
      <w:r w:rsidRPr="00E07C08">
        <w:t xml:space="preserve"> publiceras under hösten 202</w:t>
      </w:r>
      <w:r w:rsidR="00E07C08">
        <w:t>6</w:t>
      </w:r>
      <w:r w:rsidRPr="00E07C08">
        <w:t>. H</w:t>
      </w:r>
      <w:r>
        <w:t xml:space="preserve">uruvida lagförslaget får några omedelbara konsekvenser beror på om någon kommun då uppfyller kriterierna för en kommun med en synnerligen ansträngd ekonomi. </w:t>
      </w:r>
      <w:r w:rsidRPr="00E07C08">
        <w:t>I bilaga</w:t>
      </w:r>
      <w:r w:rsidR="00B0735D" w:rsidRPr="00E07C08">
        <w:t>n till detta lagförslag</w:t>
      </w:r>
      <w:r w:rsidRPr="00E07C08">
        <w:t xml:space="preserve"> visas historiska data för de aktuella nyckeltalen för de enskilda kommunerna under åren 201</w:t>
      </w:r>
      <w:r w:rsidR="00CD4C7B" w:rsidRPr="00E07C08">
        <w:t>4</w:t>
      </w:r>
      <w:r w:rsidRPr="00E07C08">
        <w:t>–202</w:t>
      </w:r>
      <w:r w:rsidR="00E07C08" w:rsidRPr="00E07C08">
        <w:t>3</w:t>
      </w:r>
      <w:r w:rsidRPr="00E07C08">
        <w:t>.</w:t>
      </w:r>
    </w:p>
    <w:p w14:paraId="37694D20" w14:textId="3F9039C0" w:rsidR="007A274E" w:rsidRPr="00E07C08" w:rsidRDefault="008B6AB8" w:rsidP="00797873">
      <w:pPr>
        <w:pStyle w:val="ANormal"/>
      </w:pPr>
      <w:r w:rsidRPr="00E07C08">
        <w:tab/>
      </w:r>
      <w:r w:rsidR="007A274E" w:rsidRPr="00E07C08">
        <w:t>I tabell 1 i bilaga</w:t>
      </w:r>
      <w:r w:rsidRPr="00E07C08">
        <w:t>n</w:t>
      </w:r>
      <w:r w:rsidR="007A274E" w:rsidRPr="00E07C08">
        <w:t xml:space="preserve"> presenteras utfallet för </w:t>
      </w:r>
      <w:r w:rsidRPr="00E07C08">
        <w:t>det första kriteriet</w:t>
      </w:r>
      <w:r w:rsidR="007A274E" w:rsidRPr="00E07C08">
        <w:t>, ackumulerat överskott eller underskott</w:t>
      </w:r>
      <w:r w:rsidRPr="00E07C08">
        <w:t xml:space="preserve"> i kommunens balansräkning</w:t>
      </w:r>
      <w:r w:rsidR="007A274E" w:rsidRPr="00E07C08">
        <w:t xml:space="preserve">. Som framgår av tabellen har de flesta kommuner rätt stora överskott. </w:t>
      </w:r>
      <w:r w:rsidR="001E0767" w:rsidRPr="00E07C08">
        <w:t xml:space="preserve">Nyckeltalet för </w:t>
      </w:r>
      <w:r w:rsidR="007A274E" w:rsidRPr="00E07C08">
        <w:t>Kökar</w:t>
      </w:r>
      <w:r w:rsidR="001E0767" w:rsidRPr="00E07C08">
        <w:t xml:space="preserve"> varierar mellan ackumulerat överskott och</w:t>
      </w:r>
      <w:r w:rsidR="007A274E" w:rsidRPr="00E07C08">
        <w:t xml:space="preserve"> underskott</w:t>
      </w:r>
      <w:r w:rsidR="001E0767" w:rsidRPr="00E07C08">
        <w:t>,</w:t>
      </w:r>
      <w:r w:rsidR="007A274E" w:rsidRPr="00E07C08">
        <w:t xml:space="preserve"> men som framgår </w:t>
      </w:r>
      <w:r w:rsidRPr="00E07C08">
        <w:t>i tabellen</w:t>
      </w:r>
      <w:r w:rsidR="007A274E" w:rsidRPr="00E07C08">
        <w:t xml:space="preserve"> skulle </w:t>
      </w:r>
      <w:r w:rsidR="001E0767" w:rsidRPr="00E07C08">
        <w:t>kommunens</w:t>
      </w:r>
      <w:r w:rsidR="007A274E" w:rsidRPr="00E07C08">
        <w:t xml:space="preserve"> </w:t>
      </w:r>
      <w:r w:rsidR="001E0767" w:rsidRPr="00E07C08">
        <w:t>ekonomi</w:t>
      </w:r>
      <w:r w:rsidR="007A274E" w:rsidRPr="00E07C08">
        <w:t xml:space="preserve"> </w:t>
      </w:r>
      <w:r w:rsidR="00E879C2" w:rsidRPr="00E07C08">
        <w:t xml:space="preserve">inte </w:t>
      </w:r>
      <w:r w:rsidR="001E0767" w:rsidRPr="00E07C08">
        <w:t>definieras</w:t>
      </w:r>
      <w:r w:rsidR="00E879C2" w:rsidRPr="00E07C08">
        <w:t xml:space="preserve"> som synnerligen ansträngd eftersom underskottet inte sträcker sig över </w:t>
      </w:r>
      <w:r w:rsidR="00843207">
        <w:t>fem</w:t>
      </w:r>
      <w:r w:rsidR="00E879C2" w:rsidRPr="00E07C08">
        <w:t xml:space="preserve"> år i följd.</w:t>
      </w:r>
    </w:p>
    <w:p w14:paraId="1B57F2B3" w14:textId="4D5DD6A1" w:rsidR="00E879C2" w:rsidRPr="00E07C08" w:rsidRDefault="008B6AB8" w:rsidP="00797873">
      <w:pPr>
        <w:pStyle w:val="ANormal"/>
      </w:pPr>
      <w:r w:rsidRPr="00E07C08">
        <w:lastRenderedPageBreak/>
        <w:tab/>
        <w:t>T</w:t>
      </w:r>
      <w:r w:rsidR="007A274E" w:rsidRPr="00E07C08">
        <w:t>abell 2 i bilaga</w:t>
      </w:r>
      <w:r w:rsidRPr="00E07C08">
        <w:t xml:space="preserve">n visar förhållandet mellan årsbidrag och avskrivningar, vilket är det </w:t>
      </w:r>
      <w:r w:rsidR="00DD5C11" w:rsidRPr="00E07C08">
        <w:t xml:space="preserve">andra kriteriets ena nyckeltal. </w:t>
      </w:r>
      <w:r w:rsidR="00E879C2" w:rsidRPr="00E07C08">
        <w:t>Där framgår att flera kommuner ligger under</w:t>
      </w:r>
      <w:r w:rsidR="001E0767" w:rsidRPr="00E07C08">
        <w:t xml:space="preserve"> </w:t>
      </w:r>
      <w:r w:rsidR="00E879C2" w:rsidRPr="00E07C08">
        <w:t xml:space="preserve">gränsvärdet </w:t>
      </w:r>
      <w:r w:rsidR="00843207">
        <w:t>8</w:t>
      </w:r>
      <w:r w:rsidR="00E879C2" w:rsidRPr="00E07C08">
        <w:t xml:space="preserve">0 procent i medeltal över tre år. Från </w:t>
      </w:r>
      <w:r w:rsidR="00524A82" w:rsidRPr="00E07C08">
        <w:t xml:space="preserve">och med </w:t>
      </w:r>
      <w:r w:rsidR="00E879C2" w:rsidRPr="00E07C08">
        <w:t>201</w:t>
      </w:r>
      <w:r w:rsidR="001E0767" w:rsidRPr="00E07C08">
        <w:t>6</w:t>
      </w:r>
      <w:r w:rsidR="00E879C2" w:rsidRPr="00E07C08">
        <w:t xml:space="preserve"> har årsbidraget/avskrivningar stadigt sjunkit för </w:t>
      </w:r>
      <w:r w:rsidR="001E0767" w:rsidRPr="00E07C08">
        <w:t>de åländska kommunerna som grupp</w:t>
      </w:r>
      <w:r w:rsidR="00E879C2" w:rsidRPr="00E07C08">
        <w:t xml:space="preserve"> </w:t>
      </w:r>
      <w:r w:rsidR="001E0767" w:rsidRPr="00E07C08">
        <w:t xml:space="preserve">fram till </w:t>
      </w:r>
      <w:r w:rsidR="00524A82" w:rsidRPr="00E07C08">
        <w:t xml:space="preserve">och med </w:t>
      </w:r>
      <w:r w:rsidR="001E0767" w:rsidRPr="00E07C08">
        <w:t>2020</w:t>
      </w:r>
      <w:r w:rsidR="00E879C2" w:rsidRPr="00E07C08">
        <w:t xml:space="preserve">, för att igen öka en aning </w:t>
      </w:r>
      <w:r w:rsidR="00843207">
        <w:t xml:space="preserve">från och med </w:t>
      </w:r>
      <w:r w:rsidR="00E879C2" w:rsidRPr="00E07C08">
        <w:t>202</w:t>
      </w:r>
      <w:r w:rsidR="00DA39A5">
        <w:t>1</w:t>
      </w:r>
      <w:r w:rsidR="00E879C2" w:rsidRPr="00E07C08">
        <w:t>. För 202</w:t>
      </w:r>
      <w:r w:rsidR="00843207">
        <w:t>3</w:t>
      </w:r>
      <w:r w:rsidR="00E879C2" w:rsidRPr="00E07C08">
        <w:t xml:space="preserve"> låg </w:t>
      </w:r>
      <w:r w:rsidR="00843207">
        <w:t>fem</w:t>
      </w:r>
      <w:r w:rsidR="00E879C2" w:rsidRPr="00E07C08">
        <w:t xml:space="preserve"> av de sexton kommunerna under gränsvärdet </w:t>
      </w:r>
      <w:r w:rsidR="00843207">
        <w:t>8</w:t>
      </w:r>
      <w:r w:rsidR="00E879C2" w:rsidRPr="00E07C08">
        <w:t>0 procent</w:t>
      </w:r>
      <w:r w:rsidR="00843207">
        <w:t>, av dem</w:t>
      </w:r>
      <w:r w:rsidR="00E879C2" w:rsidRPr="00E07C08">
        <w:t xml:space="preserve"> låg</w:t>
      </w:r>
      <w:r w:rsidR="00843207">
        <w:t xml:space="preserve"> fyra</w:t>
      </w:r>
      <w:r w:rsidR="00E879C2" w:rsidRPr="00E07C08">
        <w:t xml:space="preserve"> under gränsvärdet två år i följd.</w:t>
      </w:r>
    </w:p>
    <w:p w14:paraId="495EDED0" w14:textId="2072D185" w:rsidR="00E879C2" w:rsidRPr="00E07C08" w:rsidRDefault="00E879C2" w:rsidP="00797873">
      <w:pPr>
        <w:pStyle w:val="ANormal"/>
      </w:pPr>
      <w:r w:rsidRPr="00E07C08">
        <w:tab/>
        <w:t xml:space="preserve">Det andra nyckeltalet, soliditetsgraden, visas i tabell 3. Här syns att Kökar och Lumparland har en soliditetsgrad under gränsvärdet 50 procent för alla </w:t>
      </w:r>
      <w:r w:rsidR="00974786" w:rsidRPr="00E07C08">
        <w:t>år som ingår i beräkningen</w:t>
      </w:r>
      <w:r w:rsidRPr="00E07C08">
        <w:t xml:space="preserve">.  För </w:t>
      </w:r>
      <w:r w:rsidR="00974786" w:rsidRPr="00E07C08">
        <w:t>202</w:t>
      </w:r>
      <w:r w:rsidR="00843207">
        <w:t>3</w:t>
      </w:r>
      <w:r w:rsidR="00974786" w:rsidRPr="00E07C08">
        <w:t xml:space="preserve">, som är det </w:t>
      </w:r>
      <w:r w:rsidRPr="00E07C08">
        <w:t>senaste året</w:t>
      </w:r>
      <w:r w:rsidR="00974786" w:rsidRPr="00E07C08">
        <w:t>,</w:t>
      </w:r>
      <w:r w:rsidRPr="00E07C08">
        <w:t xml:space="preserve"> ligger </w:t>
      </w:r>
      <w:r w:rsidR="00843207">
        <w:t xml:space="preserve">Geta, </w:t>
      </w:r>
      <w:r w:rsidRPr="00E07C08">
        <w:t>Kökar, Lemland</w:t>
      </w:r>
      <w:r w:rsidR="00974786" w:rsidRPr="00E07C08">
        <w:t xml:space="preserve"> och</w:t>
      </w:r>
      <w:r w:rsidRPr="00E07C08">
        <w:t xml:space="preserve"> Lumparland under gräns</w:t>
      </w:r>
      <w:r w:rsidR="00974786" w:rsidRPr="00E07C08">
        <w:t>värdet</w:t>
      </w:r>
      <w:r w:rsidRPr="00E07C08">
        <w:t>.</w:t>
      </w:r>
    </w:p>
    <w:p w14:paraId="14886755" w14:textId="39069A65" w:rsidR="007A274E" w:rsidRDefault="007A274E" w:rsidP="00797873">
      <w:pPr>
        <w:pStyle w:val="ANormal"/>
      </w:pPr>
      <w:r w:rsidRPr="00E07C08">
        <w:tab/>
        <w:t xml:space="preserve">För att klassificeras som kommun med synnerligen ansträngd ekonomi måste alltså </w:t>
      </w:r>
      <w:r w:rsidR="006763E2" w:rsidRPr="00E07C08">
        <w:t xml:space="preserve">gränsvärdena för </w:t>
      </w:r>
      <w:r w:rsidRPr="00E07C08">
        <w:t xml:space="preserve">de båda </w:t>
      </w:r>
      <w:r w:rsidR="00B0735D" w:rsidRPr="00E07C08">
        <w:t>sistnämnda</w:t>
      </w:r>
      <w:r w:rsidRPr="00E07C08">
        <w:t xml:space="preserve"> </w:t>
      </w:r>
      <w:r w:rsidR="006763E2" w:rsidRPr="00E07C08">
        <w:t>nyckeltalen</w:t>
      </w:r>
      <w:r w:rsidRPr="00E07C08">
        <w:t xml:space="preserve"> </w:t>
      </w:r>
      <w:r w:rsidR="006763E2" w:rsidRPr="00E07C08">
        <w:t>underskridas</w:t>
      </w:r>
      <w:r w:rsidRPr="00E07C08">
        <w:t xml:space="preserve"> </w:t>
      </w:r>
      <w:r w:rsidR="00B0735D" w:rsidRPr="00E07C08">
        <w:t xml:space="preserve">samtidigt under </w:t>
      </w:r>
      <w:r w:rsidRPr="00E07C08">
        <w:t xml:space="preserve">två år i </w:t>
      </w:r>
      <w:r w:rsidR="007B35AA" w:rsidRPr="00E07C08">
        <w:t>följd</w:t>
      </w:r>
      <w:r w:rsidRPr="00E07C08">
        <w:t xml:space="preserve">. </w:t>
      </w:r>
      <w:r w:rsidR="007B35AA" w:rsidRPr="00E07C08">
        <w:t xml:space="preserve">Då syns att Lumparland </w:t>
      </w:r>
      <w:r w:rsidR="00843207" w:rsidRPr="00E07C08">
        <w:t xml:space="preserve">och </w:t>
      </w:r>
      <w:r w:rsidR="00843207">
        <w:t xml:space="preserve">Vårdö </w:t>
      </w:r>
      <w:r w:rsidR="007B35AA" w:rsidRPr="00E07C08">
        <w:t>skulle ha definierats som kommuner med synnerligen ansträngd ekonomi om lagen hade tillämpats under hösten 202</w:t>
      </w:r>
      <w:r w:rsidR="00843207">
        <w:t>4</w:t>
      </w:r>
      <w:r w:rsidR="007B35AA" w:rsidRPr="00E07C08">
        <w:t>.</w:t>
      </w:r>
    </w:p>
    <w:p w14:paraId="57F11242" w14:textId="77777777" w:rsidR="007A274E" w:rsidRPr="003478C5" w:rsidRDefault="007A274E" w:rsidP="00797873">
      <w:pPr>
        <w:pStyle w:val="ANormal"/>
      </w:pPr>
    </w:p>
    <w:p w14:paraId="0B5DADB9" w14:textId="6F52848A" w:rsidR="003478C5" w:rsidRDefault="004A5909" w:rsidP="003478C5">
      <w:pPr>
        <w:pStyle w:val="RubrikC"/>
      </w:pPr>
      <w:bookmarkStart w:id="45" w:name="_Toc194570798"/>
      <w:r>
        <w:t>7</w:t>
      </w:r>
      <w:r w:rsidR="003478C5">
        <w:t xml:space="preserve">.3 </w:t>
      </w:r>
      <w:r w:rsidR="005834B6">
        <w:t>Övriga k</w:t>
      </w:r>
      <w:r w:rsidR="003478C5">
        <w:t>onsekvenser</w:t>
      </w:r>
      <w:bookmarkEnd w:id="45"/>
    </w:p>
    <w:p w14:paraId="2031777C" w14:textId="24C19EF3" w:rsidR="003478C5" w:rsidRDefault="003478C5" w:rsidP="003478C5">
      <w:pPr>
        <w:pStyle w:val="Rubrikmellanrum"/>
      </w:pPr>
    </w:p>
    <w:p w14:paraId="5471E09E" w14:textId="5E31F5B7" w:rsidR="003478C5" w:rsidRDefault="005834B6" w:rsidP="003478C5">
      <w:pPr>
        <w:pStyle w:val="ANormal"/>
      </w:pPr>
      <w:r>
        <w:t>Förslagets effekter på miljön och jämställdheten mellan könen samt eventuella barnkonsekvenser är mycket svårbedömda. Syftet med lagförslaget är att säkerställa alla invånares rätt till lagstadgad service även i en situation där kommunen har svårigheter att tillhandahålla servicen. Därav kan slutsatsen dras att effekterna sannolikt är positiva.</w:t>
      </w:r>
    </w:p>
    <w:p w14:paraId="68394F78" w14:textId="77777777" w:rsidR="005834B6" w:rsidRDefault="005834B6" w:rsidP="003478C5">
      <w:pPr>
        <w:pStyle w:val="ANormal"/>
      </w:pPr>
    </w:p>
    <w:p w14:paraId="18E8061C" w14:textId="292B1010" w:rsidR="009B24CA" w:rsidRDefault="004A5909" w:rsidP="009B24CA">
      <w:pPr>
        <w:pStyle w:val="RubrikB"/>
      </w:pPr>
      <w:bookmarkStart w:id="46" w:name="_Toc72760298"/>
      <w:bookmarkStart w:id="47" w:name="_Toc194570799"/>
      <w:r>
        <w:t>8</w:t>
      </w:r>
      <w:r w:rsidR="009B24CA">
        <w:t xml:space="preserve">. </w:t>
      </w:r>
      <w:r w:rsidR="00C8581A">
        <w:t>B</w:t>
      </w:r>
      <w:r w:rsidR="009B24CA">
        <w:t>eredning</w:t>
      </w:r>
      <w:bookmarkEnd w:id="46"/>
      <w:r w:rsidR="00C8581A" w:rsidRPr="00C8581A">
        <w:t xml:space="preserve"> </w:t>
      </w:r>
      <w:r w:rsidR="00C8581A">
        <w:t>och ikraftträdande</w:t>
      </w:r>
      <w:bookmarkEnd w:id="47"/>
    </w:p>
    <w:p w14:paraId="183F22F0" w14:textId="77777777" w:rsidR="009B24CA" w:rsidRDefault="009B24CA" w:rsidP="009B24CA">
      <w:pPr>
        <w:pStyle w:val="Rubrikmellanrum"/>
      </w:pPr>
    </w:p>
    <w:p w14:paraId="3B5D2CE5" w14:textId="47BDBBAF" w:rsidR="00C8581A" w:rsidRDefault="000011CD" w:rsidP="009B24CA">
      <w:pPr>
        <w:pStyle w:val="ANormal"/>
      </w:pPr>
      <w:r>
        <w:t xml:space="preserve">Beredningen inleddes med att ÅSUB på </w:t>
      </w:r>
      <w:r w:rsidR="00F52A50">
        <w:t xml:space="preserve">uppdrag av landskapsregeringen tog </w:t>
      </w:r>
      <w:r w:rsidR="000D3EFB">
        <w:t xml:space="preserve">fram ett </w:t>
      </w:r>
      <w:r w:rsidR="00F52A50">
        <w:t>pm</w:t>
      </w:r>
      <w:r w:rsidR="000D3EFB">
        <w:rPr>
          <w:rStyle w:val="Fotnotsreferens"/>
        </w:rPr>
        <w:footnoteReference w:id="12"/>
      </w:r>
      <w:r w:rsidR="00F52A50">
        <w:t xml:space="preserve"> </w:t>
      </w:r>
      <w:bookmarkStart w:id="48" w:name="_Hlk126230475"/>
      <w:r>
        <w:t>om hur kommuner i ekonomisk obalans kan definieras</w:t>
      </w:r>
      <w:bookmarkEnd w:id="48"/>
      <w:r w:rsidR="00F52A50">
        <w:t>. Me</w:t>
      </w:r>
      <w:r w:rsidR="00C8581A">
        <w:t>d</w:t>
      </w:r>
      <w:r w:rsidR="00F52A50">
        <w:t xml:space="preserve"> utgångspunkt i detta pm formulerades en </w:t>
      </w:r>
      <w:r w:rsidR="003478C5" w:rsidRPr="003478C5">
        <w:t>lagstiftningspromemoria</w:t>
      </w:r>
      <w:r w:rsidR="00312506">
        <w:rPr>
          <w:rStyle w:val="Fotnotsreferens"/>
        </w:rPr>
        <w:footnoteReference w:id="13"/>
      </w:r>
      <w:r w:rsidR="003478C5" w:rsidRPr="003478C5">
        <w:t xml:space="preserve"> </w:t>
      </w:r>
      <w:r w:rsidR="00C8581A">
        <w:t xml:space="preserve">som </w:t>
      </w:r>
      <w:r w:rsidR="003478C5" w:rsidRPr="003478C5">
        <w:t>skicka</w:t>
      </w:r>
      <w:r w:rsidR="00C8581A">
        <w:t>de</w:t>
      </w:r>
      <w:r w:rsidR="003478C5" w:rsidRPr="003478C5">
        <w:t>s på remiss till kommunerna</w:t>
      </w:r>
      <w:r w:rsidR="00C8581A">
        <w:t>, kommunalförbunden</w:t>
      </w:r>
      <w:r w:rsidR="003478C5" w:rsidRPr="003478C5">
        <w:t xml:space="preserve"> och Ålands kommunförbund kf.</w:t>
      </w:r>
      <w:r w:rsidR="00C8581A">
        <w:t xml:space="preserve"> under sommaren 202</w:t>
      </w:r>
      <w:r>
        <w:t>1</w:t>
      </w:r>
      <w:r w:rsidR="00C8581A">
        <w:t>.</w:t>
      </w:r>
      <w:r w:rsidR="0030269B">
        <w:t xml:space="preserve"> Ålands kommunförbund och Mariehamns stad hade också blivit hörda under beredningen av promemori</w:t>
      </w:r>
      <w:r w:rsidR="004120FC">
        <w:t>an.</w:t>
      </w:r>
    </w:p>
    <w:p w14:paraId="3FCE3669" w14:textId="69BC9E53" w:rsidR="00D03F5F" w:rsidRDefault="00D03F5F" w:rsidP="009B24CA">
      <w:pPr>
        <w:pStyle w:val="ANormal"/>
      </w:pPr>
      <w:r>
        <w:tab/>
      </w:r>
      <w:r w:rsidR="008A11AB">
        <w:t>Alla kommuner utom Kökar lämnade synpunkter på lagstiftningspromemorian under remissbehandlingen. Av kommunalförbunden var det bara Kommunernas socialtjänst (KST) som inkom med synpunkter på förslaget.</w:t>
      </w:r>
      <w:r w:rsidR="005A5080">
        <w:t xml:space="preserve"> En övervägande del av dem som inkom med svar var positiva till lagförslaget som sådant</w:t>
      </w:r>
      <w:r w:rsidR="004120FC">
        <w:t>, även om flera av dem också var kritiska till vissa detaljer i förslaget</w:t>
      </w:r>
      <w:r w:rsidR="00A32C29">
        <w:t>.</w:t>
      </w:r>
    </w:p>
    <w:p w14:paraId="33163CC1" w14:textId="6FDCA8DD" w:rsidR="00917A37" w:rsidRDefault="004120FC" w:rsidP="009B24CA">
      <w:pPr>
        <w:pStyle w:val="ANormal"/>
      </w:pPr>
      <w:r>
        <w:tab/>
      </w:r>
      <w:r w:rsidR="00917A37">
        <w:t xml:space="preserve">Till följd av de synpunkter som framkom vid remissbehandlingen </w:t>
      </w:r>
      <w:r w:rsidR="000011CD">
        <w:t>gjordes</w:t>
      </w:r>
      <w:r w:rsidR="00917A37">
        <w:t xml:space="preserve"> vissa ändringar i förslaget. </w:t>
      </w:r>
      <w:r w:rsidR="007B76E7">
        <w:t xml:space="preserve">Till exempel </w:t>
      </w:r>
      <w:r w:rsidR="000011CD">
        <w:t xml:space="preserve">preciserades </w:t>
      </w:r>
      <w:r w:rsidR="007B76E7">
        <w:t xml:space="preserve">den föreslagna begränsningen av kommunens möjlighet att göra investeringar. </w:t>
      </w:r>
      <w:r w:rsidR="00917A37">
        <w:t xml:space="preserve">Flera av kommunerna var kritiska till att de flesta steg i processen var valbara och därmed beroende av landskapsregeringens ställningstagande. Med anledning av det </w:t>
      </w:r>
      <w:r w:rsidR="000011CD">
        <w:t>formulerades lag</w:t>
      </w:r>
      <w:r w:rsidR="00917A37">
        <w:t>förslag</w:t>
      </w:r>
      <w:r w:rsidR="000011CD">
        <w:t>et</w:t>
      </w:r>
      <w:r w:rsidR="00917A37">
        <w:t xml:space="preserve"> så att inledandet av ett utvärderingsförfarande </w:t>
      </w:r>
      <w:r w:rsidR="000011CD">
        <w:t>är</w:t>
      </w:r>
      <w:r w:rsidR="00917A37">
        <w:t xml:space="preserve"> en direkt följd av lagen.</w:t>
      </w:r>
      <w:r w:rsidR="0078702C">
        <w:t xml:space="preserve"> Det innebär att ett sådant förfarande alltid ska inledas när de kriterier som anges i lagen är uppfyllda. Om det visar sig att orsaken till att kriterierna uppfylldes enbart var en tillfällighet, eller att kommunen i fråga under förfarandets gång ordnar upp sin ekonomi, kommer det att visa sig i utvärderingen. I ett sådan</w:t>
      </w:r>
      <w:r w:rsidR="003B7FEC">
        <w:t>t</w:t>
      </w:r>
      <w:r w:rsidR="0078702C">
        <w:t xml:space="preserve"> fall är det inte nödvändigt att vidta några vidare åtgärder efter att utvärderingsgruppen har lämnat sin rapport och förfarandet </w:t>
      </w:r>
      <w:r w:rsidR="00165C2E">
        <w:t>avslutas</w:t>
      </w:r>
      <w:r w:rsidR="0078702C">
        <w:t xml:space="preserve"> därmed. Det är också en av anledning</w:t>
      </w:r>
      <w:r w:rsidR="00165C2E">
        <w:t>arna</w:t>
      </w:r>
      <w:r w:rsidR="0078702C">
        <w:t xml:space="preserve"> till att </w:t>
      </w:r>
      <w:r w:rsidR="00165C2E">
        <w:t xml:space="preserve">förslaget </w:t>
      </w:r>
      <w:r w:rsidR="00165C2E">
        <w:lastRenderedPageBreak/>
        <w:t xml:space="preserve">inte har </w:t>
      </w:r>
      <w:r w:rsidR="0078702C">
        <w:t>formulera</w:t>
      </w:r>
      <w:r w:rsidR="00165C2E">
        <w:t>ts</w:t>
      </w:r>
      <w:r w:rsidR="0078702C">
        <w:t xml:space="preserve"> så att det skulle vara obligatoriskt att inleda en särskild kommunindelningsutredning som nästa steg. Även om sådana fall där det är uppenbart onödigt skulle undantas, är det betydligt fler aspekter som bör beaktas när det gäller en sådan utredning. </w:t>
      </w:r>
      <w:r w:rsidR="007B76E7">
        <w:t>I det skedet ska fler kommuner tas med i processen, kommuner vars ekonomi inte är synnerligen ansträngd, vilket gör beslutsfattandet mer komplext.</w:t>
      </w:r>
    </w:p>
    <w:p w14:paraId="785F8E62" w14:textId="5E5A9480" w:rsidR="003B7FEC" w:rsidRDefault="003B7FEC" w:rsidP="009B24CA">
      <w:pPr>
        <w:pStyle w:val="ANormal"/>
      </w:pPr>
      <w:r>
        <w:tab/>
        <w:t xml:space="preserve">När det gäller de nyckeltal som föreslogs som kriterier i lagstiftningspromemorian </w:t>
      </w:r>
      <w:r w:rsidR="000011CD">
        <w:t xml:space="preserve">föranledde </w:t>
      </w:r>
      <w:r>
        <w:t>remissbehandlingen inte några ändringar.</w:t>
      </w:r>
    </w:p>
    <w:p w14:paraId="0A7F648C" w14:textId="3F84F35F" w:rsidR="00083983" w:rsidRDefault="003B7FEC" w:rsidP="009B24CA">
      <w:pPr>
        <w:pStyle w:val="ANormal"/>
      </w:pPr>
      <w:r>
        <w:tab/>
        <w:t xml:space="preserve">De remissinstanser som gavs möjlighet att yttra sig över lagstiftningspromemorian </w:t>
      </w:r>
      <w:r w:rsidR="000011CD">
        <w:t xml:space="preserve">fick också komma med utlåtanden över lagförslaget </w:t>
      </w:r>
      <w:r w:rsidR="00235891">
        <w:t>genom</w:t>
      </w:r>
      <w:r w:rsidR="000011CD">
        <w:t xml:space="preserve"> </w:t>
      </w:r>
      <w:r w:rsidR="00235891">
        <w:t xml:space="preserve">ny </w:t>
      </w:r>
      <w:r w:rsidR="000011CD">
        <w:t>en remiss</w:t>
      </w:r>
      <w:r w:rsidR="00235891">
        <w:t>runda</w:t>
      </w:r>
      <w:r w:rsidR="000011CD">
        <w:t xml:space="preserve"> </w:t>
      </w:r>
      <w:r w:rsidR="00235891">
        <w:t xml:space="preserve">under </w:t>
      </w:r>
      <w:r w:rsidR="00083983">
        <w:t xml:space="preserve">våren 2022. </w:t>
      </w:r>
      <w:r w:rsidR="00F65C62">
        <w:t>Under remissbehandlingen inkom samtliga kommuner förutom Kökar med yttranden</w:t>
      </w:r>
      <w:r w:rsidR="004D63AC">
        <w:t>.</w:t>
      </w:r>
      <w:r w:rsidR="00F65C62">
        <w:t xml:space="preserve"> </w:t>
      </w:r>
      <w:r w:rsidR="00D93EF3">
        <w:t>Utöver</w:t>
      </w:r>
      <w:r w:rsidR="004D63AC">
        <w:t xml:space="preserve"> kommunerna l</w:t>
      </w:r>
      <w:r w:rsidR="00F65C62">
        <w:t xml:space="preserve">ämnade </w:t>
      </w:r>
      <w:r w:rsidR="004D63AC">
        <w:t xml:space="preserve">också </w:t>
      </w:r>
      <w:r w:rsidR="00F65C62">
        <w:t>KST</w:t>
      </w:r>
      <w:r w:rsidR="004D63AC">
        <w:t>,</w:t>
      </w:r>
      <w:r w:rsidR="00F65C62">
        <w:t xml:space="preserve"> </w:t>
      </w:r>
      <w:r w:rsidR="00F65C62" w:rsidRPr="003478C5">
        <w:t>Ålands kommunförbund</w:t>
      </w:r>
      <w:r w:rsidR="004D63AC">
        <w:t>,</w:t>
      </w:r>
      <w:r w:rsidR="00F65C62">
        <w:t xml:space="preserve"> ÅSUB och Ålands framtid</w:t>
      </w:r>
      <w:r w:rsidR="00D93EF3" w:rsidRPr="00D93EF3">
        <w:t xml:space="preserve"> </w:t>
      </w:r>
      <w:r w:rsidR="00D93EF3">
        <w:t>utlåtanden</w:t>
      </w:r>
      <w:r w:rsidR="00F65C62">
        <w:t>.</w:t>
      </w:r>
      <w:r w:rsidR="00D93EF3">
        <w:t xml:space="preserve"> </w:t>
      </w:r>
      <w:r w:rsidR="00B14C13">
        <w:t>De synpunkter som framfördes sammanföll i stor utsträckning med dem som framkom under remissbehandlingen av lagstiftningspromemorian. Flertalet kommuner ställ</w:t>
      </w:r>
      <w:r w:rsidR="00F0103C">
        <w:t>d</w:t>
      </w:r>
      <w:r w:rsidR="00B14C13">
        <w:t>e sig positiva till lagstiftningen som sådan även om detaljer i förslaget ifrågas</w:t>
      </w:r>
      <w:r w:rsidR="00F0103C">
        <w:t>a</w:t>
      </w:r>
      <w:r w:rsidR="00B14C13">
        <w:t>tt</w:t>
      </w:r>
      <w:r w:rsidR="00F0103C">
        <w:t>e</w:t>
      </w:r>
      <w:r w:rsidR="00B14C13">
        <w:t xml:space="preserve">s. </w:t>
      </w:r>
      <w:r w:rsidR="003A719D">
        <w:t>Landskapsregeringen vidh</w:t>
      </w:r>
      <w:r w:rsidR="00F0103C">
        <w:t>ö</w:t>
      </w:r>
      <w:r w:rsidR="003A719D">
        <w:t xml:space="preserve">ll de ställningstaganden som gjordes efter den första remissbehandlingen och därför </w:t>
      </w:r>
      <w:r w:rsidR="00F0103C">
        <w:t xml:space="preserve">gjordes </w:t>
      </w:r>
      <w:r w:rsidR="003A719D">
        <w:t xml:space="preserve">inte några väsentliga ändringar av förslaget. </w:t>
      </w:r>
      <w:r w:rsidR="009E61BB" w:rsidRPr="005049FD">
        <w:t xml:space="preserve">Tiden för hela utvärderingsförfarandet </w:t>
      </w:r>
      <w:r w:rsidR="00F0103C" w:rsidRPr="005049FD">
        <w:t>förläng</w:t>
      </w:r>
      <w:r w:rsidR="00F0103C">
        <w:t>de</w:t>
      </w:r>
      <w:r w:rsidR="00F0103C" w:rsidRPr="005049FD">
        <w:t xml:space="preserve">s </w:t>
      </w:r>
      <w:r w:rsidR="009E61BB" w:rsidRPr="005049FD">
        <w:t xml:space="preserve">i viss mån genom att tillsättandet av utvärderingsgruppen anges som utgångspunkt för när förfarandet ska vara avslutat. I det tidigare förslaget var utgångspunkten landskapsregeringens beslut om inledande av ett utvärderingsförfarande. </w:t>
      </w:r>
      <w:r w:rsidR="00EB6D86" w:rsidRPr="005049FD">
        <w:t xml:space="preserve">Den tidpunkt när utvärderingsgruppen tillsätts är en mer logisk utgångspunkt eftersom det är då det egentliga arbetet med utvärderingen startar. </w:t>
      </w:r>
      <w:r w:rsidR="009E61BB" w:rsidRPr="005049FD">
        <w:t xml:space="preserve">Samtidigt </w:t>
      </w:r>
      <w:r w:rsidR="00F0103C" w:rsidRPr="005049FD">
        <w:t>förläng</w:t>
      </w:r>
      <w:r w:rsidR="00F0103C">
        <w:t>de</w:t>
      </w:r>
      <w:r w:rsidR="00F0103C" w:rsidRPr="005049FD">
        <w:t xml:space="preserve">s </w:t>
      </w:r>
      <w:r w:rsidR="009E61BB" w:rsidRPr="005049FD">
        <w:t>också t</w:t>
      </w:r>
      <w:r w:rsidR="00E77E9C" w:rsidRPr="005049FD">
        <w:t>idsfristen för fullmäktiges behandling av utvärderingsgruppens åtgärdsförslag från två till tre månader</w:t>
      </w:r>
      <w:r w:rsidR="009E61BB" w:rsidRPr="005049FD">
        <w:t xml:space="preserve">. Därutöver </w:t>
      </w:r>
      <w:r w:rsidR="00F0103C">
        <w:t xml:space="preserve">gjordes </w:t>
      </w:r>
      <w:r w:rsidR="009E61BB">
        <w:t>v</w:t>
      </w:r>
      <w:r w:rsidR="003A719D">
        <w:t xml:space="preserve">issa förtydliganden, </w:t>
      </w:r>
      <w:r w:rsidR="009A3C61">
        <w:t xml:space="preserve">bland annat </w:t>
      </w:r>
      <w:r w:rsidR="00F0103C">
        <w:t xml:space="preserve">preciserades </w:t>
      </w:r>
      <w:r w:rsidR="009A3C61">
        <w:t>definitionen av</w:t>
      </w:r>
      <w:r w:rsidR="003A719D">
        <w:t xml:space="preserve"> </w:t>
      </w:r>
      <w:r w:rsidR="009A3C61">
        <w:t xml:space="preserve">nyckeltalen och </w:t>
      </w:r>
      <w:r w:rsidR="003A719D">
        <w:t>rollfördelningen under utvärderingsförfarandet</w:t>
      </w:r>
      <w:r w:rsidR="009A3C61">
        <w:t xml:space="preserve"> beskr</w:t>
      </w:r>
      <w:r w:rsidR="00F0103C">
        <w:t>e</w:t>
      </w:r>
      <w:r w:rsidR="009A3C61">
        <w:t>vs tydligare</w:t>
      </w:r>
      <w:r w:rsidR="003A719D">
        <w:t>.</w:t>
      </w:r>
    </w:p>
    <w:p w14:paraId="7E77875C" w14:textId="268668F2" w:rsidR="001D49A1" w:rsidRPr="00836E03" w:rsidRDefault="001D49A1" w:rsidP="001D49A1">
      <w:pPr>
        <w:pStyle w:val="ANormal"/>
      </w:pPr>
      <w:r>
        <w:tab/>
      </w:r>
      <w:r w:rsidRPr="00836E03">
        <w:t>Efter att den nuvarande landskapsregeringen tillträdde har lagförslaget behandlats på nytt och vissa förtydliganden har gjorts, främst i den allmänna motiveringen. Därefter genomför</w:t>
      </w:r>
      <w:r w:rsidR="00D4189F" w:rsidRPr="00836E03">
        <w:t>des</w:t>
      </w:r>
      <w:r w:rsidRPr="00836E03">
        <w:t xml:space="preserve"> ytterligare en remissrunda</w:t>
      </w:r>
      <w:r w:rsidR="00F200D3" w:rsidRPr="00836E03">
        <w:t xml:space="preserve"> under sommaren 2024</w:t>
      </w:r>
      <w:r w:rsidR="00DD0014" w:rsidRPr="00836E03">
        <w:t xml:space="preserve"> där samtliga kommuner utom Sottunga lämnade ett utlåtande. Förutom kommunerna kom Ålands kommunförbund samt Obunden samling med utlåtanden. När det gäller kommunernas och Ålands kommunförbunds yttranden framfördes egentligen inga nya synpunkter, i många fall hänvisades till tidigare utlåtanden. Obunden samling var kritisk till förslaget och ansåg att det skulle förkastas.</w:t>
      </w:r>
    </w:p>
    <w:p w14:paraId="5870F0DA" w14:textId="03D4EC8E" w:rsidR="00DD0014" w:rsidRPr="00836E03" w:rsidRDefault="00DD0014" w:rsidP="00797873">
      <w:pPr>
        <w:pStyle w:val="ANormal"/>
      </w:pPr>
      <w:r w:rsidRPr="00836E03">
        <w:tab/>
        <w:t>Efter den sista remissrundan har vissa ändringar gjorts</w:t>
      </w:r>
      <w:r w:rsidR="00876481" w:rsidRPr="00836E03">
        <w:t xml:space="preserve">. </w:t>
      </w:r>
      <w:r w:rsidR="00DA39A5">
        <w:t>D</w:t>
      </w:r>
      <w:r w:rsidR="00876481" w:rsidRPr="00836E03">
        <w:t>et första kriteriet</w:t>
      </w:r>
      <w:r w:rsidR="00DA39A5">
        <w:t xml:space="preserve"> har</w:t>
      </w:r>
      <w:r w:rsidR="00876481" w:rsidRPr="00836E03">
        <w:t xml:space="preserve"> ändrats så att den tid kommunen har för att täcka ett underskott i balansräkningen har förlängts. Ändringen motiveras av att kriteriet </w:t>
      </w:r>
      <w:r w:rsidR="00104A37" w:rsidRPr="00836E03">
        <w:t>bör</w:t>
      </w:r>
      <w:r w:rsidR="00876481" w:rsidRPr="00836E03">
        <w:t xml:space="preserve"> överensstämma med </w:t>
      </w:r>
      <w:r w:rsidR="006C5D0B" w:rsidRPr="00836E03">
        <w:t>det</w:t>
      </w:r>
      <w:r w:rsidR="00876481" w:rsidRPr="00836E03">
        <w:t xml:space="preserve"> balanskrav som </w:t>
      </w:r>
      <w:r w:rsidR="00DA39A5">
        <w:t>är tänkt</w:t>
      </w:r>
      <w:r w:rsidR="00876481" w:rsidRPr="00836E03">
        <w:t xml:space="preserve"> att ingå i en förnyad kommunallag. Det här föreslagna tidsspannet motsvarar det balanskrav som nu </w:t>
      </w:r>
      <w:r w:rsidR="00104A37" w:rsidRPr="00836E03">
        <w:t>har formulerats</w:t>
      </w:r>
      <w:r w:rsidR="00876481" w:rsidRPr="00836E03">
        <w:t xml:space="preserve"> i </w:t>
      </w:r>
      <w:r w:rsidR="006C5D0B" w:rsidRPr="00836E03">
        <w:t>det tidigare nämnda</w:t>
      </w:r>
      <w:r w:rsidR="00876481" w:rsidRPr="00836E03">
        <w:t xml:space="preserve"> betänkande</w:t>
      </w:r>
      <w:r w:rsidR="006C5D0B" w:rsidRPr="00836E03">
        <w:t>t</w:t>
      </w:r>
      <w:r w:rsidR="00876481" w:rsidRPr="00836E03">
        <w:t xml:space="preserve"> om revidering av kommunallagen</w:t>
      </w:r>
      <w:r w:rsidR="006C5D0B" w:rsidRPr="00836E03">
        <w:t xml:space="preserve"> (se avsnitt 2.2 ovan)</w:t>
      </w:r>
      <w:r w:rsidR="00104A37" w:rsidRPr="00836E03">
        <w:t>.</w:t>
      </w:r>
      <w:r w:rsidR="00876481" w:rsidRPr="00836E03">
        <w:t xml:space="preserve"> </w:t>
      </w:r>
      <w:r w:rsidR="00A039C0" w:rsidRPr="00836E03">
        <w:t xml:space="preserve">För det andra har gränsvärdet för ett av nyckeltalen, årsbidrag i förhållande till avskrivningar, i det andra kriteriet sänkts från 100 till 80 procent. Ändringen har gjorts i enlighet med önskemål från flera kommuner </w:t>
      </w:r>
      <w:r w:rsidR="00DA39A5">
        <w:t xml:space="preserve">om </w:t>
      </w:r>
      <w:r w:rsidR="00A039C0" w:rsidRPr="00836E03">
        <w:t xml:space="preserve">att gränsvärdet </w:t>
      </w:r>
      <w:r w:rsidR="00533CB8" w:rsidRPr="00836E03">
        <w:t xml:space="preserve">inte </w:t>
      </w:r>
      <w:r w:rsidR="00DA39A5">
        <w:t>bör</w:t>
      </w:r>
      <w:r w:rsidR="00A039C0" w:rsidRPr="00836E03">
        <w:t xml:space="preserve"> </w:t>
      </w:r>
      <w:r w:rsidR="00533CB8" w:rsidRPr="00836E03">
        <w:t>vara på en högre nivå än motsvarande kriterium i rikets kommunallag.</w:t>
      </w:r>
    </w:p>
    <w:p w14:paraId="492BFE98" w14:textId="5E94630E" w:rsidR="009B24CA" w:rsidRDefault="006C17F3" w:rsidP="00797873">
      <w:pPr>
        <w:pStyle w:val="ANormal"/>
      </w:pPr>
      <w:r w:rsidRPr="00836E03">
        <w:tab/>
      </w:r>
      <w:r w:rsidR="00622636" w:rsidRPr="00836E03">
        <w:t>Avsikten är att den</w:t>
      </w:r>
      <w:r w:rsidR="003478C5" w:rsidRPr="00836E03">
        <w:t xml:space="preserve"> föreslagna lagstiftningen </w:t>
      </w:r>
      <w:r w:rsidR="00622636" w:rsidRPr="00836E03">
        <w:t>ska</w:t>
      </w:r>
      <w:r w:rsidR="003478C5" w:rsidRPr="00836E03">
        <w:t xml:space="preserve"> träda i kraft</w:t>
      </w:r>
      <w:r w:rsidR="001870E5" w:rsidRPr="00836E03">
        <w:t xml:space="preserve"> </w:t>
      </w:r>
      <w:r w:rsidR="00CF6F16" w:rsidRPr="00836E03">
        <w:t xml:space="preserve">vid ingången av </w:t>
      </w:r>
      <w:r w:rsidR="003478C5" w:rsidRPr="00836E03">
        <w:t>202</w:t>
      </w:r>
      <w:r w:rsidR="00CF6F16" w:rsidRPr="00836E03">
        <w:t>6</w:t>
      </w:r>
      <w:r w:rsidR="003478C5" w:rsidRPr="00836E03">
        <w:t xml:space="preserve">. Den första bedömningen av kommunernas ekonomiska situation </w:t>
      </w:r>
      <w:r w:rsidR="00DA39A5">
        <w:t>skulle</w:t>
      </w:r>
      <w:r w:rsidR="003478C5" w:rsidRPr="00836E03">
        <w:t xml:space="preserve"> därmed göras </w:t>
      </w:r>
      <w:r w:rsidR="00F537F0" w:rsidRPr="00836E03">
        <w:t>när</w:t>
      </w:r>
      <w:r w:rsidR="003478C5" w:rsidRPr="00836E03">
        <w:t xml:space="preserve"> </w:t>
      </w:r>
      <w:r w:rsidR="00F537F0" w:rsidRPr="00836E03">
        <w:t>boksluts</w:t>
      </w:r>
      <w:r w:rsidR="003478C5" w:rsidRPr="00836E03">
        <w:t>uppgifterna för 202</w:t>
      </w:r>
      <w:r w:rsidR="00CF6F16" w:rsidRPr="00836E03">
        <w:t>5</w:t>
      </w:r>
      <w:r w:rsidR="00622636" w:rsidRPr="00836E03">
        <w:t xml:space="preserve"> publiceras </w:t>
      </w:r>
      <w:r w:rsidR="004D45C4" w:rsidRPr="00836E03">
        <w:t>hösten</w:t>
      </w:r>
      <w:r w:rsidR="00622636" w:rsidRPr="00836E03">
        <w:t xml:space="preserve"> 202</w:t>
      </w:r>
      <w:r w:rsidR="00CF6F16" w:rsidRPr="00836E03">
        <w:t>6</w:t>
      </w:r>
      <w:r w:rsidR="003478C5" w:rsidRPr="00836E03">
        <w:t>.</w:t>
      </w:r>
    </w:p>
    <w:p w14:paraId="78846442" w14:textId="77777777" w:rsidR="009B24CA" w:rsidRDefault="009B24CA">
      <w:pPr>
        <w:pStyle w:val="ANormal"/>
      </w:pPr>
    </w:p>
    <w:p w14:paraId="5CF85A82" w14:textId="77777777" w:rsidR="00AF3004" w:rsidRDefault="00AF3004">
      <w:pPr>
        <w:pStyle w:val="RubrikA"/>
      </w:pPr>
      <w:bookmarkStart w:id="49" w:name="_Toc194570800"/>
      <w:r>
        <w:lastRenderedPageBreak/>
        <w:t>Detaljmotivering</w:t>
      </w:r>
      <w:bookmarkEnd w:id="49"/>
    </w:p>
    <w:p w14:paraId="3EB515DD" w14:textId="77777777" w:rsidR="00AF3004" w:rsidRDefault="00AF3004">
      <w:pPr>
        <w:pStyle w:val="Rubrikmellanrum"/>
      </w:pPr>
    </w:p>
    <w:p w14:paraId="44149F58" w14:textId="75569063" w:rsidR="00AF3004" w:rsidRDefault="00AF3004">
      <w:pPr>
        <w:pStyle w:val="RubrikB"/>
      </w:pPr>
      <w:bookmarkStart w:id="50" w:name="_Toc194570801"/>
      <w:r>
        <w:t xml:space="preserve">1. </w:t>
      </w:r>
      <w:r w:rsidR="004F0466">
        <w:t xml:space="preserve">LL om </w:t>
      </w:r>
      <w:r w:rsidR="0052731E">
        <w:t>ett utvärderingsförfarande för</w:t>
      </w:r>
      <w:r w:rsidR="004F0466">
        <w:t xml:space="preserve"> kommuner med synnerligen ansträngd ekonomi</w:t>
      </w:r>
      <w:bookmarkEnd w:id="50"/>
    </w:p>
    <w:p w14:paraId="6631C790" w14:textId="77777777" w:rsidR="00AF3004" w:rsidRDefault="00AF3004">
      <w:pPr>
        <w:pStyle w:val="Rubrikmellanrum"/>
      </w:pPr>
    </w:p>
    <w:p w14:paraId="33E943BF" w14:textId="7DA8F04A" w:rsidR="006568F0" w:rsidRDefault="00BB742F">
      <w:pPr>
        <w:pStyle w:val="ANormal"/>
      </w:pPr>
      <w:r>
        <w:t>1</w:t>
      </w:r>
      <w:r w:rsidR="004B746A">
        <w:t> §</w:t>
      </w:r>
      <w:r w:rsidR="00AF3004">
        <w:t xml:space="preserve"> </w:t>
      </w:r>
      <w:r w:rsidR="007776A9">
        <w:rPr>
          <w:i/>
          <w:iCs/>
        </w:rPr>
        <w:t>Lagens syfte</w:t>
      </w:r>
      <w:r w:rsidR="00AF3004">
        <w:rPr>
          <w:i/>
          <w:iCs/>
        </w:rPr>
        <w:t>.</w:t>
      </w:r>
      <w:r w:rsidR="00AF3004">
        <w:t xml:space="preserve"> </w:t>
      </w:r>
      <w:r>
        <w:t xml:space="preserve">Syftet </w:t>
      </w:r>
      <w:r w:rsidR="006568F0">
        <w:t xml:space="preserve">med lagen </w:t>
      </w:r>
      <w:r>
        <w:t xml:space="preserve">är att skapa ett förfarande för att </w:t>
      </w:r>
      <w:r w:rsidR="00C06067">
        <w:t xml:space="preserve">på ett förutsägbart sätt kunna </w:t>
      </w:r>
      <w:r>
        <w:t xml:space="preserve">trygga den lagstadgade servicen i en kommun trots att ekonomin är synnerligen ansträngd. </w:t>
      </w:r>
      <w:r w:rsidR="006568F0">
        <w:t>Den föreslagna</w:t>
      </w:r>
      <w:r>
        <w:t xml:space="preserve"> lagen </w:t>
      </w:r>
      <w:r w:rsidR="006568F0">
        <w:t xml:space="preserve">innehåller </w:t>
      </w:r>
      <w:r>
        <w:t xml:space="preserve">bestämmelser om </w:t>
      </w:r>
      <w:r w:rsidR="006568F0">
        <w:t xml:space="preserve">under vilka förutsättningar </w:t>
      </w:r>
      <w:r>
        <w:t>utvärderingsförfarandet</w:t>
      </w:r>
      <w:r w:rsidR="006568F0">
        <w:t xml:space="preserve"> ska inledas </w:t>
      </w:r>
      <w:r>
        <w:t xml:space="preserve">och </w:t>
      </w:r>
      <w:r w:rsidR="006568F0">
        <w:t>de regler som gäller förfarandet.</w:t>
      </w:r>
    </w:p>
    <w:p w14:paraId="15886074" w14:textId="19FC17F6" w:rsidR="006568F0" w:rsidRDefault="006568F0">
      <w:pPr>
        <w:pStyle w:val="ANormal"/>
      </w:pPr>
      <w:r>
        <w:tab/>
        <w:t>I vissa fall där utvärderingsförfarandet och de åtgärder kommunen själv vidtar som en följd av förfarandet, kan det finnas behov av att göra en sådan särskild kommunindelningsutredning som regleras i kommunstrukturlagen. Det blir i så fall frågan om ett förfarande som är separat från utvärderingsförfarandet enligt den här föreslagna lagen.</w:t>
      </w:r>
      <w:r w:rsidR="006D7416">
        <w:t xml:space="preserve"> I förtydligande syfte intas en hänvisning till </w:t>
      </w:r>
      <w:r w:rsidR="003B790F">
        <w:t>kommunstruktur</w:t>
      </w:r>
      <w:r w:rsidR="006D7416">
        <w:t>lagen i den föreslagna paragrafens 2</w:t>
      </w:r>
      <w:r w:rsidR="004B746A">
        <w:t> mom.</w:t>
      </w:r>
    </w:p>
    <w:p w14:paraId="72A93626" w14:textId="77777777" w:rsidR="00B35A08" w:rsidRDefault="00B35A08" w:rsidP="00BB742F">
      <w:pPr>
        <w:pStyle w:val="ANormal"/>
      </w:pPr>
    </w:p>
    <w:p w14:paraId="241B1249" w14:textId="6BD545A0" w:rsidR="00A63448" w:rsidRDefault="003D255A" w:rsidP="00A63448">
      <w:pPr>
        <w:pStyle w:val="ANormal"/>
      </w:pPr>
      <w:r>
        <w:t>2</w:t>
      </w:r>
      <w:r w:rsidR="004B746A">
        <w:t> §</w:t>
      </w:r>
      <w:r w:rsidR="00810EF8">
        <w:t xml:space="preserve"> </w:t>
      </w:r>
      <w:r>
        <w:rPr>
          <w:i/>
          <w:iCs/>
        </w:rPr>
        <w:t>Kriterier</w:t>
      </w:r>
      <w:r w:rsidR="00810EF8">
        <w:rPr>
          <w:i/>
          <w:iCs/>
        </w:rPr>
        <w:t xml:space="preserve"> för </w:t>
      </w:r>
      <w:r>
        <w:rPr>
          <w:i/>
          <w:iCs/>
        </w:rPr>
        <w:t>en synnerligen ansträngd ekonomi</w:t>
      </w:r>
      <w:r w:rsidR="00810EF8">
        <w:rPr>
          <w:i/>
          <w:iCs/>
        </w:rPr>
        <w:t>.</w:t>
      </w:r>
      <w:r w:rsidR="00810EF8">
        <w:t xml:space="preserve"> </w:t>
      </w:r>
      <w:r w:rsidR="007805B3">
        <w:t>Två</w:t>
      </w:r>
      <w:r w:rsidR="00A63448">
        <w:t xml:space="preserve"> kriterier föreslås utgöra grund för definitionen av en synnerligen ansträngd ekonomi, varav </w:t>
      </w:r>
      <w:r w:rsidR="007805B3">
        <w:t>det ena</w:t>
      </w:r>
      <w:r w:rsidR="00A63448">
        <w:t xml:space="preserve"> </w:t>
      </w:r>
      <w:r w:rsidR="008B6AB8">
        <w:t>består av ett enskilt nyckeltal</w:t>
      </w:r>
      <w:r w:rsidR="00A63448">
        <w:t xml:space="preserve"> medan </w:t>
      </w:r>
      <w:r w:rsidR="007805B3">
        <w:t>det andra utgörs av två olika nyckeltal med angivna gränsvärden.</w:t>
      </w:r>
      <w:r w:rsidR="00A63448">
        <w:t xml:space="preserve"> </w:t>
      </w:r>
      <w:r w:rsidR="007805B3">
        <w:t>Om minst ett av kriterierna uppfylls</w:t>
      </w:r>
      <w:r w:rsidR="00A63448">
        <w:t xml:space="preserve"> </w:t>
      </w:r>
      <w:r w:rsidR="007805B3">
        <w:t xml:space="preserve">betraktas </w:t>
      </w:r>
      <w:r w:rsidR="00A63448">
        <w:t>kommunens ekonomi som synnerligen ansträngd.</w:t>
      </w:r>
      <w:r w:rsidR="0008627D" w:rsidRPr="0008627D">
        <w:t xml:space="preserve"> </w:t>
      </w:r>
      <w:r w:rsidR="0008627D">
        <w:t xml:space="preserve">Definitionerna av nyckeltalen </w:t>
      </w:r>
      <w:r w:rsidR="00AB3C2C">
        <w:t>följer</w:t>
      </w:r>
      <w:r w:rsidR="0008627D">
        <w:t xml:space="preserve"> </w:t>
      </w:r>
      <w:r w:rsidR="0093627C">
        <w:t xml:space="preserve">huvudsakligen </w:t>
      </w:r>
      <w:r w:rsidR="0008627D">
        <w:t>Bokföringsnämndens anvisningar</w:t>
      </w:r>
      <w:r w:rsidR="0011320A">
        <w:t xml:space="preserve"> </w:t>
      </w:r>
      <w:r w:rsidR="0008627D">
        <w:t>om upprättande av bokslut</w:t>
      </w:r>
      <w:r w:rsidR="0011320A">
        <w:rPr>
          <w:rStyle w:val="Fotnotsreferens"/>
        </w:rPr>
        <w:footnoteReference w:id="14"/>
      </w:r>
      <w:r w:rsidR="0008627D">
        <w:t>.</w:t>
      </w:r>
    </w:p>
    <w:p w14:paraId="1D520231" w14:textId="0751AE4C" w:rsidR="00CE7234" w:rsidRDefault="0093627C" w:rsidP="00A63448">
      <w:pPr>
        <w:pStyle w:val="ANormal"/>
      </w:pPr>
      <w:r>
        <w:tab/>
      </w:r>
      <w:r w:rsidRPr="00326A86">
        <w:t>Enligt det föreslagna 1</w:t>
      </w:r>
      <w:r w:rsidR="004B746A">
        <w:t> mom.</w:t>
      </w:r>
      <w:r w:rsidRPr="00326A86">
        <w:t xml:space="preserve"> ska ett underskott i </w:t>
      </w:r>
      <w:r w:rsidR="00C64A95" w:rsidRPr="00326A86">
        <w:t xml:space="preserve">kommunens </w:t>
      </w:r>
      <w:r w:rsidRPr="00326A86">
        <w:t xml:space="preserve">balansräkning vara </w:t>
      </w:r>
      <w:r w:rsidRPr="00AA65BF">
        <w:t>åtgärdat inom t</w:t>
      </w:r>
      <w:r w:rsidR="00337707" w:rsidRPr="00AA65BF">
        <w:t>re</w:t>
      </w:r>
      <w:r w:rsidRPr="00AA65BF">
        <w:t xml:space="preserve"> år räknat från ingången av det år </w:t>
      </w:r>
      <w:r w:rsidR="00337707" w:rsidRPr="00AA65BF">
        <w:t xml:space="preserve">som följer efter det år </w:t>
      </w:r>
      <w:r w:rsidRPr="00AA65BF">
        <w:t>då bokslutet fastställdes.</w:t>
      </w:r>
      <w:r w:rsidRPr="00326A86">
        <w:t xml:space="preserve"> Det nyckeltal som avses är ackumulerat överskott/underskott och beräknas utgående från över- eller underskott från tidigare räkenskapsperioder, räkenskapsperiodens över- eller underskott samt summan av frivilliga reserveringar och avskrivningsdifferenser.</w:t>
      </w:r>
    </w:p>
    <w:p w14:paraId="062320FA" w14:textId="0D08E5B2" w:rsidR="00CE7234" w:rsidRDefault="00CE7234" w:rsidP="00A63448">
      <w:pPr>
        <w:pStyle w:val="ANormal"/>
      </w:pPr>
    </w:p>
    <w:p w14:paraId="10AA414D" w14:textId="5A13794B" w:rsidR="00CE7234" w:rsidRDefault="0095173B" w:rsidP="00A63448">
      <w:pPr>
        <w:pStyle w:val="ANormal"/>
      </w:pPr>
      <w:r>
        <w:rPr>
          <w:noProof/>
        </w:rPr>
        <mc:AlternateContent>
          <mc:Choice Requires="wps">
            <w:drawing>
              <wp:anchor distT="0" distB="0" distL="114300" distR="114300" simplePos="0" relativeHeight="251663360" behindDoc="0" locked="0" layoutInCell="1" allowOverlap="1" wp14:anchorId="1E33035D" wp14:editId="3450157A">
                <wp:simplePos x="0" y="0"/>
                <wp:positionH relativeFrom="margin">
                  <wp:align>center</wp:align>
                </wp:positionH>
                <wp:positionV relativeFrom="paragraph">
                  <wp:posOffset>-9525</wp:posOffset>
                </wp:positionV>
                <wp:extent cx="3267075" cy="857250"/>
                <wp:effectExtent l="0" t="0" r="28575" b="19050"/>
                <wp:wrapNone/>
                <wp:docPr id="16" name="Textruta 16"/>
                <wp:cNvGraphicFramePr/>
                <a:graphic xmlns:a="http://schemas.openxmlformats.org/drawingml/2006/main">
                  <a:graphicData uri="http://schemas.microsoft.com/office/word/2010/wordprocessingShape">
                    <wps:wsp>
                      <wps:cNvSpPr txBox="1"/>
                      <wps:spPr>
                        <a:xfrm>
                          <a:off x="0" y="0"/>
                          <a:ext cx="3267075" cy="857250"/>
                        </a:xfrm>
                        <a:prstGeom prst="rect">
                          <a:avLst/>
                        </a:prstGeom>
                        <a:solidFill>
                          <a:sysClr val="window" lastClr="FFFFFF"/>
                        </a:solidFill>
                        <a:ln w="6350">
                          <a:solidFill>
                            <a:prstClr val="black"/>
                          </a:solidFill>
                        </a:ln>
                      </wps:spPr>
                      <wps:txbx>
                        <w:txbxContent>
                          <w:p w14:paraId="0FA8F7B6" w14:textId="77777777" w:rsidR="00CE7234" w:rsidRPr="003E5242" w:rsidRDefault="00CE7234" w:rsidP="00CE7234">
                            <w:pPr>
                              <w:pStyle w:val="Tabelltext"/>
                              <w:jc w:val="center"/>
                              <w:rPr>
                                <w:sz w:val="20"/>
                              </w:rPr>
                            </w:pPr>
                            <w:r w:rsidRPr="003E5242">
                              <w:rPr>
                                <w:sz w:val="20"/>
                              </w:rPr>
                              <w:t>Ackumulerat överskott/underskott:</w:t>
                            </w:r>
                          </w:p>
                          <w:p w14:paraId="6033AEF9" w14:textId="77777777" w:rsidR="00CE7234" w:rsidRPr="003E5242" w:rsidRDefault="00CE7234" w:rsidP="00CE7234">
                            <w:pPr>
                              <w:pStyle w:val="Tabelltext"/>
                              <w:rPr>
                                <w:sz w:val="20"/>
                              </w:rPr>
                            </w:pPr>
                          </w:p>
                          <w:p w14:paraId="39CC6697" w14:textId="77777777" w:rsidR="00CE7234" w:rsidRPr="003E5242" w:rsidRDefault="00CE7234" w:rsidP="00CE7234">
                            <w:pPr>
                              <w:pStyle w:val="Tabelltext"/>
                              <w:rPr>
                                <w:sz w:val="20"/>
                              </w:rPr>
                            </w:pPr>
                            <w:r w:rsidRPr="003E5242">
                              <w:rPr>
                                <w:sz w:val="20"/>
                              </w:rPr>
                              <w:t>överskott/underskott från tidigare räkenskapsperioder + räkenskapsperiodens överskott/underskott + avskrivningsdifferenser och reserveringar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33035D" id="_x0000_t202" coordsize="21600,21600" o:spt="202" path="m,l,21600r21600,l21600,xe">
                <v:stroke joinstyle="miter"/>
                <v:path gradientshapeok="t" o:connecttype="rect"/>
              </v:shapetype>
              <v:shape id="Textruta 16" o:spid="_x0000_s1026" type="#_x0000_t202" style="position:absolute;left:0;text-align:left;margin-left:0;margin-top:-.75pt;width:257.25pt;height:67.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QROPgIAAI0EAAAOAAAAZHJzL2Uyb0RvYy54bWysVE1vGjEQvVfqf7B8LwskQIqyRJSIqhJK&#10;IpEqZ+P1hlW9Htc27NJf32fz2aSnqhzMjGf8ZubNzN7etbVmW+V8RSbnvU6XM2UkFZV5zfn35/mn&#10;G858EKYQmozK+U55fjf5+OG2sWPVpzXpQjkGEOPHjc35OgQ7zjIv16oWvkNWGRhLcrUIUN1rVjjR&#10;AL3WWb/bHWYNucI6ksp73N7vjXyS8MtSyfBYll4FpnOO3EI6XTpX8cwmt2L86oRdV/KQhviHLGpR&#10;GQQ9Qd2LINjGVe+g6ko68lSGjqQ6o7KspEo1oJpe9001y7WwKtUCcrw90eT/H6x82C7tk2Oh/UIt&#10;GhgJaawfe1zGetrS1fEfmTLYQeHuRJtqA5O4vOoPR93RgDMJ281g1B8kXrPza+t8+KqoZlHIuUNb&#10;Eltiu/ABEeF6dInBPOmqmFdaJ2XnZ9qxrUAH0fiCGs608AGXOZ+nX0waEH8804Y1OR9eIZd3kDHW&#10;CXOlhfzxHgF42gD2TEaUQrtqDwytqNiBOEf7mfJWzivgLpDak3AYInCFxQiPOEpNSIYOEmdrcr/+&#10;dh/90VtYOWswlDn3PzfCKVT8zaDrn3vX13GKk3INpqG4S8vq0mI29YzAWg8raGUSo3/QR7F0VL9g&#10;f6YxKkzCSMTOeTiKs7BfFeyfVNNpcsLcWhEWZmllhI7kRj6f2xfh7KHBAaPxQMfxFeM3fd77xpeG&#10;pptAZZWGIBK8Z/XAO2Y+Nfawn3GpLvXkdf6KTH4DAAD//wMAUEsDBBQABgAIAAAAIQBfwOMW2wAA&#10;AAcBAAAPAAAAZHJzL2Rvd25yZXYueG1sTI/BTsMwEETvSPyDtUjcWieUoDbEqRASR4RIOcDNtbeJ&#10;IV5HsZuGfj3LCW6zmtHM22o7+15MOEYXSEG+zEAgmWAdtQredk+LNYiYNFndB0IF3xhhW19eVLq0&#10;4USvODWpFVxCsdQKupSGUspoOvQ6LsOAxN4hjF4nPsdW2lGfuNz38ibL7qTXjnih0wM+dmi+mqNX&#10;YOk9kPlwz2dHjXGb88v600xKXV/ND/cgEs7pLwy/+IwONTPtw5FsFL0CfiQpWOQFCHaL/JbFnmOr&#10;VQGyruR//voHAAD//wMAUEsBAi0AFAAGAAgAAAAhALaDOJL+AAAA4QEAABMAAAAAAAAAAAAAAAAA&#10;AAAAAFtDb250ZW50X1R5cGVzXS54bWxQSwECLQAUAAYACAAAACEAOP0h/9YAAACUAQAACwAAAAAA&#10;AAAAAAAAAAAvAQAAX3JlbHMvLnJlbHNQSwECLQAUAAYACAAAACEAkG0ETj4CAACNBAAADgAAAAAA&#10;AAAAAAAAAAAuAgAAZHJzL2Uyb0RvYy54bWxQSwECLQAUAAYACAAAACEAX8DjFtsAAAAHAQAADwAA&#10;AAAAAAAAAAAAAACYBAAAZHJzL2Rvd25yZXYueG1sUEsFBgAAAAAEAAQA8wAAAKAFAAAAAA==&#10;" fillcolor="window" strokeweight=".5pt">
                <v:textbox>
                  <w:txbxContent>
                    <w:p w14:paraId="0FA8F7B6" w14:textId="77777777" w:rsidR="00CE7234" w:rsidRPr="003E5242" w:rsidRDefault="00CE7234" w:rsidP="00CE7234">
                      <w:pPr>
                        <w:pStyle w:val="Tabelltext"/>
                        <w:jc w:val="center"/>
                        <w:rPr>
                          <w:sz w:val="20"/>
                        </w:rPr>
                      </w:pPr>
                      <w:r w:rsidRPr="003E5242">
                        <w:rPr>
                          <w:sz w:val="20"/>
                        </w:rPr>
                        <w:t>Ackumulerat överskott/underskott:</w:t>
                      </w:r>
                    </w:p>
                    <w:p w14:paraId="6033AEF9" w14:textId="77777777" w:rsidR="00CE7234" w:rsidRPr="003E5242" w:rsidRDefault="00CE7234" w:rsidP="00CE7234">
                      <w:pPr>
                        <w:pStyle w:val="Tabelltext"/>
                        <w:rPr>
                          <w:sz w:val="20"/>
                        </w:rPr>
                      </w:pPr>
                    </w:p>
                    <w:p w14:paraId="39CC6697" w14:textId="77777777" w:rsidR="00CE7234" w:rsidRPr="003E5242" w:rsidRDefault="00CE7234" w:rsidP="00CE7234">
                      <w:pPr>
                        <w:pStyle w:val="Tabelltext"/>
                        <w:rPr>
                          <w:sz w:val="20"/>
                        </w:rPr>
                      </w:pPr>
                      <w:r w:rsidRPr="003E5242">
                        <w:rPr>
                          <w:sz w:val="20"/>
                        </w:rPr>
                        <w:t>överskott/underskott från tidigare räkenskapsperioder + räkenskapsperiodens överskott/underskott + avskrivningsdifferenser och reserveringar</w:t>
                      </w:r>
                    </w:p>
                  </w:txbxContent>
                </v:textbox>
                <w10:wrap anchorx="margin"/>
              </v:shape>
            </w:pict>
          </mc:Fallback>
        </mc:AlternateContent>
      </w:r>
    </w:p>
    <w:p w14:paraId="5111D18E" w14:textId="33A10FA0" w:rsidR="00CE7234" w:rsidRDefault="00CE7234" w:rsidP="00A63448">
      <w:pPr>
        <w:pStyle w:val="ANormal"/>
      </w:pPr>
    </w:p>
    <w:p w14:paraId="44E13B33" w14:textId="54857E96" w:rsidR="00CE7234" w:rsidRDefault="00CE7234" w:rsidP="00A63448">
      <w:pPr>
        <w:pStyle w:val="ANormal"/>
      </w:pPr>
    </w:p>
    <w:p w14:paraId="20561384" w14:textId="77777777" w:rsidR="00CE7234" w:rsidRDefault="00CE7234" w:rsidP="00A63448">
      <w:pPr>
        <w:pStyle w:val="ANormal"/>
      </w:pPr>
    </w:p>
    <w:p w14:paraId="1453DD09" w14:textId="77777777" w:rsidR="0095173B" w:rsidRDefault="0095173B" w:rsidP="00A63448">
      <w:pPr>
        <w:pStyle w:val="ANormal"/>
      </w:pPr>
    </w:p>
    <w:p w14:paraId="48BCAA2B" w14:textId="77777777" w:rsidR="0095173B" w:rsidRDefault="0095173B" w:rsidP="00A63448">
      <w:pPr>
        <w:pStyle w:val="ANormal"/>
      </w:pPr>
    </w:p>
    <w:p w14:paraId="0CE630CA" w14:textId="74E07DC9" w:rsidR="00326A86" w:rsidRDefault="00CE7234" w:rsidP="00A63448">
      <w:pPr>
        <w:pStyle w:val="ANormal"/>
      </w:pPr>
      <w:r>
        <w:tab/>
      </w:r>
      <w:r w:rsidR="00326A86" w:rsidRPr="00E77E9C">
        <w:t xml:space="preserve">De två sistnämnda posterna är att betrakta som en del av kommunens ekonomiska reserv i och med att en investeringsreservering gjorts från ett tidigare års överskott och denna reservering också kan återföras ifall </w:t>
      </w:r>
      <w:r w:rsidR="00337707">
        <w:t xml:space="preserve">den </w:t>
      </w:r>
      <w:r w:rsidR="00326A86" w:rsidRPr="00E77E9C">
        <w:t>inte används och intäktsförs då i resultaträkningen, vilket påverkar ifrågavarande räkenskapsårs resultat. Avskrivningsdifferensen i sin tur är främst ihopkopplad med användning av upptagen investeringsreservering och förändringen i differensen påverkar kommande räkenskapsårs resultat.</w:t>
      </w:r>
      <w:r w:rsidR="00291ACC" w:rsidRPr="00E77E9C">
        <w:t xml:space="preserve"> När det gäller detta kriterium är det ett underskott i primärkommunens balansräkning som är avgörande, </w:t>
      </w:r>
      <w:r w:rsidR="00A655B6" w:rsidRPr="00E77E9C">
        <w:t>oberoende av om kommunen upprättar koncernbokslut eller inte</w:t>
      </w:r>
      <w:r w:rsidR="00291ACC" w:rsidRPr="00E77E9C">
        <w:t>.</w:t>
      </w:r>
    </w:p>
    <w:p w14:paraId="4AAD5634" w14:textId="157928E5" w:rsidR="00A63448" w:rsidRPr="00AA65BF" w:rsidRDefault="00A63448" w:rsidP="00797873">
      <w:pPr>
        <w:pStyle w:val="ANormal"/>
      </w:pPr>
      <w:r>
        <w:tab/>
      </w:r>
      <w:r w:rsidRPr="00AA65BF">
        <w:t xml:space="preserve">Om underskottet inte har täckts </w:t>
      </w:r>
      <w:r w:rsidR="00C64A95" w:rsidRPr="00AA65BF">
        <w:t xml:space="preserve">inom föreskriven tid </w:t>
      </w:r>
      <w:r w:rsidRPr="00AA65BF">
        <w:t xml:space="preserve">betraktas kommunens ekonomi som synnerligen ansträngd. Det innebär till exempel att om bokslutet </w:t>
      </w:r>
      <w:r w:rsidR="000F5DFF" w:rsidRPr="00AA65BF">
        <w:t xml:space="preserve">för </w:t>
      </w:r>
      <w:r w:rsidRPr="00AA65BF">
        <w:t>202</w:t>
      </w:r>
      <w:r w:rsidR="00337707" w:rsidRPr="00AA65BF">
        <w:t>0</w:t>
      </w:r>
      <w:r w:rsidRPr="00AA65BF">
        <w:t xml:space="preserve"> visa</w:t>
      </w:r>
      <w:r w:rsidR="000F5DFF" w:rsidRPr="00AA65BF">
        <w:t>de</w:t>
      </w:r>
      <w:r w:rsidRPr="00AA65BF">
        <w:t xml:space="preserve"> ett ackumulerat underskott sk</w:t>
      </w:r>
      <w:r w:rsidR="000F483B" w:rsidRPr="00AA65BF">
        <w:t>a</w:t>
      </w:r>
      <w:r w:rsidRPr="00AA65BF">
        <w:t xml:space="preserve"> det vara täckt senast </w:t>
      </w:r>
      <w:r w:rsidR="00A06823" w:rsidRPr="00AA65BF">
        <w:t>i bokslutet</w:t>
      </w:r>
      <w:r w:rsidR="000F5DFF" w:rsidRPr="00AA65BF">
        <w:t xml:space="preserve"> för</w:t>
      </w:r>
      <w:r w:rsidRPr="00AA65BF">
        <w:t xml:space="preserve"> 20</w:t>
      </w:r>
      <w:r w:rsidR="003B790F" w:rsidRPr="00AA65BF">
        <w:t>2</w:t>
      </w:r>
      <w:r w:rsidR="00337707" w:rsidRPr="00AA65BF">
        <w:t>4</w:t>
      </w:r>
      <w:r w:rsidRPr="00AA65BF">
        <w:t>. Enligt kommunallagen fastställs kommunens bokslut före utgången av juni månad året efter räkenskapsperioden, vilket i detta exempel blir juni 202</w:t>
      </w:r>
      <w:r w:rsidR="000F5DFF" w:rsidRPr="00AA65BF">
        <w:t>2</w:t>
      </w:r>
      <w:r w:rsidRPr="00AA65BF">
        <w:t xml:space="preserve">. </w:t>
      </w:r>
      <w:r w:rsidR="007E0C96" w:rsidRPr="00AA65BF">
        <w:t>U</w:t>
      </w:r>
      <w:r w:rsidRPr="00AA65BF">
        <w:t xml:space="preserve">nderskottet </w:t>
      </w:r>
      <w:r w:rsidR="007E0C96" w:rsidRPr="00AA65BF">
        <w:t>sk</w:t>
      </w:r>
      <w:r w:rsidR="000F483B" w:rsidRPr="00AA65BF">
        <w:t>a</w:t>
      </w:r>
      <w:r w:rsidR="007E0C96" w:rsidRPr="00AA65BF">
        <w:t xml:space="preserve"> alltså </w:t>
      </w:r>
      <w:r w:rsidR="000F5DFF" w:rsidRPr="00AA65BF">
        <w:t>täckas</w:t>
      </w:r>
      <w:r w:rsidRPr="00AA65BF">
        <w:t xml:space="preserve"> inom t</w:t>
      </w:r>
      <w:r w:rsidR="00337707" w:rsidRPr="00AA65BF">
        <w:t>re</w:t>
      </w:r>
      <w:r w:rsidRPr="00AA65BF">
        <w:t xml:space="preserve"> år från ingången av </w:t>
      </w:r>
      <w:r w:rsidR="00337707" w:rsidRPr="00AA65BF">
        <w:t xml:space="preserve">följande år, det vill säga </w:t>
      </w:r>
      <w:r w:rsidRPr="00AA65BF">
        <w:t>202</w:t>
      </w:r>
      <w:r w:rsidR="00337707" w:rsidRPr="00AA65BF">
        <w:t>3</w:t>
      </w:r>
      <w:r w:rsidRPr="00AA65BF">
        <w:t>.</w:t>
      </w:r>
      <w:r w:rsidR="000A36BA" w:rsidRPr="00AA65BF">
        <w:t xml:space="preserve"> I praktiken innebär det att om en kommun </w:t>
      </w:r>
      <w:r w:rsidR="000A36BA" w:rsidRPr="00AA65BF">
        <w:lastRenderedPageBreak/>
        <w:t xml:space="preserve">uppvisar ett ackumulerat underskott </w:t>
      </w:r>
      <w:r w:rsidR="00337707" w:rsidRPr="00AA65BF">
        <w:t>fem</w:t>
      </w:r>
      <w:r w:rsidR="000A36BA" w:rsidRPr="00AA65BF">
        <w:t xml:space="preserve"> år i följd betraktas kommunens ekonomi som synnerligen ansträngd.</w:t>
      </w:r>
    </w:p>
    <w:p w14:paraId="382BCD72" w14:textId="55174FC7" w:rsidR="00CE7234" w:rsidRDefault="005319DE" w:rsidP="00797873">
      <w:pPr>
        <w:pStyle w:val="ANormal"/>
      </w:pPr>
      <w:r w:rsidRPr="00AA65BF">
        <w:tab/>
        <w:t>I det föreslagna 2</w:t>
      </w:r>
      <w:r w:rsidR="004B746A">
        <w:t> mom.</w:t>
      </w:r>
      <w:r w:rsidRPr="00AA65BF">
        <w:t xml:space="preserve"> anges det andra kriteriet för en synnerligen a</w:t>
      </w:r>
      <w:r>
        <w:t>nsträngd</w:t>
      </w:r>
      <w:r w:rsidRPr="005319DE">
        <w:t xml:space="preserve"> </w:t>
      </w:r>
      <w:r>
        <w:t xml:space="preserve">ekonomi. </w:t>
      </w:r>
      <w:r w:rsidR="0027118D">
        <w:t xml:space="preserve">Kriteriet utgörs av två ekonomiska nyckeltal med angivna gränsvärden. Om kommunen underskrider gränsvärdena för båda nyckeltal samtidigt under två på varandra följande år </w:t>
      </w:r>
      <w:r w:rsidR="00D93CC7">
        <w:t>uppfylls kriteriet för en</w:t>
      </w:r>
      <w:r w:rsidR="0027118D">
        <w:t xml:space="preserve"> ekonomi som </w:t>
      </w:r>
      <w:r w:rsidR="00D93CC7">
        <w:t xml:space="preserve">är </w:t>
      </w:r>
      <w:r w:rsidR="0027118D">
        <w:t>synnerligen ansträngd.</w:t>
      </w:r>
      <w:r w:rsidR="00FE035F" w:rsidRPr="00FE035F">
        <w:t xml:space="preserve"> </w:t>
      </w:r>
      <w:r w:rsidR="00FE035F">
        <w:t>De föreslagna nyckeltalen är dels årsbidraget</w:t>
      </w:r>
      <w:r w:rsidR="00D73D9A">
        <w:t xml:space="preserve"> i</w:t>
      </w:r>
      <w:r w:rsidR="00FE035F">
        <w:t xml:space="preserve"> </w:t>
      </w:r>
      <w:r w:rsidR="00D73D9A">
        <w:t>förhållande till</w:t>
      </w:r>
      <w:r w:rsidR="00FE035F">
        <w:t xml:space="preserve"> avskrivningar</w:t>
      </w:r>
      <w:r w:rsidR="00D73D9A">
        <w:t xml:space="preserve"> och nedskrivningar</w:t>
      </w:r>
      <w:r w:rsidR="00FE035F">
        <w:t xml:space="preserve"> i koncernresultaträkningen, dels soliditet</w:t>
      </w:r>
      <w:r w:rsidR="00865217">
        <w:t>sgrad</w:t>
      </w:r>
      <w:r w:rsidR="00C357EE">
        <w:t>en</w:t>
      </w:r>
      <w:r w:rsidR="00FE035F">
        <w:t xml:space="preserve">. </w:t>
      </w:r>
      <w:r w:rsidR="00FE035F" w:rsidRPr="00F75DC3">
        <w:t xml:space="preserve">När det gäller det förstnämnda nyckeltalet anges </w:t>
      </w:r>
      <w:r w:rsidR="00FE035F" w:rsidRPr="00AA65BF">
        <w:t xml:space="preserve">gränsvärdet </w:t>
      </w:r>
      <w:r w:rsidR="00337707" w:rsidRPr="00AA65BF">
        <w:t>8</w:t>
      </w:r>
      <w:r w:rsidR="00FE035F" w:rsidRPr="00AA65BF">
        <w:t>0 procent i</w:t>
      </w:r>
      <w:r w:rsidR="00FE035F" w:rsidRPr="00F75DC3">
        <w:t xml:space="preserve"> medeltal av de tre senaste åren.</w:t>
      </w:r>
    </w:p>
    <w:p w14:paraId="5067F1A5" w14:textId="5B83170A" w:rsidR="00CE7234" w:rsidRDefault="00CE7234" w:rsidP="00797873">
      <w:pPr>
        <w:pStyle w:val="ANormal"/>
      </w:pPr>
    </w:p>
    <w:p w14:paraId="4772D6B6" w14:textId="4F17BAFE" w:rsidR="00CE7234" w:rsidRDefault="00E90556" w:rsidP="00A63448">
      <w:pPr>
        <w:pStyle w:val="ANormal"/>
      </w:pPr>
      <w:r>
        <w:rPr>
          <w:noProof/>
        </w:rPr>
        <mc:AlternateContent>
          <mc:Choice Requires="wps">
            <w:drawing>
              <wp:anchor distT="0" distB="0" distL="114300" distR="114300" simplePos="0" relativeHeight="251661312" behindDoc="0" locked="0" layoutInCell="1" allowOverlap="1" wp14:anchorId="69E141AD" wp14:editId="5C6D8361">
                <wp:simplePos x="0" y="0"/>
                <wp:positionH relativeFrom="margin">
                  <wp:align>center</wp:align>
                </wp:positionH>
                <wp:positionV relativeFrom="paragraph">
                  <wp:posOffset>10160</wp:posOffset>
                </wp:positionV>
                <wp:extent cx="3267075" cy="600075"/>
                <wp:effectExtent l="0" t="0" r="28575" b="28575"/>
                <wp:wrapNone/>
                <wp:docPr id="17" name="Textruta 17"/>
                <wp:cNvGraphicFramePr/>
                <a:graphic xmlns:a="http://schemas.openxmlformats.org/drawingml/2006/main">
                  <a:graphicData uri="http://schemas.microsoft.com/office/word/2010/wordprocessingShape">
                    <wps:wsp>
                      <wps:cNvSpPr txBox="1"/>
                      <wps:spPr>
                        <a:xfrm>
                          <a:off x="0" y="0"/>
                          <a:ext cx="3267075" cy="600075"/>
                        </a:xfrm>
                        <a:prstGeom prst="rect">
                          <a:avLst/>
                        </a:prstGeom>
                        <a:solidFill>
                          <a:sysClr val="window" lastClr="FFFFFF"/>
                        </a:solidFill>
                        <a:ln w="6350">
                          <a:solidFill>
                            <a:prstClr val="black"/>
                          </a:solidFill>
                        </a:ln>
                      </wps:spPr>
                      <wps:txbx>
                        <w:txbxContent>
                          <w:p w14:paraId="05A6929D" w14:textId="022D88C2" w:rsidR="00CE7234" w:rsidRPr="003E5242" w:rsidRDefault="00CE7234" w:rsidP="00E90556">
                            <w:pPr>
                              <w:pStyle w:val="Tabelltext"/>
                              <w:jc w:val="center"/>
                              <w:rPr>
                                <w:sz w:val="20"/>
                              </w:rPr>
                            </w:pPr>
                            <w:r>
                              <w:rPr>
                                <w:sz w:val="20"/>
                              </w:rPr>
                              <w:t>Årsbidrag i procent av avskrivningarna</w:t>
                            </w:r>
                            <w:r w:rsidRPr="003E5242">
                              <w:rPr>
                                <w:sz w:val="20"/>
                              </w:rPr>
                              <w:t>:</w:t>
                            </w:r>
                          </w:p>
                          <w:p w14:paraId="7DD7C1AE" w14:textId="77777777" w:rsidR="00CE7234" w:rsidRPr="003E5242" w:rsidRDefault="00CE7234" w:rsidP="00E90556">
                            <w:pPr>
                              <w:pStyle w:val="Tabelltext"/>
                              <w:jc w:val="center"/>
                              <w:rPr>
                                <w:sz w:val="20"/>
                              </w:rPr>
                            </w:pPr>
                          </w:p>
                          <w:p w14:paraId="044F681D" w14:textId="78CAE1BE" w:rsidR="00CE7234" w:rsidRPr="00CE7234" w:rsidRDefault="00CE7234" w:rsidP="00E90556">
                            <w:pPr>
                              <w:pStyle w:val="Tabelltext"/>
                              <w:jc w:val="center"/>
                              <w:rPr>
                                <w:sz w:val="20"/>
                              </w:rPr>
                            </w:pPr>
                            <w:r>
                              <w:rPr>
                                <w:sz w:val="20"/>
                              </w:rPr>
                              <w:t>å</w:t>
                            </w:r>
                            <w:r w:rsidRPr="00CE7234">
                              <w:rPr>
                                <w:sz w:val="20"/>
                              </w:rPr>
                              <w:t>rsbidrag</w:t>
                            </w:r>
                            <w:r>
                              <w:rPr>
                                <w:sz w:val="20"/>
                              </w:rPr>
                              <w:t xml:space="preserve"> / (a</w:t>
                            </w:r>
                            <w:r w:rsidRPr="00CE7234">
                              <w:rPr>
                                <w:sz w:val="20"/>
                              </w:rPr>
                              <w:t>vskrivningar enligt plan + nedskrivningar</w:t>
                            </w:r>
                            <w:r>
                              <w:rPr>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E141AD" id="Textruta 17" o:spid="_x0000_s1027" type="#_x0000_t202" style="position:absolute;left:0;text-align:left;margin-left:0;margin-top:.8pt;width:257.25pt;height:47.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dKVQAIAAJQEAAAOAAAAZHJzL2Uyb0RvYy54bWysVE1v2zAMvQ/YfxB0X+ykSboZcYosRYYB&#10;QVsgHXpWZCk2JouapMTOfv0o2flou9OwHBRSpB7JR9Kzu7ZW5CCsq0DndDhIKRGaQ1HpXU5/PK8+&#10;fabEeaYLpkCLnB6Fo3fzjx9mjcnECEpQhbAEQbTLGpPT0nuTJYnjpaiZG4ARGo0SbM08qnaXFJY1&#10;iF6rZJSm06QBWxgLXDiHt/edkc4jvpSC+0cpnfBE5RRz8/G08dyGM5nPWLazzJQV79Ng/5BFzSqN&#10;Qc9Q98wzsrfVO6i64hYcSD/gUCcgZcVFrAGrGaZvqtmUzIhYC5LjzJkm9/9g+cNhY54s8e1XaLGB&#10;gZDGuMzhZainlbYO/5gpQTtSeDzTJlpPOF7ejKa36e2EEo62aZoGGWGSy2tjnf8moCZByKnFtkS2&#10;2GHtfOd6cgnBHKiqWFVKReXolsqSA8MOYuMLaChRzHm8zOkq/vpor54pTRrM5maSxkivbCHWGXOr&#10;GP/5HgGzVxqLuJARJN9uW1IVV0RtoTgifxa60XKGryqEX2OGT8ziLCFluB/+EQ+pAHOCXqKkBPv7&#10;b/fBH1uMVkoanM2cul97ZgUW/l1j878Mx+MwzFEZT25HqNhry/baovf1EpC8IW6i4VEM/l6dRGmh&#10;fsE1WoSoaGKaY+yc+pO49N3G4BpysVhEJxxfw/xabwwP0KFTgdbn9oVZ0/fZ44Q8wGmKWfam3Z1v&#10;eKlhsfcgqzgLgeeO1Z5+HP04Tf2aht261qPX5WMy/wMAAP//AwBQSwMEFAAGAAgAAAAhAGsZd4Pa&#10;AAAABQEAAA8AAABkcnMvZG93bnJldi54bWxMj8FOwzAQRO9I/QdrkbhRJ4hGbYhTVUgcESJwgJtr&#10;L4khXkexm4Z+PdtTOe7MaOZttZ19LyYcowukIF9mIJBMsI5aBe9vT7drEDFpsroPhAp+McK2XlxV&#10;urThSK84NakVXEKx1Aq6lIZSymg69Douw4DE3lcYvU58jq20oz5yue/lXZYV0mtHvNDpAR87ND/N&#10;wSuw9BHIfLrnk6PGuM3pZf1tJqVurufdA4iEc7qE4YzP6FAz0z4cyEbRK+BHEqsFCDZX+f0KxF7B&#10;pshB1pX8T1//AQAA//8DAFBLAQItABQABgAIAAAAIQC2gziS/gAAAOEBAAATAAAAAAAAAAAAAAAA&#10;AAAAAABbQ29udGVudF9UeXBlc10ueG1sUEsBAi0AFAAGAAgAAAAhADj9If/WAAAAlAEAAAsAAAAA&#10;AAAAAAAAAAAALwEAAF9yZWxzLy5yZWxzUEsBAi0AFAAGAAgAAAAhAOc90pVAAgAAlAQAAA4AAAAA&#10;AAAAAAAAAAAALgIAAGRycy9lMm9Eb2MueG1sUEsBAi0AFAAGAAgAAAAhAGsZd4PaAAAABQEAAA8A&#10;AAAAAAAAAAAAAAAAmgQAAGRycy9kb3ducmV2LnhtbFBLBQYAAAAABAAEAPMAAAChBQAAAAA=&#10;" fillcolor="window" strokeweight=".5pt">
                <v:textbox>
                  <w:txbxContent>
                    <w:p w14:paraId="05A6929D" w14:textId="022D88C2" w:rsidR="00CE7234" w:rsidRPr="003E5242" w:rsidRDefault="00CE7234" w:rsidP="00E90556">
                      <w:pPr>
                        <w:pStyle w:val="Tabelltext"/>
                        <w:jc w:val="center"/>
                        <w:rPr>
                          <w:sz w:val="20"/>
                        </w:rPr>
                      </w:pPr>
                      <w:r>
                        <w:rPr>
                          <w:sz w:val="20"/>
                        </w:rPr>
                        <w:t>Årsbidrag i procent av avskrivningarna</w:t>
                      </w:r>
                      <w:r w:rsidRPr="003E5242">
                        <w:rPr>
                          <w:sz w:val="20"/>
                        </w:rPr>
                        <w:t>:</w:t>
                      </w:r>
                    </w:p>
                    <w:p w14:paraId="7DD7C1AE" w14:textId="77777777" w:rsidR="00CE7234" w:rsidRPr="003E5242" w:rsidRDefault="00CE7234" w:rsidP="00E90556">
                      <w:pPr>
                        <w:pStyle w:val="Tabelltext"/>
                        <w:jc w:val="center"/>
                        <w:rPr>
                          <w:sz w:val="20"/>
                        </w:rPr>
                      </w:pPr>
                    </w:p>
                    <w:p w14:paraId="044F681D" w14:textId="78CAE1BE" w:rsidR="00CE7234" w:rsidRPr="00CE7234" w:rsidRDefault="00CE7234" w:rsidP="00E90556">
                      <w:pPr>
                        <w:pStyle w:val="Tabelltext"/>
                        <w:jc w:val="center"/>
                        <w:rPr>
                          <w:sz w:val="20"/>
                        </w:rPr>
                      </w:pPr>
                      <w:r>
                        <w:rPr>
                          <w:sz w:val="20"/>
                        </w:rPr>
                        <w:t>å</w:t>
                      </w:r>
                      <w:r w:rsidRPr="00CE7234">
                        <w:rPr>
                          <w:sz w:val="20"/>
                        </w:rPr>
                        <w:t>rsbidrag</w:t>
                      </w:r>
                      <w:r>
                        <w:rPr>
                          <w:sz w:val="20"/>
                        </w:rPr>
                        <w:t xml:space="preserve"> / (a</w:t>
                      </w:r>
                      <w:r w:rsidRPr="00CE7234">
                        <w:rPr>
                          <w:sz w:val="20"/>
                        </w:rPr>
                        <w:t>vskrivningar enligt plan + nedskrivningar</w:t>
                      </w:r>
                      <w:r>
                        <w:rPr>
                          <w:sz w:val="20"/>
                        </w:rPr>
                        <w:t>)</w:t>
                      </w:r>
                    </w:p>
                  </w:txbxContent>
                </v:textbox>
                <w10:wrap anchorx="margin"/>
              </v:shape>
            </w:pict>
          </mc:Fallback>
        </mc:AlternateContent>
      </w:r>
    </w:p>
    <w:p w14:paraId="790DEB98" w14:textId="77777777" w:rsidR="00CE7234" w:rsidRDefault="00CE7234" w:rsidP="00A63448">
      <w:pPr>
        <w:pStyle w:val="ANormal"/>
      </w:pPr>
    </w:p>
    <w:p w14:paraId="6DB9B2EA" w14:textId="7E5130ED" w:rsidR="00CE7234" w:rsidRDefault="00CE7234" w:rsidP="00A63448">
      <w:pPr>
        <w:pStyle w:val="ANormal"/>
      </w:pPr>
    </w:p>
    <w:p w14:paraId="0BCEEFCF" w14:textId="5FEEC6D4" w:rsidR="00CE7234" w:rsidRDefault="00CE7234" w:rsidP="00A63448">
      <w:pPr>
        <w:pStyle w:val="ANormal"/>
      </w:pPr>
    </w:p>
    <w:p w14:paraId="664E929F" w14:textId="6F5BD545" w:rsidR="00CE7234" w:rsidRDefault="00CE7234" w:rsidP="00A63448">
      <w:pPr>
        <w:pStyle w:val="ANormal"/>
      </w:pPr>
    </w:p>
    <w:p w14:paraId="2CE877F5" w14:textId="0FBCEBEB" w:rsidR="0099716D" w:rsidRDefault="0099716D" w:rsidP="00A63448">
      <w:pPr>
        <w:pStyle w:val="ANormal"/>
      </w:pPr>
      <w:r>
        <w:tab/>
      </w:r>
      <w:r w:rsidRPr="00E77E9C">
        <w:t>I de bokslutsuppgifter som ÅSUB publicerar anges avskrivningar och nedskrivningar av bokföringsmässiga skäl som negativa tal. Både avskrivningarna och nedskrivningarna ska dock räknas som positiva tal. I det fall att årsbidraget är negativt ska det räknas som ett negativt årsbidrag, det vill säga att årsbidraget i procent av avskrivningarna då blir negativt.</w:t>
      </w:r>
    </w:p>
    <w:p w14:paraId="4A0754EF" w14:textId="38303831" w:rsidR="00D93CC7" w:rsidRDefault="00A26671" w:rsidP="00A63448">
      <w:pPr>
        <w:pStyle w:val="ANormal"/>
      </w:pPr>
      <w:r>
        <w:tab/>
      </w:r>
      <w:r w:rsidR="00FE035F">
        <w:t>När det gäller soliditet</w:t>
      </w:r>
      <w:r w:rsidR="00D73D9A">
        <w:t>sgrad</w:t>
      </w:r>
      <w:r w:rsidR="00C357EE">
        <w:t>en</w:t>
      </w:r>
      <w:r w:rsidR="00FE035F">
        <w:t xml:space="preserve"> anges gränsvärdet 50 procent. </w:t>
      </w:r>
      <w:r w:rsidR="00D93CC7">
        <w:t>Soliditet</w:t>
      </w:r>
      <w:r w:rsidR="00865217">
        <w:t>sgrad</w:t>
      </w:r>
      <w:r w:rsidR="00D93CC7">
        <w:t xml:space="preserve">en beräknas som eget kapital </w:t>
      </w:r>
      <w:r w:rsidR="00705091">
        <w:t>inklusive avskrivningsdifferens och</w:t>
      </w:r>
      <w:r w:rsidR="00D93CC7">
        <w:t xml:space="preserve"> reserver</w:t>
      </w:r>
      <w:r w:rsidR="00705091">
        <w:t xml:space="preserve"> i förhållande till hela kapitalet</w:t>
      </w:r>
      <w:r w:rsidR="00D93CC7">
        <w:t xml:space="preserve"> </w:t>
      </w:r>
      <w:r w:rsidR="00705091">
        <w:t xml:space="preserve">exklusive erhållna förskott. </w:t>
      </w:r>
      <w:r w:rsidR="00F61C81" w:rsidRPr="00E77E9C">
        <w:t xml:space="preserve">I ett koncernbokslut </w:t>
      </w:r>
      <w:r w:rsidR="00326A86" w:rsidRPr="00E77E9C">
        <w:t>elimineras</w:t>
      </w:r>
      <w:r w:rsidR="00F61C81" w:rsidRPr="00E77E9C">
        <w:t xml:space="preserve"> avskrivningsdifferens och reserver</w:t>
      </w:r>
      <w:r w:rsidR="00326A86" w:rsidRPr="00E77E9C">
        <w:t xml:space="preserve"> mot eget kapital och poster som minoritetsandel och koncernreserv kan tillkomma, om sådana poster finns</w:t>
      </w:r>
      <w:r w:rsidR="00F61C81" w:rsidRPr="00E77E9C">
        <w:t>.</w:t>
      </w:r>
      <w:r w:rsidR="00F61C81" w:rsidRPr="00326A86">
        <w:t xml:space="preserve"> I båda fallen </w:t>
      </w:r>
      <w:r w:rsidR="00705091" w:rsidRPr="00326A86">
        <w:t>avses med hela kapitalet pa</w:t>
      </w:r>
      <w:r w:rsidR="00705091">
        <w:t xml:space="preserve">ssivsidans </w:t>
      </w:r>
      <w:r w:rsidR="00D93CC7">
        <w:t>balansomslutning.</w:t>
      </w:r>
    </w:p>
    <w:p w14:paraId="35751062" w14:textId="22AEC60E" w:rsidR="00A26671" w:rsidRDefault="00A26671" w:rsidP="00A63448">
      <w:pPr>
        <w:pStyle w:val="ANormal"/>
      </w:pPr>
    </w:p>
    <w:p w14:paraId="340C65AE" w14:textId="25F0D709" w:rsidR="00A26671" w:rsidRDefault="00E90556" w:rsidP="00A63448">
      <w:pPr>
        <w:pStyle w:val="ANormal"/>
      </w:pPr>
      <w:r>
        <w:rPr>
          <w:noProof/>
        </w:rPr>
        <mc:AlternateContent>
          <mc:Choice Requires="wps">
            <w:drawing>
              <wp:anchor distT="0" distB="0" distL="114300" distR="114300" simplePos="0" relativeHeight="251665408" behindDoc="0" locked="0" layoutInCell="1" allowOverlap="1" wp14:anchorId="57D275A6" wp14:editId="05AEB5F6">
                <wp:simplePos x="0" y="0"/>
                <wp:positionH relativeFrom="margin">
                  <wp:align>center</wp:align>
                </wp:positionH>
                <wp:positionV relativeFrom="paragraph">
                  <wp:posOffset>9525</wp:posOffset>
                </wp:positionV>
                <wp:extent cx="3267075" cy="781050"/>
                <wp:effectExtent l="0" t="0" r="28575" b="19050"/>
                <wp:wrapNone/>
                <wp:docPr id="18" name="Textruta 18"/>
                <wp:cNvGraphicFramePr/>
                <a:graphic xmlns:a="http://schemas.openxmlformats.org/drawingml/2006/main">
                  <a:graphicData uri="http://schemas.microsoft.com/office/word/2010/wordprocessingShape">
                    <wps:wsp>
                      <wps:cNvSpPr txBox="1"/>
                      <wps:spPr>
                        <a:xfrm>
                          <a:off x="0" y="0"/>
                          <a:ext cx="3267075" cy="781050"/>
                        </a:xfrm>
                        <a:prstGeom prst="rect">
                          <a:avLst/>
                        </a:prstGeom>
                        <a:solidFill>
                          <a:sysClr val="window" lastClr="FFFFFF"/>
                        </a:solidFill>
                        <a:ln w="6350">
                          <a:solidFill>
                            <a:prstClr val="black"/>
                          </a:solidFill>
                        </a:ln>
                      </wps:spPr>
                      <wps:txbx>
                        <w:txbxContent>
                          <w:p w14:paraId="39DA6175" w14:textId="0146ECB1" w:rsidR="00A26671" w:rsidRPr="003E5242" w:rsidRDefault="00E90556" w:rsidP="00A26671">
                            <w:pPr>
                              <w:pStyle w:val="Tabelltext"/>
                              <w:jc w:val="center"/>
                              <w:rPr>
                                <w:sz w:val="20"/>
                              </w:rPr>
                            </w:pPr>
                            <w:r>
                              <w:rPr>
                                <w:sz w:val="20"/>
                              </w:rPr>
                              <w:t>Soliditetsgrad, kommun</w:t>
                            </w:r>
                            <w:r w:rsidR="00A26671" w:rsidRPr="003E5242">
                              <w:rPr>
                                <w:sz w:val="20"/>
                              </w:rPr>
                              <w:t>:</w:t>
                            </w:r>
                          </w:p>
                          <w:p w14:paraId="09D9A438" w14:textId="77777777" w:rsidR="00A26671" w:rsidRPr="003E5242" w:rsidRDefault="00A26671" w:rsidP="00A26671">
                            <w:pPr>
                              <w:pStyle w:val="Tabelltext"/>
                              <w:rPr>
                                <w:sz w:val="20"/>
                              </w:rPr>
                            </w:pPr>
                          </w:p>
                          <w:p w14:paraId="7D7D9C3B" w14:textId="20E57643" w:rsidR="00A26671" w:rsidRPr="003E5242" w:rsidRDefault="00E90556" w:rsidP="00A26671">
                            <w:pPr>
                              <w:pStyle w:val="Tabelltext"/>
                              <w:rPr>
                                <w:sz w:val="20"/>
                              </w:rPr>
                            </w:pPr>
                            <w:r>
                              <w:rPr>
                                <w:sz w:val="20"/>
                              </w:rPr>
                              <w:t>(eget kapital</w:t>
                            </w:r>
                            <w:r w:rsidR="00A26671" w:rsidRPr="003E5242">
                              <w:rPr>
                                <w:sz w:val="20"/>
                              </w:rPr>
                              <w:t xml:space="preserve"> + </w:t>
                            </w:r>
                            <w:r>
                              <w:rPr>
                                <w:sz w:val="20"/>
                              </w:rPr>
                              <w:t>avskrivnings</w:t>
                            </w:r>
                            <w:r w:rsidR="00A26671" w:rsidRPr="003E5242">
                              <w:rPr>
                                <w:sz w:val="20"/>
                              </w:rPr>
                              <w:t>differens och reserveringar</w:t>
                            </w:r>
                            <w:r>
                              <w:rPr>
                                <w:sz w:val="20"/>
                              </w:rPr>
                              <w:t>) / (hela kapitalet – erhållna förskott)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275A6" id="Textruta 18" o:spid="_x0000_s1028" type="#_x0000_t202" style="position:absolute;left:0;text-align:left;margin-left:0;margin-top:.75pt;width:257.25pt;height:61.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JRMRAIAAJQEAAAOAAAAZHJzL2Uyb0RvYy54bWysVE1vGjEQvVfqf7B8bxYIgRSxRJSIqhJK&#10;IiVVzsbrhVW9Htc27NJf32fzERp6qsrBzHjGb2bezOz4rq012yrnKzI57151OFNGUlGZVc6/v8w/&#10;3XLmgzCF0GRUznfK87vJxw/jxo5Uj9akC+UYQIwfNTbn6xDsKMu8XKta+CuyysBYkqtFgOpWWeFE&#10;A/RaZ71OZ5A15ArrSCrvcXu/N/JJwi9LJcNjWXoVmM45cgvpdOlcxjObjMVo5YRdV/KQhviHLGpR&#10;GQQ9Qd2LINjGVRdQdSUdeSrDlaQ6o7KspEo1oJpu5101z2thVaoF5Hh7osn/P1j5sH22T46F9gu1&#10;aGAkpLF+5HEZ62lLV8d/ZMpgB4W7E22qDUzi8ro3GHaGN5xJ2Ia33c5N4jV7e22dD18V1SwKOXdo&#10;S2JLbBc+ICJcjy4xmCddFfNK66Ts/Ew7thXoIBpfUMOZFj7gMufz9ItJA+KPZ9qwJueDa+RyARlj&#10;nTCXWsgflwjA0wawb2REKbTLllVFzntHopZU7MCfo/1oeSvnFeAXyPBJOMwSKMN+hEccpSbkRAeJ&#10;szW5X3+7j/5oMaycNZjNnPufG+EUCv9m0PzP3X4/DnNS+jfDHhR3blmeW8ymnhHI62ITrUxi9A/6&#10;KJaO6les0TRGhUkYidg5D0dxFvYbgzWUajpNThhfK8LCPFsZoSPHkdaX9lU4e+hzwIQ80HGKxehd&#10;u/e+8aWh6SZQWaVZiDzvWT3Qj9FP/T2sadytcz15vX1MJr8BAAD//wMAUEsDBBQABgAIAAAAIQA1&#10;fWcm2AAAAAYBAAAPAAAAZHJzL2Rvd25yZXYueG1sTI9BT8MwDIXvSPyHyEjcWLqJoVGaTgiJI0KU&#10;HeDmJaYNNE7VZF3Zr8ec4Paen/X8udrOoVcTjclHNrBcFKCIbXSeWwO718erDaiUkR32kcnANyXY&#10;1udnFZYuHvmFpia3Sko4lWigy3kotU62o4BpEQdiyT7iGDCLHVvtRjxKeej1qihudEDPcqHDgR46&#10;sl/NIRhw/BbZvvunk+fG+tvT8+bTTsZcXsz3d6AyzflvGX7xBR1qYdrHA7ukegPySJbpGpSE6+W1&#10;iL34lQhdV/o/fv0DAAD//wMAUEsBAi0AFAAGAAgAAAAhALaDOJL+AAAA4QEAABMAAAAAAAAAAAAA&#10;AAAAAAAAAFtDb250ZW50X1R5cGVzXS54bWxQSwECLQAUAAYACAAAACEAOP0h/9YAAACUAQAACwAA&#10;AAAAAAAAAAAAAAAvAQAAX3JlbHMvLnJlbHNQSwECLQAUAAYACAAAACEAewiUTEQCAACUBAAADgAA&#10;AAAAAAAAAAAAAAAuAgAAZHJzL2Uyb0RvYy54bWxQSwECLQAUAAYACAAAACEANX1nJtgAAAAGAQAA&#10;DwAAAAAAAAAAAAAAAACeBAAAZHJzL2Rvd25yZXYueG1sUEsFBgAAAAAEAAQA8wAAAKMFAAAAAA==&#10;" fillcolor="window" strokeweight=".5pt">
                <v:textbox>
                  <w:txbxContent>
                    <w:p w14:paraId="39DA6175" w14:textId="0146ECB1" w:rsidR="00A26671" w:rsidRPr="003E5242" w:rsidRDefault="00E90556" w:rsidP="00A26671">
                      <w:pPr>
                        <w:pStyle w:val="Tabelltext"/>
                        <w:jc w:val="center"/>
                        <w:rPr>
                          <w:sz w:val="20"/>
                        </w:rPr>
                      </w:pPr>
                      <w:r>
                        <w:rPr>
                          <w:sz w:val="20"/>
                        </w:rPr>
                        <w:t>Soliditetsgrad, kommun</w:t>
                      </w:r>
                      <w:r w:rsidR="00A26671" w:rsidRPr="003E5242">
                        <w:rPr>
                          <w:sz w:val="20"/>
                        </w:rPr>
                        <w:t>:</w:t>
                      </w:r>
                    </w:p>
                    <w:p w14:paraId="09D9A438" w14:textId="77777777" w:rsidR="00A26671" w:rsidRPr="003E5242" w:rsidRDefault="00A26671" w:rsidP="00A26671">
                      <w:pPr>
                        <w:pStyle w:val="Tabelltext"/>
                        <w:rPr>
                          <w:sz w:val="20"/>
                        </w:rPr>
                      </w:pPr>
                    </w:p>
                    <w:p w14:paraId="7D7D9C3B" w14:textId="20E57643" w:rsidR="00A26671" w:rsidRPr="003E5242" w:rsidRDefault="00E90556" w:rsidP="00A26671">
                      <w:pPr>
                        <w:pStyle w:val="Tabelltext"/>
                        <w:rPr>
                          <w:sz w:val="20"/>
                        </w:rPr>
                      </w:pPr>
                      <w:r>
                        <w:rPr>
                          <w:sz w:val="20"/>
                        </w:rPr>
                        <w:t>(eget kapital</w:t>
                      </w:r>
                      <w:r w:rsidR="00A26671" w:rsidRPr="003E5242">
                        <w:rPr>
                          <w:sz w:val="20"/>
                        </w:rPr>
                        <w:t xml:space="preserve"> + </w:t>
                      </w:r>
                      <w:r>
                        <w:rPr>
                          <w:sz w:val="20"/>
                        </w:rPr>
                        <w:t>avskrivnings</w:t>
                      </w:r>
                      <w:r w:rsidR="00A26671" w:rsidRPr="003E5242">
                        <w:rPr>
                          <w:sz w:val="20"/>
                        </w:rPr>
                        <w:t>differens och reserveringar</w:t>
                      </w:r>
                      <w:r>
                        <w:rPr>
                          <w:sz w:val="20"/>
                        </w:rPr>
                        <w:t>) / (hela kapitalet – erhållna förskott)</w:t>
                      </w:r>
                    </w:p>
                  </w:txbxContent>
                </v:textbox>
                <w10:wrap anchorx="margin"/>
              </v:shape>
            </w:pict>
          </mc:Fallback>
        </mc:AlternateContent>
      </w:r>
    </w:p>
    <w:p w14:paraId="1CD5BF9B" w14:textId="4F246803" w:rsidR="00A26671" w:rsidRDefault="00A26671" w:rsidP="00A63448">
      <w:pPr>
        <w:pStyle w:val="ANormal"/>
      </w:pPr>
    </w:p>
    <w:p w14:paraId="42B7189A" w14:textId="053799CD" w:rsidR="00A26671" w:rsidRDefault="00A26671" w:rsidP="00A63448">
      <w:pPr>
        <w:pStyle w:val="ANormal"/>
      </w:pPr>
    </w:p>
    <w:p w14:paraId="4113F662" w14:textId="35DFEE2F" w:rsidR="00A26671" w:rsidRDefault="00A26671" w:rsidP="00A63448">
      <w:pPr>
        <w:pStyle w:val="ANormal"/>
      </w:pPr>
    </w:p>
    <w:p w14:paraId="6AC16015" w14:textId="178FEBC2" w:rsidR="00A26671" w:rsidRDefault="00A26671" w:rsidP="00A63448">
      <w:pPr>
        <w:pStyle w:val="ANormal"/>
      </w:pPr>
    </w:p>
    <w:p w14:paraId="07543B0F" w14:textId="456A7029" w:rsidR="00A26671" w:rsidRDefault="00A26671" w:rsidP="00A63448">
      <w:pPr>
        <w:pStyle w:val="ANormal"/>
      </w:pPr>
    </w:p>
    <w:p w14:paraId="1F5DBA33" w14:textId="39FB1AD5" w:rsidR="00A26671" w:rsidRDefault="00A26671" w:rsidP="00A63448">
      <w:pPr>
        <w:pStyle w:val="ANormal"/>
      </w:pPr>
      <w:r>
        <w:rPr>
          <w:noProof/>
        </w:rPr>
        <mc:AlternateContent>
          <mc:Choice Requires="wps">
            <w:drawing>
              <wp:anchor distT="0" distB="0" distL="114300" distR="114300" simplePos="0" relativeHeight="251667456" behindDoc="0" locked="0" layoutInCell="1" allowOverlap="1" wp14:anchorId="714134F8" wp14:editId="4234021B">
                <wp:simplePos x="0" y="0"/>
                <wp:positionH relativeFrom="margin">
                  <wp:align>center</wp:align>
                </wp:positionH>
                <wp:positionV relativeFrom="paragraph">
                  <wp:posOffset>9525</wp:posOffset>
                </wp:positionV>
                <wp:extent cx="3267075" cy="752475"/>
                <wp:effectExtent l="0" t="0" r="28575" b="28575"/>
                <wp:wrapNone/>
                <wp:docPr id="20" name="Textruta 20"/>
                <wp:cNvGraphicFramePr/>
                <a:graphic xmlns:a="http://schemas.openxmlformats.org/drawingml/2006/main">
                  <a:graphicData uri="http://schemas.microsoft.com/office/word/2010/wordprocessingShape">
                    <wps:wsp>
                      <wps:cNvSpPr txBox="1"/>
                      <wps:spPr>
                        <a:xfrm>
                          <a:off x="0" y="0"/>
                          <a:ext cx="3267075" cy="752475"/>
                        </a:xfrm>
                        <a:prstGeom prst="rect">
                          <a:avLst/>
                        </a:prstGeom>
                        <a:solidFill>
                          <a:sysClr val="window" lastClr="FFFFFF"/>
                        </a:solidFill>
                        <a:ln w="6350">
                          <a:solidFill>
                            <a:prstClr val="black"/>
                          </a:solidFill>
                        </a:ln>
                      </wps:spPr>
                      <wps:txbx>
                        <w:txbxContent>
                          <w:p w14:paraId="25B839FB" w14:textId="1DCA0BAE" w:rsidR="00A26671" w:rsidRPr="003E5242" w:rsidRDefault="00E90556" w:rsidP="00A26671">
                            <w:pPr>
                              <w:pStyle w:val="Tabelltext"/>
                              <w:jc w:val="center"/>
                              <w:rPr>
                                <w:sz w:val="20"/>
                              </w:rPr>
                            </w:pPr>
                            <w:r>
                              <w:rPr>
                                <w:sz w:val="20"/>
                              </w:rPr>
                              <w:t>Soliditetsgrad, kommunkoncern</w:t>
                            </w:r>
                            <w:r w:rsidR="00A26671" w:rsidRPr="003E5242">
                              <w:rPr>
                                <w:sz w:val="20"/>
                              </w:rPr>
                              <w:t>:</w:t>
                            </w:r>
                          </w:p>
                          <w:p w14:paraId="27950789" w14:textId="77777777" w:rsidR="00A26671" w:rsidRPr="003E5242" w:rsidRDefault="00A26671" w:rsidP="00A26671">
                            <w:pPr>
                              <w:pStyle w:val="Tabelltext"/>
                              <w:rPr>
                                <w:sz w:val="20"/>
                              </w:rPr>
                            </w:pPr>
                          </w:p>
                          <w:p w14:paraId="1B4ED2D6" w14:textId="76A8C424" w:rsidR="00A26671" w:rsidRPr="003E5242" w:rsidRDefault="00E90556" w:rsidP="00A26671">
                            <w:pPr>
                              <w:pStyle w:val="Tabelltext"/>
                              <w:rPr>
                                <w:sz w:val="20"/>
                              </w:rPr>
                            </w:pPr>
                            <w:r>
                              <w:rPr>
                                <w:sz w:val="20"/>
                              </w:rPr>
                              <w:t>(eget kapital</w:t>
                            </w:r>
                            <w:r w:rsidR="00A26671" w:rsidRPr="003E5242">
                              <w:rPr>
                                <w:sz w:val="20"/>
                              </w:rPr>
                              <w:t xml:space="preserve"> + </w:t>
                            </w:r>
                            <w:r>
                              <w:rPr>
                                <w:sz w:val="20"/>
                              </w:rPr>
                              <w:t>minoritetsandel</w:t>
                            </w:r>
                            <w:r w:rsidR="00A26671" w:rsidRPr="003E5242">
                              <w:rPr>
                                <w:sz w:val="20"/>
                              </w:rPr>
                              <w:t xml:space="preserve"> + </w:t>
                            </w:r>
                            <w:r>
                              <w:rPr>
                                <w:sz w:val="20"/>
                              </w:rPr>
                              <w:t>koncernreserv) / (hela kapitalet</w:t>
                            </w:r>
                            <w:r w:rsidR="00A26671" w:rsidRPr="003E5242">
                              <w:rPr>
                                <w:sz w:val="20"/>
                              </w:rPr>
                              <w:t xml:space="preserve"> </w:t>
                            </w:r>
                            <w:r>
                              <w:rPr>
                                <w:sz w:val="20"/>
                              </w:rPr>
                              <w:t>– erhållna förskott)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134F8" id="Textruta 20" o:spid="_x0000_s1029" type="#_x0000_t202" style="position:absolute;left:0;text-align:left;margin-left:0;margin-top:.75pt;width:257.25pt;height:59.2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OVQwIAAJQEAAAOAAAAZHJzL2Uyb0RvYy54bWysVEtv2zAMvg/YfxB0X+ykeWxGnCJLkWFA&#10;0RZIh54VWYqNyaImKbGzXz9Kdh5tdxqWg0KK1EfyI+n5bVsrchDWVaBzOhyklAjNoaj0Lqc/ntef&#10;PlPiPNMFU6BFTo/C0dvFxw/zxmRiBCWoQliCINpljclp6b3JksTxUtTMDcAIjUYJtmYeVbtLCssa&#10;RK9VMkrTadKALYwFLpzD27vOSBcRX0rB/aOUTniicoq5+XjaeG7DmSzmLNtZZsqK92mwf8iiZpXG&#10;oGeoO+YZ2dvqHVRdcQsOpB9wqBOQsuIi1oDVDNM31WxKZkSsBclx5kyT+3+w/OGwMU+W+PYrtNjA&#10;QEhjXObwMtTTSluHf8yUoB0pPJ5pE60nHC9vRtNZOptQwtE2m4zGKCNMcnltrPPfBNQkCDm12JbI&#10;FjvcO9+5nlxCMAeqKtaVUlE5upWy5MCwg9j4AhpKFHMeL3O6jr8+2qtnSpMmp9ObSRojvbKFWGfM&#10;rWL853sEzF5pLOJCRpB8u21JVWDNJ6K2UByRPwvdaDnD1xXC32OGT8ziLCFluB/+EQ+pAHOCXqKk&#10;BPv7b/fBH1uMVkoanM2cul97ZgUW/l1j878Mx+MwzFEZT2YjVOy1ZXtt0ft6BUjeEDfR8CgGf69O&#10;orRQv+AaLUNUNDHNMXZO/Ulc+W5jcA25WC6jE46vYf5ebwwP0KFTgdbn9oVZ0/fZ44Q8wGmKWfam&#10;3Z1veKlhufcgqzgLgeeO1Z5+HP04Tf2aht261qPX5WOy+AMAAP//AwBQSwMEFAAGAAgAAAAhANYb&#10;AFbYAAAABgEAAA8AAABkcnMvZG93bnJldi54bWxMj0FPwzAMhe9I/IfISNxYOsTQ6JpOCIkjQhQO&#10;cPMSrw00TtVkXdmvx5zg5udnvfe52s6hVxONyUc2sFwUoIhtdJ5bA2+vj1drUCkjO+wjk4FvSrCt&#10;z88qLF088gtNTW6VhHAq0UCX81BqnWxHAdMiDsTi7eMYMIscW+1GPEp46PV1UdzqgJ6locOBHjqy&#10;X80hGHD8Htl++KeT58b6u9Pz+tNOxlxezPcbUJnm/HcMv/iCDrUw7eKBXVK9AXkky3YFSszV8kaG&#10;nWgpBV1X+j9+/QMAAP//AwBQSwECLQAUAAYACAAAACEAtoM4kv4AAADhAQAAEwAAAAAAAAAAAAAA&#10;AAAAAAAAW0NvbnRlbnRfVHlwZXNdLnhtbFBLAQItABQABgAIAAAAIQA4/SH/1gAAAJQBAAALAAAA&#10;AAAAAAAAAAAAAC8BAABfcmVscy8ucmVsc1BLAQItABQABgAIAAAAIQC+oKOVQwIAAJQEAAAOAAAA&#10;AAAAAAAAAAAAAC4CAABkcnMvZTJvRG9jLnhtbFBLAQItABQABgAIAAAAIQDWGwBW2AAAAAYBAAAP&#10;AAAAAAAAAAAAAAAAAJ0EAABkcnMvZG93bnJldi54bWxQSwUGAAAAAAQABADzAAAAogUAAAAA&#10;" fillcolor="window" strokeweight=".5pt">
                <v:textbox>
                  <w:txbxContent>
                    <w:p w14:paraId="25B839FB" w14:textId="1DCA0BAE" w:rsidR="00A26671" w:rsidRPr="003E5242" w:rsidRDefault="00E90556" w:rsidP="00A26671">
                      <w:pPr>
                        <w:pStyle w:val="Tabelltext"/>
                        <w:jc w:val="center"/>
                        <w:rPr>
                          <w:sz w:val="20"/>
                        </w:rPr>
                      </w:pPr>
                      <w:r>
                        <w:rPr>
                          <w:sz w:val="20"/>
                        </w:rPr>
                        <w:t>Soliditetsgrad, kommunkoncern</w:t>
                      </w:r>
                      <w:r w:rsidR="00A26671" w:rsidRPr="003E5242">
                        <w:rPr>
                          <w:sz w:val="20"/>
                        </w:rPr>
                        <w:t>:</w:t>
                      </w:r>
                    </w:p>
                    <w:p w14:paraId="27950789" w14:textId="77777777" w:rsidR="00A26671" w:rsidRPr="003E5242" w:rsidRDefault="00A26671" w:rsidP="00A26671">
                      <w:pPr>
                        <w:pStyle w:val="Tabelltext"/>
                        <w:rPr>
                          <w:sz w:val="20"/>
                        </w:rPr>
                      </w:pPr>
                    </w:p>
                    <w:p w14:paraId="1B4ED2D6" w14:textId="76A8C424" w:rsidR="00A26671" w:rsidRPr="003E5242" w:rsidRDefault="00E90556" w:rsidP="00A26671">
                      <w:pPr>
                        <w:pStyle w:val="Tabelltext"/>
                        <w:rPr>
                          <w:sz w:val="20"/>
                        </w:rPr>
                      </w:pPr>
                      <w:r>
                        <w:rPr>
                          <w:sz w:val="20"/>
                        </w:rPr>
                        <w:t>(eget kapital</w:t>
                      </w:r>
                      <w:r w:rsidR="00A26671" w:rsidRPr="003E5242">
                        <w:rPr>
                          <w:sz w:val="20"/>
                        </w:rPr>
                        <w:t xml:space="preserve"> + </w:t>
                      </w:r>
                      <w:r>
                        <w:rPr>
                          <w:sz w:val="20"/>
                        </w:rPr>
                        <w:t>minoritetsandel</w:t>
                      </w:r>
                      <w:r w:rsidR="00A26671" w:rsidRPr="003E5242">
                        <w:rPr>
                          <w:sz w:val="20"/>
                        </w:rPr>
                        <w:t xml:space="preserve"> + </w:t>
                      </w:r>
                      <w:r>
                        <w:rPr>
                          <w:sz w:val="20"/>
                        </w:rPr>
                        <w:t>koncernreserv) / (hela kapitalet</w:t>
                      </w:r>
                      <w:r w:rsidR="00A26671" w:rsidRPr="003E5242">
                        <w:rPr>
                          <w:sz w:val="20"/>
                        </w:rPr>
                        <w:t xml:space="preserve"> </w:t>
                      </w:r>
                      <w:r>
                        <w:rPr>
                          <w:sz w:val="20"/>
                        </w:rPr>
                        <w:t>– erhållna förskott)</w:t>
                      </w:r>
                    </w:p>
                  </w:txbxContent>
                </v:textbox>
                <w10:wrap anchorx="margin"/>
              </v:shape>
            </w:pict>
          </mc:Fallback>
        </mc:AlternateContent>
      </w:r>
    </w:p>
    <w:p w14:paraId="1994D801" w14:textId="7E2F5FFF" w:rsidR="00A26671" w:rsidRDefault="00A26671" w:rsidP="00A63448">
      <w:pPr>
        <w:pStyle w:val="ANormal"/>
      </w:pPr>
    </w:p>
    <w:p w14:paraId="7A82BE55" w14:textId="04CCB719" w:rsidR="00A26671" w:rsidRDefault="00A26671" w:rsidP="00A63448">
      <w:pPr>
        <w:pStyle w:val="ANormal"/>
      </w:pPr>
    </w:p>
    <w:p w14:paraId="3C98E311" w14:textId="504BEABA" w:rsidR="00A26671" w:rsidRDefault="00A26671" w:rsidP="00A63448">
      <w:pPr>
        <w:pStyle w:val="ANormal"/>
      </w:pPr>
    </w:p>
    <w:p w14:paraId="0B78BC76" w14:textId="31E2BB02" w:rsidR="00A26671" w:rsidRDefault="00A26671" w:rsidP="00A63448">
      <w:pPr>
        <w:pStyle w:val="ANormal"/>
      </w:pPr>
    </w:p>
    <w:p w14:paraId="622D01C8" w14:textId="73AA4F7D" w:rsidR="00A26671" w:rsidRDefault="00A26671" w:rsidP="00A63448">
      <w:pPr>
        <w:pStyle w:val="ANormal"/>
      </w:pPr>
    </w:p>
    <w:p w14:paraId="452965D2" w14:textId="60324E35" w:rsidR="00D93CC7" w:rsidRDefault="00D93CC7" w:rsidP="00A63448">
      <w:pPr>
        <w:pStyle w:val="ANormal"/>
      </w:pPr>
      <w:r>
        <w:tab/>
      </w:r>
      <w:r w:rsidR="00F35961">
        <w:t>Enligt förslaget ska de bokslutsuppgifter som ÅSUB publicerar användas</w:t>
      </w:r>
      <w:r w:rsidR="00F35961" w:rsidRPr="00F35961">
        <w:t xml:space="preserve"> </w:t>
      </w:r>
      <w:r w:rsidR="00F35961">
        <w:t>som underlag för bedömningen av om kriterierna för en synnerligen ansträngd ekonomi uppfylls. Kommune</w:t>
      </w:r>
      <w:r w:rsidR="00DD636A">
        <w:t>ns</w:t>
      </w:r>
      <w:r w:rsidR="00F35961">
        <w:t xml:space="preserve"> bokslut</w:t>
      </w:r>
      <w:r w:rsidR="00DD636A">
        <w:t xml:space="preserve"> ska upp</w:t>
      </w:r>
      <w:r w:rsidR="00D84ED0">
        <w:t>rätt</w:t>
      </w:r>
      <w:r w:rsidR="00DD636A">
        <w:t>as och överlämnas till fullmäktige inom juni månad året efter räkenskapsåret. Bokslutet fastställs därefter av fullmäktige, och bokslutsuppgifterna publiceras vanligen i</w:t>
      </w:r>
      <w:r w:rsidR="004D45C4">
        <w:t>nom</w:t>
      </w:r>
      <w:r w:rsidR="00DD636A">
        <w:t xml:space="preserve"> </w:t>
      </w:r>
      <w:r w:rsidR="0023271F">
        <w:t>september</w:t>
      </w:r>
      <w:r w:rsidR="00DD636A">
        <w:t>.</w:t>
      </w:r>
      <w:r w:rsidR="00F35961">
        <w:t xml:space="preserve"> </w:t>
      </w:r>
      <w:r w:rsidR="00DB370F">
        <w:t>I de</w:t>
      </w:r>
      <w:r w:rsidR="00D60297">
        <w:t>t</w:t>
      </w:r>
      <w:r w:rsidR="00DB370F">
        <w:t xml:space="preserve"> fall att en kommun upp</w:t>
      </w:r>
      <w:r w:rsidR="00D84ED0">
        <w:t>rättar</w:t>
      </w:r>
      <w:r w:rsidR="00DB370F">
        <w:t xml:space="preserve"> koncernbokslut ska dessa uppgifter användas vid bedömningen av om kriterie</w:t>
      </w:r>
      <w:r w:rsidR="00AD3230">
        <w:t>t</w:t>
      </w:r>
      <w:r w:rsidR="00DB370F">
        <w:t xml:space="preserve"> </w:t>
      </w:r>
      <w:r w:rsidR="00AD3230" w:rsidRPr="00E77E9C">
        <w:t>i 2</w:t>
      </w:r>
      <w:r w:rsidR="004B746A">
        <w:t> mom.</w:t>
      </w:r>
      <w:r w:rsidR="00AD3230">
        <w:t xml:space="preserve"> </w:t>
      </w:r>
      <w:r w:rsidR="00DB370F">
        <w:t>uppfylls.</w:t>
      </w:r>
      <w:r w:rsidR="00524EE9">
        <w:t xml:space="preserve"> Om kommunen inte </w:t>
      </w:r>
      <w:r w:rsidR="00D84ED0">
        <w:t>upprättar</w:t>
      </w:r>
      <w:r w:rsidR="00524EE9">
        <w:t xml:space="preserve"> koncernbokslut används </w:t>
      </w:r>
      <w:r w:rsidR="00E91F75">
        <w:t>i stället boksluts</w:t>
      </w:r>
      <w:r w:rsidR="00524EE9">
        <w:t>uppgifterna för kommunen.</w:t>
      </w:r>
      <w:r w:rsidR="00A2646E">
        <w:t xml:space="preserve"> Det är också möjligt för kommunen att i efterhand upprätta ett koncernbokslut om det till exempel skulle finnas behov av det under utvärderingsförfarandet.</w:t>
      </w:r>
    </w:p>
    <w:p w14:paraId="49CE082C" w14:textId="671D5305" w:rsidR="003361BE" w:rsidRDefault="003361BE" w:rsidP="00797873">
      <w:pPr>
        <w:pStyle w:val="ANormal"/>
      </w:pPr>
      <w:r>
        <w:tab/>
        <w:t>Slutligen föreslås att eventuella likviditetsstöd som en kommun har beviljats ska undantas från grunden för nyckeltalen. Som tidigare nämnts har vissa kommuner beviljats tillfälligt likviditetsstöd för</w:t>
      </w:r>
      <w:r w:rsidR="00811625">
        <w:t xml:space="preserve">st </w:t>
      </w:r>
      <w:r>
        <w:t>med stöd av</w:t>
      </w:r>
      <w:r w:rsidR="00811625">
        <w:t xml:space="preserve"> en temporär landskapslag om tillfälligt likviditetsstöd till kommuner </w:t>
      </w:r>
      <w:r w:rsidR="002F5DA6">
        <w:t xml:space="preserve">under åren 2020 och 2021 </w:t>
      </w:r>
      <w:r w:rsidR="00811625">
        <w:t xml:space="preserve">och därefter med stöd av den nu gällande landskapslagen med </w:t>
      </w:r>
      <w:r w:rsidR="00811625">
        <w:lastRenderedPageBreak/>
        <w:t xml:space="preserve">samma namn som tillämpas under 2025 och 2026. Landskapsregeringen avser också att </w:t>
      </w:r>
      <w:r w:rsidR="002F5DA6">
        <w:t>föreslå lagstiftning om</w:t>
      </w:r>
      <w:r w:rsidR="00811625">
        <w:t xml:space="preserve"> ett motsvarande likviditetsstöd för kommuner som omfattas av ett utvärderingsförfarande enligt den här föreslagna lagen. </w:t>
      </w:r>
      <w:r w:rsidR="002F5DA6">
        <w:t xml:space="preserve">Den lagstiftningen kommer att vara avsedd att tillämpas efter 2026. </w:t>
      </w:r>
      <w:r w:rsidR="00811625">
        <w:t xml:space="preserve">Syftet med dessa stöd har dock inte varit, och kommer heller inte att vara, att förbättra kommunens ekonomiska ställning på längre sikt. Beroende på hur ett likviditetsstöd redovisas av kommunen skulle det kunna påverka bokslutsuppgifterna på ett sådant sätt att </w:t>
      </w:r>
      <w:r w:rsidR="00862FE6">
        <w:t xml:space="preserve">kriterierna </w:t>
      </w:r>
      <w:r w:rsidR="00862FE6" w:rsidRPr="00AA65BF">
        <w:t>för en synnerligen a</w:t>
      </w:r>
      <w:r w:rsidR="00862FE6">
        <w:t>nsträngd</w:t>
      </w:r>
      <w:r w:rsidR="00862FE6" w:rsidRPr="005319DE">
        <w:t xml:space="preserve"> </w:t>
      </w:r>
      <w:r w:rsidR="00862FE6">
        <w:t>ekonomi inte uppfylls. Det skulle i förlängningen kunna leda till att kommunen inte blir föremål för ett utvärderingsförfarande trots att det vore motiverat av dess ekonomiska situation.</w:t>
      </w:r>
    </w:p>
    <w:p w14:paraId="59D94B4C" w14:textId="77777777" w:rsidR="003D255A" w:rsidRDefault="003D255A" w:rsidP="003D255A">
      <w:pPr>
        <w:pStyle w:val="ANormal"/>
      </w:pPr>
    </w:p>
    <w:p w14:paraId="002A7C74" w14:textId="20FCA7FA" w:rsidR="003D255A" w:rsidRDefault="003D255A" w:rsidP="003D255A">
      <w:pPr>
        <w:pStyle w:val="ANormal"/>
      </w:pPr>
      <w:r>
        <w:t>3</w:t>
      </w:r>
      <w:r w:rsidR="004B746A">
        <w:t> §</w:t>
      </w:r>
      <w:r>
        <w:t xml:space="preserve"> </w:t>
      </w:r>
      <w:r>
        <w:rPr>
          <w:i/>
          <w:iCs/>
        </w:rPr>
        <w:t>Utvärderingsförfarande.</w:t>
      </w:r>
      <w:r>
        <w:t xml:space="preserve"> Det föreslagna utvärderingsförfarandet utgörs av en utredning som gemensamt utförs av landskapsregeringen och kommunen. Syftet med utredningen är att klargöra vilka möjligheter kommunen har att garantera invånarna den lagstadgade service de har rätt till samt vilka åtgärder som behöver vidtas för att trygga förutsättningarna för denna service.</w:t>
      </w:r>
    </w:p>
    <w:p w14:paraId="79E21452" w14:textId="745844F3" w:rsidR="00F12BFE" w:rsidRDefault="00F12BFE" w:rsidP="00F12BFE">
      <w:pPr>
        <w:pStyle w:val="ANormal"/>
      </w:pPr>
      <w:r>
        <w:tab/>
        <w:t xml:space="preserve">När bokslutsuppgifterna har publicerats </w:t>
      </w:r>
      <w:r w:rsidRPr="00A06823">
        <w:t>ska de angivna nyckeltalen beräknas</w:t>
      </w:r>
      <w:r>
        <w:t xml:space="preserve"> för de enskilda kommunerna. I det fall att någon kommun visar sig ha en synnerligen ansträngd ekonomi fattar landskapsregeringen ett formellt beslut om inledande av ett utvärderingsförfarande.</w:t>
      </w:r>
      <w:r w:rsidR="009F3470" w:rsidRPr="009F3470">
        <w:t xml:space="preserve"> </w:t>
      </w:r>
      <w:r w:rsidR="009F3470">
        <w:t>Bokslutsuppgifterna publiceras normalt i slutet av september året efter räkenskapsåret, vilket innebär a</w:t>
      </w:r>
      <w:r w:rsidR="003B790F">
        <w:t>t</w:t>
      </w:r>
      <w:r w:rsidR="009F3470">
        <w:t xml:space="preserve">t landskapsregeringen i regel bör kunna fatta sitt beslut inom oktober. </w:t>
      </w:r>
      <w:r w:rsidR="00A965D3">
        <w:t xml:space="preserve">Enligt förvaltningslagen (2008:9) för landskapet Åland ska handläggningstiden för ett ärende inte överstiga tre månader. </w:t>
      </w:r>
      <w:r w:rsidR="009F3470">
        <w:t>I detta fall är det</w:t>
      </w:r>
      <w:r w:rsidR="00A965D3">
        <w:t xml:space="preserve"> dock</w:t>
      </w:r>
      <w:r w:rsidR="009F3470">
        <w:t xml:space="preserve"> inte frågan om någon </w:t>
      </w:r>
      <w:r w:rsidR="00A965D3">
        <w:t xml:space="preserve">egentlig </w:t>
      </w:r>
      <w:r w:rsidR="009F3470">
        <w:t>prövning utan ett konstaterande av faktum</w:t>
      </w:r>
      <w:r w:rsidR="00A965D3">
        <w:t xml:space="preserve"> och a</w:t>
      </w:r>
      <w:r w:rsidR="009F3470">
        <w:t>v den anledningen behövs ingen särskilt omfattande beredning av beslutet. Dessutom finns preliminära bokslutsuppgifter ofta tillgängliga redan i juni.</w:t>
      </w:r>
    </w:p>
    <w:p w14:paraId="7A88C410" w14:textId="7A5C59BC" w:rsidR="00287167" w:rsidRDefault="003D255A" w:rsidP="003D255A">
      <w:pPr>
        <w:pStyle w:val="ANormal"/>
      </w:pPr>
      <w:r>
        <w:tab/>
      </w:r>
      <w:r w:rsidR="00667E83">
        <w:t>Ett u</w:t>
      </w:r>
      <w:r>
        <w:t xml:space="preserve">tvärderingsförfarande ska </w:t>
      </w:r>
      <w:r w:rsidR="006D4356">
        <w:t xml:space="preserve">i regel </w:t>
      </w:r>
      <w:r w:rsidR="00667E83">
        <w:t xml:space="preserve">alltid </w:t>
      </w:r>
      <w:r>
        <w:t xml:space="preserve">inledas </w:t>
      </w:r>
      <w:r w:rsidR="00667E83">
        <w:t>för en kommun vars ekonomi enligt bestämmelserna i 2</w:t>
      </w:r>
      <w:r w:rsidR="004B746A">
        <w:t> §</w:t>
      </w:r>
      <w:r w:rsidR="00667E83">
        <w:t xml:space="preserve"> definieras som synnerligen ansträngd.</w:t>
      </w:r>
      <w:r>
        <w:t xml:space="preserve"> Det är således inte frågan om någon prövning när det gäller om förfarandet ska inledas eller inte, utan en direkt följd av att </w:t>
      </w:r>
      <w:r w:rsidR="00667E83">
        <w:t xml:space="preserve">minst ett av </w:t>
      </w:r>
      <w:r>
        <w:t xml:space="preserve">de angivna kriterierna uppfylls. Det här innebär att förfarandet inleds även om </w:t>
      </w:r>
      <w:r w:rsidR="00667E83">
        <w:t>kommunens ekonomiska situation skulle bero på en tillfällighet eller om det finns tecken på att den är på väg att förbättras.</w:t>
      </w:r>
      <w:r w:rsidR="00D84BD6" w:rsidRPr="00D84BD6">
        <w:t xml:space="preserve"> </w:t>
      </w:r>
      <w:r w:rsidR="00D84BD6" w:rsidRPr="00D55409">
        <w:t>Det kan bland annat av rent bokföringstekniska orsaker uppstå situationer där en på pappret pressad ekonomisk situation kan förklaras med den interna kommunala strukturen såsom förekomsten av till exempel koncernbildning.</w:t>
      </w:r>
      <w:r w:rsidR="00667E83" w:rsidRPr="00D55409">
        <w:t xml:space="preserve"> I</w:t>
      </w:r>
      <w:r w:rsidR="00667E83">
        <w:t xml:space="preserve"> sådana fall kommer detta att visa sig vid utvärderingen</w:t>
      </w:r>
      <w:r w:rsidR="003B790F">
        <w:t>, som då kanske inte heller behöver vara särskilt omfattande.</w:t>
      </w:r>
    </w:p>
    <w:p w14:paraId="3BC971FA" w14:textId="045B5189" w:rsidR="00667E83" w:rsidRDefault="00287167" w:rsidP="003D255A">
      <w:pPr>
        <w:pStyle w:val="ANormal"/>
      </w:pPr>
      <w:r>
        <w:tab/>
      </w:r>
      <w:r w:rsidR="006D4356">
        <w:t>B</w:t>
      </w:r>
      <w:r w:rsidR="00DF32D5">
        <w:t xml:space="preserve">eslut om inledande av ett utvärderingsförfarande </w:t>
      </w:r>
      <w:r w:rsidR="006D4356">
        <w:t xml:space="preserve">ska dock </w:t>
      </w:r>
      <w:r w:rsidR="00DF32D5">
        <w:t xml:space="preserve">inte fattas om kommunen </w:t>
      </w:r>
      <w:r w:rsidR="006D4356">
        <w:t xml:space="preserve">i fråga </w:t>
      </w:r>
      <w:r>
        <w:t>medverkar i</w:t>
      </w:r>
      <w:r w:rsidR="00752B61">
        <w:t xml:space="preserve"> en</w:t>
      </w:r>
      <w:r w:rsidR="00DF32D5">
        <w:t xml:space="preserve"> </w:t>
      </w:r>
      <w:r w:rsidR="003F0771">
        <w:t xml:space="preserve">särskild </w:t>
      </w:r>
      <w:r w:rsidR="00DF32D5">
        <w:t>kommunindelningsutredning.</w:t>
      </w:r>
      <w:r>
        <w:t xml:space="preserve"> Avgörande i en sådan situation är att landskapsregeringen ska ha fattat beslut om att en särskild kommunindelningsutredning ska genomföras. Det är först i det skedet som det </w:t>
      </w:r>
      <w:r w:rsidR="006D4356">
        <w:t>står klart</w:t>
      </w:r>
      <w:r>
        <w:t xml:space="preserve"> vilka kommuner som omfattas av utredningen. Det behöver således inte vara den kommun som har synnerligen ansträngd ekonomi som har tagit initiativet till den särskilda kommunindelningsutredningen.</w:t>
      </w:r>
    </w:p>
    <w:p w14:paraId="7CCB4C8F" w14:textId="36C6F321" w:rsidR="00994C75" w:rsidRDefault="00994C75" w:rsidP="003D255A">
      <w:pPr>
        <w:pStyle w:val="ANormal"/>
      </w:pPr>
      <w:r>
        <w:tab/>
        <w:t xml:space="preserve">Eftersom </w:t>
      </w:r>
      <w:r w:rsidR="006D4356">
        <w:t xml:space="preserve">det är möjligt att </w:t>
      </w:r>
      <w:r>
        <w:t>ett utvärderingsförfarande sträck</w:t>
      </w:r>
      <w:r w:rsidR="006D4356">
        <w:t>er</w:t>
      </w:r>
      <w:r>
        <w:t xml:space="preserve"> sig över ett helt år kommer det att kunna uppstå en situation där bokslutsuppgifterna för följande räkenskapsår publiceras innan förfarandet har slutförts. I en sådan situation ska inte ett nytt utvärderingsförfarande inledas trots att kommunens ekonomi kanske fortfarande kan betraktas som synnerligen ansträngd. Detsamma gäller om fullmäktige </w:t>
      </w:r>
      <w:r w:rsidR="000F5DFA">
        <w:t xml:space="preserve">efter ett genomfört utvärderingsförfarande har beslutat att vidta åtgärder för att förbättra ekonomin. I det fallet ska ett nytt utvärderingsförfarande kunna inledas </w:t>
      </w:r>
      <w:r w:rsidR="000F5DFA" w:rsidRPr="001F43DD">
        <w:t xml:space="preserve">först efter att resultatet av åtgärderna </w:t>
      </w:r>
      <w:r w:rsidR="001F43DD" w:rsidRPr="00E77E9C">
        <w:t xml:space="preserve">slutligt </w:t>
      </w:r>
      <w:r w:rsidR="000F5DFA" w:rsidRPr="00E77E9C">
        <w:t>har redovisats till landskapsregeringen</w:t>
      </w:r>
      <w:r w:rsidR="008038EE" w:rsidRPr="00E77E9C">
        <w:t>, det vill säga</w:t>
      </w:r>
      <w:r w:rsidR="001F43DD" w:rsidRPr="00E77E9C">
        <w:t xml:space="preserve"> efter </w:t>
      </w:r>
      <w:r w:rsidR="00797013" w:rsidRPr="00E77E9C">
        <w:t>att den tid som angivits för genomförandet har passerat</w:t>
      </w:r>
      <w:r w:rsidR="000F5DFA" w:rsidRPr="00E77E9C">
        <w:t>.</w:t>
      </w:r>
    </w:p>
    <w:p w14:paraId="31461B4A" w14:textId="77777777" w:rsidR="00BB742F" w:rsidRDefault="00BB742F" w:rsidP="00BB742F">
      <w:pPr>
        <w:pStyle w:val="ANormal"/>
      </w:pPr>
    </w:p>
    <w:p w14:paraId="24669B3A" w14:textId="5DF7E41C" w:rsidR="005E7D73" w:rsidRDefault="00810EF8" w:rsidP="00BB742F">
      <w:pPr>
        <w:pStyle w:val="ANormal"/>
      </w:pPr>
      <w:r>
        <w:t>4</w:t>
      </w:r>
      <w:r w:rsidR="004B746A">
        <w:t> §</w:t>
      </w:r>
      <w:r w:rsidR="00BB742F">
        <w:t xml:space="preserve"> </w:t>
      </w:r>
      <w:r w:rsidR="00B35A08">
        <w:rPr>
          <w:i/>
          <w:iCs/>
        </w:rPr>
        <w:t>Utvärderingsgrupp</w:t>
      </w:r>
      <w:r w:rsidR="00BB742F">
        <w:rPr>
          <w:i/>
          <w:iCs/>
        </w:rPr>
        <w:t>.</w:t>
      </w:r>
      <w:r w:rsidR="00BB742F">
        <w:t xml:space="preserve"> </w:t>
      </w:r>
      <w:r w:rsidR="00F12BFE">
        <w:t>Enligt förslaget ska utvärderingen av en kommun med synnerligen ansträngd ekonomi</w:t>
      </w:r>
      <w:r w:rsidR="005E7D73">
        <w:t xml:space="preserve"> göras av en utvärderingsgrupp som består av två medlemmar och en oberoende ordförande. Av medlemmarna utses den ena av kommunen och den andra av landskapsregeringen. Ordföranden utses av landskapsregeringen efter att kommunen har hörts.</w:t>
      </w:r>
    </w:p>
    <w:p w14:paraId="503D4D41" w14:textId="24585476" w:rsidR="00E734CF" w:rsidRDefault="005E7D73" w:rsidP="00E734CF">
      <w:pPr>
        <w:pStyle w:val="ANormal"/>
      </w:pPr>
      <w:r>
        <w:tab/>
        <w:t xml:space="preserve">Utvärderingsgruppens uppgift är att </w:t>
      </w:r>
      <w:r w:rsidR="009E1ED2">
        <w:t>analysera</w:t>
      </w:r>
      <w:r w:rsidR="00D56AAE">
        <w:t xml:space="preserve"> kommunens </w:t>
      </w:r>
      <w:r w:rsidR="00337718">
        <w:t xml:space="preserve">ekonomiska situation för att klargöra vilka </w:t>
      </w:r>
      <w:r w:rsidR="00D56AAE">
        <w:t>möjligheter</w:t>
      </w:r>
      <w:r w:rsidR="00337718">
        <w:t xml:space="preserve"> kommunen har</w:t>
      </w:r>
      <w:r w:rsidR="00D56AAE">
        <w:t xml:space="preserve"> att producera den </w:t>
      </w:r>
      <w:r w:rsidR="00337718">
        <w:t>lagstadgade servicen</w:t>
      </w:r>
      <w:r w:rsidR="004555EE">
        <w:t>, samt att föreslå vilka åtgärder som behöver vidtas för att garantera servicen till invånarna</w:t>
      </w:r>
      <w:r w:rsidR="00337718">
        <w:t xml:space="preserve">. </w:t>
      </w:r>
      <w:r>
        <w:t xml:space="preserve"> </w:t>
      </w:r>
      <w:r w:rsidR="00E734CF">
        <w:t xml:space="preserve">Åtgärder som kan vidtas för att förbättra finansieringens tillräcklighet är för det första att gallra bland driftsutgifterna samt att höja skattesatserna för kommunalskatten och fastighetsskatten. Dessutom är det möjligt att höja avgifterna för de tjänster där avgiftsgrunderna inte är reglerade. Soliditeten kan förbättras till exempel genom att sälja egendom och använda försäljningsinkomsten till att betala tillbaka lån. </w:t>
      </w:r>
      <w:r w:rsidR="00E734CF" w:rsidRPr="00A965D3">
        <w:t>Också en minskning av investeringarna när de skulle öka kommunens skuldsättning förhindrar att soliditeten försämras.</w:t>
      </w:r>
      <w:r w:rsidR="00E734CF">
        <w:t xml:space="preserve"> Eftersom kommunens utgifter i huvudsak består av personalutgifter är också en sänkning av dem och en begränsning av de köpta tjänsterna ett sätt att balansera kommunens ekonomi.</w:t>
      </w:r>
      <w:r w:rsidR="00D237AE">
        <w:t xml:space="preserve"> Under förfarandet ska </w:t>
      </w:r>
      <w:r w:rsidR="00D237AE" w:rsidRPr="00E77E9C">
        <w:t xml:space="preserve">kommunen </w:t>
      </w:r>
      <w:r w:rsidR="001C643F" w:rsidRPr="00E77E9C">
        <w:t>ansvara för</w:t>
      </w:r>
      <w:r w:rsidR="001C643F">
        <w:t xml:space="preserve"> att</w:t>
      </w:r>
      <w:r w:rsidR="00D237AE">
        <w:t xml:space="preserve"> utvärderingsgruppen </w:t>
      </w:r>
      <w:r w:rsidR="001C643F">
        <w:t>får tillgång till</w:t>
      </w:r>
      <w:r w:rsidR="00D237AE">
        <w:t xml:space="preserve"> de uppgifter som behövs för att </w:t>
      </w:r>
      <w:r w:rsidR="00A00ECA">
        <w:t>analysera den ekonomiska situationen och komma fram till möjliga åtgärder</w:t>
      </w:r>
      <w:r w:rsidR="00D237AE">
        <w:t>.</w:t>
      </w:r>
    </w:p>
    <w:p w14:paraId="589E3F71" w14:textId="43EB7656" w:rsidR="00257494" w:rsidRDefault="00257494" w:rsidP="00EE45DD">
      <w:pPr>
        <w:pStyle w:val="ANormal"/>
      </w:pPr>
      <w:r>
        <w:tab/>
      </w:r>
      <w:r w:rsidRPr="00E77E9C">
        <w:t xml:space="preserve">I det åtgärdsförslag som utvärderingsgruppen lägger fram ska också ingå en </w:t>
      </w:r>
      <w:r w:rsidR="00FC48B9" w:rsidRPr="00E77E9C">
        <w:t xml:space="preserve">bedömning av </w:t>
      </w:r>
      <w:r w:rsidRPr="00E77E9C">
        <w:t xml:space="preserve">inom vilken </w:t>
      </w:r>
      <w:r w:rsidR="00FC48B9" w:rsidRPr="00E77E9C">
        <w:t xml:space="preserve">tidsram </w:t>
      </w:r>
      <w:r w:rsidRPr="00E77E9C">
        <w:t xml:space="preserve">åtgärderna </w:t>
      </w:r>
      <w:r w:rsidR="003A2392" w:rsidRPr="00E77E9C">
        <w:t xml:space="preserve">ska vidtas </w:t>
      </w:r>
      <w:r w:rsidRPr="00E77E9C">
        <w:t>och</w:t>
      </w:r>
      <w:r w:rsidR="00FC48B9" w:rsidRPr="00E77E9C">
        <w:t xml:space="preserve"> när</w:t>
      </w:r>
      <w:r w:rsidRPr="00E77E9C">
        <w:t xml:space="preserve"> effekterna av dem</w:t>
      </w:r>
      <w:r w:rsidR="00FC48B9" w:rsidRPr="00E77E9C">
        <w:t xml:space="preserve"> på</w:t>
      </w:r>
      <w:r w:rsidRPr="00E77E9C">
        <w:t xml:space="preserve"> </w:t>
      </w:r>
      <w:r w:rsidR="00FC48B9" w:rsidRPr="00E77E9C">
        <w:t xml:space="preserve">kommunens ekonomi </w:t>
      </w:r>
      <w:r w:rsidR="00A617E1" w:rsidRPr="00E77E9C">
        <w:t>behöver</w:t>
      </w:r>
      <w:r w:rsidR="00FC48B9" w:rsidRPr="00E77E9C">
        <w:t xml:space="preserve"> </w:t>
      </w:r>
      <w:r w:rsidRPr="00E77E9C">
        <w:t xml:space="preserve">synas. </w:t>
      </w:r>
      <w:r w:rsidR="003A2392" w:rsidRPr="00E77E9C">
        <w:t>Hur lång tid</w:t>
      </w:r>
      <w:r w:rsidR="00FC48B9" w:rsidRPr="00E77E9C">
        <w:t xml:space="preserve"> som behövs</w:t>
      </w:r>
      <w:r w:rsidRPr="00E77E9C">
        <w:t xml:space="preserve"> avgörs av utvärderingsgruppen</w:t>
      </w:r>
      <w:r w:rsidR="00D92EC1" w:rsidRPr="00E77E9C">
        <w:t xml:space="preserve"> genom en</w:t>
      </w:r>
      <w:r w:rsidR="00203320" w:rsidRPr="00E77E9C">
        <w:t xml:space="preserve"> bedömning</w:t>
      </w:r>
      <w:r w:rsidRPr="00E77E9C">
        <w:t xml:space="preserve"> </w:t>
      </w:r>
      <w:r w:rsidR="00203320" w:rsidRPr="00E77E9C">
        <w:t>av</w:t>
      </w:r>
      <w:r w:rsidRPr="00E77E9C">
        <w:t xml:space="preserve"> det enskilda fallet. </w:t>
      </w:r>
      <w:r w:rsidR="00FC48B9" w:rsidRPr="00E77E9C">
        <w:t>Bedömningen</w:t>
      </w:r>
      <w:r w:rsidRPr="00E77E9C">
        <w:t xml:space="preserve"> </w:t>
      </w:r>
      <w:r w:rsidR="00D92EC1" w:rsidRPr="00E77E9C">
        <w:t>sker som</w:t>
      </w:r>
      <w:r w:rsidR="00FC48B9" w:rsidRPr="00E77E9C">
        <w:t xml:space="preserve"> en rimlighetsbedömning utgående från</w:t>
      </w:r>
      <w:r w:rsidR="00203320" w:rsidRPr="00E77E9C">
        <w:t xml:space="preserve"> kommunens ekonomi</w:t>
      </w:r>
      <w:r w:rsidR="00FC48B9" w:rsidRPr="00E77E9C">
        <w:t>ska</w:t>
      </w:r>
      <w:r w:rsidR="00203320" w:rsidRPr="00E77E9C">
        <w:t xml:space="preserve"> </w:t>
      </w:r>
      <w:r w:rsidR="00FC48B9" w:rsidRPr="00E77E9C">
        <w:t xml:space="preserve">situation, vilka </w:t>
      </w:r>
      <w:r w:rsidRPr="00E77E9C">
        <w:t xml:space="preserve">åtgärder som föreslås och </w:t>
      </w:r>
      <w:r w:rsidR="00FC48B9" w:rsidRPr="00E77E9C">
        <w:t>kommunens möjligheter att under den angivna tiden upprätthålla den lagstadgade servicen för invånarna</w:t>
      </w:r>
      <w:r w:rsidR="007B2C92" w:rsidRPr="00E77E9C">
        <w:t>.</w:t>
      </w:r>
      <w:r w:rsidR="003A2392" w:rsidRPr="00E77E9C">
        <w:t xml:space="preserve"> Kommunernas ekonomiplan sträcker sig över tre räkenskapsår, </w:t>
      </w:r>
      <w:r w:rsidR="00FC48B9" w:rsidRPr="00E77E9C">
        <w:t xml:space="preserve">ett rimligt antagande är att </w:t>
      </w:r>
      <w:r w:rsidR="00D92EC1" w:rsidRPr="00E77E9C">
        <w:t xml:space="preserve">tidsramen </w:t>
      </w:r>
      <w:r w:rsidR="00797013" w:rsidRPr="00E77E9C">
        <w:t>inte</w:t>
      </w:r>
      <w:r w:rsidR="003A2392" w:rsidRPr="00E77E9C">
        <w:t xml:space="preserve"> ska </w:t>
      </w:r>
      <w:r w:rsidR="00636EF7" w:rsidRPr="00E77E9C">
        <w:t>överstiga den tiden</w:t>
      </w:r>
      <w:r w:rsidR="00990363" w:rsidRPr="00E77E9C">
        <w:t>.</w:t>
      </w:r>
      <w:r w:rsidR="00E81291" w:rsidRPr="00E77E9C">
        <w:t xml:space="preserve"> </w:t>
      </w:r>
      <w:r w:rsidR="00990363" w:rsidRPr="00E77E9C">
        <w:t xml:space="preserve">För att de åtgärder som utvärderingsgruppen föreslår ska ha förutsättningar att </w:t>
      </w:r>
      <w:r w:rsidR="00E81291" w:rsidRPr="00E77E9C">
        <w:t>bli genomförda</w:t>
      </w:r>
      <w:r w:rsidR="00990363" w:rsidRPr="00E77E9C">
        <w:t xml:space="preserve"> inom den angivna tidsramen är det </w:t>
      </w:r>
      <w:r w:rsidR="007F78B3" w:rsidRPr="00E77E9C">
        <w:t xml:space="preserve">också </w:t>
      </w:r>
      <w:r w:rsidR="00990363" w:rsidRPr="00E77E9C">
        <w:t>av stor vikt att de kontinuerligt förankras hos</w:t>
      </w:r>
      <w:r w:rsidR="00D92EC1" w:rsidRPr="00E77E9C">
        <w:t xml:space="preserve"> såväl kommunförvaltningen som</w:t>
      </w:r>
      <w:r w:rsidR="00990363" w:rsidRPr="00E77E9C">
        <w:t xml:space="preserve"> </w:t>
      </w:r>
      <w:r w:rsidR="00D97899" w:rsidRPr="00E77E9C">
        <w:t>förtroendevalda</w:t>
      </w:r>
      <w:r w:rsidR="00990363" w:rsidRPr="00E77E9C">
        <w:t xml:space="preserve"> i kommunen under hela </w:t>
      </w:r>
      <w:r w:rsidR="007F4549" w:rsidRPr="00E77E9C">
        <w:t>processen</w:t>
      </w:r>
      <w:r w:rsidR="00636EF7" w:rsidRPr="00E77E9C">
        <w:t>.</w:t>
      </w:r>
    </w:p>
    <w:p w14:paraId="1032C05B" w14:textId="77777777" w:rsidR="00D92EC1" w:rsidRDefault="00D92EC1" w:rsidP="00D92EC1">
      <w:pPr>
        <w:pStyle w:val="ANormal"/>
      </w:pPr>
      <w:r>
        <w:tab/>
        <w:t>Eftersom syftet är att trygga förutsättningarna för servicen till invånarna, är det inte alltid tillräckligt med de ovan nämnda åtgärderna som riktas mot kommunens ekonomi. I vissa fall förutsätter tryggad service avsevärda strukturella reformer, till exempel att servicen i högre utsträckning än nu ordnas i samarbete mellan kommunerna eller att det sker ändringar i kommunindelningen. Utvärderingsgruppens förslag kan således även gälla sådana åtgärder om de bedöms vara nödvändiga för att trygga förutsättningarna för att ordna servicen.</w:t>
      </w:r>
    </w:p>
    <w:p w14:paraId="69BED0EF" w14:textId="77777777" w:rsidR="00EC4C1E" w:rsidRDefault="00EC4C1E" w:rsidP="00EC4C1E">
      <w:pPr>
        <w:pStyle w:val="ANormal"/>
      </w:pPr>
    </w:p>
    <w:p w14:paraId="5FA0E211" w14:textId="638E9020" w:rsidR="000377AA" w:rsidRDefault="00810EF8" w:rsidP="00E8169A">
      <w:pPr>
        <w:pStyle w:val="ANormal"/>
      </w:pPr>
      <w:r>
        <w:t>5</w:t>
      </w:r>
      <w:r w:rsidR="004B746A">
        <w:t> §</w:t>
      </w:r>
      <w:r w:rsidR="00EC4C1E">
        <w:t xml:space="preserve"> </w:t>
      </w:r>
      <w:r w:rsidR="00EC4C1E">
        <w:rPr>
          <w:i/>
          <w:iCs/>
        </w:rPr>
        <w:t>Begränsning av investeringar.</w:t>
      </w:r>
      <w:r w:rsidR="00EC4C1E">
        <w:t xml:space="preserve"> </w:t>
      </w:r>
      <w:r w:rsidR="00E60160">
        <w:t xml:space="preserve">I den föreslagna paragrafen begränsas </w:t>
      </w:r>
      <w:r w:rsidR="00E8169A">
        <w:t xml:space="preserve">kommunens möjligheter att ingå förbindelser om </w:t>
      </w:r>
      <w:r w:rsidR="00E60160">
        <w:t xml:space="preserve">investeringar i byggnader under den tid ett utvärderingsförfarande pågår. </w:t>
      </w:r>
      <w:r w:rsidR="00F96F76" w:rsidRPr="00E77E9C">
        <w:t>Förutom kommunen gäller begränsningen också bolag som i sin helhet ägs av kommunen.</w:t>
      </w:r>
      <w:r w:rsidR="00F96F76">
        <w:t xml:space="preserve"> </w:t>
      </w:r>
      <w:r w:rsidR="00E60160">
        <w:t xml:space="preserve">Sådana investeringar </w:t>
      </w:r>
      <w:r w:rsidR="00E8169A">
        <w:t xml:space="preserve">som </w:t>
      </w:r>
      <w:r w:rsidR="00DB6651">
        <w:t xml:space="preserve">kan finansieras med eget kapital, och som </w:t>
      </w:r>
      <w:r w:rsidR="00E8169A">
        <w:t>inte kräver att kommunen tar in främmande kapital</w:t>
      </w:r>
      <w:r w:rsidR="00DB6651">
        <w:t>,</w:t>
      </w:r>
      <w:r w:rsidR="00E60160">
        <w:t xml:space="preserve"> omfattas inte av </w:t>
      </w:r>
      <w:r w:rsidR="00E8169A">
        <w:t>begränsningen</w:t>
      </w:r>
      <w:r w:rsidR="00E60160">
        <w:t>.</w:t>
      </w:r>
      <w:r w:rsidR="00E8169A" w:rsidRPr="00E8169A">
        <w:t xml:space="preserve"> </w:t>
      </w:r>
      <w:r w:rsidR="00E8169A">
        <w:t>Undertecknandet av ett entreprenadavtal eller av ett motsvarande avtal om inledande av byggnadsarbetena anses som en viktig tidpunkt när det gäller ingåendet av en förbindelse som gäller en investering.</w:t>
      </w:r>
    </w:p>
    <w:p w14:paraId="0029A3A3" w14:textId="3B279098" w:rsidR="00E8169A" w:rsidRDefault="000377AA" w:rsidP="00E8169A">
      <w:pPr>
        <w:pStyle w:val="ANormal"/>
      </w:pPr>
      <w:r>
        <w:tab/>
      </w:r>
      <w:r w:rsidR="00E8169A">
        <w:t xml:space="preserve">Den period när begränsningen gäller startar när landskapsregeringen fattar det formella beslutet om att förfarandet ska inledas. Perioden avslutas vid den tidpunkt då landskapsregeringen </w:t>
      </w:r>
      <w:r w:rsidR="00731AB7">
        <w:t>med stöd av den föreslagna 6</w:t>
      </w:r>
      <w:r w:rsidR="004B746A">
        <w:t> §</w:t>
      </w:r>
      <w:r w:rsidR="00731AB7">
        <w:t xml:space="preserve"> 3</w:t>
      </w:r>
      <w:r w:rsidR="004B746A">
        <w:t> mom.</w:t>
      </w:r>
      <w:r w:rsidR="00E8169A">
        <w:t xml:space="preserve"> </w:t>
      </w:r>
      <w:r w:rsidR="00731AB7">
        <w:t>avgör om det finns behov av</w:t>
      </w:r>
      <w:r w:rsidR="00E8169A">
        <w:t xml:space="preserve"> en särskild kommunindelningsutredning eller </w:t>
      </w:r>
      <w:r w:rsidR="00E8169A">
        <w:lastRenderedPageBreak/>
        <w:t>inte. Det förutsätter alltså att landskapsregeringen fattar ett beslut oberoende av om processen ska fortsätt</w:t>
      </w:r>
      <w:r w:rsidR="009D231C">
        <w:t>a</w:t>
      </w:r>
      <w:r w:rsidR="00E8169A">
        <w:t xml:space="preserve"> enligt kommunstrukturlagen eller inte.</w:t>
      </w:r>
    </w:p>
    <w:p w14:paraId="5A9673B4" w14:textId="7931A027" w:rsidR="000C43E4" w:rsidRDefault="000377AA" w:rsidP="00E60160">
      <w:pPr>
        <w:pStyle w:val="ANormal"/>
      </w:pPr>
      <w:r>
        <w:tab/>
      </w:r>
      <w:r w:rsidR="00E60160">
        <w:t>I paragrafens 2</w:t>
      </w:r>
      <w:r w:rsidR="004B746A">
        <w:t> mom.</w:t>
      </w:r>
      <w:r w:rsidR="00E60160">
        <w:t xml:space="preserve"> föreskrivs om möjligheten att ansöka om dispens hos </w:t>
      </w:r>
      <w:r>
        <w:t>landskapsregeringen</w:t>
      </w:r>
      <w:r w:rsidR="00E60160">
        <w:t xml:space="preserve"> för sådana investeringar som </w:t>
      </w:r>
      <w:r>
        <w:t>inte är tillåtna enligt</w:t>
      </w:r>
      <w:r w:rsidR="00E60160">
        <w:t xml:space="preserve"> 1</w:t>
      </w:r>
      <w:r w:rsidR="004B746A">
        <w:t> mom.</w:t>
      </w:r>
      <w:r w:rsidR="00E60160">
        <w:t xml:space="preserve"> Det ska vara möjligt att söka dispens redan i planeringsskedet, om det på basis av planeringen är möjligt att göra en sådan prövning som dispensen förutsätter. Ett villkor för dispens är att investeringen är motiverad för att tillgången till tjänsterna ska tryggas samt att den är nödvändig med avseende på områdets servicestruktur. </w:t>
      </w:r>
      <w:r w:rsidR="000C43E4">
        <w:t xml:space="preserve">Det innebär att behovet inte ska bedömas endast ur en enskild kommuns perspektiv, utan investeringen bör vara nödvändig också med hänsyn till ett helhetsperspektiv för ett område större än en kommun. </w:t>
      </w:r>
      <w:r w:rsidR="00E60160">
        <w:t>Dispens kan beviljas också för en del av ett projekt som är föremål för ansökan.</w:t>
      </w:r>
    </w:p>
    <w:p w14:paraId="58624B85" w14:textId="77E2D867" w:rsidR="00EC4C1E" w:rsidRDefault="000C43E4" w:rsidP="00E60160">
      <w:pPr>
        <w:pStyle w:val="ANormal"/>
      </w:pPr>
      <w:r>
        <w:tab/>
      </w:r>
      <w:r w:rsidR="00E60160">
        <w:t>På grund av nödvändiga småskaliga underhållsbehov i fråga om byggnader föreskrivs det i 3</w:t>
      </w:r>
      <w:r w:rsidR="004B746A">
        <w:t> mom.</w:t>
      </w:r>
      <w:r w:rsidR="00E60160">
        <w:t xml:space="preserve"> att </w:t>
      </w:r>
      <w:r>
        <w:t>begränsningen</w:t>
      </w:r>
      <w:r w:rsidR="00E60160">
        <w:t xml:space="preserve"> i 1</w:t>
      </w:r>
      <w:r w:rsidR="004B746A">
        <w:t> mom.</w:t>
      </w:r>
      <w:r w:rsidR="00E60160">
        <w:t xml:space="preserve"> inte ska gälla investeringar som hänför sig till årligt underhåll av byggnader eller sådana investeringar som utifrån</w:t>
      </w:r>
      <w:r>
        <w:t xml:space="preserve"> en</w:t>
      </w:r>
      <w:r w:rsidR="00E60160">
        <w:t xml:space="preserve"> tillsynsmyndighets inspektioner konstaterats vara nödvändiga till exempel på grund av byggnadsanvändarnas hälsa eller säkerhet.</w:t>
      </w:r>
    </w:p>
    <w:p w14:paraId="770ABC88" w14:textId="73B15692" w:rsidR="00A97CA3" w:rsidRDefault="00A97CA3" w:rsidP="00E60160">
      <w:pPr>
        <w:pStyle w:val="ANormal"/>
      </w:pPr>
      <w:r>
        <w:tab/>
      </w:r>
      <w:r w:rsidRPr="00E77E9C">
        <w:t>Slutligen föreslås i 4</w:t>
      </w:r>
      <w:r w:rsidR="004B746A">
        <w:t> mom.</w:t>
      </w:r>
      <w:r w:rsidRPr="00E77E9C">
        <w:t xml:space="preserve"> en bestämmelse som anger att </w:t>
      </w:r>
      <w:r w:rsidR="00761B43" w:rsidRPr="00E77E9C">
        <w:t>om en kommun eller ett bolag som ägs av kommunen företar en rättshandling i strid med paragrafen, är avtalet ogiltigt</w:t>
      </w:r>
      <w:r w:rsidR="004E0522" w:rsidRPr="00E77E9C">
        <w:t>. Risken är annars att det uppstår en situation där rättsläget blir osäkert i det fall att kommunen skulle handla i strid med lagen och ingå en förbindelse om en investering</w:t>
      </w:r>
      <w:r w:rsidR="00761B43" w:rsidRPr="00E77E9C">
        <w:t>.</w:t>
      </w:r>
    </w:p>
    <w:p w14:paraId="195AC821" w14:textId="77777777" w:rsidR="00BB742F" w:rsidRDefault="00BB742F" w:rsidP="00BB742F">
      <w:pPr>
        <w:pStyle w:val="ANormal"/>
      </w:pPr>
    </w:p>
    <w:p w14:paraId="7EFF1E7B" w14:textId="030CCAA7" w:rsidR="00642C9A" w:rsidRDefault="00810EF8" w:rsidP="002D59BA">
      <w:pPr>
        <w:pStyle w:val="ANormal"/>
      </w:pPr>
      <w:r>
        <w:t>6</w:t>
      </w:r>
      <w:r w:rsidR="004B746A">
        <w:t> §</w:t>
      </w:r>
      <w:r w:rsidR="00BB742F">
        <w:t xml:space="preserve"> </w:t>
      </w:r>
      <w:r w:rsidR="00B35A08">
        <w:rPr>
          <w:i/>
          <w:iCs/>
        </w:rPr>
        <w:t>Behandling av utvärderings</w:t>
      </w:r>
      <w:r w:rsidR="00F3022C">
        <w:rPr>
          <w:i/>
          <w:iCs/>
        </w:rPr>
        <w:t>grupp</w:t>
      </w:r>
      <w:r w:rsidR="00B35A08">
        <w:rPr>
          <w:i/>
          <w:iCs/>
        </w:rPr>
        <w:t>en</w:t>
      </w:r>
      <w:r w:rsidR="00F3022C">
        <w:rPr>
          <w:i/>
          <w:iCs/>
        </w:rPr>
        <w:t>s förslag</w:t>
      </w:r>
      <w:r w:rsidR="00BB742F">
        <w:rPr>
          <w:i/>
          <w:iCs/>
        </w:rPr>
        <w:t>.</w:t>
      </w:r>
      <w:r w:rsidR="00BB742F">
        <w:t xml:space="preserve"> </w:t>
      </w:r>
      <w:r w:rsidR="002D59BA">
        <w:t xml:space="preserve">Enligt </w:t>
      </w:r>
      <w:r w:rsidR="00232175">
        <w:t xml:space="preserve">förslaget </w:t>
      </w:r>
      <w:r w:rsidR="002D59BA">
        <w:t xml:space="preserve">ska </w:t>
      </w:r>
      <w:r w:rsidR="00642C9A">
        <w:t>utvärderingsgruppens åtgärdsförslag tillställas fullmäktige i kommunen samt landskapsregeringen för kännedom.</w:t>
      </w:r>
    </w:p>
    <w:p w14:paraId="1F24AB4D" w14:textId="0D2DC9F4" w:rsidR="002D59BA" w:rsidRDefault="00642C9A" w:rsidP="002D59BA">
      <w:pPr>
        <w:pStyle w:val="ANormal"/>
      </w:pPr>
      <w:r>
        <w:tab/>
        <w:t>Enligt den föreslagna paragrafens 2</w:t>
      </w:r>
      <w:r w:rsidR="004B746A">
        <w:t> mom.</w:t>
      </w:r>
      <w:r>
        <w:t xml:space="preserve"> ska </w:t>
      </w:r>
      <w:r w:rsidR="002D59BA">
        <w:t xml:space="preserve">kommunfullmäktige behandla gruppens åtgärdsförslag och delge </w:t>
      </w:r>
      <w:r w:rsidR="00232175">
        <w:t>landskapsregeringen</w:t>
      </w:r>
      <w:r w:rsidR="002D59BA">
        <w:t xml:space="preserve"> </w:t>
      </w:r>
      <w:r w:rsidR="00CE5D13">
        <w:t xml:space="preserve">sitt </w:t>
      </w:r>
      <w:r w:rsidR="002D59BA">
        <w:t>beslut.</w:t>
      </w:r>
      <w:r w:rsidR="00662788">
        <w:t xml:space="preserve"> Kommunen ska också göra upp sin budget så att den förverkligar fullmäktiges beslut om åtgärdsförslagen. </w:t>
      </w:r>
      <w:r w:rsidR="002D59BA">
        <w:t xml:space="preserve">Syftet med den föreslagna </w:t>
      </w:r>
      <w:r w:rsidR="00662788">
        <w:t>formuleringen</w:t>
      </w:r>
      <w:r w:rsidR="002D59BA">
        <w:t xml:space="preserve"> är att sammankoppla de åtgärder som fastställts i åtgärdsprogrammet som en del av kommunens ekonomiplanering och rapportering. Fullmäktiges beslut kan också innehålla beslut om ändring av enskilda åtgärder under den tid åtgärdsprogrammet gäller, till exempel i det fall att det går att få ekonomin i balans med andra åtgärder. Fullmäktige </w:t>
      </w:r>
      <w:r w:rsidR="007C3C8A">
        <w:t>kan</w:t>
      </w:r>
      <w:r w:rsidR="002D59BA">
        <w:t xml:space="preserve"> också låta </w:t>
      </w:r>
      <w:r w:rsidR="007C3C8A">
        <w:t xml:space="preserve">bli att genomföra </w:t>
      </w:r>
      <w:r w:rsidR="002D59BA">
        <w:t>enskilda åtgärder, om de övriga åtgärderna för att trygga servicen och få ekonomin i balans är tillräckliga, och man med deras hjälp uppnår de ekonomiska mål som fastställts i åtgärdsprogrammet</w:t>
      </w:r>
      <w:r w:rsidR="006D6BAB">
        <w:t xml:space="preserve"> </w:t>
      </w:r>
      <w:r w:rsidR="006D6BAB" w:rsidRPr="00E77E9C">
        <w:t xml:space="preserve">inom den </w:t>
      </w:r>
      <w:r w:rsidR="00925A55" w:rsidRPr="00E77E9C">
        <w:t>an</w:t>
      </w:r>
      <w:r w:rsidR="006D6BAB" w:rsidRPr="00E77E9C">
        <w:t>givna tid</w:t>
      </w:r>
      <w:r w:rsidR="00645FA5" w:rsidRPr="00E77E9C">
        <w:t>sram</w:t>
      </w:r>
      <w:r w:rsidR="006D6BAB" w:rsidRPr="00E77E9C">
        <w:t>en</w:t>
      </w:r>
      <w:r w:rsidR="002D59BA" w:rsidRPr="00E77E9C">
        <w:t xml:space="preserve">. </w:t>
      </w:r>
      <w:r w:rsidR="00E7020C" w:rsidRPr="00E77E9C">
        <w:t xml:space="preserve">Fullmäktige kan också välja att avvika från den tidsram som utvärderingsgruppen har </w:t>
      </w:r>
      <w:r w:rsidR="005218D8" w:rsidRPr="00E77E9C">
        <w:t>angett</w:t>
      </w:r>
      <w:r w:rsidR="00E7020C" w:rsidRPr="00E77E9C">
        <w:t xml:space="preserve"> för åtgärdsprogrammet. </w:t>
      </w:r>
      <w:r w:rsidR="0069219D" w:rsidRPr="00E77E9C">
        <w:t xml:space="preserve">En förlängning utöver ekonomiplanens tre år ska endast i undantagsfall kunna anses vara godtagbar. </w:t>
      </w:r>
      <w:r w:rsidR="00E7020C" w:rsidRPr="00E77E9C">
        <w:t xml:space="preserve">Om tidsramen förlängs </w:t>
      </w:r>
      <w:r w:rsidR="0069219D" w:rsidRPr="00E77E9C">
        <w:t xml:space="preserve">i förhållande till utvärderingsgruppens förslag </w:t>
      </w:r>
      <w:r w:rsidR="00E7020C" w:rsidRPr="00E77E9C">
        <w:t>behöver kommunen också kunna visa hur den lagstadgade servicen kan tryggas under tiden.</w:t>
      </w:r>
      <w:r w:rsidR="00E7020C">
        <w:t xml:space="preserve"> </w:t>
      </w:r>
      <w:r w:rsidR="002D59BA">
        <w:t xml:space="preserve">Det föreslås </w:t>
      </w:r>
      <w:r w:rsidR="00E7020C">
        <w:t xml:space="preserve">också </w:t>
      </w:r>
      <w:r w:rsidR="002D59BA">
        <w:t xml:space="preserve">att </w:t>
      </w:r>
      <w:r w:rsidR="00662788">
        <w:t xml:space="preserve">kommunen ska </w:t>
      </w:r>
      <w:r w:rsidR="002D59BA">
        <w:t>framlägg</w:t>
      </w:r>
      <w:r w:rsidR="00662788">
        <w:t>a</w:t>
      </w:r>
      <w:r w:rsidR="002D59BA">
        <w:t xml:space="preserve"> en utredning i verksamhetsberättelsen över genomförandet av åtgärderna och deras tillräcklighet under</w:t>
      </w:r>
      <w:r w:rsidR="00E7020C">
        <w:t xml:space="preserve"> varje</w:t>
      </w:r>
      <w:r w:rsidR="002D59BA">
        <w:t xml:space="preserve"> räkenskapsperiod. Kommunen ska överlämna utredningen för kännedom till </w:t>
      </w:r>
      <w:r w:rsidR="00662788">
        <w:t>landskapsregeringen</w:t>
      </w:r>
      <w:r w:rsidR="002D59BA">
        <w:t xml:space="preserve"> före slutet av juni året efter räkenskapsperioden.</w:t>
      </w:r>
      <w:r w:rsidR="006D6BAB">
        <w:t xml:space="preserve"> </w:t>
      </w:r>
      <w:r w:rsidR="006D6BAB" w:rsidRPr="00E77E9C">
        <w:t>Denna uppföljning ska ske varje år under den tid som åtgärdsprogrammet gäller.</w:t>
      </w:r>
    </w:p>
    <w:p w14:paraId="12453811" w14:textId="346B79F7" w:rsidR="002D59BA" w:rsidRDefault="002D59BA" w:rsidP="002D59BA">
      <w:pPr>
        <w:pStyle w:val="ANormal"/>
      </w:pPr>
      <w:r>
        <w:tab/>
        <w:t xml:space="preserve">Revisorerna ska enligt </w:t>
      </w:r>
      <w:r w:rsidR="008F2AE1">
        <w:t>75</w:t>
      </w:r>
      <w:r w:rsidR="004B746A">
        <w:t> §</w:t>
      </w:r>
      <w:r>
        <w:t xml:space="preserve"> </w:t>
      </w:r>
      <w:r w:rsidR="008F2AE1">
        <w:t>2</w:t>
      </w:r>
      <w:r w:rsidR="004B746A">
        <w:t> mom.</w:t>
      </w:r>
      <w:r>
        <w:t xml:space="preserve"> 1 och 2</w:t>
      </w:r>
      <w:r w:rsidR="004B746A">
        <w:t> punkt</w:t>
      </w:r>
      <w:r>
        <w:t xml:space="preserve">en </w:t>
      </w:r>
      <w:r w:rsidR="008F2AE1">
        <w:t xml:space="preserve">i kommunallagen </w:t>
      </w:r>
      <w:r>
        <w:t xml:space="preserve">granska om kommunens förvaltning har skötts enligt lag och fullmäktiges beslut och </w:t>
      </w:r>
      <w:r w:rsidR="008F2AE1">
        <w:t xml:space="preserve">om </w:t>
      </w:r>
      <w:r w:rsidR="008F2AE1" w:rsidRPr="008F2AE1">
        <w:t>bokslutet och koncernbalansräkningen gjorts upp i enlighet med lag och om de ger riktiga och tillräckliga uppgifter om verksamheten, ekonomin, den ekonomiska utvecklingen och de ekonomiska ansvarsförbindelserna under räkenskapsperioden</w:t>
      </w:r>
      <w:r w:rsidR="008F2AE1">
        <w:t>.</w:t>
      </w:r>
      <w:r>
        <w:t xml:space="preserve"> Följaktligen hör det också till </w:t>
      </w:r>
      <w:r>
        <w:lastRenderedPageBreak/>
        <w:t>revisorernas uppgifter att granska den utredning som föreslås ingå i verksamhetsberättelsen och huruvida fullmäktiges beslut om åtgärdsförslagen iakttagits.</w:t>
      </w:r>
    </w:p>
    <w:p w14:paraId="1CA0E183" w14:textId="5494E8AB" w:rsidR="006E7EE9" w:rsidRDefault="001C7A7B" w:rsidP="006E7EE9">
      <w:pPr>
        <w:pStyle w:val="ANormal"/>
      </w:pPr>
      <w:r>
        <w:tab/>
        <w:t>Enligt paragrafens 3</w:t>
      </w:r>
      <w:r w:rsidR="004B746A">
        <w:t> mom.</w:t>
      </w:r>
      <w:r>
        <w:t xml:space="preserve"> ska landskapsregeringen </w:t>
      </w:r>
      <w:r w:rsidR="006E7EE9">
        <w:t>med stöd av utvärderingsgruppens åtgärdsförslag och kommunfullmäktiges beslut avgöra om det behövs en särskild kommunindelningsutredning enligt kommunstrukturlagen. En utredning ska i princip förordnas i alla sådana situationer där det med stöd av utvärderingsgruppens förslag finns förutsättningar för en ändring i kommunindelningen, men gruppens förslag i sig inte ännu har lett till att kommunerna gemensamt bereder en ändring i kommunindelningen.</w:t>
      </w:r>
    </w:p>
    <w:p w14:paraId="2667DDE8" w14:textId="36E3506A" w:rsidR="002D59BA" w:rsidRDefault="00832C9B" w:rsidP="002D59BA">
      <w:pPr>
        <w:pStyle w:val="ANormal"/>
      </w:pPr>
      <w:r>
        <w:tab/>
        <w:t xml:space="preserve">Enligt förslaget ska landskapsregeringen </w:t>
      </w:r>
      <w:r w:rsidR="00F344FD">
        <w:t>också kunna fatta beslut om att en särskild kommunindelningsutredning</w:t>
      </w:r>
      <w:r w:rsidR="008A47F5">
        <w:t xml:space="preserve"> </w:t>
      </w:r>
      <w:r w:rsidR="00663425">
        <w:t>är nödvändig</w:t>
      </w:r>
      <w:r w:rsidR="008A47F5" w:rsidRPr="00E77E9C">
        <w:t xml:space="preserve"> utan att ett nytt utvärderingsförfarande inleds. Detta </w:t>
      </w:r>
      <w:r w:rsidR="00F167EC" w:rsidRPr="00E77E9C">
        <w:t>kommer att</w:t>
      </w:r>
      <w:r w:rsidR="008A47F5" w:rsidRPr="00E77E9C">
        <w:t xml:space="preserve"> vara möjligt i en situation då de åtgärder som föreslagits och kommunen beslutat om i ett tidigare utvärderingsförfarande inte har genomförts</w:t>
      </w:r>
      <w:r w:rsidR="002443D0" w:rsidRPr="00E77E9C">
        <w:t>, till exempel om</w:t>
      </w:r>
      <w:r w:rsidR="008A47F5" w:rsidRPr="00E77E9C">
        <w:t xml:space="preserve"> </w:t>
      </w:r>
      <w:r w:rsidR="002443D0" w:rsidRPr="00E77E9C">
        <w:t xml:space="preserve">kommunen inte förmått följa programmet eller vidta tillräckliga åtgärder inom den </w:t>
      </w:r>
      <w:r w:rsidR="00F167EC" w:rsidRPr="00E77E9C">
        <w:t>an</w:t>
      </w:r>
      <w:r w:rsidR="002443D0" w:rsidRPr="00E77E9C">
        <w:t xml:space="preserve">givna tidsramen. </w:t>
      </w:r>
      <w:r w:rsidR="002D59BA" w:rsidRPr="00E77E9C">
        <w:t xml:space="preserve">En </w:t>
      </w:r>
      <w:r w:rsidR="002443D0" w:rsidRPr="00E77E9C">
        <w:t xml:space="preserve">ytterligare </w:t>
      </w:r>
      <w:r w:rsidR="002D59BA" w:rsidRPr="00E77E9C">
        <w:t xml:space="preserve">förutsättning är att kommunen fortfarande </w:t>
      </w:r>
      <w:r w:rsidR="00F344FD" w:rsidRPr="00E77E9C">
        <w:t>har en synnerligen ansträngd ekonomi</w:t>
      </w:r>
      <w:r w:rsidR="002443D0" w:rsidRPr="00E77E9C">
        <w:t>, det vill säga att något av kriterierna för ett utvärderingsförfarande fortfarande uppfylls</w:t>
      </w:r>
      <w:r w:rsidR="002D59BA" w:rsidRPr="00E77E9C">
        <w:t>.</w:t>
      </w:r>
      <w:r w:rsidR="002D59BA">
        <w:t xml:space="preserve"> I bestämmelsen avses med åtgärder sådana beslut och andra åtgärder som kommunen bestämt om på basis av utvärderingsgruppens åtgärdsförslag med vilka man eftersträvar effekter som förbättrar kommunens ekonomi. Följaktligen </w:t>
      </w:r>
      <w:r w:rsidR="007C3C8A">
        <w:t>kan</w:t>
      </w:r>
      <w:r w:rsidR="002D59BA">
        <w:t xml:space="preserve"> åtgärderna också vara andra än vad som föreslagits i utvärderingsförfarandet. </w:t>
      </w:r>
      <w:r w:rsidR="007C3C8A">
        <w:t>E</w:t>
      </w:r>
      <w:r w:rsidR="002D59BA">
        <w:t xml:space="preserve">n särskild </w:t>
      </w:r>
      <w:r w:rsidR="00F344FD">
        <w:t>kommunindelnings</w:t>
      </w:r>
      <w:r w:rsidR="002D59BA">
        <w:t xml:space="preserve">utredning </w:t>
      </w:r>
      <w:r w:rsidR="007C3C8A">
        <w:t>ska därmed</w:t>
      </w:r>
      <w:r w:rsidR="002D59BA">
        <w:t xml:space="preserve"> inte </w:t>
      </w:r>
      <w:r w:rsidR="007C3C8A">
        <w:t>inledas</w:t>
      </w:r>
      <w:r w:rsidR="002D59BA">
        <w:t xml:space="preserve"> utan ett nytt utvärderingsförfarande enbart på grund av att enskilda åtgärder inte genomförts, om det är möjligt för kommunen att hitta en lösning med andra metoder. Åtgärdernas genomförande och effekt </w:t>
      </w:r>
      <w:r w:rsidR="007C3C8A">
        <w:t>ska</w:t>
      </w:r>
      <w:r w:rsidR="002D59BA">
        <w:t xml:space="preserve"> bedömas som helhet i relation till kommunens ekonomi. Ett </w:t>
      </w:r>
      <w:r w:rsidR="007C3C8A">
        <w:t>beslut</w:t>
      </w:r>
      <w:r w:rsidR="002D59BA">
        <w:t xml:space="preserve"> </w:t>
      </w:r>
      <w:r w:rsidR="007C3C8A">
        <w:t>ska</w:t>
      </w:r>
      <w:r w:rsidR="002D59BA">
        <w:t xml:space="preserve"> inte kunna fattas enbart av orsaker som kommunen inte ha</w:t>
      </w:r>
      <w:r w:rsidR="007C3C8A">
        <w:t>r</w:t>
      </w:r>
      <w:r w:rsidR="002D59BA">
        <w:t xml:space="preserve"> kunnat påverka på egen hand. Liksom för närvarande </w:t>
      </w:r>
      <w:r w:rsidR="00F344FD">
        <w:t xml:space="preserve">enligt kommunstrukturlagen </w:t>
      </w:r>
      <w:r w:rsidR="002D59BA">
        <w:t xml:space="preserve">ska det vara </w:t>
      </w:r>
      <w:r w:rsidR="00F344FD">
        <w:t>landskapsregeringen</w:t>
      </w:r>
      <w:r w:rsidR="002D59BA">
        <w:t xml:space="preserve"> som enligt egen prövning fattar beslutet</w:t>
      </w:r>
      <w:r w:rsidR="00F344FD">
        <w:t xml:space="preserve"> om en särskild kommunindelningsutredning</w:t>
      </w:r>
      <w:r w:rsidR="002D59BA">
        <w:t xml:space="preserve">. Vid prövningen kan </w:t>
      </w:r>
      <w:r w:rsidR="00F344FD">
        <w:t>landskapsregeringen</w:t>
      </w:r>
      <w:r w:rsidR="002D59BA">
        <w:t xml:space="preserve"> beakta orsakerna till att åtgärdsprogrammet inte genomförts</w:t>
      </w:r>
      <w:r w:rsidR="002E24B9">
        <w:t xml:space="preserve"> </w:t>
      </w:r>
      <w:r w:rsidR="002E24B9" w:rsidRPr="00E77E9C">
        <w:t xml:space="preserve">inom den </w:t>
      </w:r>
      <w:r w:rsidR="002326FD" w:rsidRPr="00E77E9C">
        <w:t>an</w:t>
      </w:r>
      <w:r w:rsidR="002E24B9" w:rsidRPr="00E77E9C">
        <w:t>givna tidsramen</w:t>
      </w:r>
      <w:r w:rsidR="002D59BA">
        <w:t xml:space="preserve">, som till exempel faktorer av engångsnatur som påverkat kommunens inkomster eller utgifter. Det kan till exempel vara fråga om nedskrivning av värdet på fastigheter som står oanvända eller som har problem med inomhusluften. </w:t>
      </w:r>
      <w:r w:rsidR="008B7AC1">
        <w:t>Ett sådant beslut</w:t>
      </w:r>
      <w:r w:rsidR="002D59BA">
        <w:t xml:space="preserve"> skulle kunna fattas under åtgärdsprogrammets gång. Om man lyckats få kommunens ekonomi i skick med de åtgärder kommunen bestämt om, </w:t>
      </w:r>
      <w:r w:rsidR="008B7AC1">
        <w:t>kan</w:t>
      </w:r>
      <w:r w:rsidR="002D59BA">
        <w:t xml:space="preserve"> bestämmelsen inte tillämpas efter att programmet slutförts </w:t>
      </w:r>
      <w:r w:rsidR="008B7AC1">
        <w:t xml:space="preserve">även </w:t>
      </w:r>
      <w:r w:rsidR="002D59BA">
        <w:t xml:space="preserve">om kommunens ekonomi på nytt försämras. När </w:t>
      </w:r>
      <w:r w:rsidR="008045EC">
        <w:t>kommunens ekonomi på nytt uppfyller kriterierna för en synner</w:t>
      </w:r>
      <w:r w:rsidR="008045EC">
        <w:softHyphen/>
        <w:t>ligen ansträngd ekonomi sk</w:t>
      </w:r>
      <w:r w:rsidR="002D59BA">
        <w:t xml:space="preserve">a det </w:t>
      </w:r>
      <w:r w:rsidR="008B7AC1">
        <w:t>fattas beslut</w:t>
      </w:r>
      <w:r w:rsidR="002D59BA">
        <w:t xml:space="preserve"> om ett nytt utvärderingsförfarande i kommunen.</w:t>
      </w:r>
    </w:p>
    <w:p w14:paraId="41621291" w14:textId="6FAECEB2" w:rsidR="000A34B3" w:rsidRDefault="002D59BA" w:rsidP="008045EC">
      <w:pPr>
        <w:pStyle w:val="ANormal"/>
      </w:pPr>
      <w:r>
        <w:tab/>
      </w:r>
      <w:r w:rsidR="008045EC">
        <w:t>Förslaget</w:t>
      </w:r>
      <w:r>
        <w:t xml:space="preserve"> gör det möjligt att snabbare </w:t>
      </w:r>
      <w:r w:rsidR="00663425">
        <w:t>inleda</w:t>
      </w:r>
      <w:r>
        <w:t xml:space="preserve"> en särskild </w:t>
      </w:r>
      <w:r w:rsidR="008045EC">
        <w:t>kommunindelnings</w:t>
      </w:r>
      <w:r>
        <w:t xml:space="preserve">utredning till exempel i situationer där </w:t>
      </w:r>
      <w:r w:rsidR="008B7AC1">
        <w:t>kommunens svåra ekonomiska situation tydligt anger att</w:t>
      </w:r>
      <w:r>
        <w:t xml:space="preserve"> ett nytt ut</w:t>
      </w:r>
      <w:r w:rsidR="008045EC">
        <w:t>värder</w:t>
      </w:r>
      <w:r>
        <w:t xml:space="preserve">ingsförfarande inte längre </w:t>
      </w:r>
      <w:r w:rsidR="008B7AC1">
        <w:t>kommer att kunna leda till</w:t>
      </w:r>
      <w:r>
        <w:t xml:space="preserve"> nya åtgärdsförslag för att trygga förutsättningarna för kommunens service.</w:t>
      </w:r>
    </w:p>
    <w:p w14:paraId="19A02499" w14:textId="77777777" w:rsidR="00232175" w:rsidRDefault="00232175" w:rsidP="00232175">
      <w:pPr>
        <w:pStyle w:val="ANormal"/>
      </w:pPr>
    </w:p>
    <w:p w14:paraId="3DB83031" w14:textId="203C760E" w:rsidR="00BB742F" w:rsidRDefault="00810EF8" w:rsidP="00BB742F">
      <w:pPr>
        <w:pStyle w:val="ANormal"/>
      </w:pPr>
      <w:r>
        <w:t>7</w:t>
      </w:r>
      <w:r w:rsidR="004B746A">
        <w:t> §</w:t>
      </w:r>
      <w:r w:rsidR="00BB742F">
        <w:t xml:space="preserve"> </w:t>
      </w:r>
      <w:r w:rsidR="00B35A08">
        <w:rPr>
          <w:i/>
          <w:iCs/>
        </w:rPr>
        <w:t>Tidsfrister</w:t>
      </w:r>
      <w:r w:rsidR="00BB742F">
        <w:rPr>
          <w:i/>
          <w:iCs/>
        </w:rPr>
        <w:t>.</w:t>
      </w:r>
      <w:r w:rsidR="00BB742F">
        <w:t xml:space="preserve"> </w:t>
      </w:r>
      <w:r w:rsidR="00BF26C4">
        <w:t>Enligt det föreslagna 3</w:t>
      </w:r>
      <w:r w:rsidR="004B746A">
        <w:t> §</w:t>
      </w:r>
      <w:r w:rsidR="00BF26C4">
        <w:t xml:space="preserve"> 2</w:t>
      </w:r>
      <w:r w:rsidR="004B746A">
        <w:t> mom.</w:t>
      </w:r>
      <w:r w:rsidR="00BF26C4">
        <w:t xml:space="preserve"> ovan ska landskapsregeringen fatta ett formellt beslut om inledande av ett utvärderingsförfarande så snart som möjligt efter att bokslutsuppgifterna har publicerats</w:t>
      </w:r>
      <w:r w:rsidR="009F3470">
        <w:t>, vilket rimligt</w:t>
      </w:r>
      <w:r w:rsidR="009F3470">
        <w:softHyphen/>
        <w:t xml:space="preserve">vis bör kunna ske inom oktober. </w:t>
      </w:r>
      <w:r w:rsidR="007A1E3D">
        <w:t>Därefter ska en utvärderingsgrupp tillsättas</w:t>
      </w:r>
      <w:r w:rsidR="00592873">
        <w:t xml:space="preserve">, enligt förslaget ska det ske </w:t>
      </w:r>
      <w:r w:rsidR="00BA0ADE">
        <w:t>inom tre månader från det att beslutet om inledande av utvärderingsförfarandet fattades</w:t>
      </w:r>
      <w:r w:rsidR="00592873">
        <w:t>.</w:t>
      </w:r>
    </w:p>
    <w:p w14:paraId="4E0AC2F9" w14:textId="4ED84700" w:rsidR="002F499A" w:rsidRDefault="002F499A" w:rsidP="00BB742F">
      <w:pPr>
        <w:pStyle w:val="ANormal"/>
      </w:pPr>
      <w:r>
        <w:tab/>
        <w:t>Enligt förslaget ska utvärderingsgruppen ha sex månader på sig att kom</w:t>
      </w:r>
      <w:r w:rsidR="00FE62BA">
        <w:softHyphen/>
      </w:r>
      <w:r>
        <w:t xml:space="preserve">ma med ett åtgärdsförslag. </w:t>
      </w:r>
      <w:r w:rsidR="00FE62BA">
        <w:t>Beroende på utvärderingens</w:t>
      </w:r>
      <w:r w:rsidR="00FE62BA" w:rsidRPr="00515BEE">
        <w:t xml:space="preserve"> komplexitet</w:t>
      </w:r>
      <w:r w:rsidR="00FE62BA">
        <w:t xml:space="preserve"> går det </w:t>
      </w:r>
      <w:r w:rsidR="00FE62BA">
        <w:lastRenderedPageBreak/>
        <w:t>inte att utesluta att det krävs mer tid än så. Med hänvisning till det föreslås att landskapsregeringen i undantagsfall ska kunna förlänga gruppens mandat.</w:t>
      </w:r>
    </w:p>
    <w:p w14:paraId="5A28A776" w14:textId="553A7B90" w:rsidR="003E2EC1" w:rsidRDefault="003E2EC1" w:rsidP="00BB742F">
      <w:pPr>
        <w:pStyle w:val="ANormal"/>
      </w:pPr>
      <w:r>
        <w:tab/>
      </w:r>
      <w:r w:rsidRPr="005049FD">
        <w:t>Fullmäktige i kommunen ska behandla utvärderingsgruppens rapport och delge landskapsregeringen sitt beslut inom tre månader.</w:t>
      </w:r>
    </w:p>
    <w:p w14:paraId="541287F2" w14:textId="4A89C66F" w:rsidR="006A359D" w:rsidRDefault="006A359D" w:rsidP="00BB742F">
      <w:pPr>
        <w:pStyle w:val="ANormal"/>
      </w:pPr>
      <w:r>
        <w:tab/>
      </w:r>
      <w:r w:rsidR="003E1F03">
        <w:t>Hela utvärderingsförfarandet</w:t>
      </w:r>
      <w:r w:rsidR="003E1F03" w:rsidRPr="00515BEE">
        <w:t xml:space="preserve"> </w:t>
      </w:r>
      <w:r w:rsidR="002F499A">
        <w:t>beräknas kunna</w:t>
      </w:r>
      <w:r w:rsidR="003E1F03" w:rsidRPr="00515BEE">
        <w:t xml:space="preserve"> pågå under en period </w:t>
      </w:r>
      <w:r w:rsidR="00D0734F" w:rsidRPr="005049FD">
        <w:t>på</w:t>
      </w:r>
      <w:r w:rsidR="003E1F03" w:rsidRPr="005049FD">
        <w:t xml:space="preserve"> </w:t>
      </w:r>
      <w:r w:rsidR="00D0734F" w:rsidRPr="005049FD">
        <w:t>drygt</w:t>
      </w:r>
      <w:r w:rsidR="003E1F03" w:rsidRPr="00515BEE">
        <w:t xml:space="preserve"> ett år beroende på </w:t>
      </w:r>
      <w:r w:rsidR="00FE62BA">
        <w:t xml:space="preserve">hur </w:t>
      </w:r>
      <w:r w:rsidR="00FE62BA" w:rsidRPr="00515BEE">
        <w:t>komplex</w:t>
      </w:r>
      <w:r w:rsidR="00FE62BA">
        <w:t xml:space="preserve"> </w:t>
      </w:r>
      <w:r w:rsidR="003E1F03">
        <w:t>utvärderingen</w:t>
      </w:r>
      <w:r w:rsidR="00FE62BA">
        <w:t xml:space="preserve"> är</w:t>
      </w:r>
      <w:r w:rsidR="003E1F03" w:rsidRPr="00515BEE">
        <w:t xml:space="preserve">. </w:t>
      </w:r>
      <w:r>
        <w:t xml:space="preserve">Med hänvisning till att vikten av en snabb process från flera håll har understrukits under beredningen av lagförslaget föreslås att </w:t>
      </w:r>
      <w:r w:rsidR="003E1F03">
        <w:t>förfarandet</w:t>
      </w:r>
      <w:r>
        <w:t xml:space="preserve"> </w:t>
      </w:r>
      <w:r w:rsidR="002F499A">
        <w:t>annat än i undantagsfall</w:t>
      </w:r>
      <w:r w:rsidR="003E1F03">
        <w:t xml:space="preserve"> </w:t>
      </w:r>
      <w:r>
        <w:t>inte ska pågå längre än ett år</w:t>
      </w:r>
      <w:r w:rsidR="003E2EC1">
        <w:t xml:space="preserve"> </w:t>
      </w:r>
      <w:r w:rsidR="003E2EC1" w:rsidRPr="005049FD">
        <w:t>räknat från när utvärderingsgruppen tillsattes</w:t>
      </w:r>
      <w:r>
        <w:t>.</w:t>
      </w:r>
    </w:p>
    <w:p w14:paraId="5E1DA6F5" w14:textId="77777777" w:rsidR="00BB742F" w:rsidRDefault="00BB742F" w:rsidP="00BB742F">
      <w:pPr>
        <w:pStyle w:val="ANormal"/>
      </w:pPr>
    </w:p>
    <w:p w14:paraId="102284E7" w14:textId="228E77E1" w:rsidR="00B35A08" w:rsidRDefault="00810EF8" w:rsidP="00797873">
      <w:pPr>
        <w:pStyle w:val="ANormal"/>
      </w:pPr>
      <w:r w:rsidRPr="00D40CDF">
        <w:t>8</w:t>
      </w:r>
      <w:r w:rsidR="004B746A">
        <w:t> §</w:t>
      </w:r>
      <w:r w:rsidR="00B35A08" w:rsidRPr="00D40CDF">
        <w:t xml:space="preserve"> </w:t>
      </w:r>
      <w:r w:rsidR="00B35A08" w:rsidRPr="00D40CDF">
        <w:rPr>
          <w:i/>
          <w:iCs/>
        </w:rPr>
        <w:t>Ikraftträdande.</w:t>
      </w:r>
      <w:r w:rsidR="00B35A08" w:rsidRPr="00D40CDF">
        <w:t xml:space="preserve"> </w:t>
      </w:r>
      <w:r w:rsidR="00262871" w:rsidRPr="00D55409">
        <w:t xml:space="preserve">Avsikten är att den föreslagna lagen ska träda i kraft </w:t>
      </w:r>
      <w:r w:rsidR="00152638" w:rsidRPr="00D55409">
        <w:t>vid ingången av 2026</w:t>
      </w:r>
      <w:r w:rsidR="00152638">
        <w:t xml:space="preserve"> och</w:t>
      </w:r>
      <w:r w:rsidR="0062523D">
        <w:t xml:space="preserve"> </w:t>
      </w:r>
      <w:r w:rsidR="00262871" w:rsidRPr="00D55409">
        <w:t>att den ska tillämpas från och med att bokslutsuppgifterna för räkenskapsåret 202</w:t>
      </w:r>
      <w:r w:rsidR="00CF6F16" w:rsidRPr="00D55409">
        <w:t>5</w:t>
      </w:r>
      <w:r w:rsidR="00262871" w:rsidRPr="00D55409">
        <w:t xml:space="preserve"> publiceras</w:t>
      </w:r>
      <w:r w:rsidR="0062523D">
        <w:t xml:space="preserve"> under hösten 2026</w:t>
      </w:r>
      <w:r w:rsidR="00262871" w:rsidRPr="00D55409">
        <w:t>.</w:t>
      </w:r>
    </w:p>
    <w:p w14:paraId="108D9AF3" w14:textId="77777777" w:rsidR="00262871" w:rsidRDefault="00262871" w:rsidP="00B35A08">
      <w:pPr>
        <w:pStyle w:val="ANormal"/>
      </w:pPr>
    </w:p>
    <w:p w14:paraId="44D60078" w14:textId="42D63600" w:rsidR="00BB742F" w:rsidRDefault="00262871" w:rsidP="00BB742F">
      <w:pPr>
        <w:pStyle w:val="RubrikB"/>
      </w:pPr>
      <w:bookmarkStart w:id="51" w:name="_Toc194570802"/>
      <w:r>
        <w:t>2</w:t>
      </w:r>
      <w:r w:rsidR="00BB742F">
        <w:t xml:space="preserve">. Ändring av </w:t>
      </w:r>
      <w:r w:rsidR="0024162D">
        <w:t>kommunstrukturlagen för Åland</w:t>
      </w:r>
      <w:bookmarkEnd w:id="51"/>
    </w:p>
    <w:p w14:paraId="60DCDD13" w14:textId="77777777" w:rsidR="00BB742F" w:rsidRDefault="00BB742F" w:rsidP="00BB742F">
      <w:pPr>
        <w:pStyle w:val="Rubrikmellanrum"/>
      </w:pPr>
    </w:p>
    <w:p w14:paraId="141A07CF" w14:textId="108263CA" w:rsidR="00BB742F" w:rsidRDefault="00A15FB7" w:rsidP="00BB742F">
      <w:pPr>
        <w:pStyle w:val="ANormal"/>
      </w:pPr>
      <w:r>
        <w:t>15</w:t>
      </w:r>
      <w:r w:rsidR="004B746A">
        <w:t> §</w:t>
      </w:r>
      <w:r w:rsidR="00BB742F">
        <w:t xml:space="preserve"> </w:t>
      </w:r>
      <w:r>
        <w:rPr>
          <w:i/>
          <w:iCs/>
        </w:rPr>
        <w:t>Beslut om en särskild kommunindelningsutredning</w:t>
      </w:r>
      <w:r w:rsidR="00BB742F">
        <w:rPr>
          <w:i/>
          <w:iCs/>
        </w:rPr>
        <w:t>.</w:t>
      </w:r>
      <w:r w:rsidR="00BB742F">
        <w:t xml:space="preserve"> </w:t>
      </w:r>
      <w:r w:rsidR="00A21F28">
        <w:t>Enligt</w:t>
      </w:r>
      <w:r w:rsidR="0026199C">
        <w:t xml:space="preserve"> ett nytt 3</w:t>
      </w:r>
      <w:r w:rsidR="004B746A">
        <w:t> mom.</w:t>
      </w:r>
      <w:r w:rsidR="0026199C">
        <w:t xml:space="preserve"> som fogas till paragrafen</w:t>
      </w:r>
      <w:r w:rsidR="00D5611A">
        <w:t>,</w:t>
      </w:r>
      <w:r w:rsidR="0026199C">
        <w:t xml:space="preserve"> </w:t>
      </w:r>
      <w:r w:rsidR="00A21F28">
        <w:t>ska</w:t>
      </w:r>
      <w:r w:rsidR="0026199C">
        <w:t xml:space="preserve"> en särskild kommunindelningsutredning för en kommun med synnerligen ansträngd ekonomi </w:t>
      </w:r>
      <w:r w:rsidR="00D5611A">
        <w:t xml:space="preserve">också kunna inledas på förslag av den utvärderingsgrupp som avses i den föreslagna landskapslagen om </w:t>
      </w:r>
      <w:r w:rsidR="0026199C">
        <w:t>ett utvärderingsförfarande</w:t>
      </w:r>
      <w:r w:rsidR="00D5611A">
        <w:t xml:space="preserve"> för kommuner med synnerligen ansträngd ekonomi.</w:t>
      </w:r>
    </w:p>
    <w:p w14:paraId="42964E4D" w14:textId="1669D8C1" w:rsidR="0026199C" w:rsidRDefault="00BD4073" w:rsidP="0026199C">
      <w:pPr>
        <w:pStyle w:val="ANormal"/>
      </w:pPr>
      <w:r>
        <w:tab/>
        <w:t xml:space="preserve">Utvärderingsgruppen ska lägga fram ett förslag med åtgärder för att trygga servicen till kommuninvånarna. Förslaget kan också gälla behov av ändring i kommunindelningen. </w:t>
      </w:r>
      <w:r w:rsidR="00A21F28">
        <w:t xml:space="preserve">Det ska dock inte </w:t>
      </w:r>
      <w:r>
        <w:t>ingå</w:t>
      </w:r>
      <w:r w:rsidR="0026199C">
        <w:t xml:space="preserve"> något utkast till sammanslagningsavtal</w:t>
      </w:r>
      <w:r w:rsidR="00A21F28">
        <w:t xml:space="preserve"> i utvärderingsgruppens åtgärdsförslag</w:t>
      </w:r>
      <w:r w:rsidR="0026199C">
        <w:t xml:space="preserve"> och förslage</w:t>
      </w:r>
      <w:r w:rsidR="00A21F28">
        <w:t>t</w:t>
      </w:r>
      <w:r w:rsidR="0026199C">
        <w:t xml:space="preserve"> </w:t>
      </w:r>
      <w:r w:rsidR="00A21F28">
        <w:t>ska</w:t>
      </w:r>
      <w:r w:rsidR="0026199C">
        <w:t xml:space="preserve"> inte heller i övrigt </w:t>
      </w:r>
      <w:r w:rsidR="00A21F28">
        <w:t>vara så</w:t>
      </w:r>
      <w:r w:rsidR="0026199C">
        <w:t xml:space="preserve"> detaljera</w:t>
      </w:r>
      <w:r w:rsidR="00A21F28">
        <w:t>t</w:t>
      </w:r>
      <w:r w:rsidR="0026199C">
        <w:t xml:space="preserve"> </w:t>
      </w:r>
      <w:r w:rsidR="00A21F28">
        <w:t xml:space="preserve">att det </w:t>
      </w:r>
      <w:r w:rsidR="00D52919">
        <w:t>kan</w:t>
      </w:r>
      <w:r w:rsidR="00A21F28">
        <w:t xml:space="preserve"> ligga till</w:t>
      </w:r>
      <w:r w:rsidR="0026199C">
        <w:t xml:space="preserve"> grund för beslutsfattande om en ändring i kommunindelningen. Utvärderingsgruppen kan dock redan vid beredningen av sitt förslag till exempel kartlägga vilka av kommunerna i området som är möjliga alternativ som partner för en kommun som har en synnerligen ansträngd ekonomi. Vid denna utvärdering ska förutom de ekonomiska faktorerna i synnerhet hänsyn tas till att en livskraftig och funktionell helhet uppstår.</w:t>
      </w:r>
    </w:p>
    <w:p w14:paraId="36441FC2" w14:textId="019C34D1" w:rsidR="0026199C" w:rsidRDefault="00BD4073" w:rsidP="0026199C">
      <w:pPr>
        <w:pStyle w:val="ANormal"/>
      </w:pPr>
      <w:r>
        <w:tab/>
      </w:r>
      <w:r w:rsidR="0026199C">
        <w:t xml:space="preserve">Samtidigt som landskapsregeringen bestämmer att en kommunindelningsutredning ska genomföras, </w:t>
      </w:r>
      <w:r w:rsidR="0026199C" w:rsidRPr="00A2646E">
        <w:t>ska</w:t>
      </w:r>
      <w:r w:rsidR="0026199C">
        <w:t xml:space="preserve"> den </w:t>
      </w:r>
      <w:r w:rsidR="00A21F28">
        <w:t>a</w:t>
      </w:r>
      <w:r w:rsidR="0026199C">
        <w:t xml:space="preserve">nge vilka kommuner som är med i utredningen. Utredningen ska förutom en kommun som har en synnerligen ansträngd ekonomi även gälla ett nödvändigt antal andra kommuner. När landskapsregeringen </w:t>
      </w:r>
      <w:r w:rsidR="00A21F28">
        <w:t>anger</w:t>
      </w:r>
      <w:r w:rsidR="0026199C">
        <w:t xml:space="preserve"> vilka kommuner som ska vara med i utredningen kan man dra nytta bland annat av utvärderingsgruppens kartläggning över möjliga alternativ för en ändring i kommunindelningen.</w:t>
      </w:r>
    </w:p>
    <w:p w14:paraId="0192C66A" w14:textId="77777777" w:rsidR="0026199C" w:rsidRDefault="0026199C">
      <w:pPr>
        <w:pStyle w:val="ANormal"/>
      </w:pPr>
    </w:p>
    <w:p w14:paraId="26A7C847" w14:textId="55B07111" w:rsidR="00D658B9" w:rsidRDefault="003178DF" w:rsidP="00D658B9">
      <w:pPr>
        <w:pStyle w:val="ANormal"/>
      </w:pPr>
      <w:r>
        <w:t>16a</w:t>
      </w:r>
      <w:r w:rsidR="004B746A">
        <w:t> §</w:t>
      </w:r>
      <w:r>
        <w:t xml:space="preserve"> </w:t>
      </w:r>
      <w:r>
        <w:rPr>
          <w:i/>
          <w:iCs/>
        </w:rPr>
        <w:t>Utredning för en kommun med synnerligen ansträngd ekonomi.</w:t>
      </w:r>
      <w:r>
        <w:t xml:space="preserve"> </w:t>
      </w:r>
      <w:r w:rsidR="000D4572">
        <w:t xml:space="preserve">Enligt förslaget fogas en ny paragraf till lagen, i vilken </w:t>
      </w:r>
      <w:r w:rsidR="00D658B9">
        <w:t xml:space="preserve">föreskrivs om genomförandet av en kommunindelningsutredning för en kommun som </w:t>
      </w:r>
      <w:r w:rsidR="00731D1A">
        <w:t>har en synnerligen ansträngd ekonomi</w:t>
      </w:r>
      <w:r w:rsidR="00D658B9">
        <w:t xml:space="preserve">. En särskild kommunindelningsutredning som gäller en </w:t>
      </w:r>
      <w:r w:rsidR="00731D1A">
        <w:t xml:space="preserve">sådan </w:t>
      </w:r>
      <w:r w:rsidR="00D658B9">
        <w:t>kommun kan i enlighet med 15</w:t>
      </w:r>
      <w:r w:rsidR="004B746A">
        <w:t> §</w:t>
      </w:r>
      <w:r w:rsidR="00D658B9">
        <w:t xml:space="preserve"> 3</w:t>
      </w:r>
      <w:r w:rsidR="004B746A">
        <w:t> mom.</w:t>
      </w:r>
      <w:r w:rsidR="00D658B9">
        <w:t xml:space="preserve"> inledas på förslag av en utvärderingsgrupp. </w:t>
      </w:r>
      <w:r w:rsidR="00D658B9" w:rsidRPr="00A2646E">
        <w:t xml:space="preserve">På utredningen tillämpas i </w:t>
      </w:r>
      <w:r w:rsidR="00731D1A" w:rsidRPr="00A2646E">
        <w:t>tillämpliga</w:t>
      </w:r>
      <w:r w:rsidR="00D658B9" w:rsidRPr="00A2646E">
        <w:t xml:space="preserve"> delar bestämmelserna om särskild kommunindelningsutredning i 4</w:t>
      </w:r>
      <w:r w:rsidR="004B746A">
        <w:t> kap.</w:t>
      </w:r>
    </w:p>
    <w:p w14:paraId="77065C4D" w14:textId="0EFFA7B9" w:rsidR="00D658B9" w:rsidRDefault="00D658B9" w:rsidP="00D658B9">
      <w:pPr>
        <w:pStyle w:val="ANormal"/>
      </w:pPr>
      <w:r>
        <w:tab/>
        <w:t>Syftet med utredningen är att främja ett samförstånd mellan kommunerna om den ändring i kommunindelningen som föreslås av utvärderingsgruppen. Under själva utredningen avgörs hur många andra kommuner</w:t>
      </w:r>
      <w:r w:rsidR="00A21F28">
        <w:t>, förutom</w:t>
      </w:r>
      <w:r>
        <w:t xml:space="preserve"> </w:t>
      </w:r>
      <w:r w:rsidR="00A21F28">
        <w:t xml:space="preserve">kommunen med synnerligen ansträngd ekonomi, </w:t>
      </w:r>
      <w:r>
        <w:t>som ska vara med i ändringen. I utredningen strävar man i första hand efter att åstadkomma en sådan ändring i kommunindelningen som alla de kommuner som berörs av ändringen kan samtycka till. Om detta inte är möjligt, ska man sträva efter att så få kommuner som möjligt motsätter sig ändringen.</w:t>
      </w:r>
    </w:p>
    <w:p w14:paraId="4AEE18F5" w14:textId="17B4D525" w:rsidR="00D658B9" w:rsidRDefault="00D658B9" w:rsidP="00D658B9">
      <w:pPr>
        <w:pStyle w:val="ANormal"/>
      </w:pPr>
      <w:r>
        <w:lastRenderedPageBreak/>
        <w:tab/>
        <w:t>Enligt 1</w:t>
      </w:r>
      <w:r w:rsidR="004B746A">
        <w:t> mom.</w:t>
      </w:r>
      <w:r>
        <w:t xml:space="preserve"> ska kommunindelningsutredaren för fullmäktige i de kommuner som är med i utredningen lägga fram ett förslag </w:t>
      </w:r>
      <w:r w:rsidR="00A21F28">
        <w:t>om att</w:t>
      </w:r>
      <w:r w:rsidR="00731D1A">
        <w:t xml:space="preserve"> kommunerna</w:t>
      </w:r>
      <w:r w:rsidR="00A21F28">
        <w:t xml:space="preserve"> ska gå samman</w:t>
      </w:r>
      <w:r>
        <w:t xml:space="preserve"> samt upprätta ett sam</w:t>
      </w:r>
      <w:r w:rsidR="00731D1A">
        <w:t>gån</w:t>
      </w:r>
      <w:r>
        <w:t xml:space="preserve">gsavtal. Kommunindelningsutredaren ska bland annat </w:t>
      </w:r>
      <w:r w:rsidR="00A21F28">
        <w:t>sköta</w:t>
      </w:r>
      <w:r>
        <w:t xml:space="preserve"> beredningen av förslaget tillsammans med kommunerna enligt vad som föreskrivs i 16</w:t>
      </w:r>
      <w:r w:rsidR="004B746A">
        <w:t> §</w:t>
      </w:r>
      <w:r>
        <w:t xml:space="preserve"> 1</w:t>
      </w:r>
      <w:r w:rsidR="004B746A">
        <w:t> mom.</w:t>
      </w:r>
      <w:r>
        <w:t xml:space="preserve"> Kommunindelningsutredaren och kommunerna ska </w:t>
      </w:r>
      <w:r w:rsidR="007C3289">
        <w:t>se till</w:t>
      </w:r>
      <w:r>
        <w:t xml:space="preserve"> den möjlighet att påverka som avses i 7</w:t>
      </w:r>
      <w:r w:rsidR="004B746A">
        <w:t> §</w:t>
      </w:r>
      <w:r>
        <w:t xml:space="preserve"> och i enlighet med nämnda paragraf även ge kommuninvånarna och andra som anser att saken berör dem möjlighet att </w:t>
      </w:r>
      <w:r w:rsidR="00D52919">
        <w:t>komma med synpunkter på</w:t>
      </w:r>
      <w:r>
        <w:t xml:space="preserve"> ändringen i kommunindelningen.</w:t>
      </w:r>
    </w:p>
    <w:p w14:paraId="3CC3B47D" w14:textId="2174BC15" w:rsidR="00D658B9" w:rsidRDefault="00D658B9" w:rsidP="00D658B9">
      <w:pPr>
        <w:pStyle w:val="ANormal"/>
      </w:pPr>
      <w:r>
        <w:tab/>
        <w:t>På motsvarande sätt som i andra särskilda</w:t>
      </w:r>
      <w:r w:rsidR="001B00C0">
        <w:t xml:space="preserve"> </w:t>
      </w:r>
      <w:r>
        <w:t>kommunindelningsutredningar är kommunindelningsutredaren vid beredningen av ett</w:t>
      </w:r>
      <w:r w:rsidR="001B00C0">
        <w:t xml:space="preserve"> </w:t>
      </w:r>
      <w:r>
        <w:t>sam</w:t>
      </w:r>
      <w:r w:rsidR="00731D1A">
        <w:t>gå</w:t>
      </w:r>
      <w:r>
        <w:t>ngsavtal inte bunden vid</w:t>
      </w:r>
      <w:r w:rsidR="001B00C0">
        <w:t xml:space="preserve"> </w:t>
      </w:r>
      <w:r>
        <w:t>ståndpunkterna i de kommuner som berörs av</w:t>
      </w:r>
      <w:r w:rsidR="001B00C0">
        <w:t xml:space="preserve"> </w:t>
      </w:r>
      <w:r>
        <w:t>ändringen, utan kan självständigt till exempel</w:t>
      </w:r>
      <w:r w:rsidR="001B00C0">
        <w:t xml:space="preserve"> </w:t>
      </w:r>
      <w:r>
        <w:t>föreslå kompromisslösningar som avviker</w:t>
      </w:r>
      <w:r w:rsidR="00731D1A">
        <w:t xml:space="preserve"> </w:t>
      </w:r>
      <w:r>
        <w:t>från dem.</w:t>
      </w:r>
    </w:p>
    <w:p w14:paraId="3AEFEDF0" w14:textId="336B3C10" w:rsidR="00D658B9" w:rsidRDefault="001B00C0" w:rsidP="00D658B9">
      <w:pPr>
        <w:pStyle w:val="ANormal"/>
      </w:pPr>
      <w:r>
        <w:tab/>
      </w:r>
      <w:r w:rsidR="00D658B9">
        <w:t>Enligt</w:t>
      </w:r>
      <w:r w:rsidR="00731D1A">
        <w:t xml:space="preserve"> paragrafens</w:t>
      </w:r>
      <w:r w:rsidR="00D658B9">
        <w:t xml:space="preserve"> 2</w:t>
      </w:r>
      <w:r w:rsidR="004B746A">
        <w:t> mom.</w:t>
      </w:r>
      <w:r w:rsidR="00D658B9">
        <w:t xml:space="preserve"> kan förslaget till e</w:t>
      </w:r>
      <w:r w:rsidR="00731D1A">
        <w:t>tt</w:t>
      </w:r>
      <w:r w:rsidR="00D658B9">
        <w:t xml:space="preserve"> sam</w:t>
      </w:r>
      <w:r w:rsidR="00731D1A">
        <w:t>gående</w:t>
      </w:r>
      <w:r w:rsidR="0043311F">
        <w:t xml:space="preserve"> gälla</w:t>
      </w:r>
    </w:p>
    <w:p w14:paraId="23D060FE" w14:textId="77777777" w:rsidR="0043311F" w:rsidRDefault="001B00C0" w:rsidP="00D658B9">
      <w:pPr>
        <w:pStyle w:val="ANormal"/>
      </w:pPr>
      <w:r>
        <w:tab/>
      </w:r>
      <w:r w:rsidR="00D658B9">
        <w:t xml:space="preserve">1) </w:t>
      </w:r>
      <w:r w:rsidR="0043311F">
        <w:t>att kommunen med synnerligen ansträngd ekonomi går samman med en befintlig kommun,</w:t>
      </w:r>
    </w:p>
    <w:p w14:paraId="49C64012" w14:textId="4E99A743" w:rsidR="0043311F" w:rsidRDefault="0043311F" w:rsidP="0043311F">
      <w:pPr>
        <w:pStyle w:val="ANormal"/>
      </w:pPr>
      <w:r>
        <w:tab/>
        <w:t>2) att området för kommunen med synnerligen ansträngd ekonomi delas mellan två eller flera kommuner,</w:t>
      </w:r>
    </w:p>
    <w:p w14:paraId="5594D73E" w14:textId="77777777" w:rsidR="0043311F" w:rsidRDefault="0043311F" w:rsidP="0043311F">
      <w:pPr>
        <w:pStyle w:val="ANormal"/>
      </w:pPr>
      <w:r>
        <w:tab/>
        <w:t>3) att fler än två kommuner går samman</w:t>
      </w:r>
      <w:r w:rsidRPr="00627530">
        <w:t xml:space="preserve"> </w:t>
      </w:r>
      <w:r>
        <w:t>eller</w:t>
      </w:r>
    </w:p>
    <w:p w14:paraId="4A124428" w14:textId="77777777" w:rsidR="0043311F" w:rsidRDefault="0043311F" w:rsidP="0043311F">
      <w:pPr>
        <w:pStyle w:val="ANormal"/>
      </w:pPr>
      <w:r>
        <w:tab/>
        <w:t>4) överföring av en del av kommunen med synnerligen ansträngd ekonomi till en annan kommun.</w:t>
      </w:r>
    </w:p>
    <w:p w14:paraId="34D9C939" w14:textId="7FB4C2DB" w:rsidR="00D658B9" w:rsidRDefault="001B00C0" w:rsidP="00D658B9">
      <w:pPr>
        <w:pStyle w:val="ANormal"/>
      </w:pPr>
      <w:r>
        <w:tab/>
      </w:r>
      <w:r w:rsidR="00D658B9">
        <w:t>Kommunindelningsutredaren ska vid beredningen av sitt förslag bedöma om förutsättningarna för en ändring i kommunindelningen enligt 4</w:t>
      </w:r>
      <w:r w:rsidR="004B746A">
        <w:t> §</w:t>
      </w:r>
      <w:r w:rsidR="00D658B9">
        <w:t xml:space="preserve"> uppfylls i de olika alternativen. Utredaren ska dessutom särskilt fästa</w:t>
      </w:r>
      <w:r>
        <w:t xml:space="preserve"> </w:t>
      </w:r>
      <w:r w:rsidR="00D658B9">
        <w:t>uppmärksamhet vid att den nya kommun som</w:t>
      </w:r>
      <w:r>
        <w:t xml:space="preserve"> </w:t>
      </w:r>
      <w:r w:rsidR="00D658B9">
        <w:t>bildas enligt förslaget är livskraftig och består av en funktionell helhet som har ekonomiska förutsättningar att svara för ordnandet</w:t>
      </w:r>
      <w:r>
        <w:t xml:space="preserve"> </w:t>
      </w:r>
      <w:r w:rsidR="00D658B9">
        <w:t>och finansieringen av den kommunala servicen.</w:t>
      </w:r>
    </w:p>
    <w:p w14:paraId="5B05794A" w14:textId="28F351AA" w:rsidR="00D658B9" w:rsidRDefault="001B00C0" w:rsidP="00D658B9">
      <w:pPr>
        <w:pStyle w:val="ANormal"/>
      </w:pPr>
      <w:r>
        <w:tab/>
      </w:r>
      <w:r w:rsidR="00D658B9">
        <w:t>De alternativ som räknas upp i momentet</w:t>
      </w:r>
      <w:r>
        <w:t xml:space="preserve"> </w:t>
      </w:r>
      <w:r w:rsidR="00D658B9">
        <w:t xml:space="preserve">motsvarar i huvudsak de olika </w:t>
      </w:r>
      <w:r w:rsidR="0043311F">
        <w:t>typer av samgående som</w:t>
      </w:r>
      <w:r w:rsidR="00D658B9">
        <w:t xml:space="preserve"> anges i 3</w:t>
      </w:r>
      <w:r w:rsidR="004B746A">
        <w:t> §</w:t>
      </w:r>
      <w:r w:rsidR="00D658B9">
        <w:t>. I alternativ</w:t>
      </w:r>
      <w:r w:rsidR="00D52919">
        <w:t>en</w:t>
      </w:r>
      <w:r w:rsidR="00D658B9">
        <w:t xml:space="preserve"> har man dock beaktat särdragen i de situationer som det nu är fråga om.</w:t>
      </w:r>
      <w:r>
        <w:t xml:space="preserve"> </w:t>
      </w:r>
      <w:r w:rsidR="00D658B9">
        <w:t>Ställningen för en kommun som till och med</w:t>
      </w:r>
      <w:r>
        <w:t xml:space="preserve"> </w:t>
      </w:r>
      <w:r w:rsidR="00D658B9">
        <w:t xml:space="preserve">mot sin vilja </w:t>
      </w:r>
      <w:r w:rsidR="0043311F">
        <w:t>tvingas gå</w:t>
      </w:r>
      <w:r w:rsidR="00D658B9">
        <w:t xml:space="preserve"> samman med en kommun</w:t>
      </w:r>
      <w:r>
        <w:t xml:space="preserve"> </w:t>
      </w:r>
      <w:r w:rsidR="00D658B9">
        <w:t xml:space="preserve">som </w:t>
      </w:r>
      <w:r w:rsidR="0043311F">
        <w:t>har en synnerligen ansträngd ekonomi</w:t>
      </w:r>
      <w:r w:rsidR="00D658B9">
        <w:t xml:space="preserve"> får inte bli för </w:t>
      </w:r>
      <w:r w:rsidR="007C3289">
        <w:t>påfrestande</w:t>
      </w:r>
      <w:r w:rsidR="00D658B9">
        <w:t xml:space="preserve"> på grund</w:t>
      </w:r>
      <w:r>
        <w:t xml:space="preserve"> </w:t>
      </w:r>
      <w:r w:rsidR="00D658B9">
        <w:t>av ändringen. Om det till exempel är fråga</w:t>
      </w:r>
      <w:r>
        <w:t xml:space="preserve"> </w:t>
      </w:r>
      <w:r w:rsidR="00D658B9">
        <w:t xml:space="preserve">om </w:t>
      </w:r>
      <w:r w:rsidR="0043311F">
        <w:t>ett sådant samgående</w:t>
      </w:r>
      <w:r w:rsidR="00D658B9">
        <w:t xml:space="preserve"> som avses i 1</w:t>
      </w:r>
      <w:r w:rsidR="004B746A">
        <w:t> punkt</w:t>
      </w:r>
      <w:r w:rsidR="00D658B9">
        <w:t>en, är det ändamålsenligt att den uttryckligen genomförs så</w:t>
      </w:r>
      <w:r>
        <w:t xml:space="preserve"> </w:t>
      </w:r>
      <w:r w:rsidR="00D658B9">
        <w:t xml:space="preserve">att den kommun som </w:t>
      </w:r>
      <w:r w:rsidR="0043311F">
        <w:t>har en synnerligen ansträngd ekonomi</w:t>
      </w:r>
      <w:r w:rsidR="00D658B9">
        <w:t xml:space="preserve"> </w:t>
      </w:r>
      <w:r w:rsidR="0043311F">
        <w:t>går</w:t>
      </w:r>
      <w:r w:rsidR="00D658B9">
        <w:t xml:space="preserve"> samman</w:t>
      </w:r>
      <w:r>
        <w:t xml:space="preserve"> </w:t>
      </w:r>
      <w:r w:rsidR="00D658B9">
        <w:t>med en annan redan existerande kommun</w:t>
      </w:r>
      <w:r>
        <w:t xml:space="preserve"> </w:t>
      </w:r>
      <w:r w:rsidR="00D658B9">
        <w:t>och inte genom att en ny kommun bildas.</w:t>
      </w:r>
      <w:r w:rsidR="00C33508">
        <w:t xml:space="preserve"> Slutligen</w:t>
      </w:r>
      <w:r w:rsidR="00D658B9">
        <w:t xml:space="preserve"> kan kommunindelningsutredaren vid behov även</w:t>
      </w:r>
      <w:r>
        <w:t xml:space="preserve"> </w:t>
      </w:r>
      <w:r w:rsidR="00D658B9">
        <w:t>ta med en överföring av en eller flera delar</w:t>
      </w:r>
      <w:r>
        <w:t xml:space="preserve"> </w:t>
      </w:r>
      <w:r w:rsidR="00D658B9">
        <w:t>av kommunen till en annan kommun i sitt</w:t>
      </w:r>
      <w:r>
        <w:t xml:space="preserve"> </w:t>
      </w:r>
      <w:r w:rsidR="00D658B9">
        <w:t>förslag. Det aktuella området kan överföras</w:t>
      </w:r>
      <w:r>
        <w:t xml:space="preserve"> </w:t>
      </w:r>
      <w:r w:rsidR="00D658B9">
        <w:t>från vilken kommun som helst som berörs av</w:t>
      </w:r>
      <w:r>
        <w:t xml:space="preserve"> </w:t>
      </w:r>
      <w:r w:rsidR="00D658B9">
        <w:t>ändringen. Det kan i vissa fall vara ändamålsenligt att överföra en del av kommunen</w:t>
      </w:r>
      <w:r>
        <w:t xml:space="preserve"> </w:t>
      </w:r>
      <w:r w:rsidR="00D658B9">
        <w:t>till en annan kommun till exempel för att</w:t>
      </w:r>
      <w:r>
        <w:t xml:space="preserve"> </w:t>
      </w:r>
      <w:r w:rsidR="00D658B9">
        <w:t>åstadkomma en sådan livskraftig och regionalt enhetlig kommunstruktur med en fungerande samhällsstruktur som avses i 2</w:t>
      </w:r>
      <w:r w:rsidR="004B746A">
        <w:t> §</w:t>
      </w:r>
      <w:r w:rsidR="00D658B9">
        <w:t xml:space="preserve"> om</w:t>
      </w:r>
      <w:r>
        <w:t xml:space="preserve"> </w:t>
      </w:r>
      <w:r w:rsidR="00D658B9">
        <w:t>målen för utvecklande av kommunindelningen.</w:t>
      </w:r>
      <w:r w:rsidR="002D2A80">
        <w:t xml:space="preserve"> </w:t>
      </w:r>
      <w:r w:rsidR="00D658B9">
        <w:t>Om kommunindelningsutredarens förslag</w:t>
      </w:r>
      <w:r>
        <w:t xml:space="preserve"> </w:t>
      </w:r>
      <w:r w:rsidR="00D658B9">
        <w:t>inbegriper en ändring som gäller överföring av en del av kommunen, ska beredningen av den skötas på det sätt som föreskrivs i 12</w:t>
      </w:r>
      <w:r w:rsidR="004B746A">
        <w:t> §</w:t>
      </w:r>
      <w:r w:rsidR="00D658B9">
        <w:t>.</w:t>
      </w:r>
    </w:p>
    <w:p w14:paraId="7156F9F5" w14:textId="1246778F" w:rsidR="00D658B9" w:rsidRDefault="001B00C0" w:rsidP="00D658B9">
      <w:pPr>
        <w:pStyle w:val="ANormal"/>
      </w:pPr>
      <w:r>
        <w:tab/>
      </w:r>
      <w:r w:rsidR="00D658B9">
        <w:t>I</w:t>
      </w:r>
      <w:r w:rsidR="004C049C">
        <w:t xml:space="preserve"> det </w:t>
      </w:r>
      <w:r w:rsidR="004C049C" w:rsidRPr="005049FD">
        <w:t>föreslagna</w:t>
      </w:r>
      <w:r w:rsidR="00D658B9" w:rsidRPr="005049FD">
        <w:t xml:space="preserve"> </w:t>
      </w:r>
      <w:r w:rsidR="00684A01" w:rsidRPr="005049FD">
        <w:t>3</w:t>
      </w:r>
      <w:r w:rsidR="004B746A">
        <w:t> mom.</w:t>
      </w:r>
      <w:r w:rsidR="00D658B9">
        <w:t xml:space="preserve"> </w:t>
      </w:r>
      <w:r w:rsidR="002D2A80">
        <w:t>anges</w:t>
      </w:r>
      <w:r w:rsidR="00D658B9">
        <w:t xml:space="preserve"> att kommunernas</w:t>
      </w:r>
      <w:r>
        <w:t xml:space="preserve"> </w:t>
      </w:r>
      <w:r w:rsidR="00D658B9">
        <w:t>gemensamma framställning om en ändring i</w:t>
      </w:r>
      <w:r>
        <w:t xml:space="preserve"> </w:t>
      </w:r>
      <w:r w:rsidR="00D658B9">
        <w:t>kommunindelningen har företräde framför</w:t>
      </w:r>
      <w:r>
        <w:t xml:space="preserve"> </w:t>
      </w:r>
      <w:r w:rsidR="00D658B9">
        <w:t>kommunindelningsutredarens framställning.</w:t>
      </w:r>
      <w:r>
        <w:t xml:space="preserve"> </w:t>
      </w:r>
      <w:r w:rsidR="00D658B9">
        <w:t>Om fullmäktige i samtliga de kommuner som</w:t>
      </w:r>
      <w:r>
        <w:t xml:space="preserve"> </w:t>
      </w:r>
      <w:r w:rsidR="00D658B9">
        <w:t>berörs av ändringen godkänner utredarens</w:t>
      </w:r>
      <w:r>
        <w:t xml:space="preserve"> </w:t>
      </w:r>
      <w:r w:rsidR="00D658B9">
        <w:t>förslag, gör kommunerna en gemensam</w:t>
      </w:r>
      <w:r>
        <w:t xml:space="preserve"> </w:t>
      </w:r>
      <w:r w:rsidR="00D658B9">
        <w:t>framställning om ändring i kommunindelningen enligt utredarens förslag. Då behandlas kommunernas gemensamma framställning vid ett normalt förfarande enligt 5</w:t>
      </w:r>
      <w:r w:rsidR="004B746A">
        <w:t> kap.</w:t>
      </w:r>
    </w:p>
    <w:p w14:paraId="4F8BA56B" w14:textId="269B4DB3" w:rsidR="00D658B9" w:rsidRDefault="001B00C0" w:rsidP="00D658B9">
      <w:pPr>
        <w:pStyle w:val="ANormal"/>
      </w:pPr>
      <w:r>
        <w:tab/>
      </w:r>
      <w:r w:rsidR="00D658B9">
        <w:t>Om fullmäktige i en eller flera kommuner</w:t>
      </w:r>
      <w:r>
        <w:t xml:space="preserve"> </w:t>
      </w:r>
      <w:r w:rsidR="00D658B9">
        <w:t>inte godkänner utredarens förslag till ändring</w:t>
      </w:r>
      <w:r>
        <w:t xml:space="preserve"> </w:t>
      </w:r>
      <w:r w:rsidR="00D658B9">
        <w:t xml:space="preserve">i kommunindelningen, kan utredaren vid behov på grundval av den första utredningsrundan fortsätta utredningen med utvalda kommuner </w:t>
      </w:r>
      <w:r w:rsidR="00D658B9">
        <w:lastRenderedPageBreak/>
        <w:t>och lägga fram ett nytt förslag till ändring i kommunindelningen för fullmäktige i</w:t>
      </w:r>
      <w:r>
        <w:t xml:space="preserve"> </w:t>
      </w:r>
      <w:r w:rsidR="00D658B9">
        <w:t xml:space="preserve">dessa kommuner. Om fullmäktige i de kommuner som berörs av ändringen inte godkänner utredarens förslag, ska utredaren </w:t>
      </w:r>
      <w:r w:rsidR="003443DD">
        <w:t>lämna</w:t>
      </w:r>
      <w:r w:rsidR="00D658B9">
        <w:t xml:space="preserve"> sin framställning om en ändring i</w:t>
      </w:r>
      <w:r>
        <w:t xml:space="preserve"> </w:t>
      </w:r>
      <w:r w:rsidR="00D658B9">
        <w:t>kommunindelningen</w:t>
      </w:r>
      <w:r w:rsidR="003443DD">
        <w:t xml:space="preserve"> till landskapsregeringen</w:t>
      </w:r>
      <w:r w:rsidR="00D658B9">
        <w:t>.</w:t>
      </w:r>
    </w:p>
    <w:p w14:paraId="2CBEE76A" w14:textId="77777777" w:rsidR="00753F34" w:rsidRDefault="00753F34" w:rsidP="00753F34">
      <w:pPr>
        <w:pStyle w:val="ANormal"/>
      </w:pPr>
    </w:p>
    <w:p w14:paraId="28634EEE" w14:textId="151A8BDC" w:rsidR="00372F77" w:rsidRDefault="00A15FB7" w:rsidP="00372F77">
      <w:pPr>
        <w:pStyle w:val="ANormal"/>
      </w:pPr>
      <w:bookmarkStart w:id="52" w:name="_Hlk191044901"/>
      <w:bookmarkStart w:id="53" w:name="_Hlk191477044"/>
      <w:r>
        <w:t>18</w:t>
      </w:r>
      <w:r w:rsidR="004B746A">
        <w:t> §</w:t>
      </w:r>
      <w:r w:rsidR="00753F34">
        <w:t xml:space="preserve"> </w:t>
      </w:r>
      <w:r>
        <w:rPr>
          <w:i/>
          <w:iCs/>
        </w:rPr>
        <w:t>Förutsättningar för beslutsfattande när kommuner går samman</w:t>
      </w:r>
      <w:r w:rsidR="00753F34">
        <w:rPr>
          <w:i/>
          <w:iCs/>
        </w:rPr>
        <w:t>.</w:t>
      </w:r>
      <w:r w:rsidR="00753F34">
        <w:t xml:space="preserve"> </w:t>
      </w:r>
      <w:r w:rsidR="003D3CED">
        <w:t>Enligt förslaget fogas</w:t>
      </w:r>
      <w:r w:rsidR="00372F77">
        <w:t xml:space="preserve"> </w:t>
      </w:r>
      <w:r w:rsidR="003D3CED">
        <w:t>ett nytt 3</w:t>
      </w:r>
      <w:bookmarkEnd w:id="52"/>
      <w:r w:rsidR="004B746A">
        <w:t> mom.</w:t>
      </w:r>
      <w:r w:rsidR="003D3CED">
        <w:t xml:space="preserve"> till </w:t>
      </w:r>
      <w:r w:rsidR="00372F77">
        <w:t>paragrafen</w:t>
      </w:r>
      <w:r w:rsidR="003D3CED">
        <w:t>,</w:t>
      </w:r>
      <w:r w:rsidR="00372F77">
        <w:t xml:space="preserve"> </w:t>
      </w:r>
      <w:r w:rsidR="003D3CED">
        <w:t>enligt vilket</w:t>
      </w:r>
      <w:r w:rsidR="00372F77">
        <w:t xml:space="preserve"> </w:t>
      </w:r>
      <w:r w:rsidR="008C7046">
        <w:t>landskaps</w:t>
      </w:r>
      <w:r w:rsidR="00F83EE3">
        <w:softHyphen/>
      </w:r>
      <w:r w:rsidR="008C7046">
        <w:t>rege</w:t>
      </w:r>
      <w:r w:rsidR="00F83EE3">
        <w:softHyphen/>
      </w:r>
      <w:bookmarkEnd w:id="53"/>
      <w:r w:rsidR="008C7046">
        <w:t>ringen</w:t>
      </w:r>
      <w:r w:rsidR="00372F77">
        <w:t xml:space="preserve"> </w:t>
      </w:r>
      <w:r w:rsidR="003D3CED">
        <w:t xml:space="preserve">ska ha </w:t>
      </w:r>
      <w:r w:rsidR="00372F77">
        <w:t xml:space="preserve">behörighet att besluta om </w:t>
      </w:r>
      <w:r w:rsidR="008C7046">
        <w:t>ett samgående</w:t>
      </w:r>
      <w:r w:rsidR="00372F77">
        <w:t xml:space="preserve"> i fråga om en kommun </w:t>
      </w:r>
      <w:r w:rsidR="008C7046">
        <w:t>med synnerligen ansträngd ekonomi</w:t>
      </w:r>
      <w:r w:rsidR="00372F77">
        <w:t xml:space="preserve"> trots motstånd från fullmäktige i de aktuella kommunerna. </w:t>
      </w:r>
      <w:r w:rsidR="008C7046">
        <w:t>Landskapsregeringens</w:t>
      </w:r>
      <w:r w:rsidR="00372F77">
        <w:t xml:space="preserve"> beslutsfattande baserar sig på en framställning från den kommunindelningsutredare som tillsatts </w:t>
      </w:r>
      <w:r w:rsidR="00A2646E">
        <w:t>som en följd</w:t>
      </w:r>
      <w:r w:rsidR="00372F77" w:rsidRPr="00A2646E">
        <w:t xml:space="preserve"> av </w:t>
      </w:r>
      <w:r w:rsidR="00A2646E">
        <w:t xml:space="preserve">ett </w:t>
      </w:r>
      <w:r w:rsidR="00372F77" w:rsidRPr="00A2646E">
        <w:t>utvärderingsförfarande</w:t>
      </w:r>
      <w:r w:rsidR="00372F77">
        <w:t xml:space="preserve"> för </w:t>
      </w:r>
      <w:r w:rsidR="00A2646E">
        <w:t xml:space="preserve">en </w:t>
      </w:r>
      <w:r w:rsidR="00372F77">
        <w:t xml:space="preserve">kommun som </w:t>
      </w:r>
      <w:r w:rsidR="008C7046">
        <w:t>har en synnerligen ansträngd ekonomi</w:t>
      </w:r>
      <w:r w:rsidR="00372F77">
        <w:t xml:space="preserve">. </w:t>
      </w:r>
      <w:r w:rsidR="008C7046">
        <w:t>Landskapsregeringen</w:t>
      </w:r>
      <w:r w:rsidR="00372F77">
        <w:t xml:space="preserve"> kan besluta om </w:t>
      </w:r>
      <w:r w:rsidR="008C7046">
        <w:t>ett samgående</w:t>
      </w:r>
      <w:r w:rsidR="00372F77">
        <w:t xml:space="preserve"> utan en gemensam framställning från kommunerna och trots motstånd från fullmäktige i kommunerna, om ändringen behövs för att trygga </w:t>
      </w:r>
      <w:r w:rsidR="003703F3">
        <w:t xml:space="preserve">den </w:t>
      </w:r>
      <w:r w:rsidR="00372F77">
        <w:t xml:space="preserve">service som i lagstiftningen förutsätts för invånarna i den kommun som </w:t>
      </w:r>
      <w:r w:rsidR="008C7046">
        <w:t>har en synnerligen ansträngd ekonomi</w:t>
      </w:r>
      <w:r w:rsidR="00372F77">
        <w:t xml:space="preserve"> och </w:t>
      </w:r>
      <w:r w:rsidR="003703F3">
        <w:t xml:space="preserve">om </w:t>
      </w:r>
      <w:r w:rsidR="00372F77">
        <w:t>förutsättningarna för en ändring i kommunindelningen enligt 4</w:t>
      </w:r>
      <w:r w:rsidR="004B746A">
        <w:t> §</w:t>
      </w:r>
      <w:r w:rsidR="00372F77">
        <w:t xml:space="preserve"> uppfylls.</w:t>
      </w:r>
    </w:p>
    <w:p w14:paraId="2CD0C476" w14:textId="35A7A9BE" w:rsidR="00372F77" w:rsidRDefault="00372F77" w:rsidP="00372F77">
      <w:pPr>
        <w:pStyle w:val="ANormal"/>
      </w:pPr>
      <w:r>
        <w:tab/>
        <w:t xml:space="preserve">Förutsättningen för en ändring i kommunindelningen är således för det första att ändringen är nödvändig för att trygga den service som i lagstiftningen förutsätts för invånarna i den kommun som </w:t>
      </w:r>
      <w:r w:rsidR="008C7046">
        <w:t>har en synnerligen ansträngd ekonomi</w:t>
      </w:r>
      <w:r>
        <w:t>.</w:t>
      </w:r>
      <w:r w:rsidR="003703F3">
        <w:t xml:space="preserve"> </w:t>
      </w:r>
      <w:r>
        <w:t>Dessutom förutsätts att de förutsättningar för en ändring i kommunindelningen som föreskrivs i 4</w:t>
      </w:r>
      <w:r w:rsidR="004B746A">
        <w:t> §</w:t>
      </w:r>
      <w:r>
        <w:t xml:space="preserve"> och som ska tillämpas även i alla andra ändringar i kommunindelningen uppfylls. I förutsättningarna ingår även att ändringen ska främja målen för utvecklande av kommunindelningen enligt 2</w:t>
      </w:r>
      <w:r w:rsidR="004B746A">
        <w:t> §</w:t>
      </w:r>
      <w:r>
        <w:t xml:space="preserve">. I synnerhet i de </w:t>
      </w:r>
      <w:r w:rsidR="00D52919">
        <w:t>eventuella</w:t>
      </w:r>
      <w:r>
        <w:t xml:space="preserve"> ändringar i kommunindelningen som sker mot kommunernas vilja ska uppmärksamhet fästas vid hur livskraftig den helhet är som uppstår genom ändringen samt vid att den nya</w:t>
      </w:r>
      <w:r w:rsidR="008C7046">
        <w:t xml:space="preserve"> </w:t>
      </w:r>
      <w:r>
        <w:t>kommunen har såväl ekonomiska som på personella resurser grundade förutsättningar att svara för ordnandet och finansieringen av servicen för kommunens invånare, samt en tillräcklig egen serviceproduktion.</w:t>
      </w:r>
    </w:p>
    <w:p w14:paraId="46D296DD" w14:textId="0E555A4F" w:rsidR="00753F34" w:rsidRDefault="00372F77" w:rsidP="00372F77">
      <w:pPr>
        <w:pStyle w:val="ANormal"/>
      </w:pPr>
      <w:r>
        <w:tab/>
      </w:r>
      <w:r w:rsidR="008C7046">
        <w:t>Landskapsregeringen</w:t>
      </w:r>
      <w:r>
        <w:t xml:space="preserve"> har den slutliga prövningsrätten för om de</w:t>
      </w:r>
      <w:r w:rsidR="008C7046">
        <w:t>t</w:t>
      </w:r>
      <w:r>
        <w:t xml:space="preserve"> </w:t>
      </w:r>
      <w:r w:rsidR="008C7046">
        <w:t>samgående</w:t>
      </w:r>
      <w:r>
        <w:t xml:space="preserve"> som kommunindelningsutredaren föreslår ska genomföras. Prövningen kan basera sig på en helhetsbedömning både av ovan nämnda förutsättningar och av situationen. Till exempel i en situation där även en annan kommun än den som </w:t>
      </w:r>
      <w:r w:rsidR="008C7046">
        <w:t>har en synnerligen ansträngd ekonomi</w:t>
      </w:r>
      <w:r>
        <w:t xml:space="preserve"> motsätter sig </w:t>
      </w:r>
      <w:r w:rsidR="008C7046">
        <w:t>ett samgående</w:t>
      </w:r>
      <w:r>
        <w:t xml:space="preserve">, bör det i bedömningen fästas uppmärksamhet vid att den helhet som bildas kan motiveras med att den är livskraftig och funktionell. Motstånd endast från den kommun som </w:t>
      </w:r>
      <w:r w:rsidR="008C7046">
        <w:t>har en synnerligen ansträngd ekonomi</w:t>
      </w:r>
      <w:r>
        <w:t xml:space="preserve"> är </w:t>
      </w:r>
      <w:r w:rsidR="00D52919">
        <w:t>däremot</w:t>
      </w:r>
      <w:r>
        <w:t xml:space="preserve"> inte motiverat sett utifrån den kommunala självstyrelsen åtminstone i sådana situationer där kommunen har haft långvariga problem med balansen i ekonomin. Då kan man anse att kommunen inte har förutsättningar att utifrån sina egna utgångspunkter upprätthålla sin självstyrelse och inte</w:t>
      </w:r>
      <w:r w:rsidR="00D52919">
        <w:t xml:space="preserve"> har</w:t>
      </w:r>
      <w:r>
        <w:t xml:space="preserve"> den livskraft som behövs till stöd för självstyrelsen. I synnerhet i sådana situationer bör det i bedömningen</w:t>
      </w:r>
      <w:r w:rsidR="008C7046">
        <w:t xml:space="preserve"> </w:t>
      </w:r>
      <w:r>
        <w:t>fästas större vikt vid att service som är viktig för kommuninvånarnas grundläggande rättigheter tryggas i framtiden än vid den kommunala självstyrelsen. I bedömningen kan man dessutom bland annat ta hänsyn till utvecklingen av befolknings- och näringsstrukturen i kommunerna. Enbart det faktum att de ekonomiska kriterier som lett till utvärderingsförfarandet uppfylls bör således inte leda till en ändring i kommunindelningen i strid med kommunens vilja, utan ändringen bör vara motiverad som helhet.</w:t>
      </w:r>
    </w:p>
    <w:p w14:paraId="67C52CEB" w14:textId="77777777" w:rsidR="00CE6257" w:rsidRDefault="00CE6257" w:rsidP="00CE6257">
      <w:pPr>
        <w:pStyle w:val="ANormal"/>
      </w:pPr>
    </w:p>
    <w:p w14:paraId="1259256A" w14:textId="2FC07350" w:rsidR="00CE6257" w:rsidRPr="00CE6257" w:rsidRDefault="00CE6257" w:rsidP="00797873">
      <w:pPr>
        <w:pStyle w:val="ANormal"/>
      </w:pPr>
      <w:r w:rsidRPr="00CE6257">
        <w:t>46a</w:t>
      </w:r>
      <w:r w:rsidR="004B746A">
        <w:t> §</w:t>
      </w:r>
      <w:r w:rsidRPr="00CE6257">
        <w:t xml:space="preserve"> </w:t>
      </w:r>
      <w:r w:rsidRPr="00CE6257">
        <w:rPr>
          <w:i/>
          <w:iCs/>
        </w:rPr>
        <w:t>Förenhetligande av kommunindelningen och den kamerala indelningen vid fastighetsförrättning.</w:t>
      </w:r>
      <w:r w:rsidRPr="00CE6257">
        <w:t xml:space="preserve"> Innehållet i den föreslagna paragrafen motsvarar 46</w:t>
      </w:r>
      <w:r w:rsidR="004B746A">
        <w:t> §</w:t>
      </w:r>
      <w:r w:rsidRPr="00CE6257">
        <w:t xml:space="preserve"> i rikets kommunstrukturlag. Bestämmelserna intas i lagen med stöd av 19</w:t>
      </w:r>
      <w:r w:rsidR="004B746A">
        <w:t> §</w:t>
      </w:r>
      <w:r w:rsidRPr="00CE6257">
        <w:t xml:space="preserve"> 3</w:t>
      </w:r>
      <w:r w:rsidR="004B746A">
        <w:t> mom.</w:t>
      </w:r>
      <w:r w:rsidRPr="00CE6257">
        <w:t xml:space="preserve"> i självstyrelselagen för vinnande av enhetlighet och överskådlighet.</w:t>
      </w:r>
    </w:p>
    <w:p w14:paraId="00FD1885" w14:textId="77777777" w:rsidR="00CE6257" w:rsidRPr="00CE6257" w:rsidRDefault="00CE6257" w:rsidP="00797873">
      <w:pPr>
        <w:pStyle w:val="ANormal"/>
      </w:pPr>
    </w:p>
    <w:p w14:paraId="08A264F6" w14:textId="01092EF8" w:rsidR="00CE6257" w:rsidRPr="00CE6257" w:rsidRDefault="00CE6257" w:rsidP="00797873">
      <w:pPr>
        <w:pStyle w:val="ANormal"/>
      </w:pPr>
      <w:r w:rsidRPr="00CE6257">
        <w:t>46b</w:t>
      </w:r>
      <w:r w:rsidR="004B746A">
        <w:t> §</w:t>
      </w:r>
      <w:r w:rsidRPr="00CE6257">
        <w:t xml:space="preserve"> </w:t>
      </w:r>
      <w:r w:rsidRPr="00CE6257">
        <w:rPr>
          <w:i/>
          <w:iCs/>
        </w:rPr>
        <w:t>Förenhetligande av kommunindelningen och den kamerala indelningen i övriga fall.</w:t>
      </w:r>
      <w:r w:rsidRPr="00CE6257">
        <w:t xml:space="preserve"> Innehållet i den föreslagna paragrafen motsvarar 47</w:t>
      </w:r>
      <w:r w:rsidR="004B746A">
        <w:t> §</w:t>
      </w:r>
      <w:r w:rsidRPr="00CE6257">
        <w:t xml:space="preserve"> i rikets kommunstrukturlag. Bestämmelserna intas i lagen med stöd av 19</w:t>
      </w:r>
      <w:r w:rsidR="004B746A">
        <w:t> §</w:t>
      </w:r>
      <w:r w:rsidRPr="00CE6257">
        <w:t xml:space="preserve"> 3</w:t>
      </w:r>
      <w:r w:rsidR="004B746A">
        <w:t> mom.</w:t>
      </w:r>
      <w:r w:rsidRPr="00CE6257">
        <w:t xml:space="preserve"> i självstyrelselagen för vinnande av enhetlighet och överskådlighet.</w:t>
      </w:r>
    </w:p>
    <w:p w14:paraId="5907DF26" w14:textId="77777777" w:rsidR="00CE6257" w:rsidRPr="00CE6257" w:rsidRDefault="00CE6257" w:rsidP="00797873">
      <w:pPr>
        <w:pStyle w:val="ANormal"/>
      </w:pPr>
    </w:p>
    <w:p w14:paraId="1E089979" w14:textId="49C39609" w:rsidR="00CE6257" w:rsidRDefault="00CE6257" w:rsidP="00797873">
      <w:pPr>
        <w:pStyle w:val="ANormal"/>
      </w:pPr>
      <w:r w:rsidRPr="00CE6257">
        <w:t>46c</w:t>
      </w:r>
      <w:r w:rsidR="004B746A">
        <w:t> §</w:t>
      </w:r>
      <w:r w:rsidRPr="00CE6257">
        <w:t xml:space="preserve"> </w:t>
      </w:r>
      <w:r w:rsidRPr="00CE6257">
        <w:rPr>
          <w:i/>
          <w:iCs/>
        </w:rPr>
        <w:t>Bildande av en egen fastighet av ett område som överförs.</w:t>
      </w:r>
      <w:r w:rsidRPr="00CE6257">
        <w:t xml:space="preserve"> Innehållet i den föreslagna paragrafen motsvarar 48</w:t>
      </w:r>
      <w:r w:rsidR="004B746A">
        <w:t> §</w:t>
      </w:r>
      <w:r w:rsidRPr="00CE6257">
        <w:t xml:space="preserve"> i rikets kommunstrukturlag. Bestämmelserna intas i lagen med stöd av 19</w:t>
      </w:r>
      <w:r w:rsidR="004B746A">
        <w:t> §</w:t>
      </w:r>
      <w:r w:rsidRPr="00CE6257">
        <w:t xml:space="preserve"> 3</w:t>
      </w:r>
      <w:r w:rsidR="004B746A">
        <w:t> mom.</w:t>
      </w:r>
      <w:r w:rsidRPr="00CE6257">
        <w:t xml:space="preserve"> i självstyrelselagen för vinnande av enhetlighet och överskådlighet.</w:t>
      </w:r>
    </w:p>
    <w:p w14:paraId="5CFF0FB1" w14:textId="77777777" w:rsidR="00903059" w:rsidRDefault="00903059" w:rsidP="00372F77">
      <w:pPr>
        <w:pStyle w:val="ANormal"/>
      </w:pPr>
    </w:p>
    <w:p w14:paraId="58E70573" w14:textId="77777777" w:rsidR="00AF3004" w:rsidRDefault="00AF3004">
      <w:pPr>
        <w:pStyle w:val="RubrikA"/>
      </w:pPr>
      <w:r>
        <w:br w:type="page"/>
      </w:r>
      <w:bookmarkStart w:id="54" w:name="_Toc194570803"/>
      <w:r>
        <w:lastRenderedPageBreak/>
        <w:t>Lagtext</w:t>
      </w:r>
      <w:bookmarkEnd w:id="54"/>
    </w:p>
    <w:p w14:paraId="31C8E8DE" w14:textId="77777777" w:rsidR="00AF3004" w:rsidRDefault="00AF3004">
      <w:pPr>
        <w:pStyle w:val="Rubrikmellanrum"/>
      </w:pPr>
    </w:p>
    <w:p w14:paraId="039A4932" w14:textId="07B158F7" w:rsidR="00AF3004" w:rsidRDefault="00AF3004">
      <w:pPr>
        <w:pStyle w:val="ANormal"/>
      </w:pPr>
      <w:r>
        <w:t>Landskapsregeringen föreslår att följande lag</w:t>
      </w:r>
      <w:r w:rsidR="00F32B9A">
        <w:t>ar</w:t>
      </w:r>
      <w:r>
        <w:t xml:space="preserve"> antas.</w:t>
      </w:r>
    </w:p>
    <w:p w14:paraId="50F6ADA6" w14:textId="77777777" w:rsidR="00AF3004" w:rsidRDefault="00AF3004">
      <w:pPr>
        <w:pStyle w:val="ANormal"/>
      </w:pPr>
    </w:p>
    <w:p w14:paraId="227092C5" w14:textId="77777777" w:rsidR="00AF3004" w:rsidRDefault="00AF3004">
      <w:pPr>
        <w:pStyle w:val="ANormal"/>
        <w:rPr>
          <w:lang w:val="en-GB"/>
        </w:rPr>
      </w:pPr>
      <w:r>
        <w:rPr>
          <w:lang w:val="en-GB"/>
        </w:rPr>
        <w:t>1.</w:t>
      </w:r>
    </w:p>
    <w:p w14:paraId="43669912" w14:textId="1FAA3149" w:rsidR="001737F3" w:rsidRPr="00000056" w:rsidRDefault="00AF3004" w:rsidP="001737F3">
      <w:pPr>
        <w:pStyle w:val="LagHuvRubr"/>
      </w:pPr>
      <w:bookmarkStart w:id="55" w:name="_Toc194570804"/>
      <w:r>
        <w:rPr>
          <w:lang w:val="en-GB"/>
        </w:rPr>
        <w:t>L A N D S K A P S L A G</w:t>
      </w:r>
      <w:r>
        <w:rPr>
          <w:lang w:val="en-GB"/>
        </w:rPr>
        <w:br/>
      </w:r>
      <w:r w:rsidR="001737F3" w:rsidRPr="00000056">
        <w:t xml:space="preserve">om </w:t>
      </w:r>
      <w:r w:rsidR="0052731E" w:rsidRPr="00000056">
        <w:t>ett utvärderingsförfarande för</w:t>
      </w:r>
      <w:r w:rsidR="004A19E1" w:rsidRPr="00000056">
        <w:t xml:space="preserve"> </w:t>
      </w:r>
      <w:r w:rsidR="001737F3" w:rsidRPr="00000056">
        <w:t xml:space="preserve">kommuner </w:t>
      </w:r>
      <w:r w:rsidR="00014A5E" w:rsidRPr="00000056">
        <w:t>med synnerligen ansträngd ekonomi</w:t>
      </w:r>
      <w:bookmarkEnd w:id="55"/>
    </w:p>
    <w:p w14:paraId="520B0D39" w14:textId="77777777" w:rsidR="001737F3" w:rsidRDefault="001737F3" w:rsidP="001737F3">
      <w:pPr>
        <w:pStyle w:val="ANormal"/>
        <w:rPr>
          <w:lang w:val="en-GB"/>
        </w:rPr>
      </w:pPr>
    </w:p>
    <w:p w14:paraId="0D071AB4" w14:textId="77777777" w:rsidR="001737F3" w:rsidRDefault="001737F3" w:rsidP="001737F3">
      <w:pPr>
        <w:pStyle w:val="ANormal"/>
      </w:pPr>
      <w:r>
        <w:tab/>
        <w:t>I enlighet med lagtingets beslut föreskrivs:</w:t>
      </w:r>
    </w:p>
    <w:p w14:paraId="64981A72" w14:textId="77777777" w:rsidR="001737F3" w:rsidRDefault="001737F3" w:rsidP="001737F3">
      <w:pPr>
        <w:pStyle w:val="ANormal"/>
      </w:pPr>
    </w:p>
    <w:p w14:paraId="3A3B63F4" w14:textId="5430DC68" w:rsidR="001737F3" w:rsidRPr="00196241" w:rsidRDefault="001737F3" w:rsidP="001737F3">
      <w:pPr>
        <w:pStyle w:val="LagParagraf"/>
      </w:pPr>
      <w:r>
        <w:t>1</w:t>
      </w:r>
      <w:r w:rsidR="004B746A">
        <w:t> §</w:t>
      </w:r>
    </w:p>
    <w:p w14:paraId="137647A2" w14:textId="10E6B508" w:rsidR="001737F3" w:rsidRPr="00196241" w:rsidRDefault="00026536" w:rsidP="001737F3">
      <w:pPr>
        <w:pStyle w:val="LagPararubrik"/>
      </w:pPr>
      <w:r>
        <w:t>Lagens syfte</w:t>
      </w:r>
    </w:p>
    <w:p w14:paraId="5A87486D" w14:textId="438F3339" w:rsidR="00312B6A" w:rsidRDefault="00312B6A" w:rsidP="00312B6A">
      <w:pPr>
        <w:pStyle w:val="ANormal"/>
      </w:pPr>
      <w:r>
        <w:tab/>
      </w:r>
      <w:r w:rsidR="005A4C8D">
        <w:t>I denna lag finns bestämmelser om</w:t>
      </w:r>
      <w:r w:rsidR="0063472D">
        <w:t xml:space="preserve"> ett förfarande för </w:t>
      </w:r>
      <w:r w:rsidR="00026536">
        <w:t xml:space="preserve">kommuner med synnerligen ansträngd ekonomi. Lagens syfte är att </w:t>
      </w:r>
      <w:r>
        <w:t>trygga den lagstadgade servicen för kommuninvånarna samt att säkerställa förutsättningarna för kommunen att ge denna service</w:t>
      </w:r>
      <w:r w:rsidR="0024559D">
        <w:t xml:space="preserve"> i en situation där ekonomi</w:t>
      </w:r>
      <w:r w:rsidR="00026536">
        <w:t>n</w:t>
      </w:r>
      <w:r w:rsidR="0024559D">
        <w:t xml:space="preserve"> är synnerligen ansträngd</w:t>
      </w:r>
      <w:r>
        <w:t>.</w:t>
      </w:r>
    </w:p>
    <w:p w14:paraId="0BC6475E" w14:textId="6B30B5E7" w:rsidR="005A4C8D" w:rsidRDefault="005A4C8D" w:rsidP="00312B6A">
      <w:pPr>
        <w:pStyle w:val="ANormal"/>
      </w:pPr>
      <w:r>
        <w:tab/>
        <w:t>Bestämmelser om ändring av kommunindelningen finns i kommunstrukturlagen (2019:29) för Åland</w:t>
      </w:r>
      <w:r w:rsidR="0090583B">
        <w:t xml:space="preserve"> (nedan kommunstrukturlagen)</w:t>
      </w:r>
      <w:r>
        <w:t>.</w:t>
      </w:r>
    </w:p>
    <w:p w14:paraId="2B9D9944" w14:textId="77777777" w:rsidR="0028266B" w:rsidRDefault="0028266B" w:rsidP="0028266B">
      <w:pPr>
        <w:pStyle w:val="ANormal"/>
      </w:pPr>
    </w:p>
    <w:p w14:paraId="580D8F22" w14:textId="004B16F4" w:rsidR="0028266B" w:rsidRDefault="0028266B" w:rsidP="0028266B">
      <w:pPr>
        <w:pStyle w:val="LagParagraf"/>
      </w:pPr>
      <w:r>
        <w:t>2</w:t>
      </w:r>
      <w:r w:rsidR="004B746A">
        <w:t> §</w:t>
      </w:r>
    </w:p>
    <w:p w14:paraId="1B38E57E" w14:textId="6A697BB3" w:rsidR="0028266B" w:rsidRPr="00307CFD" w:rsidRDefault="0028266B" w:rsidP="0028266B">
      <w:pPr>
        <w:pStyle w:val="LagPararubrik"/>
      </w:pPr>
      <w:r>
        <w:t>Kriterier för en synnerligen ansträngd ekonomi</w:t>
      </w:r>
    </w:p>
    <w:p w14:paraId="0F69922F" w14:textId="77B29BD7" w:rsidR="0028266B" w:rsidRDefault="0028266B" w:rsidP="00797873">
      <w:pPr>
        <w:pStyle w:val="ANormal"/>
      </w:pPr>
      <w:r>
        <w:tab/>
        <w:t xml:space="preserve">En kommuns ekonomi betraktas som synnerligen ansträngd om kommunen inte har täckt ett underskott i </w:t>
      </w:r>
      <w:r w:rsidR="00A56472">
        <w:t>kommunens</w:t>
      </w:r>
      <w:r>
        <w:t xml:space="preserve"> </w:t>
      </w:r>
      <w:r w:rsidRPr="00AA65BF">
        <w:t>balansräkning inom t</w:t>
      </w:r>
      <w:r w:rsidR="00F75DC3" w:rsidRPr="00AA65BF">
        <w:t>re</w:t>
      </w:r>
      <w:r w:rsidRPr="00AA65BF">
        <w:t xml:space="preserve"> år från ingången av det år</w:t>
      </w:r>
      <w:r w:rsidR="00F75DC3" w:rsidRPr="00AA65BF">
        <w:t xml:space="preserve"> som följer efter det år</w:t>
      </w:r>
      <w:r w:rsidRPr="00AA65BF">
        <w:t xml:space="preserve"> </w:t>
      </w:r>
      <w:r w:rsidR="0039387D" w:rsidRPr="00AA65BF">
        <w:t xml:space="preserve">då </w:t>
      </w:r>
      <w:r w:rsidRPr="00AA65BF">
        <w:t>bokslutet fastställdes.</w:t>
      </w:r>
    </w:p>
    <w:p w14:paraId="16826805" w14:textId="0592422B" w:rsidR="0028266B" w:rsidRDefault="0028266B" w:rsidP="0028266B">
      <w:pPr>
        <w:pStyle w:val="ANormal"/>
      </w:pPr>
      <w:r>
        <w:tab/>
        <w:t xml:space="preserve">En kommuns ekonomi betraktas </w:t>
      </w:r>
      <w:r w:rsidR="00863B73">
        <w:t>dessutom</w:t>
      </w:r>
      <w:r>
        <w:t xml:space="preserve"> som synnerligen ansträngd om följande </w:t>
      </w:r>
      <w:r w:rsidR="00863B73">
        <w:t xml:space="preserve">två </w:t>
      </w:r>
      <w:r>
        <w:t>ekonomiska nyckeltal två år i följd har underskridit de angivna gränsvärdena:</w:t>
      </w:r>
    </w:p>
    <w:p w14:paraId="23DD439C" w14:textId="4BE3642E" w:rsidR="0028266B" w:rsidRDefault="0028266B" w:rsidP="00797873">
      <w:pPr>
        <w:pStyle w:val="ANormal"/>
      </w:pPr>
      <w:r>
        <w:tab/>
        <w:t xml:space="preserve">1) årsbidraget </w:t>
      </w:r>
      <w:r w:rsidR="00B16E09">
        <w:t>i förhållande till</w:t>
      </w:r>
      <w:r>
        <w:t xml:space="preserve"> avskrivningar</w:t>
      </w:r>
      <w:r w:rsidR="00D73D9A">
        <w:t xml:space="preserve"> och nedskrivningar</w:t>
      </w:r>
      <w:r>
        <w:t xml:space="preserve"> i kommunens koncernresultaträkning </w:t>
      </w:r>
      <w:r w:rsidR="00B16E09">
        <w:t xml:space="preserve">är lägre än </w:t>
      </w:r>
      <w:r w:rsidR="00F75DC3" w:rsidRPr="00AA65BF">
        <w:t>8</w:t>
      </w:r>
      <w:r w:rsidR="00B16E09" w:rsidRPr="00AA65BF">
        <w:t>0 procent</w:t>
      </w:r>
      <w:r w:rsidR="00B16E09">
        <w:t xml:space="preserve"> </w:t>
      </w:r>
      <w:r>
        <w:t xml:space="preserve">i medeltal av de tre senaste åren </w:t>
      </w:r>
    </w:p>
    <w:p w14:paraId="7A778F8F" w14:textId="2E8EC862" w:rsidR="0028266B" w:rsidRDefault="0028266B" w:rsidP="0028266B">
      <w:pPr>
        <w:pStyle w:val="ANormal"/>
      </w:pPr>
      <w:r>
        <w:tab/>
        <w:t>2) soliditet</w:t>
      </w:r>
      <w:r w:rsidR="00B16E09">
        <w:t>sgrad</w:t>
      </w:r>
      <w:r w:rsidR="00685827">
        <w:t>en</w:t>
      </w:r>
      <w:r>
        <w:t xml:space="preserve"> är </w:t>
      </w:r>
      <w:r w:rsidR="00B16E09">
        <w:t>lägre än</w:t>
      </w:r>
      <w:r>
        <w:t xml:space="preserve"> 50 procent</w:t>
      </w:r>
      <w:r w:rsidR="00863B73">
        <w:t>.</w:t>
      </w:r>
    </w:p>
    <w:p w14:paraId="155CF5E5" w14:textId="1C4B0551" w:rsidR="0028266B" w:rsidRDefault="0028266B" w:rsidP="0028266B">
      <w:pPr>
        <w:pStyle w:val="ANormal"/>
      </w:pPr>
      <w:r>
        <w:tab/>
      </w:r>
      <w:r w:rsidR="00A56472">
        <w:t>Som grund för</w:t>
      </w:r>
      <w:r>
        <w:t xml:space="preserve"> nyckeltalen i </w:t>
      </w:r>
      <w:r w:rsidR="00F34077" w:rsidRPr="00E77E9C">
        <w:t>1 och</w:t>
      </w:r>
      <w:r w:rsidR="00F34077">
        <w:t xml:space="preserve"> </w:t>
      </w:r>
      <w:r w:rsidRPr="00F34077">
        <w:t>2</w:t>
      </w:r>
      <w:r w:rsidR="004B746A">
        <w:t> mom.</w:t>
      </w:r>
      <w:r>
        <w:t xml:space="preserve"> används de bokslutsuppgifter som Ålands statistik- och utredningsbyrå årligen publicerar. </w:t>
      </w:r>
      <w:r w:rsidR="00402BBD" w:rsidRPr="00E77E9C">
        <w:t>Vid beräkningen av d</w:t>
      </w:r>
      <w:r w:rsidR="00F34077" w:rsidRPr="00E77E9C">
        <w:t>et underskott som avses i 1</w:t>
      </w:r>
      <w:r w:rsidR="004B746A">
        <w:t> mom.</w:t>
      </w:r>
      <w:r w:rsidR="00F34077" w:rsidRPr="00E77E9C">
        <w:t xml:space="preserve"> </w:t>
      </w:r>
      <w:r w:rsidR="00402BBD" w:rsidRPr="00E77E9C">
        <w:t>beaktas</w:t>
      </w:r>
      <w:r w:rsidR="00F34077" w:rsidRPr="00E77E9C">
        <w:t xml:space="preserve"> över- eller underskott från tidigare räkenskapsperioder, räkenskapsperiodens över- eller underskott samt summan av frivilliga reserveringar och avskrivningsdifferenser.</w:t>
      </w:r>
      <w:r w:rsidR="00AB3C2C" w:rsidRPr="00E77E9C">
        <w:t xml:space="preserve"> </w:t>
      </w:r>
      <w:r w:rsidR="00226534" w:rsidRPr="00E77E9C">
        <w:t>För nyckeltalen i 2</w:t>
      </w:r>
      <w:r w:rsidR="004B746A">
        <w:t> mom.</w:t>
      </w:r>
      <w:r w:rsidR="00226534" w:rsidRPr="00E77E9C">
        <w:t xml:space="preserve"> används bokslutsuppgifterna för kommunkoncernen </w:t>
      </w:r>
      <w:r w:rsidR="001B79E9" w:rsidRPr="00E77E9C">
        <w:t>i det fall där</w:t>
      </w:r>
      <w:r w:rsidR="00226534" w:rsidRPr="00E77E9C">
        <w:t xml:space="preserve"> kommunen upprättar koncernbokslut</w:t>
      </w:r>
      <w:r w:rsidR="0041218A" w:rsidRPr="00E77E9C">
        <w:t>,</w:t>
      </w:r>
      <w:r w:rsidR="00226534" w:rsidRPr="00E77E9C">
        <w:t xml:space="preserve"> </w:t>
      </w:r>
      <w:r w:rsidR="001B79E9" w:rsidRPr="00E77E9C">
        <w:t>i annat fall</w:t>
      </w:r>
      <w:r w:rsidR="00226534" w:rsidRPr="00E77E9C">
        <w:t xml:space="preserve"> </w:t>
      </w:r>
      <w:r w:rsidR="00A56472" w:rsidRPr="00E77E9C">
        <w:t>används bokslutsuppgifter</w:t>
      </w:r>
      <w:r w:rsidR="00685827" w:rsidRPr="00E77E9C">
        <w:t>na för kommunen</w:t>
      </w:r>
      <w:r w:rsidR="00A56472" w:rsidRPr="00E77E9C">
        <w:t>.</w:t>
      </w:r>
    </w:p>
    <w:p w14:paraId="616A45E3" w14:textId="1A117388" w:rsidR="0028266B" w:rsidRDefault="00AA65BF" w:rsidP="00797873">
      <w:pPr>
        <w:pStyle w:val="ANormal"/>
      </w:pPr>
      <w:r>
        <w:tab/>
        <w:t>T</w:t>
      </w:r>
      <w:r w:rsidR="00FF35AB">
        <w:t>rots bestämmelserna i 3</w:t>
      </w:r>
      <w:r w:rsidR="004B746A">
        <w:t> mom.</w:t>
      </w:r>
      <w:r w:rsidR="00FF35AB">
        <w:t xml:space="preserve"> ska inte ett t</w:t>
      </w:r>
      <w:r>
        <w:t>illfälligt likviditetsstöd som kommun</w:t>
      </w:r>
      <w:r w:rsidR="00FF35AB">
        <w:t>en</w:t>
      </w:r>
      <w:r>
        <w:t xml:space="preserve"> har beviljats med stöd av </w:t>
      </w:r>
      <w:r w:rsidR="00FF35AB">
        <w:t>landskapslagen (2021:63) om tillfälligt likviditetsstöd till kommuner eller landskapslagen (2024:79) om tillfälligt likviditetsstöd till kommuner beaktas i grunden för nyckeltalen.</w:t>
      </w:r>
    </w:p>
    <w:p w14:paraId="5F2DC59F" w14:textId="77777777" w:rsidR="00AA65BF" w:rsidRDefault="00AA65BF" w:rsidP="0028266B">
      <w:pPr>
        <w:pStyle w:val="ANormal"/>
      </w:pPr>
    </w:p>
    <w:p w14:paraId="5E2E250C" w14:textId="5D616BAD" w:rsidR="001737F3" w:rsidRDefault="0028266B" w:rsidP="001737F3">
      <w:pPr>
        <w:pStyle w:val="LagParagraf"/>
      </w:pPr>
      <w:r>
        <w:t>3</w:t>
      </w:r>
      <w:r w:rsidR="004B746A">
        <w:t> §</w:t>
      </w:r>
    </w:p>
    <w:p w14:paraId="2B5022D0" w14:textId="77777777" w:rsidR="001737F3" w:rsidRDefault="001737F3" w:rsidP="001737F3">
      <w:pPr>
        <w:pStyle w:val="LagPararubrik"/>
      </w:pPr>
      <w:r>
        <w:t>Utvärderingsförfarande</w:t>
      </w:r>
    </w:p>
    <w:p w14:paraId="063E35F4" w14:textId="2D819207" w:rsidR="00EE0F10" w:rsidRDefault="00EE0F10" w:rsidP="00C26C91">
      <w:pPr>
        <w:pStyle w:val="ANormal"/>
      </w:pPr>
      <w:bookmarkStart w:id="56" w:name="_Hlk83288807"/>
      <w:r>
        <w:tab/>
        <w:t>Om en kommuns ekonomi betraktas som synnerligen ansträngd ska kommunen och landskapsregeringen tillsammans utreda kommunens möjligheter att garantera sina invånare de</w:t>
      </w:r>
      <w:r w:rsidR="00EF390A">
        <w:t>n</w:t>
      </w:r>
      <w:r>
        <w:t xml:space="preserve"> </w:t>
      </w:r>
      <w:r w:rsidR="00EF390A">
        <w:t>service</w:t>
      </w:r>
      <w:r>
        <w:t xml:space="preserve"> som lagstiftningen kräver och att vidta åtgärder för att trygga förutsättningarna för </w:t>
      </w:r>
      <w:r w:rsidR="00EF390A">
        <w:t>servicen</w:t>
      </w:r>
      <w:r>
        <w:t>.</w:t>
      </w:r>
    </w:p>
    <w:p w14:paraId="6C1BDDB8" w14:textId="01D1016E" w:rsidR="006E5340" w:rsidRDefault="009E6CF2" w:rsidP="00C26C91">
      <w:pPr>
        <w:pStyle w:val="ANormal"/>
      </w:pPr>
      <w:r>
        <w:tab/>
        <w:t xml:space="preserve">Landskapsregeringen </w:t>
      </w:r>
      <w:r w:rsidR="007B68BF">
        <w:t xml:space="preserve">ska </w:t>
      </w:r>
      <w:r>
        <w:t xml:space="preserve">fatta </w:t>
      </w:r>
      <w:bookmarkStart w:id="57" w:name="_Hlk92963229"/>
      <w:r>
        <w:t xml:space="preserve">beslut om inledande av </w:t>
      </w:r>
      <w:r w:rsidRPr="00856DD2">
        <w:t xml:space="preserve">utvärderingsförfarandet </w:t>
      </w:r>
      <w:bookmarkEnd w:id="57"/>
      <w:r w:rsidRPr="00856DD2">
        <w:t>så snart som möjligt</w:t>
      </w:r>
      <w:r>
        <w:t xml:space="preserve"> efter att kommunernas bokslutsuppgifter har publicerats.</w:t>
      </w:r>
      <w:r w:rsidR="00D6330D">
        <w:t xml:space="preserve"> </w:t>
      </w:r>
      <w:r w:rsidR="0090583B">
        <w:t xml:space="preserve">Beslut om inledande av ett utvärderingsförfarande ska dock inte fattas om kommunen </w:t>
      </w:r>
      <w:r w:rsidR="003F0771">
        <w:t xml:space="preserve">medverkar </w:t>
      </w:r>
      <w:r w:rsidR="003F0771" w:rsidRPr="00E77E9C">
        <w:t>i</w:t>
      </w:r>
      <w:r w:rsidR="00752B61" w:rsidRPr="00E77E9C">
        <w:t xml:space="preserve"> en</w:t>
      </w:r>
      <w:r w:rsidR="00310AD9" w:rsidRPr="00E77E9C">
        <w:t xml:space="preserve"> särskild</w:t>
      </w:r>
      <w:r w:rsidR="0090583B" w:rsidRPr="00E77E9C">
        <w:t xml:space="preserve"> kommunindelningsutredning som </w:t>
      </w:r>
      <w:r w:rsidR="003F0771" w:rsidRPr="00E77E9C">
        <w:lastRenderedPageBreak/>
        <w:t xml:space="preserve">landskapsregeringen </w:t>
      </w:r>
      <w:r w:rsidR="00287167" w:rsidRPr="00E77E9C">
        <w:t xml:space="preserve">med stöd av kommunstrukturlagen </w:t>
      </w:r>
      <w:r w:rsidR="003F0771" w:rsidRPr="00E77E9C">
        <w:t>har fattat beslut om att ska genomföras.</w:t>
      </w:r>
    </w:p>
    <w:p w14:paraId="0DF13C37" w14:textId="31E71BA1" w:rsidR="00BB5C53" w:rsidRDefault="00BB5C53" w:rsidP="00C26C91">
      <w:pPr>
        <w:pStyle w:val="ANormal"/>
      </w:pPr>
      <w:r>
        <w:tab/>
        <w:t xml:space="preserve">När ett utvärderingsförfarande har inletts kan beslut om inledande av ett nytt utvärderingsförfarande för samma kommun </w:t>
      </w:r>
      <w:r w:rsidR="00F016FE">
        <w:t xml:space="preserve">fattas </w:t>
      </w:r>
      <w:r>
        <w:t>för</w:t>
      </w:r>
      <w:r w:rsidR="00310AD9">
        <w:t>st</w:t>
      </w:r>
      <w:r>
        <w:t xml:space="preserve"> efter att det pågående förfarandet har slutförts</w:t>
      </w:r>
      <w:r w:rsidR="00C9171B">
        <w:t xml:space="preserve">. Om fullmäktige har fattat beslut om åtgärder till följd av ett utvärderingsförfarande kan beslut om inledande av ett nytt förfarande fattas </w:t>
      </w:r>
      <w:r w:rsidR="00C9171B" w:rsidRPr="00A73949">
        <w:t>för</w:t>
      </w:r>
      <w:r w:rsidR="00310AD9" w:rsidRPr="00A73949">
        <w:t>st</w:t>
      </w:r>
      <w:r w:rsidR="00C9171B" w:rsidRPr="00A73949">
        <w:t xml:space="preserve"> efter att </w:t>
      </w:r>
      <w:r w:rsidR="002B7BB4" w:rsidRPr="00E77E9C">
        <w:t>den tid som angetts för genomförande av åtgärderna har löpt ut och</w:t>
      </w:r>
      <w:r w:rsidR="002B7BB4">
        <w:t xml:space="preserve"> </w:t>
      </w:r>
      <w:r w:rsidR="00C9171B" w:rsidRPr="00A73949">
        <w:t>kommunen har delgivit landskapsregeringen den utredning som avses i 6</w:t>
      </w:r>
      <w:r w:rsidR="004B746A">
        <w:t> §</w:t>
      </w:r>
      <w:r w:rsidR="00C9171B" w:rsidRPr="00A73949">
        <w:t xml:space="preserve"> 2</w:t>
      </w:r>
      <w:r w:rsidR="004B746A">
        <w:t> mom.</w:t>
      </w:r>
    </w:p>
    <w:p w14:paraId="369961AD" w14:textId="77777777" w:rsidR="00A73949" w:rsidRDefault="00A73949" w:rsidP="00C26C91">
      <w:pPr>
        <w:pStyle w:val="ANormal"/>
      </w:pPr>
    </w:p>
    <w:bookmarkEnd w:id="56"/>
    <w:p w14:paraId="2B628670" w14:textId="0A72DDDF" w:rsidR="00787E26" w:rsidRDefault="00C000D9" w:rsidP="00787E26">
      <w:pPr>
        <w:pStyle w:val="LagParagraf"/>
      </w:pPr>
      <w:r>
        <w:t>4</w:t>
      </w:r>
      <w:r w:rsidR="004B746A">
        <w:t> §</w:t>
      </w:r>
    </w:p>
    <w:p w14:paraId="137165D9" w14:textId="3F66ABE2" w:rsidR="00787E26" w:rsidRDefault="00787E26" w:rsidP="00787E26">
      <w:pPr>
        <w:pStyle w:val="LagPararubrik"/>
      </w:pPr>
      <w:r>
        <w:t>Utvärderingsgrupp</w:t>
      </w:r>
    </w:p>
    <w:p w14:paraId="6D9374DF" w14:textId="07C7857B" w:rsidR="00787E26" w:rsidRDefault="00787E26" w:rsidP="00787E26">
      <w:pPr>
        <w:pStyle w:val="ANormal"/>
      </w:pPr>
      <w:r>
        <w:tab/>
      </w:r>
      <w:r w:rsidR="00EF7217">
        <w:t>Utvärderingen av en kommun med synnerligen ansträngd ekonomi</w:t>
      </w:r>
      <w:r>
        <w:t xml:space="preserve"> görs </w:t>
      </w:r>
      <w:r w:rsidR="00F25A40">
        <w:t>av</w:t>
      </w:r>
      <w:r>
        <w:t xml:space="preserve"> en utvärderingsgrupp där en av medlemmarna utses av land</w:t>
      </w:r>
      <w:r w:rsidR="00EF7217">
        <w:softHyphen/>
      </w:r>
      <w:r>
        <w:t>skaps</w:t>
      </w:r>
      <w:r w:rsidR="00EF7217">
        <w:softHyphen/>
      </w:r>
      <w:r>
        <w:t>rege</w:t>
      </w:r>
      <w:r w:rsidR="00EF7217">
        <w:softHyphen/>
      </w:r>
      <w:r>
        <w:t xml:space="preserve">ringen och en av kommunen. Efter att ha hört kommunen utser landskapsregeringen till ordförande för gruppen en person som är oavhängig av kommunen och landskapsregeringen. Gruppen </w:t>
      </w:r>
      <w:r w:rsidR="00EF7217">
        <w:t>ska lägga</w:t>
      </w:r>
      <w:r>
        <w:t xml:space="preserve"> fram ett förslag till åtgärder som behövs för att garantera servicen till invånarna</w:t>
      </w:r>
      <w:r w:rsidR="00EF390A">
        <w:t xml:space="preserve"> och för att trygga förutsättningarna för servicen</w:t>
      </w:r>
      <w:r>
        <w:t>.</w:t>
      </w:r>
    </w:p>
    <w:p w14:paraId="0C586DD8" w14:textId="4DC0A43C" w:rsidR="0029204E" w:rsidRDefault="0029204E" w:rsidP="00787E26">
      <w:pPr>
        <w:pStyle w:val="ANormal"/>
      </w:pPr>
      <w:r>
        <w:tab/>
      </w:r>
      <w:r w:rsidRPr="00E77E9C">
        <w:t xml:space="preserve">Kommunen </w:t>
      </w:r>
      <w:r w:rsidR="00AE7A0E" w:rsidRPr="00E77E9C">
        <w:t>är skyldig att tillhandahålla</w:t>
      </w:r>
      <w:r w:rsidRPr="00E77E9C">
        <w:t xml:space="preserve"> de uppgifter som </w:t>
      </w:r>
      <w:r w:rsidR="00AE7A0E" w:rsidRPr="00E77E9C">
        <w:t xml:space="preserve">utvärderingsgruppen </w:t>
      </w:r>
      <w:r w:rsidR="00A00ECA" w:rsidRPr="00E77E9C">
        <w:t>behöv</w:t>
      </w:r>
      <w:r w:rsidR="00AE7A0E" w:rsidRPr="00E77E9C">
        <w:t>er</w:t>
      </w:r>
      <w:r w:rsidRPr="00E77E9C">
        <w:t xml:space="preserve"> för att göra utvärdering</w:t>
      </w:r>
      <w:r w:rsidR="00A00ECA" w:rsidRPr="00E77E9C">
        <w:t>en</w:t>
      </w:r>
      <w:r w:rsidRPr="00E77E9C">
        <w:t>.</w:t>
      </w:r>
    </w:p>
    <w:p w14:paraId="36FB8F9F" w14:textId="77777777" w:rsidR="00730AC7" w:rsidRDefault="00730AC7" w:rsidP="00730AC7">
      <w:pPr>
        <w:pStyle w:val="ANormal"/>
      </w:pPr>
    </w:p>
    <w:p w14:paraId="7FF9ED10" w14:textId="39D1FF62" w:rsidR="00EC4C1E" w:rsidRDefault="00C000D9" w:rsidP="00EC4C1E">
      <w:pPr>
        <w:pStyle w:val="LagParagraf"/>
      </w:pPr>
      <w:bookmarkStart w:id="58" w:name="_Hlk83910306"/>
      <w:r>
        <w:t>5</w:t>
      </w:r>
      <w:r w:rsidR="004B746A">
        <w:t> §</w:t>
      </w:r>
    </w:p>
    <w:p w14:paraId="5A19F358" w14:textId="531A960F" w:rsidR="00EC4C1E" w:rsidRDefault="00EC4C1E" w:rsidP="00EC4C1E">
      <w:pPr>
        <w:pStyle w:val="LagPararubrik"/>
      </w:pPr>
      <w:r>
        <w:t>Begränsning av investeringar</w:t>
      </w:r>
    </w:p>
    <w:p w14:paraId="41576DFC" w14:textId="0B3FBD36" w:rsidR="00B40C6C" w:rsidRDefault="00DB6651" w:rsidP="00B8610D">
      <w:pPr>
        <w:pStyle w:val="ANormal"/>
      </w:pPr>
      <w:r>
        <w:tab/>
        <w:t>En kommun med synnerligen ansträngd ekonomi eller ett bolag som</w:t>
      </w:r>
      <w:r w:rsidR="00D140CA">
        <w:t xml:space="preserve"> </w:t>
      </w:r>
      <w:r w:rsidR="00D140CA" w:rsidRPr="00E77E9C">
        <w:t>i sin helhet</w:t>
      </w:r>
      <w:r>
        <w:t xml:space="preserve"> ägs av en sådan kommun får inte under den tid utvärderingsförfarandet pågår ingå förbindelse</w:t>
      </w:r>
      <w:r w:rsidR="005E01A4">
        <w:t>r</w:t>
      </w:r>
      <w:r>
        <w:t xml:space="preserve"> om investering</w:t>
      </w:r>
      <w:r w:rsidR="005E01A4">
        <w:t>ar</w:t>
      </w:r>
      <w:r>
        <w:t xml:space="preserve"> i byggnad</w:t>
      </w:r>
      <w:r w:rsidR="005E01A4">
        <w:t>er</w:t>
      </w:r>
      <w:r>
        <w:t xml:space="preserve"> om inte investeringen i sin helhet kan finansieras med eget kapital.</w:t>
      </w:r>
      <w:r w:rsidR="006377A2">
        <w:t xml:space="preserve"> Begränsningen enligt denna paragraf</w:t>
      </w:r>
      <w:r w:rsidR="00B40C6C">
        <w:t xml:space="preserve"> gäller under en period som börjar när landskapsregeringen med stöd av 3</w:t>
      </w:r>
      <w:r w:rsidR="004B746A">
        <w:t> §</w:t>
      </w:r>
      <w:r w:rsidR="00B40C6C">
        <w:t xml:space="preserve"> 2</w:t>
      </w:r>
      <w:r w:rsidR="004B746A">
        <w:t> mom.</w:t>
      </w:r>
      <w:r w:rsidR="00B40C6C">
        <w:t xml:space="preserve"> fattar beslut om inledande av ett utvärderingsförfarande och avslutas när landskapsregeringen med stöd av 6</w:t>
      </w:r>
      <w:r w:rsidR="004B746A">
        <w:t> §</w:t>
      </w:r>
      <w:r w:rsidR="00B40C6C">
        <w:t xml:space="preserve"> 3</w:t>
      </w:r>
      <w:r w:rsidR="004B746A">
        <w:t> mom.</w:t>
      </w:r>
      <w:r w:rsidR="00B40C6C">
        <w:t xml:space="preserve"> avgör om det behövs en särskild kommunindelningsutredning.</w:t>
      </w:r>
    </w:p>
    <w:p w14:paraId="5D176041" w14:textId="7184E9A9" w:rsidR="00166512" w:rsidRDefault="00166512" w:rsidP="00B8610D">
      <w:pPr>
        <w:pStyle w:val="ANormal"/>
      </w:pPr>
      <w:r>
        <w:tab/>
        <w:t>Trots det som föreskrivs i 1</w:t>
      </w:r>
      <w:r w:rsidR="004B746A">
        <w:t> mom.</w:t>
      </w:r>
      <w:r>
        <w:t xml:space="preserve"> kan kommunen eller ett bolag som ägs av kommunen ansöka om dispens för att ingå en förbindelse om en sådan investering som avses i momentet. Landskapsregeringen kan bevilja dispens om investeringen är nödvändig och brådskande för att trygga tillgången till lagstadgad service för invånarna.</w:t>
      </w:r>
    </w:p>
    <w:p w14:paraId="77CA0684" w14:textId="3DC539BB" w:rsidR="00166512" w:rsidRDefault="00166512" w:rsidP="00B8610D">
      <w:pPr>
        <w:pStyle w:val="ANormal"/>
      </w:pPr>
      <w:r>
        <w:tab/>
        <w:t>Trots bestämmelserna i 1</w:t>
      </w:r>
      <w:r w:rsidR="004B746A">
        <w:t> mom.</w:t>
      </w:r>
      <w:r>
        <w:t xml:space="preserve"> får kommunen eller ett bolag som ägs av kommunen ingå förbindelser om investeringar som hänför sig till årligt underhåll av byggnader samt sådana investeringar som är nödvändiga utifrån en tillsynsmyndighets inspektioner.</w:t>
      </w:r>
    </w:p>
    <w:p w14:paraId="04BE5D03" w14:textId="6B51F129" w:rsidR="005F4C2A" w:rsidRDefault="005F4C2A" w:rsidP="00B8610D">
      <w:pPr>
        <w:pStyle w:val="ANormal"/>
      </w:pPr>
      <w:r>
        <w:tab/>
      </w:r>
      <w:bookmarkStart w:id="59" w:name="_Hlk128054186"/>
      <w:r w:rsidRPr="00E77E9C">
        <w:t>Om en rättshandling har företagits i strid med denna paragraf, är avtalet ogiltigt. Kommunen eller det bolag som ägs av kommunen ansvarar för de investeringskostnader och andra eventuella påföljder i anslutning till investeringen som beror på ett lagstridigt avtals ogiltighet, om de inte har ansökt om dispens eller om de förfarit i strid med dispensen.</w:t>
      </w:r>
    </w:p>
    <w:bookmarkEnd w:id="58"/>
    <w:bookmarkEnd w:id="59"/>
    <w:p w14:paraId="4CF789E5" w14:textId="463562B7" w:rsidR="00787E26" w:rsidRDefault="00787E26" w:rsidP="00787E26">
      <w:pPr>
        <w:pStyle w:val="ANormal"/>
      </w:pPr>
    </w:p>
    <w:p w14:paraId="0918EB6A" w14:textId="53A9AE78" w:rsidR="00787E26" w:rsidRDefault="00C000D9" w:rsidP="00787E26">
      <w:pPr>
        <w:pStyle w:val="LagParagraf"/>
      </w:pPr>
      <w:r>
        <w:t>6</w:t>
      </w:r>
      <w:r w:rsidR="004B746A">
        <w:t> §</w:t>
      </w:r>
    </w:p>
    <w:p w14:paraId="32FA8713" w14:textId="7643DFE1" w:rsidR="00787E26" w:rsidRPr="00787E26" w:rsidRDefault="00787E26" w:rsidP="00787E26">
      <w:pPr>
        <w:pStyle w:val="LagPararubrik"/>
      </w:pPr>
      <w:r>
        <w:t>Behandling av utvärderings</w:t>
      </w:r>
      <w:r w:rsidR="00F25A40">
        <w:t>grupp</w:t>
      </w:r>
      <w:r>
        <w:t>en</w:t>
      </w:r>
      <w:r w:rsidR="00F25A40">
        <w:t>s förslag</w:t>
      </w:r>
    </w:p>
    <w:p w14:paraId="6C84DCEE" w14:textId="38136E2A" w:rsidR="004E0BCB" w:rsidRDefault="004E0BCB" w:rsidP="00787E26">
      <w:pPr>
        <w:pStyle w:val="ANormal"/>
      </w:pPr>
      <w:r>
        <w:tab/>
        <w:t xml:space="preserve">Utvärderingsgruppens åtgärdsförslag </w:t>
      </w:r>
      <w:r w:rsidR="007B68BF">
        <w:t xml:space="preserve">ska </w:t>
      </w:r>
      <w:r>
        <w:t>tillställ</w:t>
      </w:r>
      <w:r w:rsidR="007B68BF">
        <w:t>a</w:t>
      </w:r>
      <w:r>
        <w:t xml:space="preserve">s </w:t>
      </w:r>
      <w:r w:rsidR="008C76B4">
        <w:t xml:space="preserve">fullmäktige och </w:t>
      </w:r>
      <w:r>
        <w:t>landskapsregeringen</w:t>
      </w:r>
      <w:r w:rsidR="008C76B4">
        <w:t>.</w:t>
      </w:r>
    </w:p>
    <w:p w14:paraId="73C359E6" w14:textId="4A7A5C72" w:rsidR="00392CFC" w:rsidRDefault="00DE1047" w:rsidP="00787E26">
      <w:pPr>
        <w:pStyle w:val="ANormal"/>
      </w:pPr>
      <w:r>
        <w:tab/>
      </w:r>
      <w:r w:rsidR="00392CFC" w:rsidRPr="00392CFC">
        <w:t xml:space="preserve">Fullmäktige ska behandla </w:t>
      </w:r>
      <w:r w:rsidR="002E24B9">
        <w:t>utvärderings</w:t>
      </w:r>
      <w:r w:rsidR="00392CFC" w:rsidRPr="00392CFC">
        <w:t xml:space="preserve">gruppens åtgärdsförslag och delge </w:t>
      </w:r>
      <w:r>
        <w:t>landskapsregeringen</w:t>
      </w:r>
      <w:r w:rsidR="00392CFC" w:rsidRPr="00392CFC">
        <w:t xml:space="preserve"> beslutet om dem för eventuella fortsatta åtgärder. Budgeten </w:t>
      </w:r>
      <w:r w:rsidR="00392CFC" w:rsidRPr="008F2AE1">
        <w:t>och ekonomiplanen</w:t>
      </w:r>
      <w:r w:rsidR="00392CFC" w:rsidRPr="00392CFC">
        <w:t xml:space="preserve"> ska göras upp så att de förverkligar fullmäktiges beslut om åtgärder. I verksamhetsberättelsen ska det läggas fram en utredning över genomförandet av åtgärderna och deras tillräcklighet under </w:t>
      </w:r>
      <w:r w:rsidR="00392CFC" w:rsidRPr="00392CFC">
        <w:lastRenderedPageBreak/>
        <w:t xml:space="preserve">räkenskapsperioden. </w:t>
      </w:r>
      <w:r w:rsidR="00392CFC" w:rsidRPr="0048403F">
        <w:t xml:space="preserve">Kommunen ska delge </w:t>
      </w:r>
      <w:r w:rsidRPr="0048403F">
        <w:t>landskapsregeringen</w:t>
      </w:r>
      <w:r w:rsidR="00392CFC" w:rsidRPr="0048403F">
        <w:t xml:space="preserve"> utredningen före utgången av juni månad året efter räkenskapsperioden.</w:t>
      </w:r>
    </w:p>
    <w:p w14:paraId="32837820" w14:textId="77777777" w:rsidR="003B3A56" w:rsidRDefault="00DE1047" w:rsidP="003B3A56">
      <w:pPr>
        <w:pStyle w:val="ANormal"/>
      </w:pPr>
      <w:r>
        <w:tab/>
        <w:t xml:space="preserve">Utgående från </w:t>
      </w:r>
      <w:r w:rsidR="002E24B9">
        <w:t>utvärderings</w:t>
      </w:r>
      <w:r>
        <w:t xml:space="preserve">gruppens åtgärdsförslag och fullmäktiges beslut </w:t>
      </w:r>
      <w:r w:rsidR="007B68BF">
        <w:t xml:space="preserve">ska </w:t>
      </w:r>
      <w:r>
        <w:t xml:space="preserve">landskapsregeringen </w:t>
      </w:r>
      <w:r w:rsidR="007B68BF">
        <w:t xml:space="preserve">avgöra </w:t>
      </w:r>
      <w:r>
        <w:t xml:space="preserve">om det i syfte att ändra kommunindelningen behövs en sådan särskild </w:t>
      </w:r>
      <w:r w:rsidR="00662788">
        <w:t>kommunindelnings</w:t>
      </w:r>
      <w:r>
        <w:t xml:space="preserve">utredning som avses i kommunstrukturlagen. </w:t>
      </w:r>
    </w:p>
    <w:p w14:paraId="33B85EE9" w14:textId="522E0105" w:rsidR="002E24B9" w:rsidRDefault="00726D16" w:rsidP="003B3A56">
      <w:pPr>
        <w:pStyle w:val="ANormal"/>
      </w:pPr>
      <w:r>
        <w:tab/>
      </w:r>
      <w:r w:rsidR="003B3A56">
        <w:t>Landskapsregeringen kan också fatta b</w:t>
      </w:r>
      <w:r>
        <w:t xml:space="preserve">eslut om </w:t>
      </w:r>
      <w:r w:rsidR="00647DFE">
        <w:t>behovet av</w:t>
      </w:r>
      <w:r>
        <w:t xml:space="preserve"> en särskild kommunindelningsutredning utan att ett nytt utvärderingsförfarande inleds, om </w:t>
      </w:r>
      <w:r w:rsidR="003B3A56">
        <w:t xml:space="preserve">de </w:t>
      </w:r>
      <w:r>
        <w:t>åtgärder</w:t>
      </w:r>
      <w:r w:rsidR="003B3A56">
        <w:t xml:space="preserve"> </w:t>
      </w:r>
      <w:r w:rsidR="003B3A56" w:rsidRPr="00E77E9C">
        <w:t>som godkänts i ett tidigare utvärderingsförfarande</w:t>
      </w:r>
      <w:r w:rsidR="003B3A56">
        <w:t xml:space="preserve"> </w:t>
      </w:r>
      <w:r>
        <w:t xml:space="preserve">inte har genomförts </w:t>
      </w:r>
      <w:r w:rsidRPr="00E77E9C">
        <w:t xml:space="preserve">inom den </w:t>
      </w:r>
      <w:r w:rsidR="00DF2C53" w:rsidRPr="00E77E9C">
        <w:t>an</w:t>
      </w:r>
      <w:r w:rsidRPr="00E77E9C">
        <w:t>givna tiden</w:t>
      </w:r>
      <w:r>
        <w:t xml:space="preserve"> och </w:t>
      </w:r>
      <w:r w:rsidRPr="00E77E9C">
        <w:t xml:space="preserve">om </w:t>
      </w:r>
      <w:r w:rsidR="004F30A7" w:rsidRPr="00E77E9C">
        <w:t xml:space="preserve">minst ett av </w:t>
      </w:r>
      <w:r w:rsidRPr="00E77E9C">
        <w:t xml:space="preserve">kriterierna som </w:t>
      </w:r>
      <w:r w:rsidR="004F30A7" w:rsidRPr="00E77E9C">
        <w:t>anges</w:t>
      </w:r>
      <w:r w:rsidRPr="00E77E9C">
        <w:t xml:space="preserve"> i 2</w:t>
      </w:r>
      <w:r w:rsidR="004B746A">
        <w:t> §</w:t>
      </w:r>
      <w:r>
        <w:t xml:space="preserve"> uppfylls.</w:t>
      </w:r>
    </w:p>
    <w:p w14:paraId="7228F8DF" w14:textId="28E07F18" w:rsidR="006E5340" w:rsidRDefault="006E5340" w:rsidP="00DE1047">
      <w:pPr>
        <w:pStyle w:val="ANormal"/>
      </w:pPr>
    </w:p>
    <w:p w14:paraId="4F946FDA" w14:textId="2FFBB8F4" w:rsidR="00830518" w:rsidRPr="004B3976" w:rsidRDefault="00C000D9" w:rsidP="00830518">
      <w:pPr>
        <w:pStyle w:val="LagParagraf"/>
      </w:pPr>
      <w:r>
        <w:t>7</w:t>
      </w:r>
      <w:r w:rsidR="004B746A">
        <w:t> §</w:t>
      </w:r>
    </w:p>
    <w:p w14:paraId="0C93EFCA" w14:textId="77777777" w:rsidR="00830518" w:rsidRPr="004B3976" w:rsidRDefault="00830518" w:rsidP="00830518">
      <w:pPr>
        <w:pStyle w:val="LagPararubrik"/>
      </w:pPr>
      <w:r>
        <w:t>Tidsfrister</w:t>
      </w:r>
    </w:p>
    <w:p w14:paraId="56ACF82F" w14:textId="2219FFA7" w:rsidR="00762A96" w:rsidRDefault="00762A96" w:rsidP="00762A96">
      <w:pPr>
        <w:pStyle w:val="ANormal"/>
      </w:pPr>
      <w:r>
        <w:tab/>
        <w:t xml:space="preserve">En utvärderingsgrupp ska tillsättas </w:t>
      </w:r>
      <w:r w:rsidR="0048403F">
        <w:t>senast tre månader efter att landskapsregeringen med stöd av 3</w:t>
      </w:r>
      <w:r w:rsidR="004B746A">
        <w:t> §</w:t>
      </w:r>
      <w:r w:rsidR="0048403F">
        <w:t xml:space="preserve"> 2</w:t>
      </w:r>
      <w:r w:rsidR="004B746A">
        <w:t> mom.</w:t>
      </w:r>
      <w:r w:rsidR="0048403F">
        <w:t xml:space="preserve"> har fattat beslut om inledande av ett utvärderingsförfarande.</w:t>
      </w:r>
    </w:p>
    <w:p w14:paraId="0306E2F6" w14:textId="13B0574A" w:rsidR="00762A96" w:rsidRDefault="00762A96" w:rsidP="00762A96">
      <w:pPr>
        <w:pStyle w:val="ANormal"/>
      </w:pPr>
      <w:r>
        <w:tab/>
        <w:t xml:space="preserve">Utvärderingsgruppen ska överlämna sitt åtgärdsförslag </w:t>
      </w:r>
      <w:r w:rsidR="00BF26C4">
        <w:t>senast sex</w:t>
      </w:r>
      <w:r>
        <w:t xml:space="preserve"> månader </w:t>
      </w:r>
      <w:r w:rsidR="00BF26C4">
        <w:t>efter att gruppen tillsattes</w:t>
      </w:r>
      <w:r>
        <w:t>.</w:t>
      </w:r>
      <w:r w:rsidR="002F499A">
        <w:t xml:space="preserve"> </w:t>
      </w:r>
      <w:r w:rsidR="00932A5B">
        <w:t xml:space="preserve">Om det är nödvändigt för att göra en tillräcklig analys av kommunens ekonomi kan landskapsregeringen </w:t>
      </w:r>
      <w:r w:rsidR="00C15ECF">
        <w:t xml:space="preserve">på begäran </w:t>
      </w:r>
      <w:r w:rsidR="00932A5B">
        <w:t>förlänga gruppens mandat.</w:t>
      </w:r>
    </w:p>
    <w:p w14:paraId="5CB112DF" w14:textId="2E130A86" w:rsidR="00BF26C4" w:rsidRDefault="00BF26C4" w:rsidP="00BF26C4">
      <w:pPr>
        <w:pStyle w:val="ANormal"/>
      </w:pPr>
      <w:r>
        <w:tab/>
        <w:t xml:space="preserve">Fullmäktige ska behandla utvärderingsgruppens rapport och delge landskapsregeringen sitt beslut med anledning av den </w:t>
      </w:r>
      <w:r w:rsidR="0048403F">
        <w:t>senast</w:t>
      </w:r>
      <w:r>
        <w:t xml:space="preserve"> </w:t>
      </w:r>
      <w:r w:rsidR="004B6D33" w:rsidRPr="005049FD">
        <w:t>tre</w:t>
      </w:r>
      <w:r>
        <w:t xml:space="preserve"> månader </w:t>
      </w:r>
      <w:r w:rsidR="0048403F">
        <w:t>efter</w:t>
      </w:r>
      <w:r>
        <w:t xml:space="preserve"> att rapporten delgavs kommunen.</w:t>
      </w:r>
    </w:p>
    <w:p w14:paraId="06BB0429" w14:textId="4C6C17D3" w:rsidR="00BF26C4" w:rsidRPr="00787E26" w:rsidRDefault="00BF26C4" w:rsidP="00BF26C4">
      <w:pPr>
        <w:pStyle w:val="ANormal"/>
      </w:pPr>
      <w:r>
        <w:tab/>
        <w:t xml:space="preserve">Landskapsregeringen ska ta ställning till behovet av en särskild kommunindelningsutredning enligt kommunstrukturlagen senast </w:t>
      </w:r>
      <w:r w:rsidRPr="00856DD2">
        <w:t>ett år</w:t>
      </w:r>
      <w:r>
        <w:t xml:space="preserve"> efter </w:t>
      </w:r>
      <w:r w:rsidRPr="005049FD">
        <w:t xml:space="preserve">att </w:t>
      </w:r>
      <w:r w:rsidR="004B6D33" w:rsidRPr="005049FD">
        <w:t>utvärderingsgruppen tillsattes</w:t>
      </w:r>
      <w:r>
        <w:t>.</w:t>
      </w:r>
      <w:r w:rsidR="00C15ECF">
        <w:t xml:space="preserve"> Om utvärderings</w:t>
      </w:r>
      <w:r w:rsidR="0048403F">
        <w:softHyphen/>
      </w:r>
      <w:r w:rsidR="00C15ECF">
        <w:t xml:space="preserve">gruppens mandat har förlängts ska landskapsregeringen i stället fatta beslut </w:t>
      </w:r>
      <w:r w:rsidR="00260453">
        <w:t>senast</w:t>
      </w:r>
      <w:r w:rsidR="00C15ECF">
        <w:t xml:space="preserve"> två månader </w:t>
      </w:r>
      <w:r w:rsidR="00260453">
        <w:t>efter</w:t>
      </w:r>
      <w:r w:rsidR="00C15ECF">
        <w:t xml:space="preserve"> att fullmäktiges beslut delgavs landskapsregeringen.</w:t>
      </w:r>
    </w:p>
    <w:p w14:paraId="31909971" w14:textId="135B5D98" w:rsidR="00AA7457" w:rsidRDefault="00AA7457" w:rsidP="001737F3">
      <w:pPr>
        <w:pStyle w:val="ANormal"/>
      </w:pPr>
    </w:p>
    <w:p w14:paraId="7CD13A3E" w14:textId="1DDE42D3" w:rsidR="001737F3" w:rsidRPr="004B3976" w:rsidRDefault="00C000D9" w:rsidP="001737F3">
      <w:pPr>
        <w:pStyle w:val="LagParagraf"/>
      </w:pPr>
      <w:r>
        <w:t>8</w:t>
      </w:r>
      <w:r w:rsidR="004B746A">
        <w:t> §</w:t>
      </w:r>
    </w:p>
    <w:p w14:paraId="013BE764" w14:textId="4992302E" w:rsidR="001737F3" w:rsidRDefault="00DF3834" w:rsidP="00392E63">
      <w:pPr>
        <w:pStyle w:val="LagPararubrik"/>
      </w:pPr>
      <w:r>
        <w:t>Ikraftträdande</w:t>
      </w:r>
    </w:p>
    <w:p w14:paraId="4C01E994" w14:textId="587B8404" w:rsidR="001737F3" w:rsidRDefault="00392E63" w:rsidP="00797873">
      <w:pPr>
        <w:pStyle w:val="ANormal"/>
      </w:pPr>
      <w:r>
        <w:tab/>
        <w:t xml:space="preserve">Denna lag träder i kraft </w:t>
      </w:r>
      <w:r w:rsidRPr="00D55409">
        <w:t xml:space="preserve">den </w:t>
      </w:r>
      <w:r w:rsidR="00152638">
        <w:t>1 januari 2026</w:t>
      </w:r>
      <w:r w:rsidRPr="00D55409">
        <w:t>. Ett beslut om inledande av ett utvärderingsförfarande fattas första gången efter att bokslutsluppgifterna för räkenskapsåret 202</w:t>
      </w:r>
      <w:r w:rsidR="00CF6F16" w:rsidRPr="00D55409">
        <w:t>5</w:t>
      </w:r>
      <w:r w:rsidRPr="00D55409">
        <w:t xml:space="preserve"> har publicerats.</w:t>
      </w:r>
    </w:p>
    <w:p w14:paraId="0A8D5642" w14:textId="77777777" w:rsidR="00000056" w:rsidRDefault="00000056" w:rsidP="00797873">
      <w:pPr>
        <w:pStyle w:val="ANormal"/>
      </w:pPr>
    </w:p>
    <w:p w14:paraId="4BEB4C81" w14:textId="77777777" w:rsidR="00000056" w:rsidRDefault="00000056">
      <w:pPr>
        <w:pStyle w:val="ANormal"/>
        <w:jc w:val="center"/>
      </w:pPr>
      <w:hyperlink w:anchor="_top" w:tooltip="Klicka för att gå till toppen av dokumentet" w:history="1">
        <w:r>
          <w:rPr>
            <w:rStyle w:val="Hyperlnk"/>
          </w:rPr>
          <w:t>__________________</w:t>
        </w:r>
      </w:hyperlink>
    </w:p>
    <w:p w14:paraId="006AB2D4" w14:textId="77777777" w:rsidR="001737F3" w:rsidRDefault="001737F3" w:rsidP="001737F3">
      <w:pPr>
        <w:pStyle w:val="ANormal"/>
      </w:pPr>
      <w:bookmarkStart w:id="60" w:name="_Hlk84929150"/>
    </w:p>
    <w:p w14:paraId="185B1D40" w14:textId="77777777" w:rsidR="001737F3" w:rsidRDefault="001737F3" w:rsidP="001737F3">
      <w:pPr>
        <w:pStyle w:val="ANormal"/>
        <w:rPr>
          <w:lang w:val="en-GB"/>
        </w:rPr>
      </w:pPr>
      <w:r>
        <w:rPr>
          <w:lang w:val="en-GB"/>
        </w:rPr>
        <w:t>2.</w:t>
      </w:r>
    </w:p>
    <w:p w14:paraId="7A7DD67F" w14:textId="77777777" w:rsidR="001737F3" w:rsidRPr="00000056" w:rsidRDefault="001737F3" w:rsidP="001737F3">
      <w:pPr>
        <w:pStyle w:val="LagHuvRubr"/>
      </w:pPr>
      <w:bookmarkStart w:id="61" w:name="_Toc72760303"/>
      <w:bookmarkStart w:id="62" w:name="_Toc194570805"/>
      <w:r>
        <w:rPr>
          <w:lang w:val="en-GB"/>
        </w:rPr>
        <w:t>L A N D S K A P S L A G</w:t>
      </w:r>
      <w:r>
        <w:rPr>
          <w:lang w:val="en-GB"/>
        </w:rPr>
        <w:br/>
      </w:r>
      <w:r w:rsidRPr="00000056">
        <w:t>om ändring av kommunstrukturlagen för Åland</w:t>
      </w:r>
      <w:bookmarkEnd w:id="61"/>
      <w:bookmarkEnd w:id="62"/>
    </w:p>
    <w:p w14:paraId="489ABEF5" w14:textId="77777777" w:rsidR="001737F3" w:rsidRDefault="001737F3" w:rsidP="001737F3">
      <w:pPr>
        <w:pStyle w:val="ANormal"/>
        <w:rPr>
          <w:lang w:val="en-GB"/>
        </w:rPr>
      </w:pPr>
    </w:p>
    <w:bookmarkEnd w:id="60"/>
    <w:p w14:paraId="739CA620" w14:textId="7C6C9C30" w:rsidR="001737F3" w:rsidRDefault="001737F3" w:rsidP="001737F3">
      <w:pPr>
        <w:pStyle w:val="ANormal"/>
      </w:pPr>
      <w:r>
        <w:tab/>
        <w:t>I enlighet med lagtingets beslut</w:t>
      </w:r>
      <w:r w:rsidR="00CC7A5C">
        <w:t xml:space="preserve"> </w:t>
      </w:r>
      <w:r w:rsidR="00DF3834" w:rsidRPr="00DF3834">
        <w:rPr>
          <w:b/>
          <w:bCs/>
        </w:rPr>
        <w:t>fogas</w:t>
      </w:r>
      <w:r w:rsidR="00DF3834">
        <w:t xml:space="preserve"> till </w:t>
      </w:r>
      <w:r w:rsidR="009451C3">
        <w:t>15</w:t>
      </w:r>
      <w:r w:rsidR="004B746A">
        <w:t> §</w:t>
      </w:r>
      <w:r w:rsidR="009451C3">
        <w:t xml:space="preserve"> </w:t>
      </w:r>
      <w:r w:rsidR="00AE6F3A">
        <w:t xml:space="preserve">kommunstrukturlagen (2019:29) för Åland </w:t>
      </w:r>
      <w:r w:rsidR="009451C3">
        <w:t xml:space="preserve">ett nytt </w:t>
      </w:r>
      <w:r w:rsidR="00C62148">
        <w:t>3</w:t>
      </w:r>
      <w:r w:rsidR="004B746A">
        <w:t> mom.</w:t>
      </w:r>
      <w:r w:rsidR="009451C3">
        <w:t xml:space="preserve"> varvid det nuvarande </w:t>
      </w:r>
      <w:r w:rsidR="00C62148">
        <w:t>3</w:t>
      </w:r>
      <w:r w:rsidR="004B746A">
        <w:t> mom.</w:t>
      </w:r>
      <w:r w:rsidR="009451C3">
        <w:t xml:space="preserve"> blir </w:t>
      </w:r>
      <w:r w:rsidR="00C62148">
        <w:t>4</w:t>
      </w:r>
      <w:r w:rsidR="004B746A">
        <w:t> mom.</w:t>
      </w:r>
      <w:r w:rsidR="009451C3">
        <w:t>, till lagen en ny 16a</w:t>
      </w:r>
      <w:r w:rsidR="004B746A">
        <w:t> §</w:t>
      </w:r>
      <w:r w:rsidR="00A121C0">
        <w:t>,</w:t>
      </w:r>
      <w:r w:rsidR="009451C3">
        <w:t xml:space="preserve"> till lagens 18</w:t>
      </w:r>
      <w:r w:rsidR="004B746A">
        <w:t> §</w:t>
      </w:r>
      <w:r w:rsidR="009451C3">
        <w:t xml:space="preserve"> ett nytt 2</w:t>
      </w:r>
      <w:r w:rsidR="004B746A">
        <w:t> mom.</w:t>
      </w:r>
      <w:r w:rsidR="009451C3">
        <w:t xml:space="preserve"> </w:t>
      </w:r>
      <w:r w:rsidR="00A121C0">
        <w:t>samt till lagen nya 46a</w:t>
      </w:r>
      <w:r w:rsidR="000B764F">
        <w:t>–</w:t>
      </w:r>
      <w:r w:rsidR="00A121C0">
        <w:t>46</w:t>
      </w:r>
      <w:r w:rsidR="000B764F">
        <w:t>c</w:t>
      </w:r>
      <w:r w:rsidR="004B746A">
        <w:t> §</w:t>
      </w:r>
      <w:r w:rsidR="00A121C0">
        <w:t xml:space="preserve">§ </w:t>
      </w:r>
      <w:r w:rsidR="00CC7A5C">
        <w:t>som följer</w:t>
      </w:r>
      <w:r>
        <w:t>:</w:t>
      </w:r>
    </w:p>
    <w:p w14:paraId="5B9E13C2" w14:textId="77777777" w:rsidR="001737F3" w:rsidRDefault="001737F3" w:rsidP="001737F3">
      <w:pPr>
        <w:pStyle w:val="ANormal"/>
      </w:pPr>
    </w:p>
    <w:p w14:paraId="5A68D650" w14:textId="7125FBA9" w:rsidR="001737F3" w:rsidRPr="004B3976" w:rsidRDefault="00EC274F" w:rsidP="001737F3">
      <w:pPr>
        <w:pStyle w:val="LagParagraf"/>
      </w:pPr>
      <w:r>
        <w:t>15</w:t>
      </w:r>
      <w:r w:rsidR="004B746A">
        <w:t> §</w:t>
      </w:r>
    </w:p>
    <w:p w14:paraId="02F296EE" w14:textId="4BCD947A" w:rsidR="001737F3" w:rsidRDefault="00EC274F" w:rsidP="001737F3">
      <w:pPr>
        <w:pStyle w:val="LagPararubrik"/>
      </w:pPr>
      <w:r>
        <w:t>Beslut om en särskild kommunindelningsutredning</w:t>
      </w:r>
    </w:p>
    <w:p w14:paraId="2EECD456" w14:textId="77777777" w:rsidR="00651F19" w:rsidRDefault="00651F19">
      <w:pPr>
        <w:pStyle w:val="ANormal"/>
      </w:pPr>
      <w:r>
        <w:t>- - - - - - - - - - - - - - - - - - - - - - - - - - - - - - - - - - - - - - - - - - - - - - - - - - - -</w:t>
      </w:r>
    </w:p>
    <w:p w14:paraId="4D3DAD25" w14:textId="36513E67" w:rsidR="00654C3B" w:rsidRDefault="00654C3B" w:rsidP="00EC274F">
      <w:pPr>
        <w:pStyle w:val="ANormal"/>
      </w:pPr>
      <w:r>
        <w:tab/>
        <w:t xml:space="preserve">En särskild kommunindelningsutredning för en kommun med synnerligen ansträngd ekonomi som omfattas av ett utvärderingsförfarande enligt landskapslagen (…:…) om </w:t>
      </w:r>
      <w:r w:rsidR="0052731E">
        <w:t>ett utvärderingsförfarande för</w:t>
      </w:r>
      <w:r>
        <w:t xml:space="preserve"> kommuner med synnerligen ansträngd ekonomi kan även inledas på förslag av den utvärderingsgrupp som avses i den lagen.</w:t>
      </w:r>
    </w:p>
    <w:p w14:paraId="4E9AC188" w14:textId="77777777" w:rsidR="00651F19" w:rsidRDefault="00651F19">
      <w:pPr>
        <w:pStyle w:val="ANormal"/>
      </w:pPr>
      <w:r>
        <w:t>- - - - - - - - - - - - - - - - - - - - - - - - - - - - - - - - - - - - - - - - - - - - - - - - - - - -</w:t>
      </w:r>
    </w:p>
    <w:p w14:paraId="3BC73A01" w14:textId="77777777" w:rsidR="00651F19" w:rsidRDefault="00651F19" w:rsidP="00000056">
      <w:pPr>
        <w:pStyle w:val="ANormal"/>
      </w:pPr>
      <w:bookmarkStart w:id="63" w:name="_Hlk84929117"/>
    </w:p>
    <w:p w14:paraId="66612C9A" w14:textId="4D3B4812" w:rsidR="00EC274F" w:rsidRDefault="00EC274F" w:rsidP="00EC274F">
      <w:pPr>
        <w:pStyle w:val="LagParagraf"/>
      </w:pPr>
      <w:r>
        <w:t>16a</w:t>
      </w:r>
      <w:r w:rsidR="004B746A">
        <w:t> §</w:t>
      </w:r>
    </w:p>
    <w:p w14:paraId="2B548404" w14:textId="084581F2" w:rsidR="00EC274F" w:rsidRPr="00EC274F" w:rsidRDefault="00EC274F" w:rsidP="00EC274F">
      <w:pPr>
        <w:pStyle w:val="LagPararubrik"/>
      </w:pPr>
      <w:r>
        <w:t xml:space="preserve">Utredning </w:t>
      </w:r>
      <w:r w:rsidR="00DD0FB9">
        <w:t>för</w:t>
      </w:r>
      <w:r>
        <w:t xml:space="preserve"> en kommun med synnerligen ansträngd ekonomi</w:t>
      </w:r>
    </w:p>
    <w:p w14:paraId="50B02897" w14:textId="35BB91A2" w:rsidR="001737F3" w:rsidRDefault="00DF3834" w:rsidP="001737F3">
      <w:pPr>
        <w:pStyle w:val="ANormal"/>
      </w:pPr>
      <w:r>
        <w:tab/>
      </w:r>
      <w:r w:rsidR="001737F3">
        <w:t xml:space="preserve">Vid en särskild kommunindelningsutredning </w:t>
      </w:r>
      <w:r w:rsidR="009F32BE">
        <w:t>som gäller</w:t>
      </w:r>
      <w:r w:rsidR="001737F3">
        <w:t xml:space="preserve"> en kommun </w:t>
      </w:r>
      <w:r w:rsidR="00DD1D8A">
        <w:t>med synnerligen ansträngd ekonomi</w:t>
      </w:r>
      <w:r w:rsidR="001737F3">
        <w:t xml:space="preserve"> ska kommunindelningsutredaren för fullmäktige i de kommuner som deltar lägga fram förslag till </w:t>
      </w:r>
      <w:r w:rsidR="00DD0FB9">
        <w:t>ändrad kommunindelning</w:t>
      </w:r>
      <w:r w:rsidR="001737F3">
        <w:t xml:space="preserve"> samt till ett </w:t>
      </w:r>
      <w:r>
        <w:t>samgångs</w:t>
      </w:r>
      <w:r w:rsidR="001737F3">
        <w:t>avtal.</w:t>
      </w:r>
    </w:p>
    <w:p w14:paraId="7A8B3D81" w14:textId="125CF1B7" w:rsidR="001737F3" w:rsidRDefault="00DD1D8A" w:rsidP="001737F3">
      <w:pPr>
        <w:pStyle w:val="ANormal"/>
      </w:pPr>
      <w:r>
        <w:tab/>
      </w:r>
      <w:r w:rsidR="001737F3">
        <w:t>Kommunindelningsutredarens förslag kan gälla</w:t>
      </w:r>
    </w:p>
    <w:p w14:paraId="4A6BD10A" w14:textId="137CF0CF" w:rsidR="001737F3" w:rsidRDefault="00DD1D8A" w:rsidP="001737F3">
      <w:pPr>
        <w:pStyle w:val="ANormal"/>
      </w:pPr>
      <w:r>
        <w:tab/>
      </w:r>
      <w:r w:rsidR="001737F3">
        <w:t xml:space="preserve">1) </w:t>
      </w:r>
      <w:r w:rsidR="00E6226F">
        <w:t>att</w:t>
      </w:r>
      <w:r w:rsidR="001737F3">
        <w:t xml:space="preserve"> kommun</w:t>
      </w:r>
      <w:r>
        <w:t>en</w:t>
      </w:r>
      <w:r w:rsidR="001737F3">
        <w:t xml:space="preserve"> </w:t>
      </w:r>
      <w:r>
        <w:t>med synnerligen ansträngd ekonomi</w:t>
      </w:r>
      <w:r w:rsidR="001737F3">
        <w:t xml:space="preserve"> </w:t>
      </w:r>
      <w:r w:rsidR="00E6226F">
        <w:t>går samman med</w:t>
      </w:r>
      <w:r w:rsidR="001737F3">
        <w:t xml:space="preserve"> en befintlig kommun,</w:t>
      </w:r>
    </w:p>
    <w:p w14:paraId="0A4B216E" w14:textId="465AD5D5" w:rsidR="001737F3" w:rsidRDefault="00DD1D8A" w:rsidP="001737F3">
      <w:pPr>
        <w:pStyle w:val="ANormal"/>
      </w:pPr>
      <w:bookmarkStart w:id="64" w:name="_Hlk90639668"/>
      <w:r>
        <w:tab/>
      </w:r>
      <w:r w:rsidR="001737F3">
        <w:t xml:space="preserve">2) </w:t>
      </w:r>
      <w:r w:rsidR="00E6226F">
        <w:t>att</w:t>
      </w:r>
      <w:r w:rsidR="001737F3">
        <w:t xml:space="preserve"> området för kommun</w:t>
      </w:r>
      <w:r>
        <w:t>en</w:t>
      </w:r>
      <w:r w:rsidR="001737F3">
        <w:t xml:space="preserve"> </w:t>
      </w:r>
      <w:r>
        <w:t>med synnerligen ansträngd ekonomi</w:t>
      </w:r>
      <w:r w:rsidR="00E6226F">
        <w:t xml:space="preserve"> delas</w:t>
      </w:r>
      <w:r w:rsidR="001737F3">
        <w:t xml:space="preserve"> mellan två eller flera kommuner,</w:t>
      </w:r>
    </w:p>
    <w:p w14:paraId="766D2673" w14:textId="55EB022A" w:rsidR="001737F3" w:rsidRDefault="00DD1D8A" w:rsidP="001737F3">
      <w:pPr>
        <w:pStyle w:val="ANormal"/>
      </w:pPr>
      <w:r>
        <w:tab/>
      </w:r>
      <w:r w:rsidR="001737F3">
        <w:t xml:space="preserve">3) </w:t>
      </w:r>
      <w:r w:rsidR="00E6226F">
        <w:t>att</w:t>
      </w:r>
      <w:r w:rsidR="001737F3">
        <w:t xml:space="preserve"> fler än två kommuner</w:t>
      </w:r>
      <w:r w:rsidR="00E6226F">
        <w:t xml:space="preserve"> går samman</w:t>
      </w:r>
      <w:r w:rsidR="00627530" w:rsidRPr="00627530">
        <w:t xml:space="preserve"> </w:t>
      </w:r>
      <w:r w:rsidR="00627530">
        <w:t>eller</w:t>
      </w:r>
    </w:p>
    <w:p w14:paraId="5B6902AC" w14:textId="05397206" w:rsidR="001737F3" w:rsidRDefault="00627530" w:rsidP="00627530">
      <w:pPr>
        <w:pStyle w:val="ANormal"/>
      </w:pPr>
      <w:r>
        <w:tab/>
        <w:t xml:space="preserve">4) </w:t>
      </w:r>
      <w:r w:rsidR="001737F3">
        <w:t xml:space="preserve">överföring av en del av kommunen </w:t>
      </w:r>
      <w:r w:rsidR="00504D83">
        <w:t xml:space="preserve">med synnerligen ansträngd ekonomi </w:t>
      </w:r>
      <w:r w:rsidR="001737F3">
        <w:t>till en annan kommun.</w:t>
      </w:r>
    </w:p>
    <w:bookmarkEnd w:id="64"/>
    <w:p w14:paraId="00323848" w14:textId="5EC9A55F" w:rsidR="001737F3" w:rsidRDefault="00DD1D8A" w:rsidP="001737F3">
      <w:pPr>
        <w:pStyle w:val="ANormal"/>
      </w:pPr>
      <w:r>
        <w:tab/>
      </w:r>
      <w:r w:rsidR="001737F3">
        <w:t xml:space="preserve">Om fullmäktige i </w:t>
      </w:r>
      <w:r w:rsidR="009F32BE">
        <w:t>samtliga</w:t>
      </w:r>
      <w:r w:rsidR="001737F3">
        <w:t xml:space="preserve"> kommuner som berörs av ändring</w:t>
      </w:r>
      <w:r w:rsidR="009F32BE">
        <w:t xml:space="preserve">en </w:t>
      </w:r>
      <w:r w:rsidR="001737F3">
        <w:t xml:space="preserve">godkänner utredarens förslag, </w:t>
      </w:r>
      <w:r w:rsidR="009F32BE">
        <w:t>ska</w:t>
      </w:r>
      <w:r w:rsidR="001737F3">
        <w:t xml:space="preserve"> kommunerna</w:t>
      </w:r>
      <w:r w:rsidR="009F32BE">
        <w:t xml:space="preserve"> göra</w:t>
      </w:r>
      <w:r w:rsidR="001737F3">
        <w:t xml:space="preserve"> en gemensam framställning till </w:t>
      </w:r>
      <w:r>
        <w:t>landskapsregeringen</w:t>
      </w:r>
      <w:r w:rsidR="001737F3">
        <w:t xml:space="preserve"> om en ändring i kommunindelningen i enlighet med </w:t>
      </w:r>
      <w:r w:rsidR="00312B6A">
        <w:t xml:space="preserve">utredarens </w:t>
      </w:r>
      <w:r w:rsidR="001737F3">
        <w:t xml:space="preserve">förslag. I annat fall </w:t>
      </w:r>
      <w:r w:rsidR="009F32BE">
        <w:t xml:space="preserve">ska </w:t>
      </w:r>
      <w:r w:rsidR="001737F3">
        <w:t xml:space="preserve">utredaren </w:t>
      </w:r>
      <w:r w:rsidR="00312B6A">
        <w:t>lämna sin framställning om ändring i kommunindelningen</w:t>
      </w:r>
      <w:r w:rsidR="001737F3">
        <w:t xml:space="preserve"> till </w:t>
      </w:r>
      <w:r>
        <w:t>landskapsregeringen</w:t>
      </w:r>
      <w:r w:rsidR="001737F3">
        <w:t>.</w:t>
      </w:r>
    </w:p>
    <w:p w14:paraId="729F9269" w14:textId="77777777" w:rsidR="001737F3" w:rsidRDefault="001737F3" w:rsidP="001737F3">
      <w:pPr>
        <w:pStyle w:val="ANormal"/>
      </w:pPr>
    </w:p>
    <w:bookmarkEnd w:id="63"/>
    <w:p w14:paraId="6EC0B170" w14:textId="795D8E0C" w:rsidR="001737F3" w:rsidRPr="004B3976" w:rsidRDefault="00EC274F" w:rsidP="001737F3">
      <w:pPr>
        <w:pStyle w:val="LagParagraf"/>
      </w:pPr>
      <w:r>
        <w:t>18</w:t>
      </w:r>
      <w:r w:rsidR="004B746A">
        <w:t> §</w:t>
      </w:r>
    </w:p>
    <w:p w14:paraId="71641A15" w14:textId="2E9CC8E6" w:rsidR="001737F3" w:rsidRDefault="00EC274F" w:rsidP="001737F3">
      <w:pPr>
        <w:pStyle w:val="LagPararubrik"/>
      </w:pPr>
      <w:r>
        <w:t>Förutsättningar för beslutsfattande när kommuner går samman</w:t>
      </w:r>
    </w:p>
    <w:p w14:paraId="1CE4838E" w14:textId="77777777" w:rsidR="00E60BDC" w:rsidRDefault="00E60BDC">
      <w:pPr>
        <w:pStyle w:val="ANormal"/>
      </w:pPr>
      <w:r>
        <w:t>- - - - - - - - - - - - - - - - - - - - - - - - - - - - - - - - - - - - - - - - - - - - - - - - - - - -</w:t>
      </w:r>
    </w:p>
    <w:p w14:paraId="28499656" w14:textId="47777BA1" w:rsidR="001737F3" w:rsidRDefault="001737F3" w:rsidP="001737F3">
      <w:pPr>
        <w:pStyle w:val="ANormal"/>
      </w:pPr>
      <w:r w:rsidRPr="00470D36">
        <w:rPr>
          <w:color w:val="7F7F7F"/>
        </w:rPr>
        <w:tab/>
      </w:r>
      <w:r w:rsidR="00D81C8A">
        <w:t>Landskapsregeringen</w:t>
      </w:r>
      <w:r w:rsidR="00EC274F">
        <w:t xml:space="preserve"> kan på den framställning av kommunindelningsutredaren som avses i 16 a</w:t>
      </w:r>
      <w:r w:rsidR="004B746A">
        <w:t> §</w:t>
      </w:r>
      <w:r w:rsidR="00EC274F">
        <w:t xml:space="preserve"> besluta om en ändring i kommunindelningen för en kommun </w:t>
      </w:r>
      <w:r w:rsidR="00D81C8A">
        <w:t>med synnerligen ansträngd ekonomi</w:t>
      </w:r>
      <w:r w:rsidR="00EC274F">
        <w:t xml:space="preserve"> trots motstånd från fullmäktige i den eller de kommuner som berörs av ändringen, om ändringen är nödvändig för att trygga den lagstadgade servicen för invånarna i den kommun som </w:t>
      </w:r>
      <w:r w:rsidR="00D81C8A">
        <w:t>har en synnerligen ansträngd ekonomi</w:t>
      </w:r>
      <w:r w:rsidR="00EC274F">
        <w:t xml:space="preserve"> och förutsättningarna för en ändring i kommunindelningen enligt 4</w:t>
      </w:r>
      <w:r w:rsidR="004B746A">
        <w:t> §</w:t>
      </w:r>
      <w:r w:rsidR="00EC274F">
        <w:t xml:space="preserve"> uppfylls.</w:t>
      </w:r>
    </w:p>
    <w:p w14:paraId="5C2A2A69" w14:textId="77777777" w:rsidR="00CE6257" w:rsidRDefault="00CE6257" w:rsidP="00CE6257">
      <w:pPr>
        <w:pStyle w:val="ANormal"/>
      </w:pPr>
    </w:p>
    <w:p w14:paraId="58A9E864" w14:textId="0EACD163" w:rsidR="00CE6257" w:rsidRPr="00CE6257" w:rsidRDefault="00CE6257" w:rsidP="00797873">
      <w:pPr>
        <w:pStyle w:val="LagParagraf"/>
      </w:pPr>
      <w:r w:rsidRPr="00CE6257">
        <w:t>46a</w:t>
      </w:r>
      <w:r w:rsidR="004B746A">
        <w:t> §</w:t>
      </w:r>
    </w:p>
    <w:p w14:paraId="094533E6" w14:textId="77777777" w:rsidR="00CE6257" w:rsidRPr="00CE6257" w:rsidRDefault="00CE6257" w:rsidP="00797873">
      <w:pPr>
        <w:pStyle w:val="LagPararubrik"/>
      </w:pPr>
      <w:r w:rsidRPr="00CE6257">
        <w:t>Förenhetligande av kommunindelningen och den kamerala indelningen vid fastighetsförrättning</w:t>
      </w:r>
    </w:p>
    <w:p w14:paraId="3EE4C3CA" w14:textId="77777777" w:rsidR="00CE6257" w:rsidRPr="00CE6257" w:rsidRDefault="00CE6257" w:rsidP="00797873">
      <w:pPr>
        <w:pStyle w:val="ANormal"/>
      </w:pPr>
      <w:r w:rsidRPr="00CE6257">
        <w:tab/>
        <w:t>Kommer kommunindelningen och den kamerala indelningen att avvika från varandra till följd av en fastighetsförrättning, beslutar förrättningsmännen att den administrativa kommunindelningen och den kamerala indelningen ska förenhetligas.</w:t>
      </w:r>
    </w:p>
    <w:p w14:paraId="6937EFED" w14:textId="77777777" w:rsidR="00CE6257" w:rsidRPr="00CE6257" w:rsidRDefault="00CE6257" w:rsidP="00797873">
      <w:pPr>
        <w:pStyle w:val="ANormal"/>
      </w:pPr>
      <w:r w:rsidRPr="00CE6257">
        <w:tab/>
        <w:t>Den administrativa kommungränsen kan ändras vid en fastighetsförrättning, om</w:t>
      </w:r>
    </w:p>
    <w:p w14:paraId="21FC453F" w14:textId="77777777" w:rsidR="00CE6257" w:rsidRPr="00CE6257" w:rsidRDefault="00CE6257" w:rsidP="00797873">
      <w:pPr>
        <w:pStyle w:val="ANormal"/>
      </w:pPr>
      <w:r w:rsidRPr="00CE6257">
        <w:tab/>
        <w:t>1) arealen av de områden som överförs från en kommun till en annan kommun eller flera andra kommuner vid samma lantmäteriförrättning är högst 50 hektar, och</w:t>
      </w:r>
    </w:p>
    <w:p w14:paraId="65F935CF" w14:textId="77777777" w:rsidR="00CE6257" w:rsidRPr="00CE6257" w:rsidRDefault="00CE6257" w:rsidP="00797873">
      <w:pPr>
        <w:pStyle w:val="ANormal"/>
      </w:pPr>
      <w:r w:rsidRPr="00CE6257">
        <w:tab/>
        <w:t>2) på det område som överförs finns inga andra byggnader som förutsätter bygglov än enstaka semesterbostäder utanför detaljplaneområde eller ekonomibyggnader som behövs för bedrivande av jord- och skogsbruk.</w:t>
      </w:r>
    </w:p>
    <w:p w14:paraId="249241AF" w14:textId="77777777" w:rsidR="00CE6257" w:rsidRPr="00CE6257" w:rsidRDefault="00CE6257" w:rsidP="00797873">
      <w:pPr>
        <w:pStyle w:val="ANormal"/>
      </w:pPr>
      <w:r w:rsidRPr="00CE6257">
        <w:tab/>
        <w:t>Kommunen är sakägare vid en fastighetsförrättning där den administrativa kommungränsen ändras.</w:t>
      </w:r>
    </w:p>
    <w:p w14:paraId="19EE973D" w14:textId="77777777" w:rsidR="00CE6257" w:rsidRPr="00CE6257" w:rsidRDefault="00CE6257" w:rsidP="00797873">
      <w:pPr>
        <w:pStyle w:val="ANormal"/>
      </w:pPr>
      <w:r w:rsidRPr="00CE6257">
        <w:tab/>
        <w:t>Ändring i förrättningsmännens beslut som gäller ändring av kommungränsen får sökas av ägaren till ett område som ingår i registerenheten och av en kommun som berörs av ändringen av den administrativa kommungränsen. Ändring söks hos jorddomstolen. Vid sökande av ändring iakttas vad som föreskrivs i fastighetsbildningslagen (FFS 554/1995).</w:t>
      </w:r>
    </w:p>
    <w:p w14:paraId="712CCFA1" w14:textId="77777777" w:rsidR="00CE6257" w:rsidRPr="00CE6257" w:rsidRDefault="00CE6257" w:rsidP="00797873">
      <w:pPr>
        <w:pStyle w:val="ANormal"/>
      </w:pPr>
    </w:p>
    <w:p w14:paraId="5F2656D6" w14:textId="14D385D7" w:rsidR="00CE6257" w:rsidRPr="00CE6257" w:rsidRDefault="00CE6257" w:rsidP="00797873">
      <w:pPr>
        <w:pStyle w:val="LagParagraf"/>
      </w:pPr>
      <w:r w:rsidRPr="00CE6257">
        <w:lastRenderedPageBreak/>
        <w:t>46b</w:t>
      </w:r>
      <w:r w:rsidR="004B746A">
        <w:t> §</w:t>
      </w:r>
    </w:p>
    <w:p w14:paraId="5CDE399D" w14:textId="77777777" w:rsidR="00CE6257" w:rsidRPr="00CE6257" w:rsidRDefault="00CE6257" w:rsidP="00797873">
      <w:pPr>
        <w:pStyle w:val="LagPararubrik"/>
      </w:pPr>
      <w:r w:rsidRPr="00CE6257">
        <w:t>Förenhetligande av kommunindelningen och den kamerala indelningen i övriga fall</w:t>
      </w:r>
    </w:p>
    <w:p w14:paraId="54552F20" w14:textId="77777777" w:rsidR="00CE6257" w:rsidRPr="00CE6257" w:rsidRDefault="00CE6257" w:rsidP="00797873">
      <w:pPr>
        <w:pStyle w:val="ANormal"/>
      </w:pPr>
      <w:r w:rsidRPr="00CE6257">
        <w:tab/>
        <w:t>Har kommunindelningen och den kamerala indelningen till följd av en fastighetsförrättning eller annars till följd av något annat skäl än ett beslut om ändring i kommunindelningen eller gränsens sträckning kommit att avvika från varandra, får fastighetsregisterföraren</w:t>
      </w:r>
    </w:p>
    <w:p w14:paraId="62FDB876" w14:textId="77777777" w:rsidR="00CE6257" w:rsidRPr="00CE6257" w:rsidRDefault="00CE6257" w:rsidP="00797873">
      <w:pPr>
        <w:pStyle w:val="ANormal"/>
      </w:pPr>
      <w:r w:rsidRPr="00CE6257">
        <w:tab/>
        <w:t>1) besluta att den kamerala indelningen ändras i överensstämmelse med kommunindelningen,</w:t>
      </w:r>
    </w:p>
    <w:p w14:paraId="3A9A7EE7" w14:textId="5DB8A79A" w:rsidR="00CE6257" w:rsidRPr="00CE6257" w:rsidRDefault="00CE6257" w:rsidP="00797873">
      <w:pPr>
        <w:pStyle w:val="ANormal"/>
      </w:pPr>
      <w:r w:rsidRPr="00CE6257">
        <w:tab/>
        <w:t>2) besluta att kommungränsen ändras i överensstämmelse med den kamerala indelningen, om det inte är ändamålsenligt att ändra den kamerala indelningen och förutsättningarna enligt 46a</w:t>
      </w:r>
      <w:r w:rsidR="004B746A">
        <w:t> §</w:t>
      </w:r>
      <w:r w:rsidRPr="00CE6257">
        <w:t xml:space="preserve"> 2</w:t>
      </w:r>
      <w:r w:rsidR="004B746A">
        <w:t> mom.</w:t>
      </w:r>
      <w:r w:rsidRPr="00CE6257">
        <w:t xml:space="preserve"> 1 och 2</w:t>
      </w:r>
      <w:r w:rsidR="004B746A">
        <w:t> punkt</w:t>
      </w:r>
      <w:r w:rsidRPr="00CE6257">
        <w:t>en föreligger, eller</w:t>
      </w:r>
    </w:p>
    <w:p w14:paraId="54033D4E" w14:textId="5191C753" w:rsidR="00CE6257" w:rsidRPr="00CE6257" w:rsidRDefault="00CE6257" w:rsidP="00797873">
      <w:pPr>
        <w:pStyle w:val="ANormal"/>
      </w:pPr>
      <w:r w:rsidRPr="00CE6257">
        <w:tab/>
        <w:t>3) göra framställning till ministeriet om ändring i kommunindelningen, om det inte är ändamålsenligt att ändra den kamerala indelningen och förutsättningarna enligt 46a</w:t>
      </w:r>
      <w:r w:rsidR="004B746A">
        <w:t> §</w:t>
      </w:r>
      <w:r w:rsidRPr="00CE6257">
        <w:t xml:space="preserve"> 2</w:t>
      </w:r>
      <w:r w:rsidR="004B746A">
        <w:t> mom.</w:t>
      </w:r>
      <w:r w:rsidRPr="00CE6257">
        <w:t xml:space="preserve"> 1 och 2</w:t>
      </w:r>
      <w:r w:rsidR="004B746A">
        <w:t> punkt</w:t>
      </w:r>
      <w:r w:rsidRPr="00CE6257">
        <w:t>en inte föreligger.</w:t>
      </w:r>
    </w:p>
    <w:p w14:paraId="1B53CDED" w14:textId="77777777" w:rsidR="00CE6257" w:rsidRPr="00CE6257" w:rsidRDefault="00CE6257" w:rsidP="00797873">
      <w:pPr>
        <w:pStyle w:val="ANormal"/>
      </w:pPr>
      <w:r w:rsidRPr="00CE6257">
        <w:tab/>
        <w:t>Ändring i fastighetsregisterförarens beslut får sökas av ägaren till ett område som ingår i registerenheten och av en kommun som berörs av ändringen av den administrativa kommungränsen. Ändring söks hos jorddomstolen. Vid sökande av ändring iakttas vad som föreskrivs i fastighetsbildningslagen.</w:t>
      </w:r>
    </w:p>
    <w:p w14:paraId="790FC8D9" w14:textId="77777777" w:rsidR="00CE6257" w:rsidRPr="00CE6257" w:rsidRDefault="00CE6257" w:rsidP="00797873">
      <w:pPr>
        <w:pStyle w:val="ANormal"/>
      </w:pPr>
    </w:p>
    <w:p w14:paraId="6D991F2C" w14:textId="77C87CC6" w:rsidR="00CE6257" w:rsidRPr="00CE6257" w:rsidRDefault="00CE6257" w:rsidP="00797873">
      <w:pPr>
        <w:pStyle w:val="LagParagraf"/>
      </w:pPr>
      <w:r w:rsidRPr="00CE6257">
        <w:t>46c</w:t>
      </w:r>
      <w:r w:rsidR="004B746A">
        <w:t> §</w:t>
      </w:r>
    </w:p>
    <w:p w14:paraId="264DBC05" w14:textId="77777777" w:rsidR="00CE6257" w:rsidRPr="00CE6257" w:rsidRDefault="00CE6257" w:rsidP="00797873">
      <w:pPr>
        <w:pStyle w:val="LagPararubrik"/>
      </w:pPr>
      <w:r w:rsidRPr="00CE6257">
        <w:t>Bildande av en egen fastighet av ett område som överförs</w:t>
      </w:r>
    </w:p>
    <w:p w14:paraId="7870511F" w14:textId="4F38AD1F" w:rsidR="00A121C0" w:rsidRDefault="00CE6257" w:rsidP="00797873">
      <w:pPr>
        <w:pStyle w:val="ANormal"/>
      </w:pPr>
      <w:r w:rsidRPr="00CE6257">
        <w:tab/>
        <w:t>Om en del av en fastighet ska överföras kameralt från en kommun till en annan, ombildas den genom styckning till en fastighet i den mottagande kommunen (kameral styckning). Ska en del av en annan registerenhet överföras kameralt från en kommun till en annan, ombildas den till en ny registerenhet.</w:t>
      </w:r>
    </w:p>
    <w:p w14:paraId="25CA21E0" w14:textId="77777777" w:rsidR="00000056" w:rsidRDefault="00000056">
      <w:pPr>
        <w:pStyle w:val="ANormal"/>
        <w:jc w:val="center"/>
      </w:pPr>
      <w:hyperlink w:anchor="_top" w:tooltip="Klicka för att gå till toppen av dokumentet" w:history="1">
        <w:r>
          <w:rPr>
            <w:rStyle w:val="Hyperlnk"/>
          </w:rPr>
          <w:t>__________________</w:t>
        </w:r>
      </w:hyperlink>
    </w:p>
    <w:p w14:paraId="2BD3BF3C" w14:textId="77777777" w:rsidR="00826CC6" w:rsidRPr="00000056" w:rsidRDefault="00826CC6" w:rsidP="00000056">
      <w:pPr>
        <w:pStyle w:val="ANormal"/>
      </w:pPr>
    </w:p>
    <w:p w14:paraId="1244BA05" w14:textId="51441007" w:rsidR="00852AB4" w:rsidRDefault="009850AC" w:rsidP="00797873">
      <w:pPr>
        <w:pStyle w:val="ANormal"/>
      </w:pPr>
      <w:r>
        <w:tab/>
        <w:t xml:space="preserve">Denna lag träder i kraft den </w:t>
      </w:r>
      <w:r w:rsidR="00152638">
        <w:t>1 januari 2026.</w:t>
      </w:r>
    </w:p>
    <w:p w14:paraId="72C649D3" w14:textId="5DC9936A" w:rsidR="00AF3004" w:rsidRDefault="00AF3004">
      <w:pPr>
        <w:pStyle w:val="ANormal"/>
      </w:pPr>
    </w:p>
    <w:p w14:paraId="19292A3E" w14:textId="77777777" w:rsidR="00852AB4" w:rsidRDefault="00852AB4">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AF3004" w14:paraId="0E802785" w14:textId="77777777">
        <w:trPr>
          <w:cantSplit/>
        </w:trPr>
        <w:tc>
          <w:tcPr>
            <w:tcW w:w="7931" w:type="dxa"/>
            <w:gridSpan w:val="2"/>
          </w:tcPr>
          <w:p w14:paraId="3C0B09B5" w14:textId="13E0AFE1" w:rsidR="00AF3004" w:rsidRDefault="00AF3004">
            <w:pPr>
              <w:pStyle w:val="ANormal"/>
              <w:keepNext/>
            </w:pPr>
            <w:r>
              <w:t xml:space="preserve">Mariehamn </w:t>
            </w:r>
            <w:r w:rsidR="00000056">
              <w:t>den 3 april 2025</w:t>
            </w:r>
          </w:p>
        </w:tc>
      </w:tr>
      <w:tr w:rsidR="00AF3004" w14:paraId="72EFEB4C" w14:textId="77777777">
        <w:tc>
          <w:tcPr>
            <w:tcW w:w="4454" w:type="dxa"/>
            <w:vAlign w:val="bottom"/>
          </w:tcPr>
          <w:p w14:paraId="6578C6B9" w14:textId="77777777" w:rsidR="00AF3004" w:rsidRDefault="00AF3004">
            <w:pPr>
              <w:pStyle w:val="ANormal"/>
              <w:keepNext/>
            </w:pPr>
          </w:p>
          <w:p w14:paraId="656C83E4" w14:textId="77777777" w:rsidR="00AF3004" w:rsidRDefault="00AF3004">
            <w:pPr>
              <w:pStyle w:val="ANormal"/>
              <w:keepNext/>
            </w:pPr>
          </w:p>
          <w:p w14:paraId="0F0CB61F" w14:textId="77777777" w:rsidR="00AF3004" w:rsidRDefault="00AF3004">
            <w:pPr>
              <w:pStyle w:val="ANormal"/>
              <w:keepNext/>
            </w:pPr>
            <w:r>
              <w:t>L a n t r å d</w:t>
            </w:r>
          </w:p>
        </w:tc>
        <w:tc>
          <w:tcPr>
            <w:tcW w:w="3477" w:type="dxa"/>
            <w:vAlign w:val="bottom"/>
          </w:tcPr>
          <w:p w14:paraId="75B37323" w14:textId="77777777" w:rsidR="00AF3004" w:rsidRDefault="00AF3004">
            <w:pPr>
              <w:pStyle w:val="ANormal"/>
              <w:keepNext/>
            </w:pPr>
          </w:p>
          <w:p w14:paraId="0055088B" w14:textId="77777777" w:rsidR="00AF3004" w:rsidRDefault="00AF3004">
            <w:pPr>
              <w:pStyle w:val="ANormal"/>
              <w:keepNext/>
            </w:pPr>
          </w:p>
          <w:p w14:paraId="593575AA" w14:textId="6C8705A7" w:rsidR="00AF3004" w:rsidRDefault="007A0BCB">
            <w:pPr>
              <w:pStyle w:val="ANormal"/>
              <w:keepNext/>
            </w:pPr>
            <w:r>
              <w:t>Katrin Sjögren</w:t>
            </w:r>
          </w:p>
        </w:tc>
      </w:tr>
      <w:tr w:rsidR="00AF3004" w14:paraId="0DDF9876" w14:textId="77777777">
        <w:tc>
          <w:tcPr>
            <w:tcW w:w="4454" w:type="dxa"/>
            <w:vAlign w:val="bottom"/>
          </w:tcPr>
          <w:p w14:paraId="7922CA74" w14:textId="77777777" w:rsidR="00AF3004" w:rsidRDefault="00AF3004">
            <w:pPr>
              <w:pStyle w:val="ANormal"/>
              <w:keepNext/>
            </w:pPr>
          </w:p>
          <w:p w14:paraId="46BDAA1E" w14:textId="77777777" w:rsidR="00AF3004" w:rsidRDefault="00AF3004">
            <w:pPr>
              <w:pStyle w:val="ANormal"/>
              <w:keepNext/>
            </w:pPr>
          </w:p>
          <w:p w14:paraId="753422FA" w14:textId="43887438" w:rsidR="00AF3004" w:rsidRDefault="00AF3004">
            <w:pPr>
              <w:pStyle w:val="ANormal"/>
              <w:keepNext/>
            </w:pPr>
            <w:r>
              <w:t xml:space="preserve">Föredragande </w:t>
            </w:r>
            <w:r w:rsidR="00AE6F3A">
              <w:t>minister</w:t>
            </w:r>
          </w:p>
        </w:tc>
        <w:tc>
          <w:tcPr>
            <w:tcW w:w="3477" w:type="dxa"/>
            <w:vAlign w:val="bottom"/>
          </w:tcPr>
          <w:p w14:paraId="6C2EC81B" w14:textId="77777777" w:rsidR="00AF3004" w:rsidRDefault="00AF3004">
            <w:pPr>
              <w:pStyle w:val="ANormal"/>
              <w:keepNext/>
            </w:pPr>
          </w:p>
          <w:p w14:paraId="59BF943D" w14:textId="77777777" w:rsidR="00AF3004" w:rsidRDefault="00AF3004">
            <w:pPr>
              <w:pStyle w:val="ANormal"/>
              <w:keepNext/>
            </w:pPr>
          </w:p>
          <w:p w14:paraId="25A6DFAC" w14:textId="64D12541" w:rsidR="00AF3004" w:rsidRDefault="007A0BCB">
            <w:pPr>
              <w:pStyle w:val="ANormal"/>
              <w:keepNext/>
            </w:pPr>
            <w:r>
              <w:t>Ingrid Zetterman</w:t>
            </w:r>
          </w:p>
        </w:tc>
      </w:tr>
    </w:tbl>
    <w:p w14:paraId="7A044200" w14:textId="7426F0D4" w:rsidR="009B0488" w:rsidRDefault="009B0488">
      <w:pPr>
        <w:rPr>
          <w:sz w:val="22"/>
          <w:szCs w:val="20"/>
        </w:rPr>
      </w:pPr>
    </w:p>
    <w:p w14:paraId="14F1E111" w14:textId="68FF52EE" w:rsidR="003648FF" w:rsidRDefault="003648FF">
      <w:pPr>
        <w:rPr>
          <w:sz w:val="22"/>
          <w:szCs w:val="20"/>
        </w:rPr>
      </w:pPr>
    </w:p>
    <w:p w14:paraId="261D5B90" w14:textId="4F4E7AC1" w:rsidR="003648FF" w:rsidRDefault="003648FF">
      <w:pPr>
        <w:rPr>
          <w:sz w:val="22"/>
          <w:szCs w:val="20"/>
        </w:rPr>
      </w:pPr>
      <w:r>
        <w:rPr>
          <w:sz w:val="22"/>
          <w:szCs w:val="20"/>
        </w:rPr>
        <w:br w:type="page"/>
      </w:r>
    </w:p>
    <w:p w14:paraId="3D19BBE3" w14:textId="77777777" w:rsidR="003648FF" w:rsidRDefault="003648FF">
      <w:pPr>
        <w:rPr>
          <w:sz w:val="22"/>
          <w:szCs w:val="20"/>
        </w:rPr>
        <w:sectPr w:rsidR="003648FF">
          <w:headerReference w:type="even" r:id="rId12"/>
          <w:headerReference w:type="default" r:id="rId13"/>
          <w:footerReference w:type="default" r:id="rId14"/>
          <w:type w:val="continuous"/>
          <w:pgSz w:w="11906" w:h="16838" w:code="9"/>
          <w:pgMar w:top="1134" w:right="3175" w:bottom="1247" w:left="2041" w:header="737" w:footer="737" w:gutter="0"/>
          <w:cols w:space="720"/>
          <w:formProt w:val="0"/>
          <w:titlePg/>
          <w:docGrid w:linePitch="224"/>
        </w:sectPr>
      </w:pPr>
    </w:p>
    <w:p w14:paraId="67533614" w14:textId="2DC7FD2B" w:rsidR="007E1893" w:rsidRDefault="003648FF" w:rsidP="00223D0A">
      <w:pPr>
        <w:pStyle w:val="RubrikA"/>
        <w:rPr>
          <w:rFonts w:eastAsia="SimSun"/>
          <w:lang w:eastAsia="en-US"/>
        </w:rPr>
      </w:pPr>
      <w:bookmarkStart w:id="65" w:name="_Toc194570806"/>
      <w:bookmarkStart w:id="66" w:name="_Toc74661654"/>
      <w:r w:rsidRPr="003648FF">
        <w:rPr>
          <w:rFonts w:eastAsia="SimSun"/>
          <w:lang w:eastAsia="en-US"/>
        </w:rPr>
        <w:lastRenderedPageBreak/>
        <w:t>Bilaga</w:t>
      </w:r>
      <w:r w:rsidR="001805E1">
        <w:rPr>
          <w:rFonts w:eastAsia="SimSun"/>
          <w:lang w:eastAsia="en-US"/>
        </w:rPr>
        <w:t xml:space="preserve">: </w:t>
      </w:r>
      <w:r w:rsidR="00CA1549">
        <w:rPr>
          <w:rFonts w:eastAsia="SimSun"/>
          <w:lang w:eastAsia="en-US"/>
        </w:rPr>
        <w:t>U</w:t>
      </w:r>
      <w:r w:rsidR="001805E1">
        <w:rPr>
          <w:rFonts w:eastAsia="SimSun"/>
          <w:lang w:eastAsia="en-US"/>
        </w:rPr>
        <w:t>tfall</w:t>
      </w:r>
      <w:r w:rsidR="00CA1549">
        <w:rPr>
          <w:rFonts w:eastAsia="SimSun"/>
          <w:lang w:eastAsia="en-US"/>
        </w:rPr>
        <w:t>,</w:t>
      </w:r>
      <w:r w:rsidR="001805E1">
        <w:rPr>
          <w:rFonts w:eastAsia="SimSun"/>
          <w:lang w:eastAsia="en-US"/>
        </w:rPr>
        <w:t xml:space="preserve"> nyckeltal 2014–202</w:t>
      </w:r>
      <w:r w:rsidR="00152638">
        <w:rPr>
          <w:rFonts w:eastAsia="SimSun"/>
          <w:lang w:eastAsia="en-US"/>
        </w:rPr>
        <w:t>3</w:t>
      </w:r>
      <w:bookmarkEnd w:id="65"/>
    </w:p>
    <w:p w14:paraId="0A969D97" w14:textId="77777777" w:rsidR="00E35073" w:rsidRPr="00E35073" w:rsidRDefault="00E35073" w:rsidP="00E35073">
      <w:pPr>
        <w:pStyle w:val="Rubrikmellanrum"/>
        <w:rPr>
          <w:rFonts w:eastAsia="SimSun"/>
          <w:lang w:eastAsia="en-US"/>
        </w:rPr>
      </w:pPr>
    </w:p>
    <w:p w14:paraId="69633C2B" w14:textId="79355CE5" w:rsidR="003648FF" w:rsidRDefault="003648FF" w:rsidP="00CE412E">
      <w:pPr>
        <w:pStyle w:val="Rubrik9"/>
        <w:rPr>
          <w:rFonts w:eastAsia="SimSun"/>
          <w:lang w:eastAsia="en-US"/>
        </w:rPr>
      </w:pPr>
      <w:bookmarkStart w:id="67" w:name="_Toc74661655"/>
      <w:bookmarkEnd w:id="66"/>
      <w:r w:rsidRPr="003648FF">
        <w:rPr>
          <w:rFonts w:eastAsia="SimSun"/>
          <w:lang w:eastAsia="en-US"/>
        </w:rPr>
        <w:t>Tabell 1</w:t>
      </w:r>
      <w:r>
        <w:rPr>
          <w:rFonts w:eastAsia="SimSun"/>
          <w:lang w:eastAsia="en-US"/>
        </w:rPr>
        <w:t>.</w:t>
      </w:r>
      <w:r w:rsidRPr="003648FF">
        <w:rPr>
          <w:rFonts w:eastAsia="SimSun"/>
          <w:lang w:eastAsia="en-US"/>
        </w:rPr>
        <w:t xml:space="preserve"> </w:t>
      </w:r>
      <w:r w:rsidR="009C2E72">
        <w:rPr>
          <w:rFonts w:eastAsia="SimSun"/>
          <w:lang w:eastAsia="en-US"/>
        </w:rPr>
        <w:t>Kriterium 1: a</w:t>
      </w:r>
      <w:r w:rsidRPr="003648FF">
        <w:rPr>
          <w:rFonts w:eastAsia="SimSun"/>
          <w:lang w:eastAsia="en-US"/>
        </w:rPr>
        <w:t>ckumulerat överskott eller underskott (</w:t>
      </w:r>
      <w:r w:rsidR="00E35073">
        <w:rPr>
          <w:rFonts w:eastAsia="SimSun"/>
          <w:lang w:eastAsia="en-US"/>
        </w:rPr>
        <w:t>1 000 euro</w:t>
      </w:r>
      <w:r w:rsidRPr="003648FF">
        <w:rPr>
          <w:rFonts w:eastAsia="SimSun"/>
          <w:lang w:eastAsia="en-US"/>
        </w:rPr>
        <w:t>)</w:t>
      </w:r>
      <w:bookmarkEnd w:id="67"/>
    </w:p>
    <w:p w14:paraId="31256325" w14:textId="77777777" w:rsidR="00AC3993" w:rsidRPr="00AC3993" w:rsidRDefault="00AC3993" w:rsidP="00AC3993">
      <w:pPr>
        <w:rPr>
          <w:rFonts w:eastAsia="SimSun"/>
          <w:lang w:eastAsia="en-US"/>
        </w:rPr>
      </w:pPr>
    </w:p>
    <w:tbl>
      <w:tblPr>
        <w:tblW w:w="13750" w:type="dxa"/>
        <w:tblLayout w:type="fixed"/>
        <w:tblCellMar>
          <w:left w:w="70" w:type="dxa"/>
          <w:right w:w="70" w:type="dxa"/>
        </w:tblCellMar>
        <w:tblLook w:val="04A0" w:firstRow="1" w:lastRow="0" w:firstColumn="1" w:lastColumn="0" w:noHBand="0" w:noVBand="1"/>
      </w:tblPr>
      <w:tblGrid>
        <w:gridCol w:w="465"/>
        <w:gridCol w:w="781"/>
        <w:gridCol w:w="781"/>
        <w:gridCol w:w="782"/>
        <w:gridCol w:w="781"/>
        <w:gridCol w:w="782"/>
        <w:gridCol w:w="781"/>
        <w:gridCol w:w="782"/>
        <w:gridCol w:w="781"/>
        <w:gridCol w:w="782"/>
        <w:gridCol w:w="781"/>
        <w:gridCol w:w="782"/>
        <w:gridCol w:w="781"/>
        <w:gridCol w:w="782"/>
        <w:gridCol w:w="781"/>
        <w:gridCol w:w="782"/>
        <w:gridCol w:w="781"/>
        <w:gridCol w:w="782"/>
      </w:tblGrid>
      <w:tr w:rsidR="00B86DA9" w:rsidRPr="00B86DA9" w14:paraId="46FBCF0E" w14:textId="77777777" w:rsidTr="001868FA">
        <w:trPr>
          <w:trHeight w:val="375"/>
        </w:trPr>
        <w:tc>
          <w:tcPr>
            <w:tcW w:w="465" w:type="dxa"/>
            <w:tcBorders>
              <w:top w:val="nil"/>
              <w:left w:val="nil"/>
              <w:bottom w:val="nil"/>
              <w:right w:val="nil"/>
            </w:tcBorders>
            <w:shd w:val="clear" w:color="000000" w:fill="FFFFFF"/>
            <w:noWrap/>
            <w:hideMark/>
          </w:tcPr>
          <w:p w14:paraId="33221B41" w14:textId="77777777" w:rsidR="00B86DA9" w:rsidRPr="00B86DA9" w:rsidRDefault="00B86DA9" w:rsidP="001868FA">
            <w:pPr>
              <w:rPr>
                <w:rFonts w:ascii="Calibri" w:hAnsi="Calibri" w:cs="Calibri"/>
                <w:sz w:val="16"/>
                <w:szCs w:val="16"/>
                <w:lang w:val="sv-FI" w:eastAsia="sv-FI"/>
              </w:rPr>
            </w:pPr>
            <w:r w:rsidRPr="00B86DA9">
              <w:rPr>
                <w:rFonts w:ascii="Calibri" w:hAnsi="Calibri" w:cs="Calibri"/>
                <w:sz w:val="16"/>
                <w:szCs w:val="16"/>
              </w:rPr>
              <w:t> </w:t>
            </w:r>
          </w:p>
        </w:tc>
        <w:tc>
          <w:tcPr>
            <w:tcW w:w="781" w:type="dxa"/>
            <w:tcBorders>
              <w:top w:val="nil"/>
              <w:left w:val="nil"/>
              <w:bottom w:val="nil"/>
              <w:right w:val="nil"/>
            </w:tcBorders>
            <w:shd w:val="clear" w:color="000000" w:fill="FFFFFF"/>
            <w:noWrap/>
            <w:vAlign w:val="bottom"/>
            <w:hideMark/>
          </w:tcPr>
          <w:p w14:paraId="3E7C5EE3" w14:textId="77777777" w:rsidR="00B86DA9" w:rsidRPr="00B86DA9" w:rsidRDefault="00B86DA9" w:rsidP="001868FA">
            <w:pPr>
              <w:rPr>
                <w:rFonts w:ascii="Calibri" w:hAnsi="Calibri" w:cs="Calibri"/>
                <w:b/>
                <w:bCs/>
                <w:color w:val="000000"/>
                <w:sz w:val="16"/>
                <w:szCs w:val="16"/>
                <w:u w:val="single"/>
              </w:rPr>
            </w:pPr>
            <w:r w:rsidRPr="00B86DA9">
              <w:rPr>
                <w:rFonts w:ascii="Calibri" w:hAnsi="Calibri" w:cs="Calibri"/>
                <w:b/>
                <w:bCs/>
                <w:color w:val="000000"/>
                <w:sz w:val="16"/>
                <w:szCs w:val="16"/>
                <w:u w:val="single"/>
              </w:rPr>
              <w:t>Brändö</w:t>
            </w:r>
          </w:p>
        </w:tc>
        <w:tc>
          <w:tcPr>
            <w:tcW w:w="781" w:type="dxa"/>
            <w:tcBorders>
              <w:top w:val="nil"/>
              <w:left w:val="nil"/>
              <w:bottom w:val="nil"/>
              <w:right w:val="nil"/>
            </w:tcBorders>
            <w:shd w:val="clear" w:color="000000" w:fill="FFFFFF"/>
            <w:noWrap/>
            <w:vAlign w:val="bottom"/>
            <w:hideMark/>
          </w:tcPr>
          <w:p w14:paraId="4450EEE0" w14:textId="77777777" w:rsidR="00B86DA9" w:rsidRPr="00B86DA9" w:rsidRDefault="00B86DA9" w:rsidP="001868FA">
            <w:pPr>
              <w:rPr>
                <w:rFonts w:ascii="Calibri" w:hAnsi="Calibri" w:cs="Calibri"/>
                <w:b/>
                <w:bCs/>
                <w:color w:val="000000"/>
                <w:sz w:val="16"/>
                <w:szCs w:val="16"/>
                <w:u w:val="single"/>
              </w:rPr>
            </w:pPr>
            <w:r w:rsidRPr="00B86DA9">
              <w:rPr>
                <w:rFonts w:ascii="Calibri" w:hAnsi="Calibri" w:cs="Calibri"/>
                <w:b/>
                <w:bCs/>
                <w:color w:val="000000"/>
                <w:sz w:val="16"/>
                <w:szCs w:val="16"/>
                <w:u w:val="single"/>
              </w:rPr>
              <w:t>Eckerö</w:t>
            </w:r>
          </w:p>
        </w:tc>
        <w:tc>
          <w:tcPr>
            <w:tcW w:w="782" w:type="dxa"/>
            <w:tcBorders>
              <w:top w:val="nil"/>
              <w:left w:val="nil"/>
              <w:bottom w:val="nil"/>
              <w:right w:val="nil"/>
            </w:tcBorders>
            <w:shd w:val="clear" w:color="000000" w:fill="FFFFFF"/>
            <w:noWrap/>
            <w:vAlign w:val="bottom"/>
            <w:hideMark/>
          </w:tcPr>
          <w:p w14:paraId="6FE8DAFE" w14:textId="77777777" w:rsidR="00B86DA9" w:rsidRPr="00B86DA9" w:rsidRDefault="00B86DA9" w:rsidP="001868FA">
            <w:pPr>
              <w:rPr>
                <w:rFonts w:ascii="Calibri" w:hAnsi="Calibri" w:cs="Calibri"/>
                <w:b/>
                <w:bCs/>
                <w:color w:val="000000"/>
                <w:sz w:val="16"/>
                <w:szCs w:val="16"/>
                <w:u w:val="single"/>
              </w:rPr>
            </w:pPr>
            <w:r w:rsidRPr="00B86DA9">
              <w:rPr>
                <w:rFonts w:ascii="Calibri" w:hAnsi="Calibri" w:cs="Calibri"/>
                <w:b/>
                <w:bCs/>
                <w:color w:val="000000"/>
                <w:sz w:val="16"/>
                <w:szCs w:val="16"/>
                <w:u w:val="single"/>
              </w:rPr>
              <w:t>Finström</w:t>
            </w:r>
          </w:p>
        </w:tc>
        <w:tc>
          <w:tcPr>
            <w:tcW w:w="781" w:type="dxa"/>
            <w:tcBorders>
              <w:top w:val="nil"/>
              <w:left w:val="nil"/>
              <w:bottom w:val="nil"/>
              <w:right w:val="nil"/>
            </w:tcBorders>
            <w:shd w:val="clear" w:color="000000" w:fill="FFFFFF"/>
            <w:noWrap/>
            <w:vAlign w:val="bottom"/>
            <w:hideMark/>
          </w:tcPr>
          <w:p w14:paraId="53263763" w14:textId="77777777" w:rsidR="00B86DA9" w:rsidRPr="00B86DA9" w:rsidRDefault="00B86DA9" w:rsidP="001868FA">
            <w:pPr>
              <w:rPr>
                <w:rFonts w:ascii="Calibri" w:hAnsi="Calibri" w:cs="Calibri"/>
                <w:b/>
                <w:bCs/>
                <w:color w:val="000000"/>
                <w:sz w:val="16"/>
                <w:szCs w:val="16"/>
                <w:u w:val="single"/>
              </w:rPr>
            </w:pPr>
            <w:r w:rsidRPr="00B86DA9">
              <w:rPr>
                <w:rFonts w:ascii="Calibri" w:hAnsi="Calibri" w:cs="Calibri"/>
                <w:b/>
                <w:bCs/>
                <w:color w:val="000000"/>
                <w:sz w:val="16"/>
                <w:szCs w:val="16"/>
                <w:u w:val="single"/>
              </w:rPr>
              <w:t>Föglö</w:t>
            </w:r>
          </w:p>
        </w:tc>
        <w:tc>
          <w:tcPr>
            <w:tcW w:w="782" w:type="dxa"/>
            <w:tcBorders>
              <w:top w:val="nil"/>
              <w:left w:val="nil"/>
              <w:bottom w:val="nil"/>
              <w:right w:val="nil"/>
            </w:tcBorders>
            <w:shd w:val="clear" w:color="000000" w:fill="FFFFFF"/>
            <w:noWrap/>
            <w:vAlign w:val="bottom"/>
            <w:hideMark/>
          </w:tcPr>
          <w:p w14:paraId="7C27A734" w14:textId="77777777" w:rsidR="00B86DA9" w:rsidRPr="00B86DA9" w:rsidRDefault="00B86DA9" w:rsidP="001868FA">
            <w:pPr>
              <w:rPr>
                <w:rFonts w:ascii="Calibri" w:hAnsi="Calibri" w:cs="Calibri"/>
                <w:b/>
                <w:bCs/>
                <w:color w:val="000000"/>
                <w:sz w:val="16"/>
                <w:szCs w:val="16"/>
                <w:u w:val="single"/>
              </w:rPr>
            </w:pPr>
            <w:r w:rsidRPr="00B86DA9">
              <w:rPr>
                <w:rFonts w:ascii="Calibri" w:hAnsi="Calibri" w:cs="Calibri"/>
                <w:b/>
                <w:bCs/>
                <w:color w:val="000000"/>
                <w:sz w:val="16"/>
                <w:szCs w:val="16"/>
                <w:u w:val="single"/>
              </w:rPr>
              <w:t>Geta</w:t>
            </w:r>
          </w:p>
        </w:tc>
        <w:tc>
          <w:tcPr>
            <w:tcW w:w="781" w:type="dxa"/>
            <w:tcBorders>
              <w:top w:val="nil"/>
              <w:left w:val="nil"/>
              <w:bottom w:val="nil"/>
              <w:right w:val="nil"/>
            </w:tcBorders>
            <w:shd w:val="clear" w:color="000000" w:fill="FFFFFF"/>
            <w:noWrap/>
            <w:vAlign w:val="bottom"/>
            <w:hideMark/>
          </w:tcPr>
          <w:p w14:paraId="184678B8" w14:textId="77777777" w:rsidR="00B86DA9" w:rsidRPr="00B86DA9" w:rsidRDefault="00B86DA9" w:rsidP="001868FA">
            <w:pPr>
              <w:rPr>
                <w:rFonts w:ascii="Calibri" w:hAnsi="Calibri" w:cs="Calibri"/>
                <w:b/>
                <w:bCs/>
                <w:color w:val="000000"/>
                <w:sz w:val="16"/>
                <w:szCs w:val="16"/>
                <w:u w:val="single"/>
              </w:rPr>
            </w:pPr>
            <w:r w:rsidRPr="00B86DA9">
              <w:rPr>
                <w:rFonts w:ascii="Calibri" w:hAnsi="Calibri" w:cs="Calibri"/>
                <w:b/>
                <w:bCs/>
                <w:color w:val="000000"/>
                <w:sz w:val="16"/>
                <w:szCs w:val="16"/>
                <w:u w:val="single"/>
              </w:rPr>
              <w:t>Hammarland</w:t>
            </w:r>
          </w:p>
        </w:tc>
        <w:tc>
          <w:tcPr>
            <w:tcW w:w="782" w:type="dxa"/>
            <w:tcBorders>
              <w:top w:val="nil"/>
              <w:left w:val="nil"/>
              <w:bottom w:val="nil"/>
              <w:right w:val="nil"/>
            </w:tcBorders>
            <w:shd w:val="clear" w:color="000000" w:fill="FFFFFF"/>
            <w:noWrap/>
            <w:vAlign w:val="bottom"/>
            <w:hideMark/>
          </w:tcPr>
          <w:p w14:paraId="6291E403" w14:textId="77777777" w:rsidR="00B86DA9" w:rsidRPr="00B86DA9" w:rsidRDefault="00B86DA9" w:rsidP="001868FA">
            <w:pPr>
              <w:rPr>
                <w:rFonts w:ascii="Calibri" w:hAnsi="Calibri" w:cs="Calibri"/>
                <w:b/>
                <w:bCs/>
                <w:color w:val="000000"/>
                <w:sz w:val="16"/>
                <w:szCs w:val="16"/>
                <w:u w:val="single"/>
              </w:rPr>
            </w:pPr>
            <w:r w:rsidRPr="00B86DA9">
              <w:rPr>
                <w:rFonts w:ascii="Calibri" w:hAnsi="Calibri" w:cs="Calibri"/>
                <w:b/>
                <w:bCs/>
                <w:color w:val="000000"/>
                <w:sz w:val="16"/>
                <w:szCs w:val="16"/>
                <w:u w:val="single"/>
              </w:rPr>
              <w:t>Jomala</w:t>
            </w:r>
          </w:p>
        </w:tc>
        <w:tc>
          <w:tcPr>
            <w:tcW w:w="781" w:type="dxa"/>
            <w:tcBorders>
              <w:top w:val="nil"/>
              <w:left w:val="nil"/>
              <w:bottom w:val="nil"/>
              <w:right w:val="nil"/>
            </w:tcBorders>
            <w:shd w:val="clear" w:color="000000" w:fill="FFFFFF"/>
            <w:noWrap/>
            <w:vAlign w:val="bottom"/>
            <w:hideMark/>
          </w:tcPr>
          <w:p w14:paraId="11E537A3" w14:textId="77777777" w:rsidR="00B86DA9" w:rsidRPr="00B86DA9" w:rsidRDefault="00B86DA9" w:rsidP="001868FA">
            <w:pPr>
              <w:rPr>
                <w:rFonts w:ascii="Calibri" w:hAnsi="Calibri" w:cs="Calibri"/>
                <w:b/>
                <w:bCs/>
                <w:color w:val="000000"/>
                <w:sz w:val="16"/>
                <w:szCs w:val="16"/>
                <w:u w:val="single"/>
              </w:rPr>
            </w:pPr>
            <w:r w:rsidRPr="00B86DA9">
              <w:rPr>
                <w:rFonts w:ascii="Calibri" w:hAnsi="Calibri" w:cs="Calibri"/>
                <w:b/>
                <w:bCs/>
                <w:color w:val="000000"/>
                <w:sz w:val="16"/>
                <w:szCs w:val="16"/>
                <w:u w:val="single"/>
              </w:rPr>
              <w:t>Kumlinge</w:t>
            </w:r>
          </w:p>
        </w:tc>
        <w:tc>
          <w:tcPr>
            <w:tcW w:w="782" w:type="dxa"/>
            <w:tcBorders>
              <w:top w:val="nil"/>
              <w:left w:val="nil"/>
              <w:bottom w:val="nil"/>
              <w:right w:val="nil"/>
            </w:tcBorders>
            <w:shd w:val="clear" w:color="000000" w:fill="FFFFFF"/>
            <w:noWrap/>
            <w:vAlign w:val="bottom"/>
            <w:hideMark/>
          </w:tcPr>
          <w:p w14:paraId="219414F3" w14:textId="77777777" w:rsidR="00B86DA9" w:rsidRPr="00B86DA9" w:rsidRDefault="00B86DA9" w:rsidP="001868FA">
            <w:pPr>
              <w:rPr>
                <w:rFonts w:ascii="Calibri" w:hAnsi="Calibri" w:cs="Calibri"/>
                <w:b/>
                <w:bCs/>
                <w:color w:val="000000"/>
                <w:sz w:val="16"/>
                <w:szCs w:val="16"/>
                <w:u w:val="single"/>
              </w:rPr>
            </w:pPr>
            <w:r w:rsidRPr="00B86DA9">
              <w:rPr>
                <w:rFonts w:ascii="Calibri" w:hAnsi="Calibri" w:cs="Calibri"/>
                <w:b/>
                <w:bCs/>
                <w:color w:val="000000"/>
                <w:sz w:val="16"/>
                <w:szCs w:val="16"/>
                <w:u w:val="single"/>
              </w:rPr>
              <w:t>Kökar</w:t>
            </w:r>
          </w:p>
        </w:tc>
        <w:tc>
          <w:tcPr>
            <w:tcW w:w="781" w:type="dxa"/>
            <w:tcBorders>
              <w:top w:val="nil"/>
              <w:left w:val="nil"/>
              <w:bottom w:val="nil"/>
              <w:right w:val="nil"/>
            </w:tcBorders>
            <w:shd w:val="clear" w:color="000000" w:fill="FFFFFF"/>
            <w:noWrap/>
            <w:vAlign w:val="bottom"/>
            <w:hideMark/>
          </w:tcPr>
          <w:p w14:paraId="48F4729D" w14:textId="77777777" w:rsidR="00B86DA9" w:rsidRPr="00B86DA9" w:rsidRDefault="00B86DA9" w:rsidP="001868FA">
            <w:pPr>
              <w:rPr>
                <w:rFonts w:ascii="Calibri" w:hAnsi="Calibri" w:cs="Calibri"/>
                <w:b/>
                <w:bCs/>
                <w:color w:val="000000"/>
                <w:sz w:val="16"/>
                <w:szCs w:val="16"/>
                <w:u w:val="single"/>
              </w:rPr>
            </w:pPr>
            <w:r w:rsidRPr="00B86DA9">
              <w:rPr>
                <w:rFonts w:ascii="Calibri" w:hAnsi="Calibri" w:cs="Calibri"/>
                <w:b/>
                <w:bCs/>
                <w:color w:val="000000"/>
                <w:sz w:val="16"/>
                <w:szCs w:val="16"/>
                <w:u w:val="single"/>
              </w:rPr>
              <w:t>Lemland</w:t>
            </w:r>
          </w:p>
        </w:tc>
        <w:tc>
          <w:tcPr>
            <w:tcW w:w="782" w:type="dxa"/>
            <w:tcBorders>
              <w:top w:val="nil"/>
              <w:left w:val="nil"/>
              <w:bottom w:val="nil"/>
              <w:right w:val="nil"/>
            </w:tcBorders>
            <w:shd w:val="clear" w:color="000000" w:fill="FFFFFF"/>
            <w:noWrap/>
            <w:vAlign w:val="bottom"/>
            <w:hideMark/>
          </w:tcPr>
          <w:p w14:paraId="64DDBDAF" w14:textId="77777777" w:rsidR="00B86DA9" w:rsidRPr="00B86DA9" w:rsidRDefault="00B86DA9" w:rsidP="001868FA">
            <w:pPr>
              <w:rPr>
                <w:rFonts w:ascii="Calibri" w:hAnsi="Calibri" w:cs="Calibri"/>
                <w:b/>
                <w:bCs/>
                <w:color w:val="000000"/>
                <w:sz w:val="16"/>
                <w:szCs w:val="16"/>
                <w:u w:val="single"/>
              </w:rPr>
            </w:pPr>
            <w:r w:rsidRPr="00B86DA9">
              <w:rPr>
                <w:rFonts w:ascii="Calibri" w:hAnsi="Calibri" w:cs="Calibri"/>
                <w:b/>
                <w:bCs/>
                <w:color w:val="000000"/>
                <w:sz w:val="16"/>
                <w:szCs w:val="16"/>
                <w:u w:val="single"/>
              </w:rPr>
              <w:t>Lumparland</w:t>
            </w:r>
          </w:p>
        </w:tc>
        <w:tc>
          <w:tcPr>
            <w:tcW w:w="781" w:type="dxa"/>
            <w:tcBorders>
              <w:top w:val="nil"/>
              <w:left w:val="nil"/>
              <w:bottom w:val="nil"/>
              <w:right w:val="nil"/>
            </w:tcBorders>
            <w:shd w:val="clear" w:color="000000" w:fill="FFFFFF"/>
            <w:noWrap/>
            <w:vAlign w:val="bottom"/>
            <w:hideMark/>
          </w:tcPr>
          <w:p w14:paraId="29C2DBCF" w14:textId="77777777" w:rsidR="00B86DA9" w:rsidRPr="00B86DA9" w:rsidRDefault="00B86DA9" w:rsidP="001868FA">
            <w:pPr>
              <w:rPr>
                <w:rFonts w:ascii="Calibri" w:hAnsi="Calibri" w:cs="Calibri"/>
                <w:b/>
                <w:bCs/>
                <w:color w:val="000000"/>
                <w:sz w:val="16"/>
                <w:szCs w:val="16"/>
                <w:u w:val="single"/>
              </w:rPr>
            </w:pPr>
            <w:r w:rsidRPr="00B86DA9">
              <w:rPr>
                <w:rFonts w:ascii="Calibri" w:hAnsi="Calibri" w:cs="Calibri"/>
                <w:b/>
                <w:bCs/>
                <w:color w:val="000000"/>
                <w:sz w:val="16"/>
                <w:szCs w:val="16"/>
                <w:u w:val="single"/>
              </w:rPr>
              <w:t>Saltvik</w:t>
            </w:r>
          </w:p>
        </w:tc>
        <w:tc>
          <w:tcPr>
            <w:tcW w:w="782" w:type="dxa"/>
            <w:tcBorders>
              <w:top w:val="nil"/>
              <w:left w:val="nil"/>
              <w:bottom w:val="nil"/>
              <w:right w:val="nil"/>
            </w:tcBorders>
            <w:shd w:val="clear" w:color="000000" w:fill="FFFFFF"/>
            <w:noWrap/>
            <w:vAlign w:val="bottom"/>
            <w:hideMark/>
          </w:tcPr>
          <w:p w14:paraId="337769FE" w14:textId="77777777" w:rsidR="00B86DA9" w:rsidRPr="00B86DA9" w:rsidRDefault="00B86DA9" w:rsidP="001868FA">
            <w:pPr>
              <w:rPr>
                <w:rFonts w:ascii="Calibri" w:hAnsi="Calibri" w:cs="Calibri"/>
                <w:b/>
                <w:bCs/>
                <w:color w:val="000000"/>
                <w:sz w:val="16"/>
                <w:szCs w:val="16"/>
                <w:u w:val="single"/>
              </w:rPr>
            </w:pPr>
            <w:r w:rsidRPr="00B86DA9">
              <w:rPr>
                <w:rFonts w:ascii="Calibri" w:hAnsi="Calibri" w:cs="Calibri"/>
                <w:b/>
                <w:bCs/>
                <w:color w:val="000000"/>
                <w:sz w:val="16"/>
                <w:szCs w:val="16"/>
                <w:u w:val="single"/>
              </w:rPr>
              <w:t>Sottunga</w:t>
            </w:r>
          </w:p>
        </w:tc>
        <w:tc>
          <w:tcPr>
            <w:tcW w:w="781" w:type="dxa"/>
            <w:tcBorders>
              <w:top w:val="nil"/>
              <w:left w:val="nil"/>
              <w:bottom w:val="nil"/>
              <w:right w:val="nil"/>
            </w:tcBorders>
            <w:shd w:val="clear" w:color="000000" w:fill="FFFFFF"/>
            <w:noWrap/>
            <w:vAlign w:val="bottom"/>
            <w:hideMark/>
          </w:tcPr>
          <w:p w14:paraId="072A0E4B" w14:textId="77777777" w:rsidR="00B86DA9" w:rsidRPr="00B86DA9" w:rsidRDefault="00B86DA9" w:rsidP="001868FA">
            <w:pPr>
              <w:rPr>
                <w:rFonts w:ascii="Calibri" w:hAnsi="Calibri" w:cs="Calibri"/>
                <w:b/>
                <w:bCs/>
                <w:color w:val="000000"/>
                <w:sz w:val="16"/>
                <w:szCs w:val="16"/>
                <w:u w:val="single"/>
              </w:rPr>
            </w:pPr>
            <w:r w:rsidRPr="00B86DA9">
              <w:rPr>
                <w:rFonts w:ascii="Calibri" w:hAnsi="Calibri" w:cs="Calibri"/>
                <w:b/>
                <w:bCs/>
                <w:color w:val="000000"/>
                <w:sz w:val="16"/>
                <w:szCs w:val="16"/>
                <w:u w:val="single"/>
              </w:rPr>
              <w:t>Sund</w:t>
            </w:r>
          </w:p>
        </w:tc>
        <w:tc>
          <w:tcPr>
            <w:tcW w:w="782" w:type="dxa"/>
            <w:tcBorders>
              <w:top w:val="nil"/>
              <w:left w:val="nil"/>
              <w:bottom w:val="nil"/>
              <w:right w:val="nil"/>
            </w:tcBorders>
            <w:shd w:val="clear" w:color="000000" w:fill="FFFFFF"/>
            <w:noWrap/>
            <w:vAlign w:val="bottom"/>
            <w:hideMark/>
          </w:tcPr>
          <w:p w14:paraId="7372FEA0" w14:textId="77777777" w:rsidR="00B86DA9" w:rsidRPr="00B86DA9" w:rsidRDefault="00B86DA9" w:rsidP="001868FA">
            <w:pPr>
              <w:rPr>
                <w:rFonts w:ascii="Calibri" w:hAnsi="Calibri" w:cs="Calibri"/>
                <w:b/>
                <w:bCs/>
                <w:color w:val="000000"/>
                <w:sz w:val="16"/>
                <w:szCs w:val="16"/>
                <w:u w:val="single"/>
              </w:rPr>
            </w:pPr>
            <w:r w:rsidRPr="00B86DA9">
              <w:rPr>
                <w:rFonts w:ascii="Calibri" w:hAnsi="Calibri" w:cs="Calibri"/>
                <w:b/>
                <w:bCs/>
                <w:color w:val="000000"/>
                <w:sz w:val="16"/>
                <w:szCs w:val="16"/>
                <w:u w:val="single"/>
              </w:rPr>
              <w:t>Vårdö</w:t>
            </w:r>
          </w:p>
        </w:tc>
        <w:tc>
          <w:tcPr>
            <w:tcW w:w="781" w:type="dxa"/>
            <w:tcBorders>
              <w:top w:val="nil"/>
              <w:left w:val="nil"/>
              <w:bottom w:val="nil"/>
              <w:right w:val="nil"/>
            </w:tcBorders>
            <w:shd w:val="clear" w:color="000000" w:fill="FFFFFF"/>
            <w:noWrap/>
            <w:vAlign w:val="bottom"/>
            <w:hideMark/>
          </w:tcPr>
          <w:p w14:paraId="1D9F46D9" w14:textId="77777777" w:rsidR="00B86DA9" w:rsidRPr="00B86DA9" w:rsidRDefault="00B86DA9" w:rsidP="001868FA">
            <w:pPr>
              <w:rPr>
                <w:rFonts w:ascii="Calibri" w:hAnsi="Calibri" w:cs="Calibri"/>
                <w:b/>
                <w:bCs/>
                <w:color w:val="000000"/>
                <w:sz w:val="16"/>
                <w:szCs w:val="16"/>
                <w:u w:val="single"/>
              </w:rPr>
            </w:pPr>
            <w:r w:rsidRPr="00B86DA9">
              <w:rPr>
                <w:rFonts w:ascii="Calibri" w:hAnsi="Calibri" w:cs="Calibri"/>
                <w:b/>
                <w:bCs/>
                <w:color w:val="000000"/>
                <w:sz w:val="16"/>
                <w:szCs w:val="16"/>
                <w:u w:val="single"/>
              </w:rPr>
              <w:t>Mariehamn</w:t>
            </w:r>
          </w:p>
        </w:tc>
        <w:tc>
          <w:tcPr>
            <w:tcW w:w="782" w:type="dxa"/>
            <w:tcBorders>
              <w:top w:val="nil"/>
              <w:left w:val="nil"/>
              <w:bottom w:val="nil"/>
              <w:right w:val="nil"/>
            </w:tcBorders>
            <w:shd w:val="clear" w:color="000000" w:fill="FFFFFF"/>
            <w:noWrap/>
            <w:vAlign w:val="bottom"/>
            <w:hideMark/>
          </w:tcPr>
          <w:p w14:paraId="026DBD17" w14:textId="77777777" w:rsidR="00B86DA9" w:rsidRPr="00B86DA9" w:rsidRDefault="00B86DA9" w:rsidP="001868FA">
            <w:pPr>
              <w:rPr>
                <w:rFonts w:ascii="Calibri" w:hAnsi="Calibri" w:cs="Calibri"/>
                <w:b/>
                <w:bCs/>
                <w:color w:val="000000"/>
                <w:sz w:val="16"/>
                <w:szCs w:val="16"/>
                <w:u w:val="single"/>
              </w:rPr>
            </w:pPr>
            <w:r w:rsidRPr="00B86DA9">
              <w:rPr>
                <w:rFonts w:ascii="Calibri" w:hAnsi="Calibri" w:cs="Calibri"/>
                <w:b/>
                <w:bCs/>
                <w:color w:val="000000"/>
                <w:sz w:val="16"/>
                <w:szCs w:val="16"/>
                <w:u w:val="single"/>
              </w:rPr>
              <w:t>Alla kommuner</w:t>
            </w:r>
          </w:p>
        </w:tc>
      </w:tr>
      <w:tr w:rsidR="00152638" w:rsidRPr="00B86DA9" w14:paraId="75466E75" w14:textId="77777777" w:rsidTr="00A9200B">
        <w:trPr>
          <w:trHeight w:val="420"/>
        </w:trPr>
        <w:tc>
          <w:tcPr>
            <w:tcW w:w="465" w:type="dxa"/>
            <w:tcBorders>
              <w:top w:val="nil"/>
              <w:left w:val="nil"/>
              <w:bottom w:val="nil"/>
              <w:right w:val="nil"/>
            </w:tcBorders>
            <w:shd w:val="clear" w:color="000000" w:fill="FFFFFF"/>
            <w:noWrap/>
            <w:vAlign w:val="bottom"/>
            <w:hideMark/>
          </w:tcPr>
          <w:p w14:paraId="454332AA" w14:textId="77777777" w:rsidR="00152638" w:rsidRPr="00B86DA9" w:rsidRDefault="00152638" w:rsidP="00152638">
            <w:pPr>
              <w:jc w:val="right"/>
              <w:rPr>
                <w:rFonts w:ascii="Calibri" w:hAnsi="Calibri" w:cs="Calibri"/>
                <w:b/>
                <w:bCs/>
                <w:color w:val="000000"/>
                <w:sz w:val="16"/>
                <w:szCs w:val="16"/>
              </w:rPr>
            </w:pPr>
            <w:r w:rsidRPr="00B86DA9">
              <w:rPr>
                <w:rFonts w:ascii="Calibri" w:hAnsi="Calibri" w:cs="Calibri"/>
                <w:b/>
                <w:bCs/>
                <w:color w:val="000000"/>
                <w:sz w:val="16"/>
                <w:szCs w:val="16"/>
              </w:rPr>
              <w:t>2014</w:t>
            </w:r>
          </w:p>
        </w:tc>
        <w:tc>
          <w:tcPr>
            <w:tcW w:w="781" w:type="dxa"/>
            <w:tcBorders>
              <w:top w:val="nil"/>
              <w:left w:val="nil"/>
              <w:bottom w:val="nil"/>
              <w:right w:val="nil"/>
            </w:tcBorders>
            <w:shd w:val="clear" w:color="000000" w:fill="C6EFCE"/>
            <w:noWrap/>
            <w:vAlign w:val="bottom"/>
          </w:tcPr>
          <w:p w14:paraId="3DFB87CA" w14:textId="2C61DA74"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3 586</w:t>
            </w:r>
          </w:p>
        </w:tc>
        <w:tc>
          <w:tcPr>
            <w:tcW w:w="781" w:type="dxa"/>
            <w:tcBorders>
              <w:top w:val="nil"/>
              <w:left w:val="nil"/>
              <w:bottom w:val="nil"/>
              <w:right w:val="nil"/>
            </w:tcBorders>
            <w:shd w:val="clear" w:color="000000" w:fill="C6EFCE"/>
            <w:noWrap/>
            <w:vAlign w:val="bottom"/>
          </w:tcPr>
          <w:p w14:paraId="759516AA" w14:textId="41067001"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4 004</w:t>
            </w:r>
          </w:p>
        </w:tc>
        <w:tc>
          <w:tcPr>
            <w:tcW w:w="782" w:type="dxa"/>
            <w:tcBorders>
              <w:top w:val="nil"/>
              <w:left w:val="nil"/>
              <w:bottom w:val="nil"/>
              <w:right w:val="nil"/>
            </w:tcBorders>
            <w:shd w:val="clear" w:color="000000" w:fill="C6EFCE"/>
            <w:noWrap/>
            <w:vAlign w:val="bottom"/>
          </w:tcPr>
          <w:p w14:paraId="73936021" w14:textId="2F03A45D"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4 969</w:t>
            </w:r>
          </w:p>
        </w:tc>
        <w:tc>
          <w:tcPr>
            <w:tcW w:w="781" w:type="dxa"/>
            <w:tcBorders>
              <w:top w:val="nil"/>
              <w:left w:val="nil"/>
              <w:bottom w:val="nil"/>
              <w:right w:val="nil"/>
            </w:tcBorders>
            <w:shd w:val="clear" w:color="000000" w:fill="C6EFCE"/>
            <w:noWrap/>
            <w:vAlign w:val="bottom"/>
          </w:tcPr>
          <w:p w14:paraId="77DBD33D" w14:textId="39C560FF"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5 718</w:t>
            </w:r>
          </w:p>
        </w:tc>
        <w:tc>
          <w:tcPr>
            <w:tcW w:w="782" w:type="dxa"/>
            <w:tcBorders>
              <w:top w:val="nil"/>
              <w:left w:val="nil"/>
              <w:bottom w:val="nil"/>
              <w:right w:val="nil"/>
            </w:tcBorders>
            <w:shd w:val="clear" w:color="000000" w:fill="C6EFCE"/>
            <w:noWrap/>
            <w:vAlign w:val="bottom"/>
          </w:tcPr>
          <w:p w14:paraId="4743B1BD" w14:textId="6426EEFA"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1 166</w:t>
            </w:r>
          </w:p>
        </w:tc>
        <w:tc>
          <w:tcPr>
            <w:tcW w:w="781" w:type="dxa"/>
            <w:tcBorders>
              <w:top w:val="nil"/>
              <w:left w:val="nil"/>
              <w:bottom w:val="nil"/>
              <w:right w:val="nil"/>
            </w:tcBorders>
            <w:shd w:val="clear" w:color="000000" w:fill="C6EFCE"/>
            <w:noWrap/>
            <w:vAlign w:val="bottom"/>
          </w:tcPr>
          <w:p w14:paraId="0B066CC4" w14:textId="44AACC94"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7 216</w:t>
            </w:r>
          </w:p>
        </w:tc>
        <w:tc>
          <w:tcPr>
            <w:tcW w:w="782" w:type="dxa"/>
            <w:tcBorders>
              <w:top w:val="nil"/>
              <w:left w:val="nil"/>
              <w:bottom w:val="nil"/>
              <w:right w:val="nil"/>
            </w:tcBorders>
            <w:shd w:val="clear" w:color="000000" w:fill="C6EFCE"/>
            <w:noWrap/>
            <w:vAlign w:val="bottom"/>
          </w:tcPr>
          <w:p w14:paraId="10874B29" w14:textId="677728D9"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16 030</w:t>
            </w:r>
          </w:p>
        </w:tc>
        <w:tc>
          <w:tcPr>
            <w:tcW w:w="781" w:type="dxa"/>
            <w:tcBorders>
              <w:top w:val="nil"/>
              <w:left w:val="nil"/>
              <w:bottom w:val="nil"/>
              <w:right w:val="nil"/>
            </w:tcBorders>
            <w:shd w:val="clear" w:color="000000" w:fill="C6EFCE"/>
            <w:noWrap/>
            <w:vAlign w:val="bottom"/>
          </w:tcPr>
          <w:p w14:paraId="315B20F6" w14:textId="6166F9ED"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1 687</w:t>
            </w:r>
          </w:p>
        </w:tc>
        <w:tc>
          <w:tcPr>
            <w:tcW w:w="782" w:type="dxa"/>
            <w:tcBorders>
              <w:top w:val="nil"/>
              <w:left w:val="nil"/>
              <w:bottom w:val="nil"/>
              <w:right w:val="nil"/>
            </w:tcBorders>
            <w:shd w:val="clear" w:color="000000" w:fill="FFC7CE"/>
            <w:noWrap/>
            <w:vAlign w:val="bottom"/>
          </w:tcPr>
          <w:p w14:paraId="100C58A2" w14:textId="468EE4EB" w:rsidR="00152638" w:rsidRPr="00152638" w:rsidRDefault="00152638" w:rsidP="00A9200B">
            <w:pPr>
              <w:jc w:val="right"/>
              <w:rPr>
                <w:rFonts w:ascii="Calibri" w:hAnsi="Calibri" w:cs="Calibri"/>
                <w:color w:val="9C0006"/>
                <w:sz w:val="18"/>
                <w:szCs w:val="18"/>
              </w:rPr>
            </w:pPr>
            <w:r w:rsidRPr="00152638">
              <w:rPr>
                <w:rFonts w:ascii="Calibri" w:hAnsi="Calibri" w:cs="Calibri"/>
                <w:color w:val="9C0006"/>
                <w:sz w:val="18"/>
                <w:szCs w:val="18"/>
              </w:rPr>
              <w:t>-151</w:t>
            </w:r>
          </w:p>
        </w:tc>
        <w:tc>
          <w:tcPr>
            <w:tcW w:w="781" w:type="dxa"/>
            <w:tcBorders>
              <w:top w:val="nil"/>
              <w:left w:val="nil"/>
              <w:bottom w:val="nil"/>
              <w:right w:val="nil"/>
            </w:tcBorders>
            <w:shd w:val="clear" w:color="000000" w:fill="C6EFCE"/>
            <w:noWrap/>
            <w:vAlign w:val="bottom"/>
          </w:tcPr>
          <w:p w14:paraId="44B0FB78" w14:textId="72F0F3D1"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5 440</w:t>
            </w:r>
          </w:p>
        </w:tc>
        <w:tc>
          <w:tcPr>
            <w:tcW w:w="782" w:type="dxa"/>
            <w:tcBorders>
              <w:top w:val="nil"/>
              <w:left w:val="nil"/>
              <w:bottom w:val="nil"/>
              <w:right w:val="nil"/>
            </w:tcBorders>
            <w:shd w:val="clear" w:color="000000" w:fill="C6EFCE"/>
            <w:noWrap/>
            <w:vAlign w:val="bottom"/>
          </w:tcPr>
          <w:p w14:paraId="54AC0269" w14:textId="20C6A113"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825</w:t>
            </w:r>
          </w:p>
        </w:tc>
        <w:tc>
          <w:tcPr>
            <w:tcW w:w="781" w:type="dxa"/>
            <w:tcBorders>
              <w:top w:val="nil"/>
              <w:left w:val="nil"/>
              <w:bottom w:val="nil"/>
              <w:right w:val="nil"/>
            </w:tcBorders>
            <w:shd w:val="clear" w:color="000000" w:fill="C6EFCE"/>
            <w:noWrap/>
            <w:vAlign w:val="bottom"/>
          </w:tcPr>
          <w:p w14:paraId="65E54B7C" w14:textId="7F1E0B06"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4 345</w:t>
            </w:r>
          </w:p>
        </w:tc>
        <w:tc>
          <w:tcPr>
            <w:tcW w:w="782" w:type="dxa"/>
            <w:tcBorders>
              <w:top w:val="nil"/>
              <w:left w:val="nil"/>
              <w:bottom w:val="nil"/>
              <w:right w:val="nil"/>
            </w:tcBorders>
            <w:shd w:val="clear" w:color="000000" w:fill="C6EFCE"/>
            <w:noWrap/>
            <w:vAlign w:val="bottom"/>
          </w:tcPr>
          <w:p w14:paraId="288DCFFB" w14:textId="3E99DD11"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251</w:t>
            </w:r>
          </w:p>
        </w:tc>
        <w:tc>
          <w:tcPr>
            <w:tcW w:w="781" w:type="dxa"/>
            <w:tcBorders>
              <w:top w:val="nil"/>
              <w:left w:val="nil"/>
              <w:bottom w:val="nil"/>
              <w:right w:val="nil"/>
            </w:tcBorders>
            <w:shd w:val="clear" w:color="000000" w:fill="C6EFCE"/>
            <w:noWrap/>
            <w:vAlign w:val="bottom"/>
          </w:tcPr>
          <w:p w14:paraId="6370944B" w14:textId="2FC2A0A1"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3 014</w:t>
            </w:r>
          </w:p>
        </w:tc>
        <w:tc>
          <w:tcPr>
            <w:tcW w:w="782" w:type="dxa"/>
            <w:tcBorders>
              <w:top w:val="nil"/>
              <w:left w:val="nil"/>
              <w:bottom w:val="nil"/>
              <w:right w:val="nil"/>
            </w:tcBorders>
            <w:shd w:val="clear" w:color="000000" w:fill="C6EFCE"/>
            <w:noWrap/>
            <w:vAlign w:val="bottom"/>
          </w:tcPr>
          <w:p w14:paraId="70F5DF5A" w14:textId="589916F4"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784</w:t>
            </w:r>
          </w:p>
        </w:tc>
        <w:tc>
          <w:tcPr>
            <w:tcW w:w="781" w:type="dxa"/>
            <w:tcBorders>
              <w:top w:val="nil"/>
              <w:left w:val="nil"/>
              <w:bottom w:val="nil"/>
              <w:right w:val="nil"/>
            </w:tcBorders>
            <w:shd w:val="clear" w:color="000000" w:fill="C6EFCE"/>
            <w:noWrap/>
            <w:vAlign w:val="bottom"/>
          </w:tcPr>
          <w:p w14:paraId="2386854B" w14:textId="04128003"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39 765</w:t>
            </w:r>
          </w:p>
        </w:tc>
        <w:tc>
          <w:tcPr>
            <w:tcW w:w="782" w:type="dxa"/>
            <w:tcBorders>
              <w:top w:val="nil"/>
              <w:left w:val="nil"/>
              <w:bottom w:val="nil"/>
              <w:right w:val="nil"/>
            </w:tcBorders>
            <w:shd w:val="clear" w:color="000000" w:fill="C6EFCE"/>
            <w:noWrap/>
            <w:vAlign w:val="bottom"/>
          </w:tcPr>
          <w:p w14:paraId="7AB462FD" w14:textId="54C59FBF" w:rsidR="00152638" w:rsidRPr="00152638" w:rsidRDefault="00152638" w:rsidP="00A9200B">
            <w:pPr>
              <w:jc w:val="right"/>
              <w:rPr>
                <w:rFonts w:ascii="Calibri" w:hAnsi="Calibri" w:cs="Calibri"/>
                <w:b/>
                <w:bCs/>
                <w:color w:val="006100"/>
                <w:sz w:val="18"/>
                <w:szCs w:val="18"/>
              </w:rPr>
            </w:pPr>
            <w:r w:rsidRPr="00152638">
              <w:rPr>
                <w:rFonts w:ascii="Calibri" w:hAnsi="Calibri" w:cs="Calibri"/>
                <w:color w:val="006100"/>
                <w:sz w:val="18"/>
                <w:szCs w:val="18"/>
              </w:rPr>
              <w:t>98 649</w:t>
            </w:r>
          </w:p>
        </w:tc>
      </w:tr>
      <w:tr w:rsidR="00152638" w:rsidRPr="00B86DA9" w14:paraId="7B87F23F" w14:textId="77777777" w:rsidTr="00A9200B">
        <w:trPr>
          <w:trHeight w:val="420"/>
        </w:trPr>
        <w:tc>
          <w:tcPr>
            <w:tcW w:w="465" w:type="dxa"/>
            <w:tcBorders>
              <w:top w:val="nil"/>
              <w:left w:val="nil"/>
              <w:bottom w:val="nil"/>
              <w:right w:val="nil"/>
            </w:tcBorders>
            <w:shd w:val="clear" w:color="000000" w:fill="FFFFFF"/>
            <w:noWrap/>
            <w:vAlign w:val="bottom"/>
            <w:hideMark/>
          </w:tcPr>
          <w:p w14:paraId="2A0863BC" w14:textId="77777777" w:rsidR="00152638" w:rsidRPr="00B86DA9" w:rsidRDefault="00152638" w:rsidP="00152638">
            <w:pPr>
              <w:jc w:val="right"/>
              <w:rPr>
                <w:rFonts w:ascii="Calibri" w:hAnsi="Calibri" w:cs="Calibri"/>
                <w:b/>
                <w:bCs/>
                <w:color w:val="000000"/>
                <w:sz w:val="16"/>
                <w:szCs w:val="16"/>
              </w:rPr>
            </w:pPr>
            <w:r w:rsidRPr="00B86DA9">
              <w:rPr>
                <w:rFonts w:ascii="Calibri" w:hAnsi="Calibri" w:cs="Calibri"/>
                <w:b/>
                <w:bCs/>
                <w:color w:val="000000"/>
                <w:sz w:val="16"/>
                <w:szCs w:val="16"/>
              </w:rPr>
              <w:t>2015</w:t>
            </w:r>
          </w:p>
        </w:tc>
        <w:tc>
          <w:tcPr>
            <w:tcW w:w="781" w:type="dxa"/>
            <w:tcBorders>
              <w:top w:val="nil"/>
              <w:left w:val="nil"/>
              <w:bottom w:val="nil"/>
              <w:right w:val="nil"/>
            </w:tcBorders>
            <w:shd w:val="clear" w:color="000000" w:fill="C6EFCE"/>
            <w:noWrap/>
            <w:vAlign w:val="bottom"/>
          </w:tcPr>
          <w:p w14:paraId="1EE6E60F" w14:textId="3C8E461E"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3 528</w:t>
            </w:r>
          </w:p>
        </w:tc>
        <w:tc>
          <w:tcPr>
            <w:tcW w:w="781" w:type="dxa"/>
            <w:tcBorders>
              <w:top w:val="nil"/>
              <w:left w:val="nil"/>
              <w:bottom w:val="nil"/>
              <w:right w:val="nil"/>
            </w:tcBorders>
            <w:shd w:val="clear" w:color="000000" w:fill="C6EFCE"/>
            <w:noWrap/>
            <w:vAlign w:val="bottom"/>
          </w:tcPr>
          <w:p w14:paraId="1B14A139" w14:textId="3924BDAC"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3 960</w:t>
            </w:r>
          </w:p>
        </w:tc>
        <w:tc>
          <w:tcPr>
            <w:tcW w:w="782" w:type="dxa"/>
            <w:tcBorders>
              <w:top w:val="nil"/>
              <w:left w:val="nil"/>
              <w:bottom w:val="nil"/>
              <w:right w:val="nil"/>
            </w:tcBorders>
            <w:shd w:val="clear" w:color="000000" w:fill="C6EFCE"/>
            <w:noWrap/>
            <w:vAlign w:val="bottom"/>
          </w:tcPr>
          <w:p w14:paraId="0179BE09" w14:textId="518D41FB"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5 569</w:t>
            </w:r>
          </w:p>
        </w:tc>
        <w:tc>
          <w:tcPr>
            <w:tcW w:w="781" w:type="dxa"/>
            <w:tcBorders>
              <w:top w:val="nil"/>
              <w:left w:val="nil"/>
              <w:bottom w:val="nil"/>
              <w:right w:val="nil"/>
            </w:tcBorders>
            <w:shd w:val="clear" w:color="000000" w:fill="C6EFCE"/>
            <w:noWrap/>
            <w:vAlign w:val="bottom"/>
          </w:tcPr>
          <w:p w14:paraId="367C06D5" w14:textId="33291380"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5 973</w:t>
            </w:r>
          </w:p>
        </w:tc>
        <w:tc>
          <w:tcPr>
            <w:tcW w:w="782" w:type="dxa"/>
            <w:tcBorders>
              <w:top w:val="nil"/>
              <w:left w:val="nil"/>
              <w:bottom w:val="nil"/>
              <w:right w:val="nil"/>
            </w:tcBorders>
            <w:shd w:val="clear" w:color="000000" w:fill="C6EFCE"/>
            <w:noWrap/>
            <w:vAlign w:val="bottom"/>
          </w:tcPr>
          <w:p w14:paraId="4F1EEF9F" w14:textId="49DDDCC2"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1 063</w:t>
            </w:r>
          </w:p>
        </w:tc>
        <w:tc>
          <w:tcPr>
            <w:tcW w:w="781" w:type="dxa"/>
            <w:tcBorders>
              <w:top w:val="nil"/>
              <w:left w:val="nil"/>
              <w:bottom w:val="nil"/>
              <w:right w:val="nil"/>
            </w:tcBorders>
            <w:shd w:val="clear" w:color="000000" w:fill="C6EFCE"/>
            <w:noWrap/>
            <w:vAlign w:val="bottom"/>
          </w:tcPr>
          <w:p w14:paraId="70DB8EAF" w14:textId="5F6ACE59"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7 505</w:t>
            </w:r>
          </w:p>
        </w:tc>
        <w:tc>
          <w:tcPr>
            <w:tcW w:w="782" w:type="dxa"/>
            <w:tcBorders>
              <w:top w:val="nil"/>
              <w:left w:val="nil"/>
              <w:bottom w:val="nil"/>
              <w:right w:val="nil"/>
            </w:tcBorders>
            <w:shd w:val="clear" w:color="000000" w:fill="C6EFCE"/>
            <w:noWrap/>
            <w:vAlign w:val="bottom"/>
          </w:tcPr>
          <w:p w14:paraId="31FDCD4E" w14:textId="1F7B1E4D"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17 790</w:t>
            </w:r>
          </w:p>
        </w:tc>
        <w:tc>
          <w:tcPr>
            <w:tcW w:w="781" w:type="dxa"/>
            <w:tcBorders>
              <w:top w:val="nil"/>
              <w:left w:val="nil"/>
              <w:bottom w:val="nil"/>
              <w:right w:val="nil"/>
            </w:tcBorders>
            <w:shd w:val="clear" w:color="000000" w:fill="C6EFCE"/>
            <w:noWrap/>
            <w:vAlign w:val="bottom"/>
          </w:tcPr>
          <w:p w14:paraId="70B9FB61" w14:textId="51462E03"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1 538</w:t>
            </w:r>
          </w:p>
        </w:tc>
        <w:tc>
          <w:tcPr>
            <w:tcW w:w="782" w:type="dxa"/>
            <w:tcBorders>
              <w:top w:val="nil"/>
              <w:left w:val="nil"/>
              <w:bottom w:val="nil"/>
              <w:right w:val="nil"/>
            </w:tcBorders>
            <w:shd w:val="clear" w:color="000000" w:fill="C6EFCE"/>
            <w:noWrap/>
            <w:vAlign w:val="bottom"/>
          </w:tcPr>
          <w:p w14:paraId="29EDB479" w14:textId="0C601238"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4</w:t>
            </w:r>
          </w:p>
        </w:tc>
        <w:tc>
          <w:tcPr>
            <w:tcW w:w="781" w:type="dxa"/>
            <w:tcBorders>
              <w:top w:val="nil"/>
              <w:left w:val="nil"/>
              <w:bottom w:val="nil"/>
              <w:right w:val="nil"/>
            </w:tcBorders>
            <w:shd w:val="clear" w:color="000000" w:fill="C6EFCE"/>
            <w:noWrap/>
            <w:vAlign w:val="bottom"/>
          </w:tcPr>
          <w:p w14:paraId="1F313FBB" w14:textId="5CA79BC0"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5 151</w:t>
            </w:r>
          </w:p>
        </w:tc>
        <w:tc>
          <w:tcPr>
            <w:tcW w:w="782" w:type="dxa"/>
            <w:tcBorders>
              <w:top w:val="nil"/>
              <w:left w:val="nil"/>
              <w:bottom w:val="nil"/>
              <w:right w:val="nil"/>
            </w:tcBorders>
            <w:shd w:val="clear" w:color="000000" w:fill="C6EFCE"/>
            <w:noWrap/>
            <w:vAlign w:val="bottom"/>
          </w:tcPr>
          <w:p w14:paraId="3F669E22" w14:textId="250EF170"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607</w:t>
            </w:r>
          </w:p>
        </w:tc>
        <w:tc>
          <w:tcPr>
            <w:tcW w:w="781" w:type="dxa"/>
            <w:tcBorders>
              <w:top w:val="nil"/>
              <w:left w:val="nil"/>
              <w:bottom w:val="nil"/>
              <w:right w:val="nil"/>
            </w:tcBorders>
            <w:shd w:val="clear" w:color="000000" w:fill="C6EFCE"/>
            <w:noWrap/>
            <w:vAlign w:val="bottom"/>
          </w:tcPr>
          <w:p w14:paraId="5ECD56D7" w14:textId="4951239D"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5 036</w:t>
            </w:r>
          </w:p>
        </w:tc>
        <w:tc>
          <w:tcPr>
            <w:tcW w:w="782" w:type="dxa"/>
            <w:tcBorders>
              <w:top w:val="nil"/>
              <w:left w:val="nil"/>
              <w:bottom w:val="nil"/>
              <w:right w:val="nil"/>
            </w:tcBorders>
            <w:shd w:val="clear" w:color="000000" w:fill="C6EFCE"/>
            <w:noWrap/>
            <w:vAlign w:val="bottom"/>
          </w:tcPr>
          <w:p w14:paraId="068963CE" w14:textId="48D01447"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207</w:t>
            </w:r>
          </w:p>
        </w:tc>
        <w:tc>
          <w:tcPr>
            <w:tcW w:w="781" w:type="dxa"/>
            <w:tcBorders>
              <w:top w:val="nil"/>
              <w:left w:val="nil"/>
              <w:bottom w:val="nil"/>
              <w:right w:val="nil"/>
            </w:tcBorders>
            <w:shd w:val="clear" w:color="000000" w:fill="C6EFCE"/>
            <w:noWrap/>
            <w:vAlign w:val="bottom"/>
          </w:tcPr>
          <w:p w14:paraId="5FC68650" w14:textId="71A6C440"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3 221</w:t>
            </w:r>
          </w:p>
        </w:tc>
        <w:tc>
          <w:tcPr>
            <w:tcW w:w="782" w:type="dxa"/>
            <w:tcBorders>
              <w:top w:val="nil"/>
              <w:left w:val="nil"/>
              <w:bottom w:val="nil"/>
              <w:right w:val="nil"/>
            </w:tcBorders>
            <w:shd w:val="clear" w:color="000000" w:fill="C6EFCE"/>
            <w:noWrap/>
            <w:vAlign w:val="bottom"/>
          </w:tcPr>
          <w:p w14:paraId="5E1B98E8" w14:textId="25C3D100"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798</w:t>
            </w:r>
          </w:p>
        </w:tc>
        <w:tc>
          <w:tcPr>
            <w:tcW w:w="781" w:type="dxa"/>
            <w:tcBorders>
              <w:top w:val="nil"/>
              <w:left w:val="nil"/>
              <w:bottom w:val="nil"/>
              <w:right w:val="nil"/>
            </w:tcBorders>
            <w:shd w:val="clear" w:color="000000" w:fill="C6EFCE"/>
            <w:noWrap/>
            <w:vAlign w:val="bottom"/>
          </w:tcPr>
          <w:p w14:paraId="63C5E10F" w14:textId="6435A951"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43 315</w:t>
            </w:r>
          </w:p>
        </w:tc>
        <w:tc>
          <w:tcPr>
            <w:tcW w:w="782" w:type="dxa"/>
            <w:tcBorders>
              <w:top w:val="nil"/>
              <w:left w:val="nil"/>
              <w:bottom w:val="nil"/>
              <w:right w:val="nil"/>
            </w:tcBorders>
            <w:shd w:val="clear" w:color="000000" w:fill="C6EFCE"/>
            <w:noWrap/>
            <w:vAlign w:val="bottom"/>
          </w:tcPr>
          <w:p w14:paraId="3957E20D" w14:textId="79AD6ABA" w:rsidR="00152638" w:rsidRPr="00152638" w:rsidRDefault="00152638" w:rsidP="00A9200B">
            <w:pPr>
              <w:jc w:val="right"/>
              <w:rPr>
                <w:rFonts w:ascii="Calibri" w:hAnsi="Calibri" w:cs="Calibri"/>
                <w:b/>
                <w:bCs/>
                <w:color w:val="006100"/>
                <w:sz w:val="18"/>
                <w:szCs w:val="18"/>
              </w:rPr>
            </w:pPr>
            <w:r w:rsidRPr="00152638">
              <w:rPr>
                <w:rFonts w:ascii="Calibri" w:hAnsi="Calibri" w:cs="Calibri"/>
                <w:color w:val="006100"/>
                <w:sz w:val="18"/>
                <w:szCs w:val="18"/>
              </w:rPr>
              <w:t>105 265</w:t>
            </w:r>
          </w:p>
        </w:tc>
      </w:tr>
      <w:tr w:rsidR="00152638" w:rsidRPr="00B86DA9" w14:paraId="0A23AA32" w14:textId="77777777" w:rsidTr="00A9200B">
        <w:trPr>
          <w:trHeight w:val="420"/>
        </w:trPr>
        <w:tc>
          <w:tcPr>
            <w:tcW w:w="465" w:type="dxa"/>
            <w:tcBorders>
              <w:top w:val="nil"/>
              <w:left w:val="nil"/>
              <w:bottom w:val="nil"/>
              <w:right w:val="nil"/>
            </w:tcBorders>
            <w:shd w:val="clear" w:color="000000" w:fill="FFFFFF"/>
            <w:noWrap/>
            <w:vAlign w:val="bottom"/>
            <w:hideMark/>
          </w:tcPr>
          <w:p w14:paraId="29655FD0" w14:textId="77777777" w:rsidR="00152638" w:rsidRPr="00B86DA9" w:rsidRDefault="00152638" w:rsidP="00152638">
            <w:pPr>
              <w:jc w:val="right"/>
              <w:rPr>
                <w:rFonts w:ascii="Calibri" w:hAnsi="Calibri" w:cs="Calibri"/>
                <w:b/>
                <w:bCs/>
                <w:color w:val="000000"/>
                <w:sz w:val="16"/>
                <w:szCs w:val="16"/>
              </w:rPr>
            </w:pPr>
            <w:r w:rsidRPr="00B86DA9">
              <w:rPr>
                <w:rFonts w:ascii="Calibri" w:hAnsi="Calibri" w:cs="Calibri"/>
                <w:b/>
                <w:bCs/>
                <w:color w:val="000000"/>
                <w:sz w:val="16"/>
                <w:szCs w:val="16"/>
              </w:rPr>
              <w:t>2016</w:t>
            </w:r>
          </w:p>
        </w:tc>
        <w:tc>
          <w:tcPr>
            <w:tcW w:w="781" w:type="dxa"/>
            <w:tcBorders>
              <w:top w:val="nil"/>
              <w:left w:val="nil"/>
              <w:bottom w:val="nil"/>
              <w:right w:val="nil"/>
            </w:tcBorders>
            <w:shd w:val="clear" w:color="000000" w:fill="C6EFCE"/>
            <w:noWrap/>
            <w:vAlign w:val="bottom"/>
          </w:tcPr>
          <w:p w14:paraId="31196B08" w14:textId="0CE46DC4"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3 480</w:t>
            </w:r>
          </w:p>
        </w:tc>
        <w:tc>
          <w:tcPr>
            <w:tcW w:w="781" w:type="dxa"/>
            <w:tcBorders>
              <w:top w:val="nil"/>
              <w:left w:val="nil"/>
              <w:bottom w:val="nil"/>
              <w:right w:val="nil"/>
            </w:tcBorders>
            <w:shd w:val="clear" w:color="000000" w:fill="C6EFCE"/>
            <w:noWrap/>
            <w:vAlign w:val="bottom"/>
          </w:tcPr>
          <w:p w14:paraId="372BDBC9" w14:textId="3253A5FC"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3 979</w:t>
            </w:r>
          </w:p>
        </w:tc>
        <w:tc>
          <w:tcPr>
            <w:tcW w:w="782" w:type="dxa"/>
            <w:tcBorders>
              <w:top w:val="nil"/>
              <w:left w:val="nil"/>
              <w:bottom w:val="nil"/>
              <w:right w:val="nil"/>
            </w:tcBorders>
            <w:shd w:val="clear" w:color="000000" w:fill="C6EFCE"/>
            <w:noWrap/>
            <w:vAlign w:val="bottom"/>
          </w:tcPr>
          <w:p w14:paraId="289B8B9B" w14:textId="4E138DB6"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6 333</w:t>
            </w:r>
          </w:p>
        </w:tc>
        <w:tc>
          <w:tcPr>
            <w:tcW w:w="781" w:type="dxa"/>
            <w:tcBorders>
              <w:top w:val="nil"/>
              <w:left w:val="nil"/>
              <w:bottom w:val="nil"/>
              <w:right w:val="nil"/>
            </w:tcBorders>
            <w:shd w:val="clear" w:color="000000" w:fill="C6EFCE"/>
            <w:noWrap/>
            <w:vAlign w:val="bottom"/>
          </w:tcPr>
          <w:p w14:paraId="72478E20" w14:textId="5F305ECD"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6 326</w:t>
            </w:r>
          </w:p>
        </w:tc>
        <w:tc>
          <w:tcPr>
            <w:tcW w:w="782" w:type="dxa"/>
            <w:tcBorders>
              <w:top w:val="nil"/>
              <w:left w:val="nil"/>
              <w:bottom w:val="nil"/>
              <w:right w:val="nil"/>
            </w:tcBorders>
            <w:shd w:val="clear" w:color="000000" w:fill="C6EFCE"/>
            <w:noWrap/>
            <w:vAlign w:val="bottom"/>
          </w:tcPr>
          <w:p w14:paraId="3E245324" w14:textId="5DB1B696"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1 139</w:t>
            </w:r>
          </w:p>
        </w:tc>
        <w:tc>
          <w:tcPr>
            <w:tcW w:w="781" w:type="dxa"/>
            <w:tcBorders>
              <w:top w:val="nil"/>
              <w:left w:val="nil"/>
              <w:bottom w:val="nil"/>
              <w:right w:val="nil"/>
            </w:tcBorders>
            <w:shd w:val="clear" w:color="000000" w:fill="C6EFCE"/>
            <w:noWrap/>
            <w:vAlign w:val="bottom"/>
          </w:tcPr>
          <w:p w14:paraId="12966D1D" w14:textId="05B689B6"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7 180</w:t>
            </w:r>
          </w:p>
        </w:tc>
        <w:tc>
          <w:tcPr>
            <w:tcW w:w="782" w:type="dxa"/>
            <w:tcBorders>
              <w:top w:val="nil"/>
              <w:left w:val="nil"/>
              <w:bottom w:val="nil"/>
              <w:right w:val="nil"/>
            </w:tcBorders>
            <w:shd w:val="clear" w:color="000000" w:fill="C6EFCE"/>
            <w:noWrap/>
            <w:vAlign w:val="bottom"/>
          </w:tcPr>
          <w:p w14:paraId="2FE4ADA1" w14:textId="46CDD033"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15 634</w:t>
            </w:r>
          </w:p>
        </w:tc>
        <w:tc>
          <w:tcPr>
            <w:tcW w:w="781" w:type="dxa"/>
            <w:tcBorders>
              <w:top w:val="nil"/>
              <w:left w:val="nil"/>
              <w:bottom w:val="nil"/>
              <w:right w:val="nil"/>
            </w:tcBorders>
            <w:shd w:val="clear" w:color="000000" w:fill="C6EFCE"/>
            <w:noWrap/>
            <w:vAlign w:val="bottom"/>
          </w:tcPr>
          <w:p w14:paraId="72E5C6E3" w14:textId="60B9207F"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1 451</w:t>
            </w:r>
          </w:p>
        </w:tc>
        <w:tc>
          <w:tcPr>
            <w:tcW w:w="782" w:type="dxa"/>
            <w:tcBorders>
              <w:top w:val="nil"/>
              <w:left w:val="nil"/>
              <w:bottom w:val="nil"/>
              <w:right w:val="nil"/>
            </w:tcBorders>
            <w:shd w:val="clear" w:color="000000" w:fill="FFC7CE"/>
            <w:noWrap/>
            <w:vAlign w:val="bottom"/>
          </w:tcPr>
          <w:p w14:paraId="740BE4A7" w14:textId="39209E86" w:rsidR="00152638" w:rsidRPr="00152638" w:rsidRDefault="00152638" w:rsidP="00A9200B">
            <w:pPr>
              <w:jc w:val="right"/>
              <w:rPr>
                <w:rFonts w:ascii="Calibri" w:hAnsi="Calibri" w:cs="Calibri"/>
                <w:color w:val="9C0006"/>
                <w:sz w:val="18"/>
                <w:szCs w:val="18"/>
              </w:rPr>
            </w:pPr>
            <w:r w:rsidRPr="00152638">
              <w:rPr>
                <w:rFonts w:ascii="Calibri" w:hAnsi="Calibri" w:cs="Calibri"/>
                <w:color w:val="9C0006"/>
                <w:sz w:val="18"/>
                <w:szCs w:val="18"/>
              </w:rPr>
              <w:t>-165</w:t>
            </w:r>
          </w:p>
        </w:tc>
        <w:tc>
          <w:tcPr>
            <w:tcW w:w="781" w:type="dxa"/>
            <w:tcBorders>
              <w:top w:val="nil"/>
              <w:left w:val="nil"/>
              <w:bottom w:val="nil"/>
              <w:right w:val="nil"/>
            </w:tcBorders>
            <w:shd w:val="clear" w:color="000000" w:fill="C6EFCE"/>
            <w:noWrap/>
            <w:vAlign w:val="bottom"/>
          </w:tcPr>
          <w:p w14:paraId="074FD3FB" w14:textId="336E5438"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5 561</w:t>
            </w:r>
          </w:p>
        </w:tc>
        <w:tc>
          <w:tcPr>
            <w:tcW w:w="782" w:type="dxa"/>
            <w:tcBorders>
              <w:top w:val="nil"/>
              <w:left w:val="nil"/>
              <w:bottom w:val="nil"/>
              <w:right w:val="nil"/>
            </w:tcBorders>
            <w:shd w:val="clear" w:color="000000" w:fill="C6EFCE"/>
            <w:noWrap/>
            <w:vAlign w:val="bottom"/>
          </w:tcPr>
          <w:p w14:paraId="1C83FAA9" w14:textId="2AA1C482"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525</w:t>
            </w:r>
          </w:p>
        </w:tc>
        <w:tc>
          <w:tcPr>
            <w:tcW w:w="781" w:type="dxa"/>
            <w:tcBorders>
              <w:top w:val="nil"/>
              <w:left w:val="nil"/>
              <w:bottom w:val="nil"/>
              <w:right w:val="nil"/>
            </w:tcBorders>
            <w:shd w:val="clear" w:color="000000" w:fill="C6EFCE"/>
            <w:noWrap/>
            <w:vAlign w:val="bottom"/>
          </w:tcPr>
          <w:p w14:paraId="0E33DAE6" w14:textId="1AFC72BD"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6 262</w:t>
            </w:r>
          </w:p>
        </w:tc>
        <w:tc>
          <w:tcPr>
            <w:tcW w:w="782" w:type="dxa"/>
            <w:tcBorders>
              <w:top w:val="nil"/>
              <w:left w:val="nil"/>
              <w:bottom w:val="nil"/>
              <w:right w:val="nil"/>
            </w:tcBorders>
            <w:shd w:val="clear" w:color="000000" w:fill="C6EFCE"/>
            <w:noWrap/>
            <w:vAlign w:val="bottom"/>
          </w:tcPr>
          <w:p w14:paraId="76615130" w14:textId="61CA8963"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321</w:t>
            </w:r>
          </w:p>
        </w:tc>
        <w:tc>
          <w:tcPr>
            <w:tcW w:w="781" w:type="dxa"/>
            <w:tcBorders>
              <w:top w:val="nil"/>
              <w:left w:val="nil"/>
              <w:bottom w:val="nil"/>
              <w:right w:val="nil"/>
            </w:tcBorders>
            <w:shd w:val="clear" w:color="000000" w:fill="C6EFCE"/>
            <w:noWrap/>
            <w:vAlign w:val="bottom"/>
          </w:tcPr>
          <w:p w14:paraId="0E74A204" w14:textId="320574CE"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3 747</w:t>
            </w:r>
          </w:p>
        </w:tc>
        <w:tc>
          <w:tcPr>
            <w:tcW w:w="782" w:type="dxa"/>
            <w:tcBorders>
              <w:top w:val="nil"/>
              <w:left w:val="nil"/>
              <w:bottom w:val="nil"/>
              <w:right w:val="nil"/>
            </w:tcBorders>
            <w:shd w:val="clear" w:color="000000" w:fill="C6EFCE"/>
            <w:noWrap/>
            <w:vAlign w:val="bottom"/>
          </w:tcPr>
          <w:p w14:paraId="2B78256F" w14:textId="165ED483"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897</w:t>
            </w:r>
          </w:p>
        </w:tc>
        <w:tc>
          <w:tcPr>
            <w:tcW w:w="781" w:type="dxa"/>
            <w:tcBorders>
              <w:top w:val="nil"/>
              <w:left w:val="nil"/>
              <w:bottom w:val="nil"/>
              <w:right w:val="nil"/>
            </w:tcBorders>
            <w:shd w:val="clear" w:color="000000" w:fill="C6EFCE"/>
            <w:noWrap/>
            <w:vAlign w:val="bottom"/>
          </w:tcPr>
          <w:p w14:paraId="3B40CCB8" w14:textId="4F0B589E"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48 751</w:t>
            </w:r>
          </w:p>
        </w:tc>
        <w:tc>
          <w:tcPr>
            <w:tcW w:w="782" w:type="dxa"/>
            <w:tcBorders>
              <w:top w:val="nil"/>
              <w:left w:val="nil"/>
              <w:bottom w:val="nil"/>
              <w:right w:val="nil"/>
            </w:tcBorders>
            <w:shd w:val="clear" w:color="000000" w:fill="C6EFCE"/>
            <w:noWrap/>
            <w:vAlign w:val="bottom"/>
          </w:tcPr>
          <w:p w14:paraId="3FFA8DEE" w14:textId="015373A1" w:rsidR="00152638" w:rsidRPr="00152638" w:rsidRDefault="00152638" w:rsidP="00A9200B">
            <w:pPr>
              <w:jc w:val="right"/>
              <w:rPr>
                <w:rFonts w:ascii="Calibri" w:hAnsi="Calibri" w:cs="Calibri"/>
                <w:b/>
                <w:bCs/>
                <w:color w:val="006100"/>
                <w:sz w:val="18"/>
                <w:szCs w:val="18"/>
              </w:rPr>
            </w:pPr>
            <w:r w:rsidRPr="00152638">
              <w:rPr>
                <w:rFonts w:ascii="Calibri" w:hAnsi="Calibri" w:cs="Calibri"/>
                <w:color w:val="006100"/>
                <w:sz w:val="18"/>
                <w:szCs w:val="18"/>
              </w:rPr>
              <w:t>111 421</w:t>
            </w:r>
          </w:p>
        </w:tc>
      </w:tr>
      <w:tr w:rsidR="00152638" w:rsidRPr="00B86DA9" w14:paraId="2825C530" w14:textId="77777777" w:rsidTr="00A9200B">
        <w:trPr>
          <w:trHeight w:val="420"/>
        </w:trPr>
        <w:tc>
          <w:tcPr>
            <w:tcW w:w="465" w:type="dxa"/>
            <w:tcBorders>
              <w:top w:val="nil"/>
              <w:left w:val="nil"/>
              <w:bottom w:val="nil"/>
              <w:right w:val="nil"/>
            </w:tcBorders>
            <w:shd w:val="clear" w:color="000000" w:fill="FFFFFF"/>
            <w:noWrap/>
            <w:vAlign w:val="bottom"/>
            <w:hideMark/>
          </w:tcPr>
          <w:p w14:paraId="154505A0" w14:textId="77777777" w:rsidR="00152638" w:rsidRPr="00B86DA9" w:rsidRDefault="00152638" w:rsidP="00152638">
            <w:pPr>
              <w:jc w:val="right"/>
              <w:rPr>
                <w:rFonts w:ascii="Calibri" w:hAnsi="Calibri" w:cs="Calibri"/>
                <w:b/>
                <w:bCs/>
                <w:color w:val="000000"/>
                <w:sz w:val="16"/>
                <w:szCs w:val="16"/>
              </w:rPr>
            </w:pPr>
            <w:r w:rsidRPr="00B86DA9">
              <w:rPr>
                <w:rFonts w:ascii="Calibri" w:hAnsi="Calibri" w:cs="Calibri"/>
                <w:b/>
                <w:bCs/>
                <w:color w:val="000000"/>
                <w:sz w:val="16"/>
                <w:szCs w:val="16"/>
              </w:rPr>
              <w:t>2017</w:t>
            </w:r>
          </w:p>
        </w:tc>
        <w:tc>
          <w:tcPr>
            <w:tcW w:w="781" w:type="dxa"/>
            <w:tcBorders>
              <w:top w:val="nil"/>
              <w:left w:val="nil"/>
              <w:bottom w:val="nil"/>
              <w:right w:val="nil"/>
            </w:tcBorders>
            <w:shd w:val="clear" w:color="000000" w:fill="C6EFCE"/>
            <w:noWrap/>
            <w:vAlign w:val="bottom"/>
          </w:tcPr>
          <w:p w14:paraId="13F58D37" w14:textId="79878CE0"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3 641</w:t>
            </w:r>
          </w:p>
        </w:tc>
        <w:tc>
          <w:tcPr>
            <w:tcW w:w="781" w:type="dxa"/>
            <w:tcBorders>
              <w:top w:val="nil"/>
              <w:left w:val="nil"/>
              <w:bottom w:val="nil"/>
              <w:right w:val="nil"/>
            </w:tcBorders>
            <w:shd w:val="clear" w:color="000000" w:fill="C6EFCE"/>
            <w:noWrap/>
            <w:vAlign w:val="bottom"/>
          </w:tcPr>
          <w:p w14:paraId="4E373266" w14:textId="60345FB7"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4 219</w:t>
            </w:r>
          </w:p>
        </w:tc>
        <w:tc>
          <w:tcPr>
            <w:tcW w:w="782" w:type="dxa"/>
            <w:tcBorders>
              <w:top w:val="nil"/>
              <w:left w:val="nil"/>
              <w:bottom w:val="nil"/>
              <w:right w:val="nil"/>
            </w:tcBorders>
            <w:shd w:val="clear" w:color="000000" w:fill="C6EFCE"/>
            <w:noWrap/>
            <w:vAlign w:val="bottom"/>
          </w:tcPr>
          <w:p w14:paraId="36954E78" w14:textId="5448DBE7"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7 143</w:t>
            </w:r>
          </w:p>
        </w:tc>
        <w:tc>
          <w:tcPr>
            <w:tcW w:w="781" w:type="dxa"/>
            <w:tcBorders>
              <w:top w:val="nil"/>
              <w:left w:val="nil"/>
              <w:bottom w:val="nil"/>
              <w:right w:val="nil"/>
            </w:tcBorders>
            <w:shd w:val="clear" w:color="000000" w:fill="C6EFCE"/>
            <w:noWrap/>
            <w:vAlign w:val="bottom"/>
          </w:tcPr>
          <w:p w14:paraId="18F01C26" w14:textId="0A290064"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6 650</w:t>
            </w:r>
          </w:p>
        </w:tc>
        <w:tc>
          <w:tcPr>
            <w:tcW w:w="782" w:type="dxa"/>
            <w:tcBorders>
              <w:top w:val="nil"/>
              <w:left w:val="nil"/>
              <w:bottom w:val="nil"/>
              <w:right w:val="nil"/>
            </w:tcBorders>
            <w:shd w:val="clear" w:color="000000" w:fill="C6EFCE"/>
            <w:noWrap/>
            <w:vAlign w:val="bottom"/>
          </w:tcPr>
          <w:p w14:paraId="4E74AD61" w14:textId="6200BD24"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1 020</w:t>
            </w:r>
          </w:p>
        </w:tc>
        <w:tc>
          <w:tcPr>
            <w:tcW w:w="781" w:type="dxa"/>
            <w:tcBorders>
              <w:top w:val="nil"/>
              <w:left w:val="nil"/>
              <w:bottom w:val="nil"/>
              <w:right w:val="nil"/>
            </w:tcBorders>
            <w:shd w:val="clear" w:color="000000" w:fill="C6EFCE"/>
            <w:noWrap/>
            <w:vAlign w:val="bottom"/>
          </w:tcPr>
          <w:p w14:paraId="6D2C3854" w14:textId="5164EC7D"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7 135</w:t>
            </w:r>
          </w:p>
        </w:tc>
        <w:tc>
          <w:tcPr>
            <w:tcW w:w="782" w:type="dxa"/>
            <w:tcBorders>
              <w:top w:val="nil"/>
              <w:left w:val="nil"/>
              <w:bottom w:val="nil"/>
              <w:right w:val="nil"/>
            </w:tcBorders>
            <w:shd w:val="clear" w:color="000000" w:fill="C6EFCE"/>
            <w:noWrap/>
            <w:vAlign w:val="bottom"/>
          </w:tcPr>
          <w:p w14:paraId="5479E367" w14:textId="27D14C28"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17 789</w:t>
            </w:r>
          </w:p>
        </w:tc>
        <w:tc>
          <w:tcPr>
            <w:tcW w:w="781" w:type="dxa"/>
            <w:tcBorders>
              <w:top w:val="nil"/>
              <w:left w:val="nil"/>
              <w:bottom w:val="nil"/>
              <w:right w:val="nil"/>
            </w:tcBorders>
            <w:shd w:val="clear" w:color="000000" w:fill="C6EFCE"/>
            <w:noWrap/>
            <w:vAlign w:val="bottom"/>
          </w:tcPr>
          <w:p w14:paraId="6315CE0B" w14:textId="23635EB8"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1 620</w:t>
            </w:r>
          </w:p>
        </w:tc>
        <w:tc>
          <w:tcPr>
            <w:tcW w:w="782" w:type="dxa"/>
            <w:tcBorders>
              <w:top w:val="nil"/>
              <w:left w:val="nil"/>
              <w:bottom w:val="nil"/>
              <w:right w:val="nil"/>
            </w:tcBorders>
            <w:shd w:val="clear" w:color="000000" w:fill="FFC7CE"/>
            <w:noWrap/>
            <w:vAlign w:val="bottom"/>
          </w:tcPr>
          <w:p w14:paraId="568E5DDA" w14:textId="3635778F" w:rsidR="00152638" w:rsidRPr="00152638" w:rsidRDefault="00152638" w:rsidP="00A9200B">
            <w:pPr>
              <w:jc w:val="right"/>
              <w:rPr>
                <w:rFonts w:ascii="Calibri" w:hAnsi="Calibri" w:cs="Calibri"/>
                <w:color w:val="9C0006"/>
                <w:sz w:val="18"/>
                <w:szCs w:val="18"/>
              </w:rPr>
            </w:pPr>
            <w:r w:rsidRPr="00152638">
              <w:rPr>
                <w:rFonts w:ascii="Calibri" w:hAnsi="Calibri" w:cs="Calibri"/>
                <w:color w:val="9C0006"/>
                <w:sz w:val="18"/>
                <w:szCs w:val="18"/>
              </w:rPr>
              <w:t>-86</w:t>
            </w:r>
          </w:p>
        </w:tc>
        <w:tc>
          <w:tcPr>
            <w:tcW w:w="781" w:type="dxa"/>
            <w:tcBorders>
              <w:top w:val="nil"/>
              <w:left w:val="nil"/>
              <w:bottom w:val="nil"/>
              <w:right w:val="nil"/>
            </w:tcBorders>
            <w:shd w:val="clear" w:color="000000" w:fill="C6EFCE"/>
            <w:noWrap/>
            <w:vAlign w:val="bottom"/>
          </w:tcPr>
          <w:p w14:paraId="2EB35694" w14:textId="3C388410"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6 173</w:t>
            </w:r>
          </w:p>
        </w:tc>
        <w:tc>
          <w:tcPr>
            <w:tcW w:w="782" w:type="dxa"/>
            <w:tcBorders>
              <w:top w:val="nil"/>
              <w:left w:val="nil"/>
              <w:bottom w:val="nil"/>
              <w:right w:val="nil"/>
            </w:tcBorders>
            <w:shd w:val="clear" w:color="000000" w:fill="C6EFCE"/>
            <w:noWrap/>
            <w:vAlign w:val="bottom"/>
          </w:tcPr>
          <w:p w14:paraId="310D3233" w14:textId="5F2F2EDB"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668</w:t>
            </w:r>
          </w:p>
        </w:tc>
        <w:tc>
          <w:tcPr>
            <w:tcW w:w="781" w:type="dxa"/>
            <w:tcBorders>
              <w:top w:val="nil"/>
              <w:left w:val="nil"/>
              <w:bottom w:val="nil"/>
              <w:right w:val="nil"/>
            </w:tcBorders>
            <w:shd w:val="clear" w:color="000000" w:fill="C6EFCE"/>
            <w:noWrap/>
            <w:vAlign w:val="bottom"/>
          </w:tcPr>
          <w:p w14:paraId="624B9E79" w14:textId="3025679E"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6 709</w:t>
            </w:r>
          </w:p>
        </w:tc>
        <w:tc>
          <w:tcPr>
            <w:tcW w:w="782" w:type="dxa"/>
            <w:tcBorders>
              <w:top w:val="nil"/>
              <w:left w:val="nil"/>
              <w:bottom w:val="nil"/>
              <w:right w:val="nil"/>
            </w:tcBorders>
            <w:shd w:val="clear" w:color="000000" w:fill="C6EFCE"/>
            <w:noWrap/>
            <w:vAlign w:val="bottom"/>
          </w:tcPr>
          <w:p w14:paraId="0A0B80E5" w14:textId="2604ECFF"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307</w:t>
            </w:r>
          </w:p>
        </w:tc>
        <w:tc>
          <w:tcPr>
            <w:tcW w:w="781" w:type="dxa"/>
            <w:tcBorders>
              <w:top w:val="nil"/>
              <w:left w:val="nil"/>
              <w:bottom w:val="nil"/>
              <w:right w:val="nil"/>
            </w:tcBorders>
            <w:shd w:val="clear" w:color="000000" w:fill="C6EFCE"/>
            <w:noWrap/>
            <w:vAlign w:val="bottom"/>
          </w:tcPr>
          <w:p w14:paraId="765C8B1C" w14:textId="2604A8E3"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4 364</w:t>
            </w:r>
          </w:p>
        </w:tc>
        <w:tc>
          <w:tcPr>
            <w:tcW w:w="782" w:type="dxa"/>
            <w:tcBorders>
              <w:top w:val="nil"/>
              <w:left w:val="nil"/>
              <w:bottom w:val="nil"/>
              <w:right w:val="nil"/>
            </w:tcBorders>
            <w:shd w:val="clear" w:color="000000" w:fill="C6EFCE"/>
            <w:noWrap/>
            <w:vAlign w:val="bottom"/>
          </w:tcPr>
          <w:p w14:paraId="57519AAB" w14:textId="1BCFD36D"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856</w:t>
            </w:r>
          </w:p>
        </w:tc>
        <w:tc>
          <w:tcPr>
            <w:tcW w:w="781" w:type="dxa"/>
            <w:tcBorders>
              <w:top w:val="nil"/>
              <w:left w:val="nil"/>
              <w:bottom w:val="nil"/>
              <w:right w:val="nil"/>
            </w:tcBorders>
            <w:shd w:val="clear" w:color="000000" w:fill="C6EFCE"/>
            <w:noWrap/>
            <w:vAlign w:val="bottom"/>
          </w:tcPr>
          <w:p w14:paraId="70A788BB" w14:textId="0EEEB09A"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51 789</w:t>
            </w:r>
          </w:p>
        </w:tc>
        <w:tc>
          <w:tcPr>
            <w:tcW w:w="782" w:type="dxa"/>
            <w:tcBorders>
              <w:top w:val="nil"/>
              <w:left w:val="nil"/>
              <w:bottom w:val="nil"/>
              <w:right w:val="nil"/>
            </w:tcBorders>
            <w:shd w:val="clear" w:color="000000" w:fill="C6EFCE"/>
            <w:noWrap/>
            <w:vAlign w:val="bottom"/>
          </w:tcPr>
          <w:p w14:paraId="66355C60" w14:textId="75F9B9AA" w:rsidR="00152638" w:rsidRPr="00152638" w:rsidRDefault="00152638" w:rsidP="00A9200B">
            <w:pPr>
              <w:jc w:val="right"/>
              <w:rPr>
                <w:rFonts w:ascii="Calibri" w:hAnsi="Calibri" w:cs="Calibri"/>
                <w:b/>
                <w:bCs/>
                <w:color w:val="006100"/>
                <w:sz w:val="18"/>
                <w:szCs w:val="18"/>
              </w:rPr>
            </w:pPr>
            <w:r w:rsidRPr="00152638">
              <w:rPr>
                <w:rFonts w:ascii="Calibri" w:hAnsi="Calibri" w:cs="Calibri"/>
                <w:color w:val="006100"/>
                <w:sz w:val="18"/>
                <w:szCs w:val="18"/>
              </w:rPr>
              <w:t>119 997</w:t>
            </w:r>
          </w:p>
        </w:tc>
      </w:tr>
      <w:tr w:rsidR="00152638" w:rsidRPr="00B86DA9" w14:paraId="45149072" w14:textId="77777777" w:rsidTr="00A9200B">
        <w:trPr>
          <w:trHeight w:val="420"/>
        </w:trPr>
        <w:tc>
          <w:tcPr>
            <w:tcW w:w="465" w:type="dxa"/>
            <w:tcBorders>
              <w:top w:val="nil"/>
              <w:left w:val="nil"/>
              <w:bottom w:val="nil"/>
              <w:right w:val="nil"/>
            </w:tcBorders>
            <w:shd w:val="clear" w:color="000000" w:fill="FFFFFF"/>
            <w:noWrap/>
            <w:vAlign w:val="bottom"/>
            <w:hideMark/>
          </w:tcPr>
          <w:p w14:paraId="4C0A9502" w14:textId="77777777" w:rsidR="00152638" w:rsidRPr="00B86DA9" w:rsidRDefault="00152638" w:rsidP="00152638">
            <w:pPr>
              <w:jc w:val="right"/>
              <w:rPr>
                <w:rFonts w:ascii="Calibri" w:hAnsi="Calibri" w:cs="Calibri"/>
                <w:b/>
                <w:bCs/>
                <w:color w:val="000000"/>
                <w:sz w:val="16"/>
                <w:szCs w:val="16"/>
              </w:rPr>
            </w:pPr>
            <w:r w:rsidRPr="00B86DA9">
              <w:rPr>
                <w:rFonts w:ascii="Calibri" w:hAnsi="Calibri" w:cs="Calibri"/>
                <w:b/>
                <w:bCs/>
                <w:color w:val="000000"/>
                <w:sz w:val="16"/>
                <w:szCs w:val="16"/>
              </w:rPr>
              <w:t>2018</w:t>
            </w:r>
          </w:p>
        </w:tc>
        <w:tc>
          <w:tcPr>
            <w:tcW w:w="781" w:type="dxa"/>
            <w:tcBorders>
              <w:top w:val="nil"/>
              <w:left w:val="nil"/>
              <w:bottom w:val="nil"/>
              <w:right w:val="nil"/>
            </w:tcBorders>
            <w:shd w:val="clear" w:color="000000" w:fill="C6EFCE"/>
            <w:noWrap/>
            <w:vAlign w:val="bottom"/>
          </w:tcPr>
          <w:p w14:paraId="4D034E02" w14:textId="0854B808"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3 654</w:t>
            </w:r>
          </w:p>
        </w:tc>
        <w:tc>
          <w:tcPr>
            <w:tcW w:w="781" w:type="dxa"/>
            <w:tcBorders>
              <w:top w:val="nil"/>
              <w:left w:val="nil"/>
              <w:bottom w:val="nil"/>
              <w:right w:val="nil"/>
            </w:tcBorders>
            <w:shd w:val="clear" w:color="000000" w:fill="C6EFCE"/>
            <w:noWrap/>
            <w:vAlign w:val="bottom"/>
          </w:tcPr>
          <w:p w14:paraId="12D48C3B" w14:textId="3524B564"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4 354</w:t>
            </w:r>
          </w:p>
        </w:tc>
        <w:tc>
          <w:tcPr>
            <w:tcW w:w="782" w:type="dxa"/>
            <w:tcBorders>
              <w:top w:val="nil"/>
              <w:left w:val="nil"/>
              <w:bottom w:val="nil"/>
              <w:right w:val="nil"/>
            </w:tcBorders>
            <w:shd w:val="clear" w:color="000000" w:fill="C6EFCE"/>
            <w:noWrap/>
            <w:vAlign w:val="bottom"/>
          </w:tcPr>
          <w:p w14:paraId="7F145D51" w14:textId="5C4F96CB"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6 802</w:t>
            </w:r>
          </w:p>
        </w:tc>
        <w:tc>
          <w:tcPr>
            <w:tcW w:w="781" w:type="dxa"/>
            <w:tcBorders>
              <w:top w:val="nil"/>
              <w:left w:val="nil"/>
              <w:bottom w:val="nil"/>
              <w:right w:val="nil"/>
            </w:tcBorders>
            <w:shd w:val="clear" w:color="000000" w:fill="C6EFCE"/>
            <w:noWrap/>
            <w:vAlign w:val="bottom"/>
          </w:tcPr>
          <w:p w14:paraId="4B4CDADF" w14:textId="7458BEF0"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6 630</w:t>
            </w:r>
          </w:p>
        </w:tc>
        <w:tc>
          <w:tcPr>
            <w:tcW w:w="782" w:type="dxa"/>
            <w:tcBorders>
              <w:top w:val="nil"/>
              <w:left w:val="nil"/>
              <w:bottom w:val="nil"/>
              <w:right w:val="nil"/>
            </w:tcBorders>
            <w:shd w:val="clear" w:color="000000" w:fill="C6EFCE"/>
            <w:noWrap/>
            <w:vAlign w:val="bottom"/>
          </w:tcPr>
          <w:p w14:paraId="5E756CF5" w14:textId="0BA1EB30"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666</w:t>
            </w:r>
          </w:p>
        </w:tc>
        <w:tc>
          <w:tcPr>
            <w:tcW w:w="781" w:type="dxa"/>
            <w:tcBorders>
              <w:top w:val="nil"/>
              <w:left w:val="nil"/>
              <w:bottom w:val="nil"/>
              <w:right w:val="nil"/>
            </w:tcBorders>
            <w:shd w:val="clear" w:color="000000" w:fill="C6EFCE"/>
            <w:noWrap/>
            <w:vAlign w:val="bottom"/>
          </w:tcPr>
          <w:p w14:paraId="59E1EBF0" w14:textId="5DC8366D"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6 926</w:t>
            </w:r>
          </w:p>
        </w:tc>
        <w:tc>
          <w:tcPr>
            <w:tcW w:w="782" w:type="dxa"/>
            <w:tcBorders>
              <w:top w:val="nil"/>
              <w:left w:val="nil"/>
              <w:bottom w:val="nil"/>
              <w:right w:val="nil"/>
            </w:tcBorders>
            <w:shd w:val="clear" w:color="000000" w:fill="C6EFCE"/>
            <w:noWrap/>
            <w:vAlign w:val="bottom"/>
          </w:tcPr>
          <w:p w14:paraId="4B253678" w14:textId="64DCD0F5"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18 478</w:t>
            </w:r>
          </w:p>
        </w:tc>
        <w:tc>
          <w:tcPr>
            <w:tcW w:w="781" w:type="dxa"/>
            <w:tcBorders>
              <w:top w:val="nil"/>
              <w:left w:val="nil"/>
              <w:bottom w:val="nil"/>
              <w:right w:val="nil"/>
            </w:tcBorders>
            <w:shd w:val="clear" w:color="000000" w:fill="C6EFCE"/>
            <w:noWrap/>
            <w:vAlign w:val="bottom"/>
          </w:tcPr>
          <w:p w14:paraId="6DA78317" w14:textId="06492D49"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2 015</w:t>
            </w:r>
          </w:p>
        </w:tc>
        <w:tc>
          <w:tcPr>
            <w:tcW w:w="782" w:type="dxa"/>
            <w:tcBorders>
              <w:top w:val="nil"/>
              <w:left w:val="nil"/>
              <w:bottom w:val="nil"/>
              <w:right w:val="nil"/>
            </w:tcBorders>
            <w:shd w:val="clear" w:color="000000" w:fill="C6EFCE"/>
            <w:noWrap/>
            <w:vAlign w:val="bottom"/>
          </w:tcPr>
          <w:p w14:paraId="4E5CFFF7" w14:textId="405AFAAC"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136</w:t>
            </w:r>
          </w:p>
        </w:tc>
        <w:tc>
          <w:tcPr>
            <w:tcW w:w="781" w:type="dxa"/>
            <w:tcBorders>
              <w:top w:val="nil"/>
              <w:left w:val="nil"/>
              <w:bottom w:val="nil"/>
              <w:right w:val="nil"/>
            </w:tcBorders>
            <w:shd w:val="clear" w:color="000000" w:fill="C6EFCE"/>
            <w:noWrap/>
            <w:vAlign w:val="bottom"/>
          </w:tcPr>
          <w:p w14:paraId="60D4953F" w14:textId="7D4F7850"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5 777</w:t>
            </w:r>
          </w:p>
        </w:tc>
        <w:tc>
          <w:tcPr>
            <w:tcW w:w="782" w:type="dxa"/>
            <w:tcBorders>
              <w:top w:val="nil"/>
              <w:left w:val="nil"/>
              <w:bottom w:val="nil"/>
              <w:right w:val="nil"/>
            </w:tcBorders>
            <w:shd w:val="clear" w:color="000000" w:fill="C6EFCE"/>
            <w:noWrap/>
            <w:vAlign w:val="bottom"/>
          </w:tcPr>
          <w:p w14:paraId="566E8F04" w14:textId="6CC7A17A"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619</w:t>
            </w:r>
          </w:p>
        </w:tc>
        <w:tc>
          <w:tcPr>
            <w:tcW w:w="781" w:type="dxa"/>
            <w:tcBorders>
              <w:top w:val="nil"/>
              <w:left w:val="nil"/>
              <w:bottom w:val="nil"/>
              <w:right w:val="nil"/>
            </w:tcBorders>
            <w:shd w:val="clear" w:color="000000" w:fill="C6EFCE"/>
            <w:noWrap/>
            <w:vAlign w:val="bottom"/>
          </w:tcPr>
          <w:p w14:paraId="6A717354" w14:textId="418AAE72"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6 177</w:t>
            </w:r>
          </w:p>
        </w:tc>
        <w:tc>
          <w:tcPr>
            <w:tcW w:w="782" w:type="dxa"/>
            <w:tcBorders>
              <w:top w:val="nil"/>
              <w:left w:val="nil"/>
              <w:bottom w:val="nil"/>
              <w:right w:val="nil"/>
            </w:tcBorders>
            <w:shd w:val="clear" w:color="000000" w:fill="C6EFCE"/>
            <w:noWrap/>
            <w:vAlign w:val="bottom"/>
          </w:tcPr>
          <w:p w14:paraId="1D62466B" w14:textId="00531F43"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169</w:t>
            </w:r>
          </w:p>
        </w:tc>
        <w:tc>
          <w:tcPr>
            <w:tcW w:w="781" w:type="dxa"/>
            <w:tcBorders>
              <w:top w:val="nil"/>
              <w:left w:val="nil"/>
              <w:bottom w:val="nil"/>
              <w:right w:val="nil"/>
            </w:tcBorders>
            <w:shd w:val="clear" w:color="000000" w:fill="C6EFCE"/>
            <w:noWrap/>
            <w:vAlign w:val="bottom"/>
          </w:tcPr>
          <w:p w14:paraId="5E3435BC" w14:textId="0FE30AA2"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4 767</w:t>
            </w:r>
          </w:p>
        </w:tc>
        <w:tc>
          <w:tcPr>
            <w:tcW w:w="782" w:type="dxa"/>
            <w:tcBorders>
              <w:top w:val="nil"/>
              <w:left w:val="nil"/>
              <w:bottom w:val="nil"/>
              <w:right w:val="nil"/>
            </w:tcBorders>
            <w:shd w:val="clear" w:color="000000" w:fill="C6EFCE"/>
            <w:noWrap/>
            <w:vAlign w:val="bottom"/>
          </w:tcPr>
          <w:p w14:paraId="13FE5659" w14:textId="141BB2A9"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906</w:t>
            </w:r>
          </w:p>
        </w:tc>
        <w:tc>
          <w:tcPr>
            <w:tcW w:w="781" w:type="dxa"/>
            <w:tcBorders>
              <w:top w:val="nil"/>
              <w:left w:val="nil"/>
              <w:bottom w:val="nil"/>
              <w:right w:val="nil"/>
            </w:tcBorders>
            <w:shd w:val="clear" w:color="000000" w:fill="C6EFCE"/>
            <w:noWrap/>
            <w:vAlign w:val="bottom"/>
          </w:tcPr>
          <w:p w14:paraId="1F436123" w14:textId="05A1BC05"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51 691</w:t>
            </w:r>
          </w:p>
        </w:tc>
        <w:tc>
          <w:tcPr>
            <w:tcW w:w="782" w:type="dxa"/>
            <w:tcBorders>
              <w:top w:val="nil"/>
              <w:left w:val="nil"/>
              <w:bottom w:val="nil"/>
              <w:right w:val="nil"/>
            </w:tcBorders>
            <w:shd w:val="clear" w:color="000000" w:fill="C6EFCE"/>
            <w:noWrap/>
            <w:vAlign w:val="bottom"/>
          </w:tcPr>
          <w:p w14:paraId="76F23628" w14:textId="28B6C173" w:rsidR="00152638" w:rsidRPr="00152638" w:rsidRDefault="00152638" w:rsidP="00A9200B">
            <w:pPr>
              <w:jc w:val="right"/>
              <w:rPr>
                <w:rFonts w:ascii="Calibri" w:hAnsi="Calibri" w:cs="Calibri"/>
                <w:b/>
                <w:bCs/>
                <w:color w:val="006100"/>
                <w:sz w:val="18"/>
                <w:szCs w:val="18"/>
              </w:rPr>
            </w:pPr>
            <w:r w:rsidRPr="00152638">
              <w:rPr>
                <w:rFonts w:ascii="Calibri" w:hAnsi="Calibri" w:cs="Calibri"/>
                <w:color w:val="006100"/>
                <w:sz w:val="18"/>
                <w:szCs w:val="18"/>
              </w:rPr>
              <w:t>119 767</w:t>
            </w:r>
          </w:p>
        </w:tc>
      </w:tr>
      <w:tr w:rsidR="00152638" w:rsidRPr="00B86DA9" w14:paraId="5F5DFA96" w14:textId="77777777" w:rsidTr="00A9200B">
        <w:trPr>
          <w:trHeight w:val="420"/>
        </w:trPr>
        <w:tc>
          <w:tcPr>
            <w:tcW w:w="465" w:type="dxa"/>
            <w:tcBorders>
              <w:top w:val="nil"/>
              <w:left w:val="nil"/>
              <w:bottom w:val="nil"/>
              <w:right w:val="nil"/>
            </w:tcBorders>
            <w:shd w:val="clear" w:color="000000" w:fill="FFFFFF"/>
            <w:noWrap/>
            <w:vAlign w:val="bottom"/>
            <w:hideMark/>
          </w:tcPr>
          <w:p w14:paraId="40F63F41" w14:textId="77777777" w:rsidR="00152638" w:rsidRPr="00B86DA9" w:rsidRDefault="00152638" w:rsidP="00152638">
            <w:pPr>
              <w:jc w:val="right"/>
              <w:rPr>
                <w:rFonts w:ascii="Calibri" w:hAnsi="Calibri" w:cs="Calibri"/>
                <w:b/>
                <w:bCs/>
                <w:color w:val="000000"/>
                <w:sz w:val="16"/>
                <w:szCs w:val="16"/>
              </w:rPr>
            </w:pPr>
            <w:r w:rsidRPr="00B86DA9">
              <w:rPr>
                <w:rFonts w:ascii="Calibri" w:hAnsi="Calibri" w:cs="Calibri"/>
                <w:b/>
                <w:bCs/>
                <w:color w:val="000000"/>
                <w:sz w:val="16"/>
                <w:szCs w:val="16"/>
              </w:rPr>
              <w:t>2019</w:t>
            </w:r>
          </w:p>
        </w:tc>
        <w:tc>
          <w:tcPr>
            <w:tcW w:w="781" w:type="dxa"/>
            <w:tcBorders>
              <w:top w:val="nil"/>
              <w:left w:val="nil"/>
              <w:bottom w:val="nil"/>
              <w:right w:val="nil"/>
            </w:tcBorders>
            <w:shd w:val="clear" w:color="000000" w:fill="C6EFCE"/>
            <w:noWrap/>
            <w:vAlign w:val="bottom"/>
          </w:tcPr>
          <w:p w14:paraId="41E57249" w14:textId="06281634"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3 294</w:t>
            </w:r>
          </w:p>
        </w:tc>
        <w:tc>
          <w:tcPr>
            <w:tcW w:w="781" w:type="dxa"/>
            <w:tcBorders>
              <w:top w:val="nil"/>
              <w:left w:val="nil"/>
              <w:bottom w:val="nil"/>
              <w:right w:val="nil"/>
            </w:tcBorders>
            <w:shd w:val="clear" w:color="000000" w:fill="C6EFCE"/>
            <w:noWrap/>
            <w:vAlign w:val="bottom"/>
          </w:tcPr>
          <w:p w14:paraId="1A5E33E9" w14:textId="4AE88223"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4 009</w:t>
            </w:r>
          </w:p>
        </w:tc>
        <w:tc>
          <w:tcPr>
            <w:tcW w:w="782" w:type="dxa"/>
            <w:tcBorders>
              <w:top w:val="nil"/>
              <w:left w:val="nil"/>
              <w:bottom w:val="nil"/>
              <w:right w:val="nil"/>
            </w:tcBorders>
            <w:shd w:val="clear" w:color="000000" w:fill="C6EFCE"/>
            <w:noWrap/>
            <w:vAlign w:val="bottom"/>
          </w:tcPr>
          <w:p w14:paraId="2AFA3FDF" w14:textId="54D549DC"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5 543</w:t>
            </w:r>
          </w:p>
        </w:tc>
        <w:tc>
          <w:tcPr>
            <w:tcW w:w="781" w:type="dxa"/>
            <w:tcBorders>
              <w:top w:val="nil"/>
              <w:left w:val="nil"/>
              <w:bottom w:val="nil"/>
              <w:right w:val="nil"/>
            </w:tcBorders>
            <w:shd w:val="clear" w:color="000000" w:fill="C6EFCE"/>
            <w:noWrap/>
            <w:vAlign w:val="bottom"/>
          </w:tcPr>
          <w:p w14:paraId="5D7119C3" w14:textId="157F7243"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6 289</w:t>
            </w:r>
          </w:p>
        </w:tc>
        <w:tc>
          <w:tcPr>
            <w:tcW w:w="782" w:type="dxa"/>
            <w:tcBorders>
              <w:top w:val="nil"/>
              <w:left w:val="nil"/>
              <w:bottom w:val="nil"/>
              <w:right w:val="nil"/>
            </w:tcBorders>
            <w:shd w:val="clear" w:color="000000" w:fill="C6EFCE"/>
            <w:noWrap/>
            <w:vAlign w:val="bottom"/>
          </w:tcPr>
          <w:p w14:paraId="56F6402E" w14:textId="554F390C"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511</w:t>
            </w:r>
          </w:p>
        </w:tc>
        <w:tc>
          <w:tcPr>
            <w:tcW w:w="781" w:type="dxa"/>
            <w:tcBorders>
              <w:top w:val="nil"/>
              <w:left w:val="nil"/>
              <w:bottom w:val="nil"/>
              <w:right w:val="nil"/>
            </w:tcBorders>
            <w:shd w:val="clear" w:color="000000" w:fill="C6EFCE"/>
            <w:noWrap/>
            <w:vAlign w:val="bottom"/>
          </w:tcPr>
          <w:p w14:paraId="40090598" w14:textId="5B4C70DA"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6 314</w:t>
            </w:r>
          </w:p>
        </w:tc>
        <w:tc>
          <w:tcPr>
            <w:tcW w:w="782" w:type="dxa"/>
            <w:tcBorders>
              <w:top w:val="nil"/>
              <w:left w:val="nil"/>
              <w:bottom w:val="nil"/>
              <w:right w:val="nil"/>
            </w:tcBorders>
            <w:shd w:val="clear" w:color="000000" w:fill="C6EFCE"/>
            <w:noWrap/>
            <w:vAlign w:val="bottom"/>
          </w:tcPr>
          <w:p w14:paraId="35286CBD" w14:textId="1E923FD4"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17 165</w:t>
            </w:r>
          </w:p>
        </w:tc>
        <w:tc>
          <w:tcPr>
            <w:tcW w:w="781" w:type="dxa"/>
            <w:tcBorders>
              <w:top w:val="nil"/>
              <w:left w:val="nil"/>
              <w:bottom w:val="nil"/>
              <w:right w:val="nil"/>
            </w:tcBorders>
            <w:shd w:val="clear" w:color="000000" w:fill="C6EFCE"/>
            <w:noWrap/>
            <w:vAlign w:val="bottom"/>
          </w:tcPr>
          <w:p w14:paraId="6AE0644D" w14:textId="6BA75951"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2 087</w:t>
            </w:r>
          </w:p>
        </w:tc>
        <w:tc>
          <w:tcPr>
            <w:tcW w:w="782" w:type="dxa"/>
            <w:tcBorders>
              <w:top w:val="nil"/>
              <w:left w:val="nil"/>
              <w:bottom w:val="nil"/>
              <w:right w:val="nil"/>
            </w:tcBorders>
            <w:shd w:val="clear" w:color="000000" w:fill="C6EFCE"/>
            <w:noWrap/>
            <w:vAlign w:val="bottom"/>
          </w:tcPr>
          <w:p w14:paraId="3D74CF6A" w14:textId="0E1A6633"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96</w:t>
            </w:r>
          </w:p>
        </w:tc>
        <w:tc>
          <w:tcPr>
            <w:tcW w:w="781" w:type="dxa"/>
            <w:tcBorders>
              <w:top w:val="nil"/>
              <w:left w:val="nil"/>
              <w:bottom w:val="nil"/>
              <w:right w:val="nil"/>
            </w:tcBorders>
            <w:shd w:val="clear" w:color="000000" w:fill="C6EFCE"/>
            <w:noWrap/>
            <w:vAlign w:val="bottom"/>
          </w:tcPr>
          <w:p w14:paraId="4545EFA6" w14:textId="25CF6A0D"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4 826</w:t>
            </w:r>
          </w:p>
        </w:tc>
        <w:tc>
          <w:tcPr>
            <w:tcW w:w="782" w:type="dxa"/>
            <w:tcBorders>
              <w:top w:val="nil"/>
              <w:left w:val="nil"/>
              <w:bottom w:val="nil"/>
              <w:right w:val="nil"/>
            </w:tcBorders>
            <w:shd w:val="clear" w:color="000000" w:fill="C6EFCE"/>
            <w:noWrap/>
            <w:vAlign w:val="bottom"/>
          </w:tcPr>
          <w:p w14:paraId="27077A7D" w14:textId="21243F0E"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458</w:t>
            </w:r>
          </w:p>
        </w:tc>
        <w:tc>
          <w:tcPr>
            <w:tcW w:w="781" w:type="dxa"/>
            <w:tcBorders>
              <w:top w:val="nil"/>
              <w:left w:val="nil"/>
              <w:bottom w:val="nil"/>
              <w:right w:val="nil"/>
            </w:tcBorders>
            <w:shd w:val="clear" w:color="000000" w:fill="C6EFCE"/>
            <w:noWrap/>
            <w:vAlign w:val="bottom"/>
          </w:tcPr>
          <w:p w14:paraId="64F2D650" w14:textId="0693B6C2"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5 199</w:t>
            </w:r>
          </w:p>
        </w:tc>
        <w:tc>
          <w:tcPr>
            <w:tcW w:w="782" w:type="dxa"/>
            <w:tcBorders>
              <w:top w:val="nil"/>
              <w:left w:val="nil"/>
              <w:bottom w:val="nil"/>
              <w:right w:val="nil"/>
            </w:tcBorders>
            <w:shd w:val="clear" w:color="000000" w:fill="C6EFCE"/>
            <w:noWrap/>
            <w:vAlign w:val="bottom"/>
          </w:tcPr>
          <w:p w14:paraId="5314B126" w14:textId="6BD6EC91"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98</w:t>
            </w:r>
          </w:p>
        </w:tc>
        <w:tc>
          <w:tcPr>
            <w:tcW w:w="781" w:type="dxa"/>
            <w:tcBorders>
              <w:top w:val="nil"/>
              <w:left w:val="nil"/>
              <w:bottom w:val="nil"/>
              <w:right w:val="nil"/>
            </w:tcBorders>
            <w:shd w:val="clear" w:color="000000" w:fill="C6EFCE"/>
            <w:noWrap/>
            <w:vAlign w:val="bottom"/>
          </w:tcPr>
          <w:p w14:paraId="5BDCE2D5" w14:textId="2F3E6A71"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4 699</w:t>
            </w:r>
          </w:p>
        </w:tc>
        <w:tc>
          <w:tcPr>
            <w:tcW w:w="782" w:type="dxa"/>
            <w:tcBorders>
              <w:top w:val="nil"/>
              <w:left w:val="nil"/>
              <w:bottom w:val="nil"/>
              <w:right w:val="nil"/>
            </w:tcBorders>
            <w:shd w:val="clear" w:color="000000" w:fill="C6EFCE"/>
            <w:noWrap/>
            <w:vAlign w:val="bottom"/>
          </w:tcPr>
          <w:p w14:paraId="43F6F206" w14:textId="08863CF5"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835</w:t>
            </w:r>
          </w:p>
        </w:tc>
        <w:tc>
          <w:tcPr>
            <w:tcW w:w="781" w:type="dxa"/>
            <w:tcBorders>
              <w:top w:val="nil"/>
              <w:left w:val="nil"/>
              <w:bottom w:val="nil"/>
              <w:right w:val="nil"/>
            </w:tcBorders>
            <w:shd w:val="clear" w:color="000000" w:fill="C6EFCE"/>
            <w:noWrap/>
            <w:vAlign w:val="bottom"/>
          </w:tcPr>
          <w:p w14:paraId="73AFB88D" w14:textId="20DD368F"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47 937</w:t>
            </w:r>
          </w:p>
        </w:tc>
        <w:tc>
          <w:tcPr>
            <w:tcW w:w="782" w:type="dxa"/>
            <w:tcBorders>
              <w:top w:val="nil"/>
              <w:left w:val="nil"/>
              <w:bottom w:val="nil"/>
              <w:right w:val="nil"/>
            </w:tcBorders>
            <w:shd w:val="clear" w:color="000000" w:fill="C6EFCE"/>
            <w:noWrap/>
            <w:vAlign w:val="bottom"/>
          </w:tcPr>
          <w:p w14:paraId="3747FA66" w14:textId="6182BE39" w:rsidR="00152638" w:rsidRPr="00152638" w:rsidRDefault="00152638" w:rsidP="00A9200B">
            <w:pPr>
              <w:jc w:val="right"/>
              <w:rPr>
                <w:rFonts w:ascii="Calibri" w:hAnsi="Calibri" w:cs="Calibri"/>
                <w:b/>
                <w:bCs/>
                <w:color w:val="006100"/>
                <w:sz w:val="18"/>
                <w:szCs w:val="18"/>
              </w:rPr>
            </w:pPr>
            <w:r w:rsidRPr="00152638">
              <w:rPr>
                <w:rFonts w:ascii="Calibri" w:hAnsi="Calibri" w:cs="Calibri"/>
                <w:color w:val="006100"/>
                <w:sz w:val="18"/>
                <w:szCs w:val="18"/>
              </w:rPr>
              <w:t>109 360</w:t>
            </w:r>
          </w:p>
        </w:tc>
      </w:tr>
      <w:tr w:rsidR="00152638" w:rsidRPr="00B86DA9" w14:paraId="7D41B5CF" w14:textId="77777777" w:rsidTr="00A9200B">
        <w:trPr>
          <w:trHeight w:val="420"/>
        </w:trPr>
        <w:tc>
          <w:tcPr>
            <w:tcW w:w="465" w:type="dxa"/>
            <w:tcBorders>
              <w:top w:val="nil"/>
              <w:left w:val="nil"/>
              <w:bottom w:val="nil"/>
              <w:right w:val="nil"/>
            </w:tcBorders>
            <w:shd w:val="clear" w:color="000000" w:fill="FFFFFF"/>
            <w:noWrap/>
            <w:vAlign w:val="bottom"/>
            <w:hideMark/>
          </w:tcPr>
          <w:p w14:paraId="33633D09" w14:textId="77777777" w:rsidR="00152638" w:rsidRPr="00B86DA9" w:rsidRDefault="00152638" w:rsidP="00152638">
            <w:pPr>
              <w:jc w:val="right"/>
              <w:rPr>
                <w:rFonts w:ascii="Calibri" w:hAnsi="Calibri" w:cs="Calibri"/>
                <w:b/>
                <w:bCs/>
                <w:color w:val="000000"/>
                <w:sz w:val="16"/>
                <w:szCs w:val="16"/>
              </w:rPr>
            </w:pPr>
            <w:bookmarkStart w:id="68" w:name="_Hlk193803614"/>
            <w:r w:rsidRPr="00B86DA9">
              <w:rPr>
                <w:rFonts w:ascii="Calibri" w:hAnsi="Calibri" w:cs="Calibri"/>
                <w:b/>
                <w:bCs/>
                <w:color w:val="000000"/>
                <w:sz w:val="16"/>
                <w:szCs w:val="16"/>
              </w:rPr>
              <w:t>2020</w:t>
            </w:r>
          </w:p>
        </w:tc>
        <w:tc>
          <w:tcPr>
            <w:tcW w:w="781" w:type="dxa"/>
            <w:tcBorders>
              <w:top w:val="nil"/>
              <w:left w:val="nil"/>
              <w:bottom w:val="nil"/>
              <w:right w:val="nil"/>
            </w:tcBorders>
            <w:shd w:val="clear" w:color="000000" w:fill="C6EFCE"/>
            <w:noWrap/>
            <w:vAlign w:val="bottom"/>
          </w:tcPr>
          <w:p w14:paraId="0129555F" w14:textId="6FC88C56"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3 083</w:t>
            </w:r>
          </w:p>
        </w:tc>
        <w:tc>
          <w:tcPr>
            <w:tcW w:w="781" w:type="dxa"/>
            <w:tcBorders>
              <w:top w:val="nil"/>
              <w:left w:val="nil"/>
              <w:bottom w:val="nil"/>
              <w:right w:val="nil"/>
            </w:tcBorders>
            <w:shd w:val="clear" w:color="000000" w:fill="C6EFCE"/>
            <w:noWrap/>
            <w:vAlign w:val="bottom"/>
          </w:tcPr>
          <w:p w14:paraId="29BCBB7C" w14:textId="7BBCB434"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4 124</w:t>
            </w:r>
          </w:p>
        </w:tc>
        <w:tc>
          <w:tcPr>
            <w:tcW w:w="782" w:type="dxa"/>
            <w:tcBorders>
              <w:top w:val="nil"/>
              <w:left w:val="nil"/>
              <w:bottom w:val="nil"/>
              <w:right w:val="nil"/>
            </w:tcBorders>
            <w:shd w:val="clear" w:color="000000" w:fill="C6EFCE"/>
            <w:noWrap/>
            <w:vAlign w:val="bottom"/>
          </w:tcPr>
          <w:p w14:paraId="487150B3" w14:textId="115A1D90"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5 666</w:t>
            </w:r>
          </w:p>
        </w:tc>
        <w:tc>
          <w:tcPr>
            <w:tcW w:w="781" w:type="dxa"/>
            <w:tcBorders>
              <w:top w:val="nil"/>
              <w:left w:val="nil"/>
              <w:bottom w:val="nil"/>
              <w:right w:val="nil"/>
            </w:tcBorders>
            <w:shd w:val="clear" w:color="000000" w:fill="C6EFCE"/>
            <w:noWrap/>
            <w:vAlign w:val="bottom"/>
          </w:tcPr>
          <w:p w14:paraId="3E31C166" w14:textId="492CDBBA"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5 928</w:t>
            </w:r>
          </w:p>
        </w:tc>
        <w:tc>
          <w:tcPr>
            <w:tcW w:w="782" w:type="dxa"/>
            <w:tcBorders>
              <w:top w:val="nil"/>
              <w:left w:val="nil"/>
              <w:bottom w:val="nil"/>
              <w:right w:val="nil"/>
            </w:tcBorders>
            <w:shd w:val="clear" w:color="000000" w:fill="C6EFCE"/>
            <w:noWrap/>
            <w:vAlign w:val="bottom"/>
          </w:tcPr>
          <w:p w14:paraId="15D54A76" w14:textId="58F6542C"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532</w:t>
            </w:r>
          </w:p>
        </w:tc>
        <w:tc>
          <w:tcPr>
            <w:tcW w:w="781" w:type="dxa"/>
            <w:tcBorders>
              <w:top w:val="nil"/>
              <w:left w:val="nil"/>
              <w:bottom w:val="nil"/>
              <w:right w:val="nil"/>
            </w:tcBorders>
            <w:shd w:val="clear" w:color="000000" w:fill="C6EFCE"/>
            <w:noWrap/>
            <w:vAlign w:val="bottom"/>
          </w:tcPr>
          <w:p w14:paraId="329653A1" w14:textId="7D080182"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6 361</w:t>
            </w:r>
          </w:p>
        </w:tc>
        <w:tc>
          <w:tcPr>
            <w:tcW w:w="782" w:type="dxa"/>
            <w:tcBorders>
              <w:top w:val="nil"/>
              <w:left w:val="nil"/>
              <w:bottom w:val="nil"/>
              <w:right w:val="nil"/>
            </w:tcBorders>
            <w:shd w:val="clear" w:color="000000" w:fill="C6EFCE"/>
            <w:noWrap/>
            <w:vAlign w:val="bottom"/>
          </w:tcPr>
          <w:p w14:paraId="4C131B42" w14:textId="372EDD26"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17 664</w:t>
            </w:r>
          </w:p>
        </w:tc>
        <w:tc>
          <w:tcPr>
            <w:tcW w:w="781" w:type="dxa"/>
            <w:tcBorders>
              <w:top w:val="nil"/>
              <w:left w:val="nil"/>
              <w:bottom w:val="nil"/>
              <w:right w:val="nil"/>
            </w:tcBorders>
            <w:shd w:val="clear" w:color="000000" w:fill="C6EFCE"/>
            <w:noWrap/>
            <w:vAlign w:val="bottom"/>
          </w:tcPr>
          <w:p w14:paraId="14098FAA" w14:textId="1BE6DDA3"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2 254</w:t>
            </w:r>
          </w:p>
        </w:tc>
        <w:tc>
          <w:tcPr>
            <w:tcW w:w="782" w:type="dxa"/>
            <w:tcBorders>
              <w:top w:val="nil"/>
              <w:left w:val="nil"/>
              <w:bottom w:val="nil"/>
              <w:right w:val="nil"/>
            </w:tcBorders>
            <w:shd w:val="clear" w:color="000000" w:fill="FFC7CE"/>
            <w:noWrap/>
            <w:vAlign w:val="bottom"/>
          </w:tcPr>
          <w:p w14:paraId="4DD93AAF" w14:textId="02D18019" w:rsidR="00152638" w:rsidRPr="00152638" w:rsidRDefault="00152638" w:rsidP="00A9200B">
            <w:pPr>
              <w:jc w:val="right"/>
              <w:rPr>
                <w:rFonts w:ascii="Calibri" w:hAnsi="Calibri" w:cs="Calibri"/>
                <w:color w:val="9C0006"/>
                <w:sz w:val="18"/>
                <w:szCs w:val="18"/>
              </w:rPr>
            </w:pPr>
            <w:r w:rsidRPr="00152638">
              <w:rPr>
                <w:rFonts w:ascii="Calibri" w:hAnsi="Calibri" w:cs="Calibri"/>
                <w:color w:val="9C0006"/>
                <w:sz w:val="18"/>
                <w:szCs w:val="18"/>
              </w:rPr>
              <w:t>-55</w:t>
            </w:r>
          </w:p>
        </w:tc>
        <w:tc>
          <w:tcPr>
            <w:tcW w:w="781" w:type="dxa"/>
            <w:tcBorders>
              <w:top w:val="nil"/>
              <w:left w:val="nil"/>
              <w:bottom w:val="nil"/>
              <w:right w:val="nil"/>
            </w:tcBorders>
            <w:shd w:val="clear" w:color="000000" w:fill="C6EFCE"/>
            <w:noWrap/>
            <w:vAlign w:val="bottom"/>
          </w:tcPr>
          <w:p w14:paraId="21AD21D2" w14:textId="3A2BF64E"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3 929</w:t>
            </w:r>
          </w:p>
        </w:tc>
        <w:tc>
          <w:tcPr>
            <w:tcW w:w="782" w:type="dxa"/>
            <w:tcBorders>
              <w:top w:val="nil"/>
              <w:left w:val="nil"/>
              <w:bottom w:val="nil"/>
              <w:right w:val="nil"/>
            </w:tcBorders>
            <w:shd w:val="clear" w:color="000000" w:fill="C6EFCE"/>
            <w:noWrap/>
            <w:vAlign w:val="bottom"/>
          </w:tcPr>
          <w:p w14:paraId="09F72B64" w14:textId="4394E328"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680</w:t>
            </w:r>
          </w:p>
        </w:tc>
        <w:tc>
          <w:tcPr>
            <w:tcW w:w="781" w:type="dxa"/>
            <w:tcBorders>
              <w:top w:val="nil"/>
              <w:left w:val="nil"/>
              <w:bottom w:val="nil"/>
              <w:right w:val="nil"/>
            </w:tcBorders>
            <w:shd w:val="clear" w:color="000000" w:fill="C6EFCE"/>
            <w:noWrap/>
            <w:vAlign w:val="bottom"/>
          </w:tcPr>
          <w:p w14:paraId="6A485459" w14:textId="41DB57B0"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5 765</w:t>
            </w:r>
          </w:p>
        </w:tc>
        <w:tc>
          <w:tcPr>
            <w:tcW w:w="782" w:type="dxa"/>
            <w:tcBorders>
              <w:top w:val="nil"/>
              <w:left w:val="nil"/>
              <w:bottom w:val="nil"/>
              <w:right w:val="nil"/>
            </w:tcBorders>
            <w:shd w:val="clear" w:color="000000" w:fill="C6EFCE"/>
            <w:noWrap/>
            <w:vAlign w:val="bottom"/>
          </w:tcPr>
          <w:p w14:paraId="73D8BCEF" w14:textId="16BFD2D5"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36</w:t>
            </w:r>
          </w:p>
        </w:tc>
        <w:tc>
          <w:tcPr>
            <w:tcW w:w="781" w:type="dxa"/>
            <w:tcBorders>
              <w:top w:val="nil"/>
              <w:left w:val="nil"/>
              <w:bottom w:val="nil"/>
              <w:right w:val="nil"/>
            </w:tcBorders>
            <w:shd w:val="clear" w:color="000000" w:fill="C6EFCE"/>
            <w:noWrap/>
            <w:vAlign w:val="bottom"/>
          </w:tcPr>
          <w:p w14:paraId="5CD51E86" w14:textId="5807EB53"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5 015</w:t>
            </w:r>
          </w:p>
        </w:tc>
        <w:tc>
          <w:tcPr>
            <w:tcW w:w="782" w:type="dxa"/>
            <w:tcBorders>
              <w:top w:val="nil"/>
              <w:left w:val="nil"/>
              <w:bottom w:val="nil"/>
              <w:right w:val="nil"/>
            </w:tcBorders>
            <w:shd w:val="clear" w:color="000000" w:fill="C6EFCE"/>
            <w:noWrap/>
            <w:vAlign w:val="bottom"/>
          </w:tcPr>
          <w:p w14:paraId="7700E4B3" w14:textId="42DBC6F6"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970</w:t>
            </w:r>
          </w:p>
        </w:tc>
        <w:tc>
          <w:tcPr>
            <w:tcW w:w="781" w:type="dxa"/>
            <w:tcBorders>
              <w:top w:val="nil"/>
              <w:left w:val="nil"/>
              <w:bottom w:val="nil"/>
              <w:right w:val="nil"/>
            </w:tcBorders>
            <w:shd w:val="clear" w:color="000000" w:fill="C6EFCE"/>
            <w:noWrap/>
            <w:vAlign w:val="bottom"/>
          </w:tcPr>
          <w:p w14:paraId="7852A80D" w14:textId="046CB638"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53 869</w:t>
            </w:r>
          </w:p>
        </w:tc>
        <w:tc>
          <w:tcPr>
            <w:tcW w:w="782" w:type="dxa"/>
            <w:tcBorders>
              <w:top w:val="nil"/>
              <w:left w:val="nil"/>
              <w:bottom w:val="nil"/>
              <w:right w:val="nil"/>
            </w:tcBorders>
            <w:shd w:val="clear" w:color="000000" w:fill="C6EFCE"/>
            <w:noWrap/>
            <w:vAlign w:val="bottom"/>
          </w:tcPr>
          <w:p w14:paraId="1605F2D6" w14:textId="59973691" w:rsidR="00152638" w:rsidRPr="00152638" w:rsidRDefault="00152638" w:rsidP="00A9200B">
            <w:pPr>
              <w:jc w:val="right"/>
              <w:rPr>
                <w:rFonts w:ascii="Calibri" w:hAnsi="Calibri" w:cs="Calibri"/>
                <w:b/>
                <w:bCs/>
                <w:color w:val="006100"/>
                <w:sz w:val="18"/>
                <w:szCs w:val="18"/>
              </w:rPr>
            </w:pPr>
            <w:r w:rsidRPr="00152638">
              <w:rPr>
                <w:rFonts w:ascii="Calibri" w:hAnsi="Calibri" w:cs="Calibri"/>
                <w:color w:val="006100"/>
                <w:sz w:val="18"/>
                <w:szCs w:val="18"/>
              </w:rPr>
              <w:t>347 050</w:t>
            </w:r>
          </w:p>
        </w:tc>
      </w:tr>
      <w:tr w:rsidR="00152638" w:rsidRPr="00B86DA9" w14:paraId="59CE4F00" w14:textId="77777777" w:rsidTr="00A9200B">
        <w:trPr>
          <w:trHeight w:val="420"/>
        </w:trPr>
        <w:tc>
          <w:tcPr>
            <w:tcW w:w="465" w:type="dxa"/>
            <w:tcBorders>
              <w:top w:val="nil"/>
              <w:left w:val="nil"/>
              <w:bottom w:val="nil"/>
              <w:right w:val="nil"/>
            </w:tcBorders>
            <w:shd w:val="clear" w:color="000000" w:fill="FFFFFF"/>
            <w:noWrap/>
            <w:vAlign w:val="bottom"/>
            <w:hideMark/>
          </w:tcPr>
          <w:p w14:paraId="5CE8BDA2" w14:textId="77777777" w:rsidR="00152638" w:rsidRPr="00B86DA9" w:rsidRDefault="00152638" w:rsidP="00152638">
            <w:pPr>
              <w:jc w:val="right"/>
              <w:rPr>
                <w:rFonts w:ascii="Calibri" w:hAnsi="Calibri" w:cs="Calibri"/>
                <w:b/>
                <w:bCs/>
                <w:color w:val="000000"/>
                <w:sz w:val="16"/>
                <w:szCs w:val="16"/>
              </w:rPr>
            </w:pPr>
            <w:r w:rsidRPr="00B86DA9">
              <w:rPr>
                <w:rFonts w:ascii="Calibri" w:hAnsi="Calibri" w:cs="Calibri"/>
                <w:b/>
                <w:bCs/>
                <w:color w:val="000000"/>
                <w:sz w:val="16"/>
                <w:szCs w:val="16"/>
              </w:rPr>
              <w:t>2021</w:t>
            </w:r>
          </w:p>
        </w:tc>
        <w:tc>
          <w:tcPr>
            <w:tcW w:w="781" w:type="dxa"/>
            <w:tcBorders>
              <w:top w:val="nil"/>
              <w:left w:val="nil"/>
              <w:bottom w:val="nil"/>
              <w:right w:val="nil"/>
            </w:tcBorders>
            <w:shd w:val="clear" w:color="000000" w:fill="C6EFCE"/>
            <w:noWrap/>
            <w:vAlign w:val="bottom"/>
          </w:tcPr>
          <w:p w14:paraId="67BFDE5E" w14:textId="191549AC"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3 172</w:t>
            </w:r>
          </w:p>
        </w:tc>
        <w:tc>
          <w:tcPr>
            <w:tcW w:w="781" w:type="dxa"/>
            <w:tcBorders>
              <w:top w:val="nil"/>
              <w:left w:val="nil"/>
              <w:bottom w:val="nil"/>
              <w:right w:val="nil"/>
            </w:tcBorders>
            <w:shd w:val="clear" w:color="000000" w:fill="C6EFCE"/>
            <w:noWrap/>
            <w:vAlign w:val="bottom"/>
          </w:tcPr>
          <w:p w14:paraId="46C2B947" w14:textId="60B7FBA9"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4 906</w:t>
            </w:r>
          </w:p>
        </w:tc>
        <w:tc>
          <w:tcPr>
            <w:tcW w:w="782" w:type="dxa"/>
            <w:tcBorders>
              <w:top w:val="nil"/>
              <w:left w:val="nil"/>
              <w:bottom w:val="nil"/>
              <w:right w:val="nil"/>
            </w:tcBorders>
            <w:shd w:val="clear" w:color="000000" w:fill="C6EFCE"/>
            <w:noWrap/>
            <w:vAlign w:val="bottom"/>
          </w:tcPr>
          <w:p w14:paraId="374ABFAC" w14:textId="0D3E7ABC"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6 713</w:t>
            </w:r>
          </w:p>
        </w:tc>
        <w:tc>
          <w:tcPr>
            <w:tcW w:w="781" w:type="dxa"/>
            <w:tcBorders>
              <w:top w:val="nil"/>
              <w:left w:val="nil"/>
              <w:bottom w:val="nil"/>
              <w:right w:val="nil"/>
            </w:tcBorders>
            <w:shd w:val="clear" w:color="000000" w:fill="C6EFCE"/>
            <w:noWrap/>
            <w:vAlign w:val="bottom"/>
          </w:tcPr>
          <w:p w14:paraId="49A7EC05" w14:textId="30F726D6"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5 476</w:t>
            </w:r>
          </w:p>
        </w:tc>
        <w:tc>
          <w:tcPr>
            <w:tcW w:w="782" w:type="dxa"/>
            <w:tcBorders>
              <w:top w:val="nil"/>
              <w:left w:val="nil"/>
              <w:bottom w:val="nil"/>
              <w:right w:val="nil"/>
            </w:tcBorders>
            <w:shd w:val="clear" w:color="000000" w:fill="C6EFCE"/>
            <w:noWrap/>
            <w:vAlign w:val="bottom"/>
          </w:tcPr>
          <w:p w14:paraId="4A16610B" w14:textId="14999D7C"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529</w:t>
            </w:r>
          </w:p>
        </w:tc>
        <w:tc>
          <w:tcPr>
            <w:tcW w:w="781" w:type="dxa"/>
            <w:tcBorders>
              <w:top w:val="nil"/>
              <w:left w:val="nil"/>
              <w:bottom w:val="nil"/>
              <w:right w:val="nil"/>
            </w:tcBorders>
            <w:shd w:val="clear" w:color="000000" w:fill="C6EFCE"/>
            <w:noWrap/>
            <w:vAlign w:val="bottom"/>
          </w:tcPr>
          <w:p w14:paraId="5795CC0B" w14:textId="643B6B4C"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6 976</w:t>
            </w:r>
          </w:p>
        </w:tc>
        <w:tc>
          <w:tcPr>
            <w:tcW w:w="782" w:type="dxa"/>
            <w:tcBorders>
              <w:top w:val="nil"/>
              <w:left w:val="nil"/>
              <w:bottom w:val="nil"/>
              <w:right w:val="nil"/>
            </w:tcBorders>
            <w:shd w:val="clear" w:color="000000" w:fill="C6EFCE"/>
            <w:noWrap/>
            <w:vAlign w:val="bottom"/>
          </w:tcPr>
          <w:p w14:paraId="28C1B52A" w14:textId="569026DD"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17 774</w:t>
            </w:r>
          </w:p>
        </w:tc>
        <w:tc>
          <w:tcPr>
            <w:tcW w:w="781" w:type="dxa"/>
            <w:tcBorders>
              <w:top w:val="nil"/>
              <w:left w:val="nil"/>
              <w:bottom w:val="nil"/>
              <w:right w:val="nil"/>
            </w:tcBorders>
            <w:shd w:val="clear" w:color="000000" w:fill="C6EFCE"/>
            <w:noWrap/>
            <w:vAlign w:val="bottom"/>
          </w:tcPr>
          <w:p w14:paraId="2A4FC6B4" w14:textId="732FC778"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1 985</w:t>
            </w:r>
          </w:p>
        </w:tc>
        <w:tc>
          <w:tcPr>
            <w:tcW w:w="782" w:type="dxa"/>
            <w:tcBorders>
              <w:top w:val="nil"/>
              <w:left w:val="nil"/>
              <w:bottom w:val="nil"/>
              <w:right w:val="nil"/>
            </w:tcBorders>
            <w:shd w:val="clear" w:color="000000" w:fill="FFC7CE"/>
            <w:noWrap/>
            <w:vAlign w:val="bottom"/>
          </w:tcPr>
          <w:p w14:paraId="5186B4F1" w14:textId="0B0448F9" w:rsidR="00152638" w:rsidRPr="00152638" w:rsidRDefault="00152638" w:rsidP="00A9200B">
            <w:pPr>
              <w:jc w:val="right"/>
              <w:rPr>
                <w:rFonts w:ascii="Calibri" w:hAnsi="Calibri" w:cs="Calibri"/>
                <w:color w:val="9C0006"/>
                <w:sz w:val="18"/>
                <w:szCs w:val="18"/>
              </w:rPr>
            </w:pPr>
            <w:r w:rsidRPr="00152638">
              <w:rPr>
                <w:rFonts w:ascii="Calibri" w:hAnsi="Calibri" w:cs="Calibri"/>
                <w:color w:val="9C0006"/>
                <w:sz w:val="18"/>
                <w:szCs w:val="18"/>
              </w:rPr>
              <w:t>-136</w:t>
            </w:r>
          </w:p>
        </w:tc>
        <w:tc>
          <w:tcPr>
            <w:tcW w:w="781" w:type="dxa"/>
            <w:tcBorders>
              <w:top w:val="nil"/>
              <w:left w:val="nil"/>
              <w:bottom w:val="nil"/>
              <w:right w:val="nil"/>
            </w:tcBorders>
            <w:shd w:val="clear" w:color="000000" w:fill="C6EFCE"/>
            <w:noWrap/>
            <w:vAlign w:val="bottom"/>
          </w:tcPr>
          <w:p w14:paraId="37D85B51" w14:textId="3E702E08"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3 741</w:t>
            </w:r>
          </w:p>
        </w:tc>
        <w:tc>
          <w:tcPr>
            <w:tcW w:w="782" w:type="dxa"/>
            <w:tcBorders>
              <w:top w:val="nil"/>
              <w:left w:val="nil"/>
              <w:bottom w:val="nil"/>
              <w:right w:val="nil"/>
            </w:tcBorders>
            <w:shd w:val="clear" w:color="000000" w:fill="C6EFCE"/>
            <w:noWrap/>
            <w:vAlign w:val="bottom"/>
          </w:tcPr>
          <w:p w14:paraId="0233FD22" w14:textId="70A2BDDF"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473</w:t>
            </w:r>
          </w:p>
        </w:tc>
        <w:tc>
          <w:tcPr>
            <w:tcW w:w="781" w:type="dxa"/>
            <w:tcBorders>
              <w:top w:val="nil"/>
              <w:left w:val="nil"/>
              <w:bottom w:val="nil"/>
              <w:right w:val="nil"/>
            </w:tcBorders>
            <w:shd w:val="clear" w:color="000000" w:fill="C6EFCE"/>
            <w:noWrap/>
            <w:vAlign w:val="bottom"/>
          </w:tcPr>
          <w:p w14:paraId="1F82B880" w14:textId="2E5B1377"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6 548</w:t>
            </w:r>
          </w:p>
        </w:tc>
        <w:tc>
          <w:tcPr>
            <w:tcW w:w="782" w:type="dxa"/>
            <w:tcBorders>
              <w:top w:val="nil"/>
              <w:left w:val="nil"/>
              <w:bottom w:val="nil"/>
              <w:right w:val="nil"/>
            </w:tcBorders>
            <w:shd w:val="clear" w:color="000000" w:fill="C6EFCE"/>
            <w:noWrap/>
            <w:vAlign w:val="bottom"/>
          </w:tcPr>
          <w:p w14:paraId="74ECD45A" w14:textId="77069504"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35</w:t>
            </w:r>
          </w:p>
        </w:tc>
        <w:tc>
          <w:tcPr>
            <w:tcW w:w="781" w:type="dxa"/>
            <w:tcBorders>
              <w:top w:val="nil"/>
              <w:left w:val="nil"/>
              <w:bottom w:val="nil"/>
              <w:right w:val="nil"/>
            </w:tcBorders>
            <w:shd w:val="clear" w:color="000000" w:fill="C6EFCE"/>
            <w:noWrap/>
            <w:vAlign w:val="bottom"/>
          </w:tcPr>
          <w:p w14:paraId="3C9B66F9" w14:textId="528FC405"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5 252</w:t>
            </w:r>
          </w:p>
        </w:tc>
        <w:tc>
          <w:tcPr>
            <w:tcW w:w="782" w:type="dxa"/>
            <w:tcBorders>
              <w:top w:val="nil"/>
              <w:left w:val="nil"/>
              <w:bottom w:val="nil"/>
              <w:right w:val="nil"/>
            </w:tcBorders>
            <w:shd w:val="clear" w:color="000000" w:fill="C6EFCE"/>
            <w:noWrap/>
            <w:vAlign w:val="bottom"/>
          </w:tcPr>
          <w:p w14:paraId="30CA360D" w14:textId="705FE089"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822</w:t>
            </w:r>
          </w:p>
        </w:tc>
        <w:tc>
          <w:tcPr>
            <w:tcW w:w="781" w:type="dxa"/>
            <w:tcBorders>
              <w:top w:val="nil"/>
              <w:left w:val="nil"/>
              <w:bottom w:val="nil"/>
              <w:right w:val="nil"/>
            </w:tcBorders>
            <w:shd w:val="clear" w:color="000000" w:fill="C6EFCE"/>
            <w:noWrap/>
            <w:vAlign w:val="bottom"/>
          </w:tcPr>
          <w:p w14:paraId="58885129" w14:textId="2935D71D"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53 998</w:t>
            </w:r>
          </w:p>
        </w:tc>
        <w:tc>
          <w:tcPr>
            <w:tcW w:w="782" w:type="dxa"/>
            <w:tcBorders>
              <w:top w:val="nil"/>
              <w:left w:val="nil"/>
              <w:bottom w:val="nil"/>
              <w:right w:val="nil"/>
            </w:tcBorders>
            <w:shd w:val="clear" w:color="000000" w:fill="C6EFCE"/>
            <w:noWrap/>
            <w:vAlign w:val="bottom"/>
          </w:tcPr>
          <w:p w14:paraId="009E73D4" w14:textId="118A4A61" w:rsidR="00152638" w:rsidRPr="00152638" w:rsidRDefault="00152638" w:rsidP="00A9200B">
            <w:pPr>
              <w:jc w:val="right"/>
              <w:rPr>
                <w:rFonts w:ascii="Calibri" w:hAnsi="Calibri" w:cs="Calibri"/>
                <w:b/>
                <w:bCs/>
                <w:color w:val="006100"/>
                <w:sz w:val="18"/>
                <w:szCs w:val="18"/>
              </w:rPr>
            </w:pPr>
            <w:r w:rsidRPr="00152638">
              <w:rPr>
                <w:rFonts w:ascii="Calibri" w:hAnsi="Calibri" w:cs="Calibri"/>
                <w:color w:val="006100"/>
                <w:sz w:val="18"/>
                <w:szCs w:val="18"/>
              </w:rPr>
              <w:t>118 264</w:t>
            </w:r>
          </w:p>
        </w:tc>
      </w:tr>
      <w:bookmarkEnd w:id="68"/>
      <w:tr w:rsidR="00152638" w:rsidRPr="00B86DA9" w14:paraId="0DF675F9" w14:textId="77777777" w:rsidTr="00A9200B">
        <w:trPr>
          <w:trHeight w:val="420"/>
        </w:trPr>
        <w:tc>
          <w:tcPr>
            <w:tcW w:w="465" w:type="dxa"/>
            <w:tcBorders>
              <w:top w:val="nil"/>
              <w:left w:val="nil"/>
              <w:bottom w:val="nil"/>
              <w:right w:val="nil"/>
            </w:tcBorders>
            <w:shd w:val="clear" w:color="000000" w:fill="FFFFFF"/>
            <w:noWrap/>
            <w:vAlign w:val="bottom"/>
            <w:hideMark/>
          </w:tcPr>
          <w:p w14:paraId="58573A89" w14:textId="49889B45" w:rsidR="00152638" w:rsidRPr="00B86DA9" w:rsidRDefault="00152638" w:rsidP="00152638">
            <w:pPr>
              <w:jc w:val="right"/>
              <w:rPr>
                <w:rFonts w:ascii="Calibri" w:hAnsi="Calibri" w:cs="Calibri"/>
                <w:b/>
                <w:bCs/>
                <w:color w:val="000000"/>
                <w:sz w:val="16"/>
                <w:szCs w:val="16"/>
              </w:rPr>
            </w:pPr>
            <w:r w:rsidRPr="00B86DA9">
              <w:rPr>
                <w:rFonts w:ascii="Calibri" w:hAnsi="Calibri" w:cs="Calibri"/>
                <w:b/>
                <w:bCs/>
                <w:color w:val="000000"/>
                <w:sz w:val="16"/>
                <w:szCs w:val="16"/>
              </w:rPr>
              <w:t>202</w:t>
            </w:r>
            <w:r>
              <w:rPr>
                <w:rFonts w:ascii="Calibri" w:hAnsi="Calibri" w:cs="Calibri"/>
                <w:b/>
                <w:bCs/>
                <w:color w:val="000000"/>
                <w:sz w:val="16"/>
                <w:szCs w:val="16"/>
              </w:rPr>
              <w:t>2</w:t>
            </w:r>
          </w:p>
        </w:tc>
        <w:tc>
          <w:tcPr>
            <w:tcW w:w="781" w:type="dxa"/>
            <w:tcBorders>
              <w:top w:val="nil"/>
              <w:left w:val="nil"/>
              <w:bottom w:val="nil"/>
              <w:right w:val="nil"/>
            </w:tcBorders>
            <w:shd w:val="clear" w:color="000000" w:fill="C6EFCE"/>
            <w:noWrap/>
            <w:vAlign w:val="bottom"/>
          </w:tcPr>
          <w:p w14:paraId="256D7CC0" w14:textId="015432B9"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3 621</w:t>
            </w:r>
          </w:p>
        </w:tc>
        <w:tc>
          <w:tcPr>
            <w:tcW w:w="781" w:type="dxa"/>
            <w:tcBorders>
              <w:top w:val="nil"/>
              <w:left w:val="nil"/>
              <w:bottom w:val="nil"/>
              <w:right w:val="nil"/>
            </w:tcBorders>
            <w:shd w:val="clear" w:color="000000" w:fill="C6EFCE"/>
            <w:noWrap/>
            <w:vAlign w:val="bottom"/>
          </w:tcPr>
          <w:p w14:paraId="7457A990" w14:textId="162AA1A0"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5 512</w:t>
            </w:r>
          </w:p>
        </w:tc>
        <w:tc>
          <w:tcPr>
            <w:tcW w:w="782" w:type="dxa"/>
            <w:tcBorders>
              <w:top w:val="nil"/>
              <w:left w:val="nil"/>
              <w:bottom w:val="nil"/>
              <w:right w:val="nil"/>
            </w:tcBorders>
            <w:shd w:val="clear" w:color="000000" w:fill="C6EFCE"/>
            <w:noWrap/>
            <w:vAlign w:val="bottom"/>
          </w:tcPr>
          <w:p w14:paraId="6210F504" w14:textId="7C87365D"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7 077</w:t>
            </w:r>
          </w:p>
        </w:tc>
        <w:tc>
          <w:tcPr>
            <w:tcW w:w="781" w:type="dxa"/>
            <w:tcBorders>
              <w:top w:val="nil"/>
              <w:left w:val="nil"/>
              <w:bottom w:val="nil"/>
              <w:right w:val="nil"/>
            </w:tcBorders>
            <w:shd w:val="clear" w:color="000000" w:fill="C6EFCE"/>
            <w:noWrap/>
            <w:vAlign w:val="bottom"/>
          </w:tcPr>
          <w:p w14:paraId="3F949676" w14:textId="6A3D7ED0"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4 972</w:t>
            </w:r>
          </w:p>
        </w:tc>
        <w:tc>
          <w:tcPr>
            <w:tcW w:w="782" w:type="dxa"/>
            <w:tcBorders>
              <w:top w:val="nil"/>
              <w:left w:val="nil"/>
              <w:bottom w:val="nil"/>
              <w:right w:val="nil"/>
            </w:tcBorders>
            <w:shd w:val="clear" w:color="000000" w:fill="C6EFCE"/>
            <w:noWrap/>
            <w:vAlign w:val="bottom"/>
          </w:tcPr>
          <w:p w14:paraId="425CF7F2" w14:textId="5436DEE2"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475</w:t>
            </w:r>
          </w:p>
        </w:tc>
        <w:tc>
          <w:tcPr>
            <w:tcW w:w="781" w:type="dxa"/>
            <w:tcBorders>
              <w:top w:val="nil"/>
              <w:left w:val="nil"/>
              <w:bottom w:val="nil"/>
              <w:right w:val="nil"/>
            </w:tcBorders>
            <w:shd w:val="clear" w:color="000000" w:fill="C6EFCE"/>
            <w:noWrap/>
            <w:vAlign w:val="bottom"/>
          </w:tcPr>
          <w:p w14:paraId="03A0D8E8" w14:textId="58115E77"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7 219</w:t>
            </w:r>
          </w:p>
        </w:tc>
        <w:tc>
          <w:tcPr>
            <w:tcW w:w="782" w:type="dxa"/>
            <w:tcBorders>
              <w:top w:val="nil"/>
              <w:left w:val="nil"/>
              <w:bottom w:val="nil"/>
              <w:right w:val="nil"/>
            </w:tcBorders>
            <w:shd w:val="clear" w:color="000000" w:fill="C6EFCE"/>
            <w:noWrap/>
            <w:vAlign w:val="bottom"/>
          </w:tcPr>
          <w:p w14:paraId="4CADF587" w14:textId="2D61D752"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17 371</w:t>
            </w:r>
          </w:p>
        </w:tc>
        <w:tc>
          <w:tcPr>
            <w:tcW w:w="781" w:type="dxa"/>
            <w:tcBorders>
              <w:top w:val="nil"/>
              <w:left w:val="nil"/>
              <w:bottom w:val="nil"/>
              <w:right w:val="nil"/>
            </w:tcBorders>
            <w:shd w:val="clear" w:color="000000" w:fill="C6EFCE"/>
            <w:noWrap/>
            <w:vAlign w:val="bottom"/>
          </w:tcPr>
          <w:p w14:paraId="48B10D31" w14:textId="1D8E2155"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1 826</w:t>
            </w:r>
          </w:p>
        </w:tc>
        <w:tc>
          <w:tcPr>
            <w:tcW w:w="782" w:type="dxa"/>
            <w:tcBorders>
              <w:top w:val="nil"/>
              <w:left w:val="nil"/>
              <w:bottom w:val="nil"/>
              <w:right w:val="nil"/>
            </w:tcBorders>
            <w:shd w:val="clear" w:color="000000" w:fill="C6EFCE"/>
            <w:noWrap/>
            <w:vAlign w:val="bottom"/>
          </w:tcPr>
          <w:p w14:paraId="4B53DFC6" w14:textId="70A18AB9" w:rsidR="00152638" w:rsidRPr="00152638" w:rsidRDefault="00152638" w:rsidP="00A9200B">
            <w:pPr>
              <w:jc w:val="right"/>
              <w:rPr>
                <w:rFonts w:ascii="Calibri" w:hAnsi="Calibri" w:cs="Calibri"/>
                <w:color w:val="9C0006"/>
                <w:sz w:val="18"/>
                <w:szCs w:val="18"/>
              </w:rPr>
            </w:pPr>
            <w:r w:rsidRPr="00152638">
              <w:rPr>
                <w:rFonts w:ascii="Calibri" w:hAnsi="Calibri" w:cs="Calibri"/>
                <w:color w:val="006100"/>
                <w:sz w:val="18"/>
                <w:szCs w:val="18"/>
              </w:rPr>
              <w:t>123</w:t>
            </w:r>
          </w:p>
        </w:tc>
        <w:tc>
          <w:tcPr>
            <w:tcW w:w="781" w:type="dxa"/>
            <w:tcBorders>
              <w:top w:val="nil"/>
              <w:left w:val="nil"/>
              <w:bottom w:val="nil"/>
              <w:right w:val="nil"/>
            </w:tcBorders>
            <w:shd w:val="clear" w:color="000000" w:fill="C6EFCE"/>
            <w:noWrap/>
            <w:vAlign w:val="bottom"/>
          </w:tcPr>
          <w:p w14:paraId="6BBC9A00" w14:textId="0053DB0A"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3 696</w:t>
            </w:r>
          </w:p>
        </w:tc>
        <w:tc>
          <w:tcPr>
            <w:tcW w:w="782" w:type="dxa"/>
            <w:tcBorders>
              <w:top w:val="nil"/>
              <w:left w:val="nil"/>
              <w:bottom w:val="nil"/>
              <w:right w:val="nil"/>
            </w:tcBorders>
            <w:shd w:val="clear" w:color="000000" w:fill="C6EFCE"/>
            <w:noWrap/>
            <w:vAlign w:val="bottom"/>
          </w:tcPr>
          <w:p w14:paraId="3D6CE17E" w14:textId="2C06BD9D"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185</w:t>
            </w:r>
          </w:p>
        </w:tc>
        <w:tc>
          <w:tcPr>
            <w:tcW w:w="781" w:type="dxa"/>
            <w:tcBorders>
              <w:top w:val="nil"/>
              <w:left w:val="nil"/>
              <w:bottom w:val="nil"/>
              <w:right w:val="nil"/>
            </w:tcBorders>
            <w:shd w:val="clear" w:color="000000" w:fill="C6EFCE"/>
            <w:noWrap/>
            <w:vAlign w:val="bottom"/>
          </w:tcPr>
          <w:p w14:paraId="15138368" w14:textId="19A5059B"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6 802</w:t>
            </w:r>
          </w:p>
        </w:tc>
        <w:tc>
          <w:tcPr>
            <w:tcW w:w="782" w:type="dxa"/>
            <w:tcBorders>
              <w:top w:val="nil"/>
              <w:left w:val="nil"/>
              <w:bottom w:val="nil"/>
              <w:right w:val="nil"/>
            </w:tcBorders>
            <w:shd w:val="clear" w:color="000000" w:fill="C6EFCE"/>
            <w:noWrap/>
            <w:vAlign w:val="bottom"/>
          </w:tcPr>
          <w:p w14:paraId="28A4DE16" w14:textId="6AD4DDCD"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125</w:t>
            </w:r>
          </w:p>
        </w:tc>
        <w:tc>
          <w:tcPr>
            <w:tcW w:w="781" w:type="dxa"/>
            <w:tcBorders>
              <w:top w:val="nil"/>
              <w:left w:val="nil"/>
              <w:bottom w:val="nil"/>
              <w:right w:val="nil"/>
            </w:tcBorders>
            <w:shd w:val="clear" w:color="000000" w:fill="C6EFCE"/>
            <w:noWrap/>
            <w:vAlign w:val="bottom"/>
          </w:tcPr>
          <w:p w14:paraId="57E8B966" w14:textId="034E0128"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5 701</w:t>
            </w:r>
          </w:p>
        </w:tc>
        <w:tc>
          <w:tcPr>
            <w:tcW w:w="782" w:type="dxa"/>
            <w:tcBorders>
              <w:top w:val="nil"/>
              <w:left w:val="nil"/>
              <w:bottom w:val="nil"/>
              <w:right w:val="nil"/>
            </w:tcBorders>
            <w:shd w:val="clear" w:color="000000" w:fill="C6EFCE"/>
            <w:noWrap/>
            <w:vAlign w:val="bottom"/>
          </w:tcPr>
          <w:p w14:paraId="161D5BDE" w14:textId="628EFC6C"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443</w:t>
            </w:r>
          </w:p>
        </w:tc>
        <w:tc>
          <w:tcPr>
            <w:tcW w:w="781" w:type="dxa"/>
            <w:tcBorders>
              <w:top w:val="nil"/>
              <w:left w:val="nil"/>
              <w:bottom w:val="nil"/>
              <w:right w:val="nil"/>
            </w:tcBorders>
            <w:shd w:val="clear" w:color="000000" w:fill="C6EFCE"/>
            <w:noWrap/>
            <w:vAlign w:val="bottom"/>
          </w:tcPr>
          <w:p w14:paraId="7F5A1701" w14:textId="2276B17A"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54 249</w:t>
            </w:r>
          </w:p>
        </w:tc>
        <w:tc>
          <w:tcPr>
            <w:tcW w:w="782" w:type="dxa"/>
            <w:tcBorders>
              <w:top w:val="nil"/>
              <w:left w:val="nil"/>
              <w:bottom w:val="nil"/>
              <w:right w:val="nil"/>
            </w:tcBorders>
            <w:shd w:val="clear" w:color="000000" w:fill="C6EFCE"/>
            <w:noWrap/>
            <w:vAlign w:val="bottom"/>
          </w:tcPr>
          <w:p w14:paraId="3E318CE1" w14:textId="3E835190" w:rsidR="00152638" w:rsidRPr="00152638" w:rsidRDefault="00152638" w:rsidP="00A9200B">
            <w:pPr>
              <w:jc w:val="right"/>
              <w:rPr>
                <w:rFonts w:ascii="Calibri" w:hAnsi="Calibri" w:cs="Calibri"/>
                <w:b/>
                <w:bCs/>
                <w:color w:val="006100"/>
                <w:sz w:val="18"/>
                <w:szCs w:val="18"/>
              </w:rPr>
            </w:pPr>
            <w:r w:rsidRPr="00152638">
              <w:rPr>
                <w:rFonts w:ascii="Calibri" w:hAnsi="Calibri" w:cs="Calibri"/>
                <w:color w:val="006100"/>
                <w:sz w:val="18"/>
                <w:szCs w:val="18"/>
              </w:rPr>
              <w:t>119 397</w:t>
            </w:r>
          </w:p>
        </w:tc>
      </w:tr>
      <w:tr w:rsidR="00152638" w:rsidRPr="00B86DA9" w14:paraId="085ABA4A" w14:textId="77777777" w:rsidTr="00A9200B">
        <w:trPr>
          <w:trHeight w:val="420"/>
        </w:trPr>
        <w:tc>
          <w:tcPr>
            <w:tcW w:w="465" w:type="dxa"/>
            <w:tcBorders>
              <w:top w:val="nil"/>
              <w:left w:val="nil"/>
              <w:bottom w:val="nil"/>
              <w:right w:val="nil"/>
            </w:tcBorders>
            <w:shd w:val="clear" w:color="000000" w:fill="FFFFFF"/>
            <w:noWrap/>
            <w:vAlign w:val="bottom"/>
            <w:hideMark/>
          </w:tcPr>
          <w:p w14:paraId="431889F4" w14:textId="1DF709C5" w:rsidR="00152638" w:rsidRPr="00B86DA9" w:rsidRDefault="00152638" w:rsidP="00152638">
            <w:pPr>
              <w:jc w:val="right"/>
              <w:rPr>
                <w:rFonts w:ascii="Calibri" w:hAnsi="Calibri" w:cs="Calibri"/>
                <w:b/>
                <w:bCs/>
                <w:color w:val="000000"/>
                <w:sz w:val="16"/>
                <w:szCs w:val="16"/>
              </w:rPr>
            </w:pPr>
            <w:r w:rsidRPr="00B86DA9">
              <w:rPr>
                <w:rFonts w:ascii="Calibri" w:hAnsi="Calibri" w:cs="Calibri"/>
                <w:b/>
                <w:bCs/>
                <w:color w:val="000000"/>
                <w:sz w:val="16"/>
                <w:szCs w:val="16"/>
              </w:rPr>
              <w:t>202</w:t>
            </w:r>
            <w:r>
              <w:rPr>
                <w:rFonts w:ascii="Calibri" w:hAnsi="Calibri" w:cs="Calibri"/>
                <w:b/>
                <w:bCs/>
                <w:color w:val="000000"/>
                <w:sz w:val="16"/>
                <w:szCs w:val="16"/>
              </w:rPr>
              <w:t>3</w:t>
            </w:r>
          </w:p>
        </w:tc>
        <w:tc>
          <w:tcPr>
            <w:tcW w:w="781" w:type="dxa"/>
            <w:tcBorders>
              <w:top w:val="nil"/>
              <w:left w:val="nil"/>
              <w:bottom w:val="nil"/>
              <w:right w:val="nil"/>
            </w:tcBorders>
            <w:shd w:val="clear" w:color="000000" w:fill="C6EFCE"/>
            <w:noWrap/>
            <w:vAlign w:val="bottom"/>
          </w:tcPr>
          <w:p w14:paraId="1F712DD5" w14:textId="4EDCDCA6"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3 351</w:t>
            </w:r>
          </w:p>
        </w:tc>
        <w:tc>
          <w:tcPr>
            <w:tcW w:w="781" w:type="dxa"/>
            <w:tcBorders>
              <w:top w:val="nil"/>
              <w:left w:val="nil"/>
              <w:bottom w:val="nil"/>
              <w:right w:val="nil"/>
            </w:tcBorders>
            <w:shd w:val="clear" w:color="000000" w:fill="C6EFCE"/>
            <w:noWrap/>
            <w:vAlign w:val="bottom"/>
          </w:tcPr>
          <w:p w14:paraId="53F81633" w14:textId="0A09B642"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5 540</w:t>
            </w:r>
          </w:p>
        </w:tc>
        <w:tc>
          <w:tcPr>
            <w:tcW w:w="782" w:type="dxa"/>
            <w:tcBorders>
              <w:top w:val="nil"/>
              <w:left w:val="nil"/>
              <w:bottom w:val="nil"/>
              <w:right w:val="nil"/>
            </w:tcBorders>
            <w:shd w:val="clear" w:color="000000" w:fill="C6EFCE"/>
            <w:noWrap/>
            <w:vAlign w:val="bottom"/>
          </w:tcPr>
          <w:p w14:paraId="6F7889DA" w14:textId="31A1AF4F"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8 578</w:t>
            </w:r>
          </w:p>
        </w:tc>
        <w:tc>
          <w:tcPr>
            <w:tcW w:w="781" w:type="dxa"/>
            <w:tcBorders>
              <w:top w:val="nil"/>
              <w:left w:val="nil"/>
              <w:bottom w:val="nil"/>
              <w:right w:val="nil"/>
            </w:tcBorders>
            <w:shd w:val="clear" w:color="000000" w:fill="C6EFCE"/>
            <w:noWrap/>
            <w:vAlign w:val="bottom"/>
          </w:tcPr>
          <w:p w14:paraId="7E4D5C8A" w14:textId="22CF3F6B"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4 589</w:t>
            </w:r>
          </w:p>
        </w:tc>
        <w:tc>
          <w:tcPr>
            <w:tcW w:w="782" w:type="dxa"/>
            <w:tcBorders>
              <w:top w:val="nil"/>
              <w:left w:val="nil"/>
              <w:bottom w:val="nil"/>
              <w:right w:val="nil"/>
            </w:tcBorders>
            <w:shd w:val="clear" w:color="000000" w:fill="C6EFCE"/>
            <w:noWrap/>
            <w:vAlign w:val="bottom"/>
          </w:tcPr>
          <w:p w14:paraId="78E40D25" w14:textId="03C0BDEC"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550</w:t>
            </w:r>
          </w:p>
        </w:tc>
        <w:tc>
          <w:tcPr>
            <w:tcW w:w="781" w:type="dxa"/>
            <w:tcBorders>
              <w:top w:val="nil"/>
              <w:left w:val="nil"/>
              <w:bottom w:val="nil"/>
              <w:right w:val="nil"/>
            </w:tcBorders>
            <w:shd w:val="clear" w:color="000000" w:fill="C6EFCE"/>
            <w:noWrap/>
            <w:vAlign w:val="bottom"/>
          </w:tcPr>
          <w:p w14:paraId="5FD93DC0" w14:textId="1442B63E"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7 806</w:t>
            </w:r>
          </w:p>
        </w:tc>
        <w:tc>
          <w:tcPr>
            <w:tcW w:w="782" w:type="dxa"/>
            <w:tcBorders>
              <w:top w:val="nil"/>
              <w:left w:val="nil"/>
              <w:bottom w:val="nil"/>
              <w:right w:val="nil"/>
            </w:tcBorders>
            <w:shd w:val="clear" w:color="000000" w:fill="C6EFCE"/>
            <w:noWrap/>
            <w:vAlign w:val="bottom"/>
          </w:tcPr>
          <w:p w14:paraId="2C22CB96" w14:textId="5E562224"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17 605</w:t>
            </w:r>
          </w:p>
        </w:tc>
        <w:tc>
          <w:tcPr>
            <w:tcW w:w="781" w:type="dxa"/>
            <w:tcBorders>
              <w:top w:val="nil"/>
              <w:left w:val="nil"/>
              <w:bottom w:val="nil"/>
              <w:right w:val="nil"/>
            </w:tcBorders>
            <w:shd w:val="clear" w:color="000000" w:fill="C6EFCE"/>
            <w:noWrap/>
            <w:vAlign w:val="bottom"/>
          </w:tcPr>
          <w:p w14:paraId="4DE9155B" w14:textId="2968B312"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1 316</w:t>
            </w:r>
          </w:p>
        </w:tc>
        <w:tc>
          <w:tcPr>
            <w:tcW w:w="782" w:type="dxa"/>
            <w:tcBorders>
              <w:top w:val="nil"/>
              <w:left w:val="nil"/>
              <w:bottom w:val="nil"/>
              <w:right w:val="nil"/>
            </w:tcBorders>
            <w:shd w:val="clear" w:color="000000" w:fill="FFC7CE"/>
            <w:noWrap/>
            <w:vAlign w:val="bottom"/>
          </w:tcPr>
          <w:p w14:paraId="01E51210" w14:textId="30AA73E9" w:rsidR="00152638" w:rsidRPr="00152638" w:rsidRDefault="00152638" w:rsidP="00A9200B">
            <w:pPr>
              <w:jc w:val="right"/>
              <w:rPr>
                <w:rFonts w:ascii="Calibri" w:hAnsi="Calibri" w:cs="Calibri"/>
                <w:color w:val="9C0006"/>
                <w:sz w:val="18"/>
                <w:szCs w:val="18"/>
              </w:rPr>
            </w:pPr>
            <w:r w:rsidRPr="00152638">
              <w:rPr>
                <w:rFonts w:ascii="Calibri" w:hAnsi="Calibri" w:cs="Calibri"/>
                <w:color w:val="9C0006"/>
                <w:sz w:val="18"/>
                <w:szCs w:val="18"/>
              </w:rPr>
              <w:t>-137</w:t>
            </w:r>
          </w:p>
        </w:tc>
        <w:tc>
          <w:tcPr>
            <w:tcW w:w="781" w:type="dxa"/>
            <w:tcBorders>
              <w:top w:val="nil"/>
              <w:left w:val="nil"/>
              <w:bottom w:val="nil"/>
              <w:right w:val="nil"/>
            </w:tcBorders>
            <w:shd w:val="clear" w:color="000000" w:fill="C6EFCE"/>
            <w:noWrap/>
            <w:vAlign w:val="bottom"/>
          </w:tcPr>
          <w:p w14:paraId="4BF2A6A9" w14:textId="162D783B"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3 726</w:t>
            </w:r>
          </w:p>
        </w:tc>
        <w:tc>
          <w:tcPr>
            <w:tcW w:w="782" w:type="dxa"/>
            <w:tcBorders>
              <w:top w:val="nil"/>
              <w:left w:val="nil"/>
              <w:bottom w:val="nil"/>
              <w:right w:val="nil"/>
            </w:tcBorders>
            <w:shd w:val="clear" w:color="000000" w:fill="FFC7CE"/>
            <w:noWrap/>
            <w:vAlign w:val="bottom"/>
          </w:tcPr>
          <w:p w14:paraId="36F079BD" w14:textId="696A26F4" w:rsidR="00152638" w:rsidRPr="00152638" w:rsidRDefault="00152638" w:rsidP="00A9200B">
            <w:pPr>
              <w:jc w:val="right"/>
              <w:rPr>
                <w:rFonts w:ascii="Calibri" w:hAnsi="Calibri" w:cs="Calibri"/>
                <w:color w:val="006100"/>
                <w:sz w:val="18"/>
                <w:szCs w:val="18"/>
              </w:rPr>
            </w:pPr>
            <w:r w:rsidRPr="00152638">
              <w:rPr>
                <w:rFonts w:ascii="Calibri" w:hAnsi="Calibri" w:cs="Calibri"/>
                <w:color w:val="9C0006"/>
                <w:sz w:val="18"/>
                <w:szCs w:val="18"/>
              </w:rPr>
              <w:t>-48</w:t>
            </w:r>
          </w:p>
        </w:tc>
        <w:tc>
          <w:tcPr>
            <w:tcW w:w="781" w:type="dxa"/>
            <w:tcBorders>
              <w:top w:val="nil"/>
              <w:left w:val="nil"/>
              <w:bottom w:val="nil"/>
              <w:right w:val="nil"/>
            </w:tcBorders>
            <w:shd w:val="clear" w:color="000000" w:fill="C6EFCE"/>
            <w:noWrap/>
            <w:vAlign w:val="bottom"/>
          </w:tcPr>
          <w:p w14:paraId="427B180F" w14:textId="28654F56"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7 048</w:t>
            </w:r>
          </w:p>
        </w:tc>
        <w:tc>
          <w:tcPr>
            <w:tcW w:w="782" w:type="dxa"/>
            <w:tcBorders>
              <w:top w:val="nil"/>
              <w:left w:val="nil"/>
              <w:bottom w:val="nil"/>
              <w:right w:val="nil"/>
            </w:tcBorders>
            <w:shd w:val="clear" w:color="000000" w:fill="C6EFCE"/>
            <w:noWrap/>
            <w:vAlign w:val="bottom"/>
          </w:tcPr>
          <w:p w14:paraId="0756CD78" w14:textId="51A150E9"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167</w:t>
            </w:r>
          </w:p>
        </w:tc>
        <w:tc>
          <w:tcPr>
            <w:tcW w:w="781" w:type="dxa"/>
            <w:tcBorders>
              <w:top w:val="nil"/>
              <w:left w:val="nil"/>
              <w:bottom w:val="nil"/>
              <w:right w:val="nil"/>
            </w:tcBorders>
            <w:shd w:val="clear" w:color="000000" w:fill="C6EFCE"/>
            <w:noWrap/>
            <w:vAlign w:val="bottom"/>
          </w:tcPr>
          <w:p w14:paraId="28153C27" w14:textId="34A9DD1A"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6 347</w:t>
            </w:r>
          </w:p>
        </w:tc>
        <w:tc>
          <w:tcPr>
            <w:tcW w:w="782" w:type="dxa"/>
            <w:tcBorders>
              <w:top w:val="nil"/>
              <w:left w:val="nil"/>
              <w:bottom w:val="nil"/>
              <w:right w:val="nil"/>
            </w:tcBorders>
            <w:shd w:val="clear" w:color="000000" w:fill="C6EFCE"/>
            <w:noWrap/>
            <w:vAlign w:val="bottom"/>
          </w:tcPr>
          <w:p w14:paraId="51B1698D" w14:textId="7393FBD8"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529</w:t>
            </w:r>
          </w:p>
        </w:tc>
        <w:tc>
          <w:tcPr>
            <w:tcW w:w="781" w:type="dxa"/>
            <w:tcBorders>
              <w:top w:val="nil"/>
              <w:left w:val="nil"/>
              <w:bottom w:val="nil"/>
              <w:right w:val="nil"/>
            </w:tcBorders>
            <w:shd w:val="clear" w:color="000000" w:fill="C6EFCE"/>
            <w:noWrap/>
            <w:vAlign w:val="bottom"/>
          </w:tcPr>
          <w:p w14:paraId="1E2B27B5" w14:textId="0F317FAA" w:rsidR="00152638" w:rsidRPr="00152638" w:rsidRDefault="00152638" w:rsidP="00A9200B">
            <w:pPr>
              <w:jc w:val="right"/>
              <w:rPr>
                <w:rFonts w:ascii="Calibri" w:hAnsi="Calibri" w:cs="Calibri"/>
                <w:color w:val="006100"/>
                <w:sz w:val="18"/>
                <w:szCs w:val="18"/>
              </w:rPr>
            </w:pPr>
            <w:r w:rsidRPr="00152638">
              <w:rPr>
                <w:rFonts w:ascii="Calibri" w:hAnsi="Calibri" w:cs="Calibri"/>
                <w:color w:val="006100"/>
                <w:sz w:val="18"/>
                <w:szCs w:val="18"/>
              </w:rPr>
              <w:t>57 374</w:t>
            </w:r>
          </w:p>
        </w:tc>
        <w:tc>
          <w:tcPr>
            <w:tcW w:w="782" w:type="dxa"/>
            <w:tcBorders>
              <w:top w:val="nil"/>
              <w:left w:val="nil"/>
              <w:bottom w:val="nil"/>
              <w:right w:val="nil"/>
            </w:tcBorders>
            <w:shd w:val="clear" w:color="000000" w:fill="C6EFCE"/>
            <w:noWrap/>
            <w:vAlign w:val="bottom"/>
          </w:tcPr>
          <w:p w14:paraId="789F0A4A" w14:textId="78FB4956" w:rsidR="00152638" w:rsidRPr="00152638" w:rsidRDefault="00152638" w:rsidP="00A9200B">
            <w:pPr>
              <w:jc w:val="right"/>
              <w:rPr>
                <w:rFonts w:ascii="Calibri" w:hAnsi="Calibri" w:cs="Calibri"/>
                <w:b/>
                <w:bCs/>
                <w:color w:val="006100"/>
                <w:sz w:val="18"/>
                <w:szCs w:val="18"/>
              </w:rPr>
            </w:pPr>
            <w:r w:rsidRPr="00152638">
              <w:rPr>
                <w:rFonts w:ascii="Calibri" w:hAnsi="Calibri" w:cs="Calibri"/>
                <w:color w:val="006100"/>
                <w:sz w:val="18"/>
                <w:szCs w:val="18"/>
              </w:rPr>
              <w:t>118 534</w:t>
            </w:r>
          </w:p>
        </w:tc>
      </w:tr>
    </w:tbl>
    <w:p w14:paraId="0A22645B" w14:textId="523AB29C" w:rsidR="00E35073" w:rsidRDefault="00E35073" w:rsidP="003648FF">
      <w:pPr>
        <w:rPr>
          <w:rFonts w:ascii="Calibri" w:eastAsia="Calibri" w:hAnsi="Calibri" w:cs="Calibri"/>
          <w:sz w:val="22"/>
          <w:szCs w:val="22"/>
          <w:lang w:eastAsia="en-US"/>
        </w:rPr>
      </w:pPr>
    </w:p>
    <w:p w14:paraId="508A841B" w14:textId="77AFBB1D" w:rsidR="00B86DA9" w:rsidRDefault="00B86DA9">
      <w:pPr>
        <w:rPr>
          <w:rFonts w:ascii="Calibri" w:eastAsia="Calibri" w:hAnsi="Calibri" w:cs="Calibri"/>
          <w:sz w:val="22"/>
          <w:szCs w:val="22"/>
          <w:lang w:eastAsia="en-US"/>
        </w:rPr>
      </w:pPr>
      <w:r>
        <w:rPr>
          <w:rFonts w:ascii="Calibri" w:eastAsia="Calibri" w:hAnsi="Calibri" w:cs="Calibri"/>
          <w:sz w:val="22"/>
          <w:szCs w:val="22"/>
          <w:lang w:eastAsia="en-US"/>
        </w:rPr>
        <w:br w:type="page"/>
      </w:r>
    </w:p>
    <w:p w14:paraId="3029E88D" w14:textId="31244A0D" w:rsidR="003648FF" w:rsidRDefault="003648FF" w:rsidP="00CE412E">
      <w:pPr>
        <w:pStyle w:val="Rubrik9"/>
        <w:rPr>
          <w:rFonts w:eastAsia="SimSun"/>
          <w:lang w:eastAsia="en-US"/>
        </w:rPr>
      </w:pPr>
      <w:bookmarkStart w:id="69" w:name="_Toc74661656"/>
      <w:r w:rsidRPr="003648FF">
        <w:rPr>
          <w:rFonts w:eastAsia="SimSun"/>
          <w:lang w:eastAsia="en-US"/>
        </w:rPr>
        <w:lastRenderedPageBreak/>
        <w:t>Tabell 2</w:t>
      </w:r>
      <w:r>
        <w:rPr>
          <w:rFonts w:eastAsia="SimSun"/>
          <w:lang w:eastAsia="en-US"/>
        </w:rPr>
        <w:t>.</w:t>
      </w:r>
      <w:r w:rsidRPr="003648FF">
        <w:rPr>
          <w:rFonts w:eastAsia="SimSun"/>
          <w:lang w:eastAsia="en-US"/>
        </w:rPr>
        <w:t xml:space="preserve"> </w:t>
      </w:r>
      <w:r w:rsidR="009C2E72">
        <w:rPr>
          <w:rFonts w:eastAsia="SimSun"/>
          <w:lang w:eastAsia="en-US"/>
        </w:rPr>
        <w:t>Kriterium 2(1): å</w:t>
      </w:r>
      <w:r w:rsidRPr="003648FF">
        <w:rPr>
          <w:rFonts w:eastAsia="SimSun"/>
          <w:lang w:eastAsia="en-US"/>
        </w:rPr>
        <w:t>rsbidrag / avskrivningar (tre års medeltal</w:t>
      </w:r>
      <w:r w:rsidR="009604AD">
        <w:rPr>
          <w:rFonts w:eastAsia="SimSun"/>
          <w:lang w:eastAsia="en-US"/>
        </w:rPr>
        <w:t>)</w:t>
      </w:r>
      <w:bookmarkEnd w:id="69"/>
      <w:r w:rsidR="009C2E72">
        <w:rPr>
          <w:rFonts w:eastAsia="SimSun"/>
          <w:lang w:eastAsia="en-US"/>
        </w:rPr>
        <w:t>, gränsvärde 80 procent</w:t>
      </w:r>
    </w:p>
    <w:p w14:paraId="37D76E9C" w14:textId="77777777" w:rsidR="00AC3993" w:rsidRPr="00AC3993" w:rsidRDefault="00AC3993" w:rsidP="00AC3993">
      <w:pPr>
        <w:rPr>
          <w:rFonts w:eastAsia="SimSun"/>
          <w:lang w:eastAsia="en-US"/>
        </w:rPr>
      </w:pPr>
    </w:p>
    <w:tbl>
      <w:tblPr>
        <w:tblW w:w="13750" w:type="dxa"/>
        <w:tblLayout w:type="fixed"/>
        <w:tblCellMar>
          <w:left w:w="70" w:type="dxa"/>
          <w:right w:w="70" w:type="dxa"/>
        </w:tblCellMar>
        <w:tblLook w:val="04A0" w:firstRow="1" w:lastRow="0" w:firstColumn="1" w:lastColumn="0" w:noHBand="0" w:noVBand="1"/>
      </w:tblPr>
      <w:tblGrid>
        <w:gridCol w:w="465"/>
        <w:gridCol w:w="781"/>
        <w:gridCol w:w="739"/>
        <w:gridCol w:w="824"/>
        <w:gridCol w:w="781"/>
        <w:gridCol w:w="782"/>
        <w:gridCol w:w="781"/>
        <w:gridCol w:w="782"/>
        <w:gridCol w:w="781"/>
        <w:gridCol w:w="782"/>
        <w:gridCol w:w="781"/>
        <w:gridCol w:w="782"/>
        <w:gridCol w:w="781"/>
        <w:gridCol w:w="782"/>
        <w:gridCol w:w="781"/>
        <w:gridCol w:w="782"/>
        <w:gridCol w:w="781"/>
        <w:gridCol w:w="782"/>
      </w:tblGrid>
      <w:tr w:rsidR="00B86DA9" w:rsidRPr="001D3709" w14:paraId="2D0F21E1" w14:textId="77777777" w:rsidTr="001868FA">
        <w:trPr>
          <w:trHeight w:val="375"/>
        </w:trPr>
        <w:tc>
          <w:tcPr>
            <w:tcW w:w="465" w:type="dxa"/>
            <w:tcBorders>
              <w:top w:val="nil"/>
              <w:left w:val="nil"/>
              <w:bottom w:val="nil"/>
              <w:right w:val="nil"/>
            </w:tcBorders>
            <w:shd w:val="clear" w:color="000000" w:fill="FFFFFF"/>
            <w:noWrap/>
            <w:hideMark/>
          </w:tcPr>
          <w:p w14:paraId="0729ABD4" w14:textId="77777777" w:rsidR="00B86DA9" w:rsidRPr="001D3709" w:rsidRDefault="00B86DA9" w:rsidP="001868FA">
            <w:pPr>
              <w:rPr>
                <w:rFonts w:ascii="Calibri" w:hAnsi="Calibri" w:cs="Calibri"/>
                <w:sz w:val="16"/>
                <w:szCs w:val="16"/>
                <w:lang w:val="sv-FI" w:eastAsia="sv-FI"/>
              </w:rPr>
            </w:pPr>
            <w:r w:rsidRPr="001D3709">
              <w:rPr>
                <w:rFonts w:ascii="Calibri" w:hAnsi="Calibri" w:cs="Calibri"/>
                <w:sz w:val="16"/>
                <w:szCs w:val="16"/>
              </w:rPr>
              <w:t> </w:t>
            </w:r>
          </w:p>
        </w:tc>
        <w:tc>
          <w:tcPr>
            <w:tcW w:w="781" w:type="dxa"/>
            <w:tcBorders>
              <w:top w:val="nil"/>
              <w:left w:val="nil"/>
              <w:bottom w:val="nil"/>
              <w:right w:val="nil"/>
            </w:tcBorders>
            <w:shd w:val="clear" w:color="000000" w:fill="FFFFFF"/>
            <w:noWrap/>
            <w:vAlign w:val="bottom"/>
            <w:hideMark/>
          </w:tcPr>
          <w:p w14:paraId="64B19099" w14:textId="77777777" w:rsidR="00B86DA9" w:rsidRPr="001D3709" w:rsidRDefault="00B86DA9" w:rsidP="001868FA">
            <w:pPr>
              <w:rPr>
                <w:rFonts w:ascii="Calibri" w:hAnsi="Calibri" w:cs="Calibri"/>
                <w:b/>
                <w:bCs/>
                <w:color w:val="000000"/>
                <w:sz w:val="16"/>
                <w:szCs w:val="16"/>
                <w:u w:val="single"/>
              </w:rPr>
            </w:pPr>
            <w:r w:rsidRPr="001D3709">
              <w:rPr>
                <w:rFonts w:ascii="Calibri" w:hAnsi="Calibri" w:cs="Calibri"/>
                <w:b/>
                <w:bCs/>
                <w:color w:val="000000"/>
                <w:sz w:val="16"/>
                <w:szCs w:val="16"/>
                <w:u w:val="single"/>
              </w:rPr>
              <w:t>Brändö</w:t>
            </w:r>
          </w:p>
        </w:tc>
        <w:tc>
          <w:tcPr>
            <w:tcW w:w="739" w:type="dxa"/>
            <w:tcBorders>
              <w:top w:val="nil"/>
              <w:left w:val="nil"/>
              <w:bottom w:val="nil"/>
              <w:right w:val="nil"/>
            </w:tcBorders>
            <w:shd w:val="clear" w:color="000000" w:fill="FFFFFF"/>
            <w:noWrap/>
            <w:vAlign w:val="bottom"/>
            <w:hideMark/>
          </w:tcPr>
          <w:p w14:paraId="0B051A59" w14:textId="77777777" w:rsidR="00B86DA9" w:rsidRPr="001D3709" w:rsidRDefault="00B86DA9" w:rsidP="001868FA">
            <w:pPr>
              <w:rPr>
                <w:rFonts w:ascii="Calibri" w:hAnsi="Calibri" w:cs="Calibri"/>
                <w:b/>
                <w:bCs/>
                <w:color w:val="000000"/>
                <w:sz w:val="16"/>
                <w:szCs w:val="16"/>
                <w:u w:val="single"/>
              </w:rPr>
            </w:pPr>
            <w:r w:rsidRPr="001D3709">
              <w:rPr>
                <w:rFonts w:ascii="Calibri" w:hAnsi="Calibri" w:cs="Calibri"/>
                <w:b/>
                <w:bCs/>
                <w:color w:val="000000"/>
                <w:sz w:val="16"/>
                <w:szCs w:val="16"/>
                <w:u w:val="single"/>
              </w:rPr>
              <w:t>Eckerö</w:t>
            </w:r>
          </w:p>
        </w:tc>
        <w:tc>
          <w:tcPr>
            <w:tcW w:w="824" w:type="dxa"/>
            <w:tcBorders>
              <w:top w:val="nil"/>
              <w:left w:val="nil"/>
              <w:bottom w:val="nil"/>
              <w:right w:val="nil"/>
            </w:tcBorders>
            <w:shd w:val="clear" w:color="000000" w:fill="FFFFFF"/>
            <w:noWrap/>
            <w:vAlign w:val="bottom"/>
            <w:hideMark/>
          </w:tcPr>
          <w:p w14:paraId="5DD076DC" w14:textId="77777777" w:rsidR="00B86DA9" w:rsidRPr="001D3709" w:rsidRDefault="00B86DA9" w:rsidP="001868FA">
            <w:pPr>
              <w:rPr>
                <w:rFonts w:ascii="Calibri" w:hAnsi="Calibri" w:cs="Calibri"/>
                <w:b/>
                <w:bCs/>
                <w:color w:val="000000"/>
                <w:sz w:val="16"/>
                <w:szCs w:val="16"/>
                <w:u w:val="single"/>
              </w:rPr>
            </w:pPr>
            <w:r w:rsidRPr="001D3709">
              <w:rPr>
                <w:rFonts w:ascii="Calibri" w:hAnsi="Calibri" w:cs="Calibri"/>
                <w:b/>
                <w:bCs/>
                <w:color w:val="000000"/>
                <w:sz w:val="16"/>
                <w:szCs w:val="16"/>
                <w:u w:val="single"/>
              </w:rPr>
              <w:t>Finström</w:t>
            </w:r>
          </w:p>
        </w:tc>
        <w:tc>
          <w:tcPr>
            <w:tcW w:w="781" w:type="dxa"/>
            <w:tcBorders>
              <w:top w:val="nil"/>
              <w:left w:val="nil"/>
              <w:bottom w:val="nil"/>
              <w:right w:val="nil"/>
            </w:tcBorders>
            <w:shd w:val="clear" w:color="000000" w:fill="FFFFFF"/>
            <w:noWrap/>
            <w:vAlign w:val="bottom"/>
            <w:hideMark/>
          </w:tcPr>
          <w:p w14:paraId="216CCE69" w14:textId="77777777" w:rsidR="00B86DA9" w:rsidRPr="001D3709" w:rsidRDefault="00B86DA9" w:rsidP="001868FA">
            <w:pPr>
              <w:rPr>
                <w:rFonts w:ascii="Calibri" w:hAnsi="Calibri" w:cs="Calibri"/>
                <w:b/>
                <w:bCs/>
                <w:color w:val="000000"/>
                <w:sz w:val="16"/>
                <w:szCs w:val="16"/>
                <w:u w:val="single"/>
              </w:rPr>
            </w:pPr>
            <w:r w:rsidRPr="001D3709">
              <w:rPr>
                <w:rFonts w:ascii="Calibri" w:hAnsi="Calibri" w:cs="Calibri"/>
                <w:b/>
                <w:bCs/>
                <w:color w:val="000000"/>
                <w:sz w:val="16"/>
                <w:szCs w:val="16"/>
                <w:u w:val="single"/>
              </w:rPr>
              <w:t>Föglö</w:t>
            </w:r>
          </w:p>
        </w:tc>
        <w:tc>
          <w:tcPr>
            <w:tcW w:w="782" w:type="dxa"/>
            <w:tcBorders>
              <w:top w:val="nil"/>
              <w:left w:val="nil"/>
              <w:bottom w:val="nil"/>
              <w:right w:val="nil"/>
            </w:tcBorders>
            <w:shd w:val="clear" w:color="000000" w:fill="FFFFFF"/>
            <w:noWrap/>
            <w:vAlign w:val="bottom"/>
            <w:hideMark/>
          </w:tcPr>
          <w:p w14:paraId="6637489E" w14:textId="77777777" w:rsidR="00B86DA9" w:rsidRPr="001D3709" w:rsidRDefault="00B86DA9" w:rsidP="001868FA">
            <w:pPr>
              <w:rPr>
                <w:rFonts w:ascii="Calibri" w:hAnsi="Calibri" w:cs="Calibri"/>
                <w:b/>
                <w:bCs/>
                <w:color w:val="000000"/>
                <w:sz w:val="16"/>
                <w:szCs w:val="16"/>
                <w:u w:val="single"/>
              </w:rPr>
            </w:pPr>
            <w:r w:rsidRPr="001D3709">
              <w:rPr>
                <w:rFonts w:ascii="Calibri" w:hAnsi="Calibri" w:cs="Calibri"/>
                <w:b/>
                <w:bCs/>
                <w:color w:val="000000"/>
                <w:sz w:val="16"/>
                <w:szCs w:val="16"/>
                <w:u w:val="single"/>
              </w:rPr>
              <w:t>Geta</w:t>
            </w:r>
          </w:p>
        </w:tc>
        <w:tc>
          <w:tcPr>
            <w:tcW w:w="781" w:type="dxa"/>
            <w:tcBorders>
              <w:top w:val="nil"/>
              <w:left w:val="nil"/>
              <w:bottom w:val="nil"/>
              <w:right w:val="nil"/>
            </w:tcBorders>
            <w:shd w:val="clear" w:color="000000" w:fill="FFFFFF"/>
            <w:noWrap/>
            <w:vAlign w:val="bottom"/>
            <w:hideMark/>
          </w:tcPr>
          <w:p w14:paraId="71E9B142" w14:textId="77777777" w:rsidR="00B86DA9" w:rsidRPr="001D3709" w:rsidRDefault="00B86DA9" w:rsidP="001868FA">
            <w:pPr>
              <w:rPr>
                <w:rFonts w:ascii="Calibri" w:hAnsi="Calibri" w:cs="Calibri"/>
                <w:b/>
                <w:bCs/>
                <w:color w:val="000000"/>
                <w:sz w:val="16"/>
                <w:szCs w:val="16"/>
                <w:u w:val="single"/>
              </w:rPr>
            </w:pPr>
            <w:r w:rsidRPr="001D3709">
              <w:rPr>
                <w:rFonts w:ascii="Calibri" w:hAnsi="Calibri" w:cs="Calibri"/>
                <w:b/>
                <w:bCs/>
                <w:color w:val="000000"/>
                <w:sz w:val="16"/>
                <w:szCs w:val="16"/>
                <w:u w:val="single"/>
              </w:rPr>
              <w:t>Hammarland</w:t>
            </w:r>
          </w:p>
        </w:tc>
        <w:tc>
          <w:tcPr>
            <w:tcW w:w="782" w:type="dxa"/>
            <w:tcBorders>
              <w:top w:val="nil"/>
              <w:left w:val="nil"/>
              <w:bottom w:val="nil"/>
              <w:right w:val="nil"/>
            </w:tcBorders>
            <w:shd w:val="clear" w:color="000000" w:fill="FFFFFF"/>
            <w:noWrap/>
            <w:vAlign w:val="bottom"/>
            <w:hideMark/>
          </w:tcPr>
          <w:p w14:paraId="2D422557" w14:textId="77777777" w:rsidR="00B86DA9" w:rsidRPr="001D3709" w:rsidRDefault="00B86DA9" w:rsidP="001868FA">
            <w:pPr>
              <w:rPr>
                <w:rFonts w:ascii="Calibri" w:hAnsi="Calibri" w:cs="Calibri"/>
                <w:b/>
                <w:bCs/>
                <w:color w:val="000000"/>
                <w:sz w:val="16"/>
                <w:szCs w:val="16"/>
                <w:u w:val="single"/>
              </w:rPr>
            </w:pPr>
            <w:r w:rsidRPr="001D3709">
              <w:rPr>
                <w:rFonts w:ascii="Calibri" w:hAnsi="Calibri" w:cs="Calibri"/>
                <w:b/>
                <w:bCs/>
                <w:color w:val="000000"/>
                <w:sz w:val="16"/>
                <w:szCs w:val="16"/>
                <w:u w:val="single"/>
              </w:rPr>
              <w:t>Jomala</w:t>
            </w:r>
          </w:p>
        </w:tc>
        <w:tc>
          <w:tcPr>
            <w:tcW w:w="781" w:type="dxa"/>
            <w:tcBorders>
              <w:top w:val="nil"/>
              <w:left w:val="nil"/>
              <w:bottom w:val="nil"/>
              <w:right w:val="nil"/>
            </w:tcBorders>
            <w:shd w:val="clear" w:color="000000" w:fill="FFFFFF"/>
            <w:noWrap/>
            <w:vAlign w:val="bottom"/>
            <w:hideMark/>
          </w:tcPr>
          <w:p w14:paraId="5D9F57E4" w14:textId="77777777" w:rsidR="00B86DA9" w:rsidRPr="001D3709" w:rsidRDefault="00B86DA9" w:rsidP="001868FA">
            <w:pPr>
              <w:rPr>
                <w:rFonts w:ascii="Calibri" w:hAnsi="Calibri" w:cs="Calibri"/>
                <w:b/>
                <w:bCs/>
                <w:color w:val="000000"/>
                <w:sz w:val="16"/>
                <w:szCs w:val="16"/>
                <w:u w:val="single"/>
              </w:rPr>
            </w:pPr>
            <w:r w:rsidRPr="001D3709">
              <w:rPr>
                <w:rFonts w:ascii="Calibri" w:hAnsi="Calibri" w:cs="Calibri"/>
                <w:b/>
                <w:bCs/>
                <w:color w:val="000000"/>
                <w:sz w:val="16"/>
                <w:szCs w:val="16"/>
                <w:u w:val="single"/>
              </w:rPr>
              <w:t>Kumlinge</w:t>
            </w:r>
          </w:p>
        </w:tc>
        <w:tc>
          <w:tcPr>
            <w:tcW w:w="782" w:type="dxa"/>
            <w:tcBorders>
              <w:top w:val="nil"/>
              <w:left w:val="nil"/>
              <w:bottom w:val="nil"/>
              <w:right w:val="nil"/>
            </w:tcBorders>
            <w:shd w:val="clear" w:color="000000" w:fill="FFFFFF"/>
            <w:noWrap/>
            <w:vAlign w:val="bottom"/>
            <w:hideMark/>
          </w:tcPr>
          <w:p w14:paraId="44FBA523" w14:textId="77777777" w:rsidR="00B86DA9" w:rsidRPr="001D3709" w:rsidRDefault="00B86DA9" w:rsidP="001868FA">
            <w:pPr>
              <w:rPr>
                <w:rFonts w:ascii="Calibri" w:hAnsi="Calibri" w:cs="Calibri"/>
                <w:b/>
                <w:bCs/>
                <w:color w:val="000000"/>
                <w:sz w:val="16"/>
                <w:szCs w:val="16"/>
                <w:u w:val="single"/>
              </w:rPr>
            </w:pPr>
            <w:r w:rsidRPr="001D3709">
              <w:rPr>
                <w:rFonts w:ascii="Calibri" w:hAnsi="Calibri" w:cs="Calibri"/>
                <w:b/>
                <w:bCs/>
                <w:color w:val="000000"/>
                <w:sz w:val="16"/>
                <w:szCs w:val="16"/>
                <w:u w:val="single"/>
              </w:rPr>
              <w:t>Kökar</w:t>
            </w:r>
          </w:p>
        </w:tc>
        <w:tc>
          <w:tcPr>
            <w:tcW w:w="781" w:type="dxa"/>
            <w:tcBorders>
              <w:top w:val="nil"/>
              <w:left w:val="nil"/>
              <w:bottom w:val="nil"/>
              <w:right w:val="nil"/>
            </w:tcBorders>
            <w:shd w:val="clear" w:color="000000" w:fill="FFFFFF"/>
            <w:noWrap/>
            <w:vAlign w:val="bottom"/>
            <w:hideMark/>
          </w:tcPr>
          <w:p w14:paraId="04FB0B5B" w14:textId="77777777" w:rsidR="00B86DA9" w:rsidRPr="001D3709" w:rsidRDefault="00B86DA9" w:rsidP="001868FA">
            <w:pPr>
              <w:rPr>
                <w:rFonts w:ascii="Calibri" w:hAnsi="Calibri" w:cs="Calibri"/>
                <w:b/>
                <w:bCs/>
                <w:color w:val="000000"/>
                <w:sz w:val="16"/>
                <w:szCs w:val="16"/>
                <w:u w:val="single"/>
              </w:rPr>
            </w:pPr>
            <w:r w:rsidRPr="001D3709">
              <w:rPr>
                <w:rFonts w:ascii="Calibri" w:hAnsi="Calibri" w:cs="Calibri"/>
                <w:b/>
                <w:bCs/>
                <w:color w:val="000000"/>
                <w:sz w:val="16"/>
                <w:szCs w:val="16"/>
                <w:u w:val="single"/>
              </w:rPr>
              <w:t>Lemland</w:t>
            </w:r>
          </w:p>
        </w:tc>
        <w:tc>
          <w:tcPr>
            <w:tcW w:w="782" w:type="dxa"/>
            <w:tcBorders>
              <w:top w:val="nil"/>
              <w:left w:val="nil"/>
              <w:bottom w:val="nil"/>
              <w:right w:val="nil"/>
            </w:tcBorders>
            <w:shd w:val="clear" w:color="000000" w:fill="FFFFFF"/>
            <w:noWrap/>
            <w:vAlign w:val="bottom"/>
            <w:hideMark/>
          </w:tcPr>
          <w:p w14:paraId="2DEF5B28" w14:textId="77777777" w:rsidR="00B86DA9" w:rsidRPr="001D3709" w:rsidRDefault="00B86DA9" w:rsidP="001868FA">
            <w:pPr>
              <w:rPr>
                <w:rFonts w:ascii="Calibri" w:hAnsi="Calibri" w:cs="Calibri"/>
                <w:b/>
                <w:bCs/>
                <w:color w:val="000000"/>
                <w:sz w:val="16"/>
                <w:szCs w:val="16"/>
                <w:u w:val="single"/>
              </w:rPr>
            </w:pPr>
            <w:r w:rsidRPr="001D3709">
              <w:rPr>
                <w:rFonts w:ascii="Calibri" w:hAnsi="Calibri" w:cs="Calibri"/>
                <w:b/>
                <w:bCs/>
                <w:color w:val="000000"/>
                <w:sz w:val="16"/>
                <w:szCs w:val="16"/>
                <w:u w:val="single"/>
              </w:rPr>
              <w:t>Lumparland</w:t>
            </w:r>
          </w:p>
        </w:tc>
        <w:tc>
          <w:tcPr>
            <w:tcW w:w="781" w:type="dxa"/>
            <w:tcBorders>
              <w:top w:val="nil"/>
              <w:left w:val="nil"/>
              <w:bottom w:val="nil"/>
              <w:right w:val="nil"/>
            </w:tcBorders>
            <w:shd w:val="clear" w:color="000000" w:fill="FFFFFF"/>
            <w:noWrap/>
            <w:vAlign w:val="bottom"/>
            <w:hideMark/>
          </w:tcPr>
          <w:p w14:paraId="5288D0BE" w14:textId="77777777" w:rsidR="00B86DA9" w:rsidRPr="001D3709" w:rsidRDefault="00B86DA9" w:rsidP="001868FA">
            <w:pPr>
              <w:rPr>
                <w:rFonts w:ascii="Calibri" w:hAnsi="Calibri" w:cs="Calibri"/>
                <w:b/>
                <w:bCs/>
                <w:color w:val="000000"/>
                <w:sz w:val="16"/>
                <w:szCs w:val="16"/>
                <w:u w:val="single"/>
              </w:rPr>
            </w:pPr>
            <w:r w:rsidRPr="001D3709">
              <w:rPr>
                <w:rFonts w:ascii="Calibri" w:hAnsi="Calibri" w:cs="Calibri"/>
                <w:b/>
                <w:bCs/>
                <w:color w:val="000000"/>
                <w:sz w:val="16"/>
                <w:szCs w:val="16"/>
                <w:u w:val="single"/>
              </w:rPr>
              <w:t>Saltvik</w:t>
            </w:r>
          </w:p>
        </w:tc>
        <w:tc>
          <w:tcPr>
            <w:tcW w:w="782" w:type="dxa"/>
            <w:tcBorders>
              <w:top w:val="nil"/>
              <w:left w:val="nil"/>
              <w:bottom w:val="nil"/>
              <w:right w:val="nil"/>
            </w:tcBorders>
            <w:shd w:val="clear" w:color="000000" w:fill="FFFFFF"/>
            <w:noWrap/>
            <w:vAlign w:val="bottom"/>
            <w:hideMark/>
          </w:tcPr>
          <w:p w14:paraId="65BCE03D" w14:textId="77777777" w:rsidR="00B86DA9" w:rsidRPr="001D3709" w:rsidRDefault="00B86DA9" w:rsidP="001868FA">
            <w:pPr>
              <w:rPr>
                <w:rFonts w:ascii="Calibri" w:hAnsi="Calibri" w:cs="Calibri"/>
                <w:b/>
                <w:bCs/>
                <w:color w:val="000000"/>
                <w:sz w:val="16"/>
                <w:szCs w:val="16"/>
                <w:u w:val="single"/>
              </w:rPr>
            </w:pPr>
            <w:r w:rsidRPr="001D3709">
              <w:rPr>
                <w:rFonts w:ascii="Calibri" w:hAnsi="Calibri" w:cs="Calibri"/>
                <w:b/>
                <w:bCs/>
                <w:color w:val="000000"/>
                <w:sz w:val="16"/>
                <w:szCs w:val="16"/>
                <w:u w:val="single"/>
              </w:rPr>
              <w:t>Sottunga</w:t>
            </w:r>
          </w:p>
        </w:tc>
        <w:tc>
          <w:tcPr>
            <w:tcW w:w="781" w:type="dxa"/>
            <w:tcBorders>
              <w:top w:val="nil"/>
              <w:left w:val="nil"/>
              <w:bottom w:val="nil"/>
              <w:right w:val="nil"/>
            </w:tcBorders>
            <w:shd w:val="clear" w:color="000000" w:fill="FFFFFF"/>
            <w:noWrap/>
            <w:vAlign w:val="bottom"/>
            <w:hideMark/>
          </w:tcPr>
          <w:p w14:paraId="19F36E7C" w14:textId="77777777" w:rsidR="00B86DA9" w:rsidRPr="001D3709" w:rsidRDefault="00B86DA9" w:rsidP="001868FA">
            <w:pPr>
              <w:rPr>
                <w:rFonts w:ascii="Calibri" w:hAnsi="Calibri" w:cs="Calibri"/>
                <w:b/>
                <w:bCs/>
                <w:color w:val="000000"/>
                <w:sz w:val="16"/>
                <w:szCs w:val="16"/>
                <w:u w:val="single"/>
              </w:rPr>
            </w:pPr>
            <w:r w:rsidRPr="001D3709">
              <w:rPr>
                <w:rFonts w:ascii="Calibri" w:hAnsi="Calibri" w:cs="Calibri"/>
                <w:b/>
                <w:bCs/>
                <w:color w:val="000000"/>
                <w:sz w:val="16"/>
                <w:szCs w:val="16"/>
                <w:u w:val="single"/>
              </w:rPr>
              <w:t>Sund</w:t>
            </w:r>
          </w:p>
        </w:tc>
        <w:tc>
          <w:tcPr>
            <w:tcW w:w="782" w:type="dxa"/>
            <w:tcBorders>
              <w:top w:val="nil"/>
              <w:left w:val="nil"/>
              <w:bottom w:val="nil"/>
              <w:right w:val="nil"/>
            </w:tcBorders>
            <w:shd w:val="clear" w:color="000000" w:fill="FFFFFF"/>
            <w:noWrap/>
            <w:vAlign w:val="bottom"/>
            <w:hideMark/>
          </w:tcPr>
          <w:p w14:paraId="2AE25B39" w14:textId="77777777" w:rsidR="00B86DA9" w:rsidRPr="001D3709" w:rsidRDefault="00B86DA9" w:rsidP="001868FA">
            <w:pPr>
              <w:rPr>
                <w:rFonts w:ascii="Calibri" w:hAnsi="Calibri" w:cs="Calibri"/>
                <w:b/>
                <w:bCs/>
                <w:color w:val="000000"/>
                <w:sz w:val="16"/>
                <w:szCs w:val="16"/>
                <w:u w:val="single"/>
              </w:rPr>
            </w:pPr>
            <w:r w:rsidRPr="001D3709">
              <w:rPr>
                <w:rFonts w:ascii="Calibri" w:hAnsi="Calibri" w:cs="Calibri"/>
                <w:b/>
                <w:bCs/>
                <w:color w:val="000000"/>
                <w:sz w:val="16"/>
                <w:szCs w:val="16"/>
                <w:u w:val="single"/>
              </w:rPr>
              <w:t>Vårdö</w:t>
            </w:r>
          </w:p>
        </w:tc>
        <w:tc>
          <w:tcPr>
            <w:tcW w:w="781" w:type="dxa"/>
            <w:tcBorders>
              <w:top w:val="nil"/>
              <w:left w:val="nil"/>
              <w:bottom w:val="nil"/>
              <w:right w:val="nil"/>
            </w:tcBorders>
            <w:shd w:val="clear" w:color="000000" w:fill="FFFFFF"/>
            <w:noWrap/>
            <w:vAlign w:val="bottom"/>
            <w:hideMark/>
          </w:tcPr>
          <w:p w14:paraId="48D25AD2" w14:textId="77777777" w:rsidR="00B86DA9" w:rsidRPr="001D3709" w:rsidRDefault="00B86DA9" w:rsidP="001868FA">
            <w:pPr>
              <w:rPr>
                <w:rFonts w:ascii="Calibri" w:hAnsi="Calibri" w:cs="Calibri"/>
                <w:b/>
                <w:bCs/>
                <w:color w:val="000000"/>
                <w:sz w:val="16"/>
                <w:szCs w:val="16"/>
                <w:u w:val="single"/>
              </w:rPr>
            </w:pPr>
            <w:r w:rsidRPr="001D3709">
              <w:rPr>
                <w:rFonts w:ascii="Calibri" w:hAnsi="Calibri" w:cs="Calibri"/>
                <w:b/>
                <w:bCs/>
                <w:color w:val="000000"/>
                <w:sz w:val="16"/>
                <w:szCs w:val="16"/>
                <w:u w:val="single"/>
              </w:rPr>
              <w:t>Mariehamn</w:t>
            </w:r>
          </w:p>
        </w:tc>
        <w:tc>
          <w:tcPr>
            <w:tcW w:w="782" w:type="dxa"/>
            <w:tcBorders>
              <w:top w:val="nil"/>
              <w:left w:val="nil"/>
              <w:bottom w:val="nil"/>
              <w:right w:val="nil"/>
            </w:tcBorders>
            <w:shd w:val="clear" w:color="000000" w:fill="FFFFFF"/>
            <w:noWrap/>
            <w:vAlign w:val="bottom"/>
            <w:hideMark/>
          </w:tcPr>
          <w:p w14:paraId="48F2FE35" w14:textId="77777777" w:rsidR="00B86DA9" w:rsidRPr="001D3709" w:rsidRDefault="00B86DA9" w:rsidP="001868FA">
            <w:pPr>
              <w:rPr>
                <w:rFonts w:ascii="Calibri" w:hAnsi="Calibri" w:cs="Calibri"/>
                <w:b/>
                <w:bCs/>
                <w:color w:val="000000"/>
                <w:sz w:val="16"/>
                <w:szCs w:val="16"/>
                <w:u w:val="single"/>
              </w:rPr>
            </w:pPr>
            <w:r w:rsidRPr="001D3709">
              <w:rPr>
                <w:rFonts w:ascii="Calibri" w:hAnsi="Calibri" w:cs="Calibri"/>
                <w:b/>
                <w:bCs/>
                <w:color w:val="000000"/>
                <w:sz w:val="16"/>
                <w:szCs w:val="16"/>
                <w:u w:val="single"/>
              </w:rPr>
              <w:t>Alla kommuner</w:t>
            </w:r>
          </w:p>
        </w:tc>
      </w:tr>
      <w:tr w:rsidR="00A9200B" w:rsidRPr="001D3709" w14:paraId="38215934" w14:textId="77777777" w:rsidTr="00A9200B">
        <w:trPr>
          <w:trHeight w:val="436"/>
        </w:trPr>
        <w:tc>
          <w:tcPr>
            <w:tcW w:w="465" w:type="dxa"/>
            <w:tcBorders>
              <w:top w:val="nil"/>
              <w:left w:val="nil"/>
              <w:bottom w:val="nil"/>
              <w:right w:val="nil"/>
            </w:tcBorders>
            <w:shd w:val="clear" w:color="000000" w:fill="FFFFFF"/>
            <w:noWrap/>
            <w:vAlign w:val="bottom"/>
            <w:hideMark/>
          </w:tcPr>
          <w:p w14:paraId="38937A6C" w14:textId="77777777" w:rsidR="00A9200B" w:rsidRPr="001D3709" w:rsidRDefault="00A9200B" w:rsidP="00A9200B">
            <w:pPr>
              <w:jc w:val="right"/>
              <w:rPr>
                <w:rFonts w:ascii="Calibri" w:hAnsi="Calibri" w:cs="Calibri"/>
                <w:b/>
                <w:bCs/>
                <w:color w:val="000000"/>
                <w:sz w:val="16"/>
                <w:szCs w:val="16"/>
              </w:rPr>
            </w:pPr>
            <w:r w:rsidRPr="001D3709">
              <w:rPr>
                <w:rFonts w:ascii="Calibri" w:hAnsi="Calibri" w:cs="Calibri"/>
                <w:b/>
                <w:bCs/>
                <w:color w:val="000000"/>
                <w:sz w:val="16"/>
                <w:szCs w:val="16"/>
              </w:rPr>
              <w:t>2014</w:t>
            </w:r>
          </w:p>
        </w:tc>
        <w:tc>
          <w:tcPr>
            <w:tcW w:w="781" w:type="dxa"/>
            <w:tcBorders>
              <w:top w:val="nil"/>
              <w:left w:val="nil"/>
              <w:bottom w:val="nil"/>
              <w:right w:val="nil"/>
            </w:tcBorders>
            <w:shd w:val="clear" w:color="000000" w:fill="C6EFCE"/>
            <w:noWrap/>
            <w:vAlign w:val="bottom"/>
            <w:hideMark/>
          </w:tcPr>
          <w:p w14:paraId="0CCC583B" w14:textId="34F88B6D"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153 %</w:t>
            </w:r>
          </w:p>
        </w:tc>
        <w:tc>
          <w:tcPr>
            <w:tcW w:w="739" w:type="dxa"/>
            <w:tcBorders>
              <w:top w:val="nil"/>
              <w:left w:val="nil"/>
              <w:bottom w:val="nil"/>
              <w:right w:val="nil"/>
            </w:tcBorders>
            <w:shd w:val="clear" w:color="000000" w:fill="C6EFCE"/>
            <w:noWrap/>
            <w:vAlign w:val="bottom"/>
            <w:hideMark/>
          </w:tcPr>
          <w:p w14:paraId="16617E7E" w14:textId="12454995"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163 %</w:t>
            </w:r>
          </w:p>
        </w:tc>
        <w:tc>
          <w:tcPr>
            <w:tcW w:w="824" w:type="dxa"/>
            <w:tcBorders>
              <w:top w:val="nil"/>
              <w:left w:val="nil"/>
              <w:bottom w:val="nil"/>
              <w:right w:val="nil"/>
            </w:tcBorders>
            <w:shd w:val="clear" w:color="000000" w:fill="C6EFCE"/>
            <w:noWrap/>
            <w:vAlign w:val="bottom"/>
            <w:hideMark/>
          </w:tcPr>
          <w:p w14:paraId="353E5DF3" w14:textId="1FD40C40"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188 %</w:t>
            </w:r>
          </w:p>
        </w:tc>
        <w:tc>
          <w:tcPr>
            <w:tcW w:w="781" w:type="dxa"/>
            <w:tcBorders>
              <w:top w:val="nil"/>
              <w:left w:val="nil"/>
              <w:bottom w:val="nil"/>
              <w:right w:val="nil"/>
            </w:tcBorders>
            <w:shd w:val="clear" w:color="000000" w:fill="C6EFCE"/>
            <w:noWrap/>
            <w:vAlign w:val="bottom"/>
            <w:hideMark/>
          </w:tcPr>
          <w:p w14:paraId="34A6F344" w14:textId="42A7BBF0"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135 %</w:t>
            </w:r>
          </w:p>
        </w:tc>
        <w:tc>
          <w:tcPr>
            <w:tcW w:w="782" w:type="dxa"/>
            <w:tcBorders>
              <w:top w:val="nil"/>
              <w:left w:val="nil"/>
              <w:bottom w:val="nil"/>
              <w:right w:val="nil"/>
            </w:tcBorders>
            <w:shd w:val="clear" w:color="000000" w:fill="C6EFCE"/>
            <w:noWrap/>
            <w:vAlign w:val="bottom"/>
            <w:hideMark/>
          </w:tcPr>
          <w:p w14:paraId="03CF5631" w14:textId="689F5496"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294 %</w:t>
            </w:r>
          </w:p>
        </w:tc>
        <w:tc>
          <w:tcPr>
            <w:tcW w:w="781" w:type="dxa"/>
            <w:tcBorders>
              <w:top w:val="nil"/>
              <w:left w:val="nil"/>
              <w:bottom w:val="nil"/>
              <w:right w:val="nil"/>
            </w:tcBorders>
            <w:shd w:val="clear" w:color="000000" w:fill="C6EFCE"/>
            <w:noWrap/>
            <w:vAlign w:val="bottom"/>
            <w:hideMark/>
          </w:tcPr>
          <w:p w14:paraId="442A4B26" w14:textId="2ACE40A9"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130 %</w:t>
            </w:r>
          </w:p>
        </w:tc>
        <w:tc>
          <w:tcPr>
            <w:tcW w:w="782" w:type="dxa"/>
            <w:tcBorders>
              <w:top w:val="nil"/>
              <w:left w:val="nil"/>
              <w:bottom w:val="nil"/>
              <w:right w:val="nil"/>
            </w:tcBorders>
            <w:shd w:val="clear" w:color="000000" w:fill="C6EFCE"/>
            <w:noWrap/>
            <w:vAlign w:val="bottom"/>
            <w:hideMark/>
          </w:tcPr>
          <w:p w14:paraId="2591D73C" w14:textId="4106A8AC"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275 %</w:t>
            </w:r>
          </w:p>
        </w:tc>
        <w:tc>
          <w:tcPr>
            <w:tcW w:w="781" w:type="dxa"/>
            <w:tcBorders>
              <w:top w:val="nil"/>
              <w:left w:val="nil"/>
              <w:bottom w:val="nil"/>
              <w:right w:val="nil"/>
            </w:tcBorders>
            <w:shd w:val="clear" w:color="000000" w:fill="C6EFCE"/>
            <w:noWrap/>
            <w:vAlign w:val="bottom"/>
            <w:hideMark/>
          </w:tcPr>
          <w:p w14:paraId="66FAD7E2" w14:textId="029F3B4A"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130 %</w:t>
            </w:r>
          </w:p>
        </w:tc>
        <w:tc>
          <w:tcPr>
            <w:tcW w:w="782" w:type="dxa"/>
            <w:tcBorders>
              <w:top w:val="nil"/>
              <w:left w:val="nil"/>
              <w:bottom w:val="nil"/>
              <w:right w:val="nil"/>
            </w:tcBorders>
            <w:shd w:val="clear" w:color="000000" w:fill="FFC7CE"/>
            <w:noWrap/>
            <w:vAlign w:val="bottom"/>
            <w:hideMark/>
          </w:tcPr>
          <w:p w14:paraId="4038F70E" w14:textId="1A6111DA" w:rsidR="00A9200B" w:rsidRPr="00A9200B" w:rsidRDefault="00A9200B" w:rsidP="00A9200B">
            <w:pPr>
              <w:jc w:val="right"/>
              <w:rPr>
                <w:rFonts w:ascii="Calibri" w:hAnsi="Calibri" w:cs="Calibri"/>
                <w:color w:val="9C0006"/>
                <w:sz w:val="18"/>
                <w:szCs w:val="18"/>
              </w:rPr>
            </w:pPr>
            <w:r w:rsidRPr="00A9200B">
              <w:rPr>
                <w:rFonts w:ascii="Calibri" w:hAnsi="Calibri" w:cs="Calibri"/>
                <w:color w:val="9C0006"/>
                <w:sz w:val="18"/>
                <w:szCs w:val="18"/>
              </w:rPr>
              <w:t>-45 %</w:t>
            </w:r>
          </w:p>
        </w:tc>
        <w:tc>
          <w:tcPr>
            <w:tcW w:w="781" w:type="dxa"/>
            <w:tcBorders>
              <w:top w:val="nil"/>
              <w:left w:val="nil"/>
              <w:bottom w:val="nil"/>
              <w:right w:val="nil"/>
            </w:tcBorders>
            <w:shd w:val="clear" w:color="000000" w:fill="FFC7CE"/>
            <w:noWrap/>
            <w:vAlign w:val="bottom"/>
            <w:hideMark/>
          </w:tcPr>
          <w:p w14:paraId="646ABAE3" w14:textId="48F0EDC6" w:rsidR="00A9200B" w:rsidRPr="00A9200B" w:rsidRDefault="00A9200B" w:rsidP="00A9200B">
            <w:pPr>
              <w:jc w:val="right"/>
              <w:rPr>
                <w:rFonts w:ascii="Calibri" w:hAnsi="Calibri" w:cs="Calibri"/>
                <w:color w:val="9C0006"/>
                <w:sz w:val="18"/>
                <w:szCs w:val="18"/>
              </w:rPr>
            </w:pPr>
            <w:r w:rsidRPr="00A9200B">
              <w:rPr>
                <w:rFonts w:ascii="Calibri" w:hAnsi="Calibri" w:cs="Calibri"/>
                <w:color w:val="9C0006"/>
                <w:sz w:val="18"/>
                <w:szCs w:val="18"/>
              </w:rPr>
              <w:t>77 %</w:t>
            </w:r>
          </w:p>
        </w:tc>
        <w:tc>
          <w:tcPr>
            <w:tcW w:w="782" w:type="dxa"/>
            <w:tcBorders>
              <w:top w:val="nil"/>
              <w:left w:val="nil"/>
              <w:bottom w:val="nil"/>
              <w:right w:val="nil"/>
            </w:tcBorders>
            <w:shd w:val="clear" w:color="000000" w:fill="FFC7CE"/>
            <w:noWrap/>
            <w:vAlign w:val="bottom"/>
            <w:hideMark/>
          </w:tcPr>
          <w:p w14:paraId="6D907865" w14:textId="3E4496D8" w:rsidR="00A9200B" w:rsidRPr="00A9200B" w:rsidRDefault="00A9200B" w:rsidP="00A9200B">
            <w:pPr>
              <w:jc w:val="right"/>
              <w:rPr>
                <w:rFonts w:ascii="Calibri" w:hAnsi="Calibri" w:cs="Calibri"/>
                <w:color w:val="9C0006"/>
                <w:sz w:val="18"/>
                <w:szCs w:val="18"/>
              </w:rPr>
            </w:pPr>
            <w:r w:rsidRPr="00A9200B">
              <w:rPr>
                <w:rFonts w:ascii="Calibri" w:hAnsi="Calibri" w:cs="Calibri"/>
                <w:color w:val="9C0006"/>
                <w:sz w:val="18"/>
                <w:szCs w:val="18"/>
              </w:rPr>
              <w:t>13 %</w:t>
            </w:r>
          </w:p>
        </w:tc>
        <w:tc>
          <w:tcPr>
            <w:tcW w:w="781" w:type="dxa"/>
            <w:tcBorders>
              <w:top w:val="nil"/>
              <w:left w:val="nil"/>
              <w:bottom w:val="nil"/>
              <w:right w:val="nil"/>
            </w:tcBorders>
            <w:shd w:val="clear" w:color="000000" w:fill="C6EFCE"/>
            <w:noWrap/>
            <w:vAlign w:val="bottom"/>
            <w:hideMark/>
          </w:tcPr>
          <w:p w14:paraId="5A67A40A" w14:textId="22E9354D"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151 %</w:t>
            </w:r>
          </w:p>
        </w:tc>
        <w:tc>
          <w:tcPr>
            <w:tcW w:w="782" w:type="dxa"/>
            <w:tcBorders>
              <w:top w:val="nil"/>
              <w:left w:val="nil"/>
              <w:bottom w:val="nil"/>
              <w:right w:val="nil"/>
            </w:tcBorders>
            <w:shd w:val="clear" w:color="000000" w:fill="C6EFCE"/>
            <w:noWrap/>
            <w:vAlign w:val="bottom"/>
            <w:hideMark/>
          </w:tcPr>
          <w:p w14:paraId="550CFC75" w14:textId="30DBDDE9"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150 %</w:t>
            </w:r>
          </w:p>
        </w:tc>
        <w:tc>
          <w:tcPr>
            <w:tcW w:w="781" w:type="dxa"/>
            <w:tcBorders>
              <w:top w:val="nil"/>
              <w:left w:val="nil"/>
              <w:bottom w:val="nil"/>
              <w:right w:val="nil"/>
            </w:tcBorders>
            <w:shd w:val="clear" w:color="000000" w:fill="FFC7CE"/>
            <w:noWrap/>
            <w:vAlign w:val="bottom"/>
            <w:hideMark/>
          </w:tcPr>
          <w:p w14:paraId="6E3DF2C3" w14:textId="21923FCB" w:rsidR="00A9200B" w:rsidRPr="00A9200B" w:rsidRDefault="00A9200B" w:rsidP="00A9200B">
            <w:pPr>
              <w:jc w:val="right"/>
              <w:rPr>
                <w:rFonts w:ascii="Calibri" w:hAnsi="Calibri" w:cs="Calibri"/>
                <w:color w:val="9C0006"/>
                <w:sz w:val="18"/>
                <w:szCs w:val="18"/>
              </w:rPr>
            </w:pPr>
            <w:r w:rsidRPr="00A9200B">
              <w:rPr>
                <w:rFonts w:ascii="Calibri" w:hAnsi="Calibri" w:cs="Calibri"/>
                <w:color w:val="9C0006"/>
                <w:sz w:val="18"/>
                <w:szCs w:val="18"/>
              </w:rPr>
              <w:t>78 %</w:t>
            </w:r>
          </w:p>
        </w:tc>
        <w:tc>
          <w:tcPr>
            <w:tcW w:w="782" w:type="dxa"/>
            <w:tcBorders>
              <w:top w:val="nil"/>
              <w:left w:val="nil"/>
              <w:bottom w:val="nil"/>
              <w:right w:val="nil"/>
            </w:tcBorders>
            <w:shd w:val="clear" w:color="000000" w:fill="C6EFCE"/>
            <w:noWrap/>
            <w:vAlign w:val="bottom"/>
            <w:hideMark/>
          </w:tcPr>
          <w:p w14:paraId="59971002" w14:textId="39536C7A"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125 %</w:t>
            </w:r>
          </w:p>
        </w:tc>
        <w:tc>
          <w:tcPr>
            <w:tcW w:w="781" w:type="dxa"/>
            <w:tcBorders>
              <w:top w:val="nil"/>
              <w:left w:val="nil"/>
              <w:bottom w:val="nil"/>
              <w:right w:val="nil"/>
            </w:tcBorders>
            <w:shd w:val="clear" w:color="000000" w:fill="C6EFCE"/>
            <w:noWrap/>
            <w:vAlign w:val="bottom"/>
            <w:hideMark/>
          </w:tcPr>
          <w:p w14:paraId="134E0F98" w14:textId="42B8676A"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146 %</w:t>
            </w:r>
          </w:p>
        </w:tc>
        <w:tc>
          <w:tcPr>
            <w:tcW w:w="782" w:type="dxa"/>
            <w:tcBorders>
              <w:top w:val="nil"/>
              <w:left w:val="nil"/>
              <w:bottom w:val="nil"/>
              <w:right w:val="nil"/>
            </w:tcBorders>
            <w:shd w:val="clear" w:color="000000" w:fill="C6EFCE"/>
            <w:noWrap/>
            <w:vAlign w:val="bottom"/>
            <w:hideMark/>
          </w:tcPr>
          <w:p w14:paraId="34B8FF27" w14:textId="164989E6" w:rsidR="00A9200B" w:rsidRPr="00A9200B" w:rsidRDefault="00A9200B" w:rsidP="00A9200B">
            <w:pPr>
              <w:jc w:val="right"/>
              <w:rPr>
                <w:rFonts w:ascii="Calibri" w:hAnsi="Calibri" w:cs="Calibri"/>
                <w:b/>
                <w:bCs/>
                <w:color w:val="006100"/>
                <w:sz w:val="18"/>
                <w:szCs w:val="18"/>
              </w:rPr>
            </w:pPr>
            <w:r w:rsidRPr="00A9200B">
              <w:rPr>
                <w:rFonts w:ascii="Calibri" w:hAnsi="Calibri" w:cs="Calibri"/>
                <w:b/>
                <w:bCs/>
                <w:color w:val="006100"/>
                <w:sz w:val="18"/>
                <w:szCs w:val="18"/>
              </w:rPr>
              <w:t>151 %</w:t>
            </w:r>
          </w:p>
        </w:tc>
      </w:tr>
      <w:tr w:rsidR="00A9200B" w:rsidRPr="001D3709" w14:paraId="21954BEA" w14:textId="77777777" w:rsidTr="00A9200B">
        <w:trPr>
          <w:trHeight w:val="436"/>
        </w:trPr>
        <w:tc>
          <w:tcPr>
            <w:tcW w:w="465" w:type="dxa"/>
            <w:tcBorders>
              <w:top w:val="nil"/>
              <w:left w:val="nil"/>
              <w:bottom w:val="nil"/>
              <w:right w:val="nil"/>
            </w:tcBorders>
            <w:shd w:val="clear" w:color="000000" w:fill="FFFFFF"/>
            <w:noWrap/>
            <w:vAlign w:val="bottom"/>
            <w:hideMark/>
          </w:tcPr>
          <w:p w14:paraId="7267F827" w14:textId="77777777" w:rsidR="00A9200B" w:rsidRPr="001D3709" w:rsidRDefault="00A9200B" w:rsidP="00A9200B">
            <w:pPr>
              <w:jc w:val="right"/>
              <w:rPr>
                <w:rFonts w:ascii="Calibri" w:hAnsi="Calibri" w:cs="Calibri"/>
                <w:b/>
                <w:bCs/>
                <w:color w:val="000000"/>
                <w:sz w:val="16"/>
                <w:szCs w:val="16"/>
              </w:rPr>
            </w:pPr>
            <w:r w:rsidRPr="001D3709">
              <w:rPr>
                <w:rFonts w:ascii="Calibri" w:hAnsi="Calibri" w:cs="Calibri"/>
                <w:b/>
                <w:bCs/>
                <w:color w:val="000000"/>
                <w:sz w:val="16"/>
                <w:szCs w:val="16"/>
              </w:rPr>
              <w:t>2015</w:t>
            </w:r>
          </w:p>
        </w:tc>
        <w:tc>
          <w:tcPr>
            <w:tcW w:w="781" w:type="dxa"/>
            <w:tcBorders>
              <w:top w:val="nil"/>
              <w:left w:val="nil"/>
              <w:bottom w:val="nil"/>
              <w:right w:val="nil"/>
            </w:tcBorders>
            <w:shd w:val="clear" w:color="000000" w:fill="C6EFCE"/>
            <w:noWrap/>
            <w:vAlign w:val="bottom"/>
            <w:hideMark/>
          </w:tcPr>
          <w:p w14:paraId="19A7EF53" w14:textId="7C771472"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135 %</w:t>
            </w:r>
          </w:p>
        </w:tc>
        <w:tc>
          <w:tcPr>
            <w:tcW w:w="739" w:type="dxa"/>
            <w:tcBorders>
              <w:top w:val="nil"/>
              <w:left w:val="nil"/>
              <w:bottom w:val="nil"/>
              <w:right w:val="nil"/>
            </w:tcBorders>
            <w:shd w:val="clear" w:color="000000" w:fill="C6EFCE"/>
            <w:noWrap/>
            <w:vAlign w:val="bottom"/>
            <w:hideMark/>
          </w:tcPr>
          <w:p w14:paraId="5A950011" w14:textId="7AC37C1B"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133 %</w:t>
            </w:r>
          </w:p>
        </w:tc>
        <w:tc>
          <w:tcPr>
            <w:tcW w:w="824" w:type="dxa"/>
            <w:tcBorders>
              <w:top w:val="nil"/>
              <w:left w:val="nil"/>
              <w:bottom w:val="nil"/>
              <w:right w:val="nil"/>
            </w:tcBorders>
            <w:shd w:val="clear" w:color="000000" w:fill="C6EFCE"/>
            <w:noWrap/>
            <w:vAlign w:val="bottom"/>
            <w:hideMark/>
          </w:tcPr>
          <w:p w14:paraId="21307FDE" w14:textId="3185030C"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235 %</w:t>
            </w:r>
          </w:p>
        </w:tc>
        <w:tc>
          <w:tcPr>
            <w:tcW w:w="781" w:type="dxa"/>
            <w:tcBorders>
              <w:top w:val="nil"/>
              <w:left w:val="nil"/>
              <w:bottom w:val="nil"/>
              <w:right w:val="nil"/>
            </w:tcBorders>
            <w:shd w:val="clear" w:color="000000" w:fill="C6EFCE"/>
            <w:noWrap/>
            <w:vAlign w:val="bottom"/>
            <w:hideMark/>
          </w:tcPr>
          <w:p w14:paraId="5CA62C82" w14:textId="69D16BD0"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179 %</w:t>
            </w:r>
          </w:p>
        </w:tc>
        <w:tc>
          <w:tcPr>
            <w:tcW w:w="782" w:type="dxa"/>
            <w:tcBorders>
              <w:top w:val="nil"/>
              <w:left w:val="nil"/>
              <w:bottom w:val="nil"/>
              <w:right w:val="nil"/>
            </w:tcBorders>
            <w:shd w:val="clear" w:color="000000" w:fill="C6EFCE"/>
            <w:noWrap/>
            <w:vAlign w:val="bottom"/>
            <w:hideMark/>
          </w:tcPr>
          <w:p w14:paraId="6E064E4A" w14:textId="0F4BAFA5"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183 %</w:t>
            </w:r>
          </w:p>
        </w:tc>
        <w:tc>
          <w:tcPr>
            <w:tcW w:w="781" w:type="dxa"/>
            <w:tcBorders>
              <w:top w:val="nil"/>
              <w:left w:val="nil"/>
              <w:bottom w:val="nil"/>
              <w:right w:val="nil"/>
            </w:tcBorders>
            <w:shd w:val="clear" w:color="000000" w:fill="C6EFCE"/>
            <w:noWrap/>
            <w:vAlign w:val="bottom"/>
            <w:hideMark/>
          </w:tcPr>
          <w:p w14:paraId="02F66FA3" w14:textId="7B40667E"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113 %</w:t>
            </w:r>
          </w:p>
        </w:tc>
        <w:tc>
          <w:tcPr>
            <w:tcW w:w="782" w:type="dxa"/>
            <w:tcBorders>
              <w:top w:val="nil"/>
              <w:left w:val="nil"/>
              <w:bottom w:val="nil"/>
              <w:right w:val="nil"/>
            </w:tcBorders>
            <w:shd w:val="clear" w:color="000000" w:fill="C6EFCE"/>
            <w:noWrap/>
            <w:vAlign w:val="bottom"/>
            <w:hideMark/>
          </w:tcPr>
          <w:p w14:paraId="43257258" w14:textId="1DFC651F"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262 %</w:t>
            </w:r>
          </w:p>
        </w:tc>
        <w:tc>
          <w:tcPr>
            <w:tcW w:w="781" w:type="dxa"/>
            <w:tcBorders>
              <w:top w:val="nil"/>
              <w:left w:val="nil"/>
              <w:bottom w:val="nil"/>
              <w:right w:val="nil"/>
            </w:tcBorders>
            <w:shd w:val="clear" w:color="000000" w:fill="C6EFCE"/>
            <w:noWrap/>
            <w:vAlign w:val="bottom"/>
            <w:hideMark/>
          </w:tcPr>
          <w:p w14:paraId="0EA0614E" w14:textId="42984E6F" w:rsidR="00A9200B" w:rsidRPr="00A9200B" w:rsidRDefault="00A9200B" w:rsidP="00A9200B">
            <w:pPr>
              <w:jc w:val="right"/>
              <w:rPr>
                <w:rFonts w:ascii="Calibri" w:hAnsi="Calibri" w:cs="Calibri"/>
                <w:color w:val="9C0006"/>
                <w:sz w:val="18"/>
                <w:szCs w:val="18"/>
              </w:rPr>
            </w:pPr>
            <w:r w:rsidRPr="00A9200B">
              <w:rPr>
                <w:rFonts w:ascii="Calibri" w:hAnsi="Calibri" w:cs="Calibri"/>
                <w:color w:val="006100"/>
                <w:sz w:val="18"/>
                <w:szCs w:val="18"/>
              </w:rPr>
              <w:t>98 %</w:t>
            </w:r>
          </w:p>
        </w:tc>
        <w:tc>
          <w:tcPr>
            <w:tcW w:w="782" w:type="dxa"/>
            <w:tcBorders>
              <w:top w:val="nil"/>
              <w:left w:val="nil"/>
              <w:bottom w:val="nil"/>
              <w:right w:val="nil"/>
            </w:tcBorders>
            <w:shd w:val="clear" w:color="000000" w:fill="C6EFCE"/>
            <w:noWrap/>
            <w:vAlign w:val="bottom"/>
            <w:hideMark/>
          </w:tcPr>
          <w:p w14:paraId="39C1B4D1" w14:textId="4056FE35"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119 %</w:t>
            </w:r>
          </w:p>
        </w:tc>
        <w:tc>
          <w:tcPr>
            <w:tcW w:w="781" w:type="dxa"/>
            <w:tcBorders>
              <w:top w:val="nil"/>
              <w:left w:val="nil"/>
              <w:bottom w:val="nil"/>
              <w:right w:val="nil"/>
            </w:tcBorders>
            <w:shd w:val="clear" w:color="000000" w:fill="FFC7CE"/>
            <w:noWrap/>
            <w:vAlign w:val="bottom"/>
            <w:hideMark/>
          </w:tcPr>
          <w:p w14:paraId="57429AB4" w14:textId="4970C1EC" w:rsidR="00A9200B" w:rsidRPr="00A9200B" w:rsidRDefault="00A9200B" w:rsidP="00A9200B">
            <w:pPr>
              <w:jc w:val="right"/>
              <w:rPr>
                <w:rFonts w:ascii="Calibri" w:hAnsi="Calibri" w:cs="Calibri"/>
                <w:color w:val="9C0006"/>
                <w:sz w:val="18"/>
                <w:szCs w:val="18"/>
              </w:rPr>
            </w:pPr>
            <w:r w:rsidRPr="00A9200B">
              <w:rPr>
                <w:rFonts w:ascii="Calibri" w:hAnsi="Calibri" w:cs="Calibri"/>
                <w:color w:val="9C0006"/>
                <w:sz w:val="18"/>
                <w:szCs w:val="18"/>
              </w:rPr>
              <w:t>80 %</w:t>
            </w:r>
          </w:p>
        </w:tc>
        <w:tc>
          <w:tcPr>
            <w:tcW w:w="782" w:type="dxa"/>
            <w:tcBorders>
              <w:top w:val="nil"/>
              <w:left w:val="nil"/>
              <w:bottom w:val="nil"/>
              <w:right w:val="nil"/>
            </w:tcBorders>
            <w:shd w:val="clear" w:color="000000" w:fill="FFC7CE"/>
            <w:noWrap/>
            <w:vAlign w:val="bottom"/>
            <w:hideMark/>
          </w:tcPr>
          <w:p w14:paraId="3135D0FF" w14:textId="0BBB52BB" w:rsidR="00A9200B" w:rsidRPr="00A9200B" w:rsidRDefault="00A9200B" w:rsidP="00A9200B">
            <w:pPr>
              <w:jc w:val="right"/>
              <w:rPr>
                <w:rFonts w:ascii="Calibri" w:hAnsi="Calibri" w:cs="Calibri"/>
                <w:color w:val="9C0006"/>
                <w:sz w:val="18"/>
                <w:szCs w:val="18"/>
              </w:rPr>
            </w:pPr>
            <w:r w:rsidRPr="00A9200B">
              <w:rPr>
                <w:rFonts w:ascii="Calibri" w:hAnsi="Calibri" w:cs="Calibri"/>
                <w:color w:val="9C0006"/>
                <w:sz w:val="18"/>
                <w:szCs w:val="18"/>
              </w:rPr>
              <w:t>4 %</w:t>
            </w:r>
          </w:p>
        </w:tc>
        <w:tc>
          <w:tcPr>
            <w:tcW w:w="781" w:type="dxa"/>
            <w:tcBorders>
              <w:top w:val="nil"/>
              <w:left w:val="nil"/>
              <w:bottom w:val="nil"/>
              <w:right w:val="nil"/>
            </w:tcBorders>
            <w:shd w:val="clear" w:color="000000" w:fill="C6EFCE"/>
            <w:noWrap/>
            <w:vAlign w:val="bottom"/>
            <w:hideMark/>
          </w:tcPr>
          <w:p w14:paraId="789F85CC" w14:textId="363FCAB2"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166 %</w:t>
            </w:r>
          </w:p>
        </w:tc>
        <w:tc>
          <w:tcPr>
            <w:tcW w:w="782" w:type="dxa"/>
            <w:tcBorders>
              <w:top w:val="nil"/>
              <w:left w:val="nil"/>
              <w:bottom w:val="nil"/>
              <w:right w:val="nil"/>
            </w:tcBorders>
            <w:shd w:val="clear" w:color="000000" w:fill="C6EFCE"/>
            <w:noWrap/>
            <w:vAlign w:val="bottom"/>
            <w:hideMark/>
          </w:tcPr>
          <w:p w14:paraId="1ADCE809" w14:textId="38811D9C"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225 %</w:t>
            </w:r>
          </w:p>
        </w:tc>
        <w:tc>
          <w:tcPr>
            <w:tcW w:w="781" w:type="dxa"/>
            <w:tcBorders>
              <w:top w:val="nil"/>
              <w:left w:val="nil"/>
              <w:bottom w:val="nil"/>
              <w:right w:val="nil"/>
            </w:tcBorders>
            <w:shd w:val="clear" w:color="000000" w:fill="C6EFCE"/>
            <w:noWrap/>
            <w:vAlign w:val="bottom"/>
            <w:hideMark/>
          </w:tcPr>
          <w:p w14:paraId="27BE5DBD" w14:textId="2B328450"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139 %</w:t>
            </w:r>
          </w:p>
        </w:tc>
        <w:tc>
          <w:tcPr>
            <w:tcW w:w="782" w:type="dxa"/>
            <w:tcBorders>
              <w:top w:val="nil"/>
              <w:left w:val="nil"/>
              <w:bottom w:val="nil"/>
              <w:right w:val="nil"/>
            </w:tcBorders>
            <w:shd w:val="clear" w:color="000000" w:fill="C6EFCE"/>
            <w:noWrap/>
            <w:vAlign w:val="bottom"/>
            <w:hideMark/>
          </w:tcPr>
          <w:p w14:paraId="4D1EE58A" w14:textId="555BCE7C"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124 %</w:t>
            </w:r>
          </w:p>
        </w:tc>
        <w:tc>
          <w:tcPr>
            <w:tcW w:w="781" w:type="dxa"/>
            <w:tcBorders>
              <w:top w:val="nil"/>
              <w:left w:val="nil"/>
              <w:bottom w:val="nil"/>
              <w:right w:val="nil"/>
            </w:tcBorders>
            <w:shd w:val="clear" w:color="000000" w:fill="C6EFCE"/>
            <w:noWrap/>
            <w:vAlign w:val="bottom"/>
            <w:hideMark/>
          </w:tcPr>
          <w:p w14:paraId="3558BCB8" w14:textId="20742EFB"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180 %</w:t>
            </w:r>
          </w:p>
        </w:tc>
        <w:tc>
          <w:tcPr>
            <w:tcW w:w="782" w:type="dxa"/>
            <w:tcBorders>
              <w:top w:val="nil"/>
              <w:left w:val="nil"/>
              <w:bottom w:val="nil"/>
              <w:right w:val="nil"/>
            </w:tcBorders>
            <w:shd w:val="clear" w:color="000000" w:fill="C6EFCE"/>
            <w:noWrap/>
            <w:vAlign w:val="bottom"/>
            <w:hideMark/>
          </w:tcPr>
          <w:p w14:paraId="284CB3AA" w14:textId="09F3B69E" w:rsidR="00A9200B" w:rsidRPr="00A9200B" w:rsidRDefault="00A9200B" w:rsidP="00A9200B">
            <w:pPr>
              <w:jc w:val="right"/>
              <w:rPr>
                <w:rFonts w:ascii="Calibri" w:hAnsi="Calibri" w:cs="Calibri"/>
                <w:b/>
                <w:bCs/>
                <w:color w:val="006100"/>
                <w:sz w:val="18"/>
                <w:szCs w:val="18"/>
              </w:rPr>
            </w:pPr>
            <w:r w:rsidRPr="00A9200B">
              <w:rPr>
                <w:rFonts w:ascii="Calibri" w:hAnsi="Calibri" w:cs="Calibri"/>
                <w:b/>
                <w:bCs/>
                <w:color w:val="006100"/>
                <w:sz w:val="18"/>
                <w:szCs w:val="18"/>
              </w:rPr>
              <w:t>174 %</w:t>
            </w:r>
          </w:p>
        </w:tc>
      </w:tr>
      <w:tr w:rsidR="00A9200B" w:rsidRPr="001D3709" w14:paraId="4F18D614" w14:textId="77777777" w:rsidTr="00A9200B">
        <w:trPr>
          <w:trHeight w:val="436"/>
        </w:trPr>
        <w:tc>
          <w:tcPr>
            <w:tcW w:w="465" w:type="dxa"/>
            <w:tcBorders>
              <w:top w:val="nil"/>
              <w:left w:val="nil"/>
              <w:bottom w:val="nil"/>
              <w:right w:val="nil"/>
            </w:tcBorders>
            <w:shd w:val="clear" w:color="000000" w:fill="FFFFFF"/>
            <w:noWrap/>
            <w:vAlign w:val="bottom"/>
            <w:hideMark/>
          </w:tcPr>
          <w:p w14:paraId="778E0A99" w14:textId="77777777" w:rsidR="00A9200B" w:rsidRPr="001D3709" w:rsidRDefault="00A9200B" w:rsidP="00A9200B">
            <w:pPr>
              <w:jc w:val="right"/>
              <w:rPr>
                <w:rFonts w:ascii="Calibri" w:hAnsi="Calibri" w:cs="Calibri"/>
                <w:b/>
                <w:bCs/>
                <w:color w:val="000000"/>
                <w:sz w:val="16"/>
                <w:szCs w:val="16"/>
              </w:rPr>
            </w:pPr>
            <w:r w:rsidRPr="001D3709">
              <w:rPr>
                <w:rFonts w:ascii="Calibri" w:hAnsi="Calibri" w:cs="Calibri"/>
                <w:b/>
                <w:bCs/>
                <w:color w:val="000000"/>
                <w:sz w:val="16"/>
                <w:szCs w:val="16"/>
              </w:rPr>
              <w:t>2016</w:t>
            </w:r>
          </w:p>
        </w:tc>
        <w:tc>
          <w:tcPr>
            <w:tcW w:w="781" w:type="dxa"/>
            <w:tcBorders>
              <w:top w:val="nil"/>
              <w:left w:val="nil"/>
              <w:bottom w:val="nil"/>
              <w:right w:val="nil"/>
            </w:tcBorders>
            <w:shd w:val="clear" w:color="000000" w:fill="C6EFCE"/>
            <w:noWrap/>
            <w:vAlign w:val="bottom"/>
            <w:hideMark/>
          </w:tcPr>
          <w:p w14:paraId="1F39916F" w14:textId="67685182"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106 %</w:t>
            </w:r>
          </w:p>
        </w:tc>
        <w:tc>
          <w:tcPr>
            <w:tcW w:w="739" w:type="dxa"/>
            <w:tcBorders>
              <w:top w:val="nil"/>
              <w:left w:val="nil"/>
              <w:bottom w:val="nil"/>
              <w:right w:val="nil"/>
            </w:tcBorders>
            <w:shd w:val="clear" w:color="000000" w:fill="C6EFCE"/>
            <w:noWrap/>
            <w:vAlign w:val="bottom"/>
            <w:hideMark/>
          </w:tcPr>
          <w:p w14:paraId="7E8D20EB" w14:textId="68A4BAE0"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131 %</w:t>
            </w:r>
          </w:p>
        </w:tc>
        <w:tc>
          <w:tcPr>
            <w:tcW w:w="824" w:type="dxa"/>
            <w:tcBorders>
              <w:top w:val="nil"/>
              <w:left w:val="nil"/>
              <w:bottom w:val="nil"/>
              <w:right w:val="nil"/>
            </w:tcBorders>
            <w:shd w:val="clear" w:color="000000" w:fill="C6EFCE"/>
            <w:noWrap/>
            <w:vAlign w:val="bottom"/>
            <w:hideMark/>
          </w:tcPr>
          <w:p w14:paraId="0734D029" w14:textId="70CE7B59"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307 %</w:t>
            </w:r>
          </w:p>
        </w:tc>
        <w:tc>
          <w:tcPr>
            <w:tcW w:w="781" w:type="dxa"/>
            <w:tcBorders>
              <w:top w:val="nil"/>
              <w:left w:val="nil"/>
              <w:bottom w:val="nil"/>
              <w:right w:val="nil"/>
            </w:tcBorders>
            <w:shd w:val="clear" w:color="000000" w:fill="C6EFCE"/>
            <w:noWrap/>
            <w:vAlign w:val="bottom"/>
            <w:hideMark/>
          </w:tcPr>
          <w:p w14:paraId="102260E1" w14:textId="24CBA5DD"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218 %</w:t>
            </w:r>
          </w:p>
        </w:tc>
        <w:tc>
          <w:tcPr>
            <w:tcW w:w="782" w:type="dxa"/>
            <w:tcBorders>
              <w:top w:val="nil"/>
              <w:left w:val="nil"/>
              <w:bottom w:val="nil"/>
              <w:right w:val="nil"/>
            </w:tcBorders>
            <w:shd w:val="clear" w:color="000000" w:fill="C6EFCE"/>
            <w:noWrap/>
            <w:vAlign w:val="bottom"/>
            <w:hideMark/>
          </w:tcPr>
          <w:p w14:paraId="11EB631F" w14:textId="21481078"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125 %</w:t>
            </w:r>
          </w:p>
        </w:tc>
        <w:tc>
          <w:tcPr>
            <w:tcW w:w="781" w:type="dxa"/>
            <w:tcBorders>
              <w:top w:val="nil"/>
              <w:left w:val="nil"/>
              <w:bottom w:val="nil"/>
              <w:right w:val="nil"/>
            </w:tcBorders>
            <w:shd w:val="clear" w:color="000000" w:fill="C6EFCE"/>
            <w:noWrap/>
            <w:vAlign w:val="bottom"/>
            <w:hideMark/>
          </w:tcPr>
          <w:p w14:paraId="0E464567" w14:textId="4A84F0D6"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184 %</w:t>
            </w:r>
          </w:p>
        </w:tc>
        <w:tc>
          <w:tcPr>
            <w:tcW w:w="782" w:type="dxa"/>
            <w:tcBorders>
              <w:top w:val="nil"/>
              <w:left w:val="nil"/>
              <w:bottom w:val="nil"/>
              <w:right w:val="nil"/>
            </w:tcBorders>
            <w:shd w:val="clear" w:color="000000" w:fill="C6EFCE"/>
            <w:noWrap/>
            <w:vAlign w:val="bottom"/>
            <w:hideMark/>
          </w:tcPr>
          <w:p w14:paraId="38E1292E" w14:textId="5F39FA07"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272 %</w:t>
            </w:r>
          </w:p>
        </w:tc>
        <w:tc>
          <w:tcPr>
            <w:tcW w:w="781" w:type="dxa"/>
            <w:tcBorders>
              <w:top w:val="nil"/>
              <w:left w:val="nil"/>
              <w:bottom w:val="nil"/>
              <w:right w:val="nil"/>
            </w:tcBorders>
            <w:shd w:val="clear" w:color="000000" w:fill="FFC7CE"/>
            <w:noWrap/>
            <w:vAlign w:val="bottom"/>
            <w:hideMark/>
          </w:tcPr>
          <w:p w14:paraId="30F59C5C" w14:textId="1BB6077C" w:rsidR="00A9200B" w:rsidRPr="00A9200B" w:rsidRDefault="00A9200B" w:rsidP="00A9200B">
            <w:pPr>
              <w:jc w:val="right"/>
              <w:rPr>
                <w:rFonts w:ascii="Calibri" w:hAnsi="Calibri" w:cs="Calibri"/>
                <w:color w:val="9C0006"/>
                <w:sz w:val="18"/>
                <w:szCs w:val="18"/>
              </w:rPr>
            </w:pPr>
            <w:r w:rsidRPr="00A9200B">
              <w:rPr>
                <w:rFonts w:ascii="Calibri" w:hAnsi="Calibri" w:cs="Calibri"/>
                <w:color w:val="9C0006"/>
                <w:sz w:val="18"/>
                <w:szCs w:val="18"/>
              </w:rPr>
              <w:t>73 %</w:t>
            </w:r>
          </w:p>
        </w:tc>
        <w:tc>
          <w:tcPr>
            <w:tcW w:w="782" w:type="dxa"/>
            <w:tcBorders>
              <w:top w:val="nil"/>
              <w:left w:val="nil"/>
              <w:bottom w:val="nil"/>
              <w:right w:val="nil"/>
            </w:tcBorders>
            <w:shd w:val="clear" w:color="000000" w:fill="FFC7CE"/>
            <w:noWrap/>
            <w:vAlign w:val="bottom"/>
            <w:hideMark/>
          </w:tcPr>
          <w:p w14:paraId="597C364F" w14:textId="7BE50393" w:rsidR="00A9200B" w:rsidRPr="00A9200B" w:rsidRDefault="00A9200B" w:rsidP="00A9200B">
            <w:pPr>
              <w:jc w:val="right"/>
              <w:rPr>
                <w:rFonts w:ascii="Calibri" w:hAnsi="Calibri" w:cs="Calibri"/>
                <w:color w:val="9C0006"/>
                <w:sz w:val="18"/>
                <w:szCs w:val="18"/>
              </w:rPr>
            </w:pPr>
            <w:r w:rsidRPr="00A9200B">
              <w:rPr>
                <w:rFonts w:ascii="Calibri" w:hAnsi="Calibri" w:cs="Calibri"/>
                <w:color w:val="9C0006"/>
                <w:sz w:val="18"/>
                <w:szCs w:val="18"/>
              </w:rPr>
              <w:t>45 %</w:t>
            </w:r>
          </w:p>
        </w:tc>
        <w:tc>
          <w:tcPr>
            <w:tcW w:w="781" w:type="dxa"/>
            <w:tcBorders>
              <w:top w:val="nil"/>
              <w:left w:val="nil"/>
              <w:bottom w:val="nil"/>
              <w:right w:val="nil"/>
            </w:tcBorders>
            <w:shd w:val="clear" w:color="000000" w:fill="C6EFCE"/>
            <w:noWrap/>
            <w:vAlign w:val="bottom"/>
            <w:hideMark/>
          </w:tcPr>
          <w:p w14:paraId="0D3C5A15" w14:textId="429A3EB6"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119 %</w:t>
            </w:r>
          </w:p>
        </w:tc>
        <w:tc>
          <w:tcPr>
            <w:tcW w:w="782" w:type="dxa"/>
            <w:tcBorders>
              <w:top w:val="nil"/>
              <w:left w:val="nil"/>
              <w:bottom w:val="nil"/>
              <w:right w:val="nil"/>
            </w:tcBorders>
            <w:shd w:val="clear" w:color="000000" w:fill="FFC7CE"/>
            <w:noWrap/>
            <w:vAlign w:val="bottom"/>
            <w:hideMark/>
          </w:tcPr>
          <w:p w14:paraId="5F5881E3" w14:textId="5A259AD7" w:rsidR="00A9200B" w:rsidRPr="00A9200B" w:rsidRDefault="00A9200B" w:rsidP="00A9200B">
            <w:pPr>
              <w:jc w:val="right"/>
              <w:rPr>
                <w:rFonts w:ascii="Calibri" w:hAnsi="Calibri" w:cs="Calibri"/>
                <w:color w:val="9C0006"/>
                <w:sz w:val="18"/>
                <w:szCs w:val="18"/>
              </w:rPr>
            </w:pPr>
            <w:r w:rsidRPr="00A9200B">
              <w:rPr>
                <w:rFonts w:ascii="Calibri" w:hAnsi="Calibri" w:cs="Calibri"/>
                <w:color w:val="9C0006"/>
                <w:sz w:val="18"/>
                <w:szCs w:val="18"/>
              </w:rPr>
              <w:t>34 %</w:t>
            </w:r>
          </w:p>
        </w:tc>
        <w:tc>
          <w:tcPr>
            <w:tcW w:w="781" w:type="dxa"/>
            <w:tcBorders>
              <w:top w:val="nil"/>
              <w:left w:val="nil"/>
              <w:bottom w:val="nil"/>
              <w:right w:val="nil"/>
            </w:tcBorders>
            <w:shd w:val="clear" w:color="000000" w:fill="C6EFCE"/>
            <w:noWrap/>
            <w:vAlign w:val="bottom"/>
            <w:hideMark/>
          </w:tcPr>
          <w:p w14:paraId="617BCC63" w14:textId="1B0C0F90"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230 %</w:t>
            </w:r>
          </w:p>
        </w:tc>
        <w:tc>
          <w:tcPr>
            <w:tcW w:w="782" w:type="dxa"/>
            <w:tcBorders>
              <w:top w:val="nil"/>
              <w:left w:val="nil"/>
              <w:bottom w:val="nil"/>
              <w:right w:val="nil"/>
            </w:tcBorders>
            <w:shd w:val="clear" w:color="000000" w:fill="C6EFCE"/>
            <w:noWrap/>
            <w:vAlign w:val="bottom"/>
            <w:hideMark/>
          </w:tcPr>
          <w:p w14:paraId="655CD385" w14:textId="645A0A88"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354 %</w:t>
            </w:r>
          </w:p>
        </w:tc>
        <w:tc>
          <w:tcPr>
            <w:tcW w:w="781" w:type="dxa"/>
            <w:tcBorders>
              <w:top w:val="nil"/>
              <w:left w:val="nil"/>
              <w:bottom w:val="nil"/>
              <w:right w:val="nil"/>
            </w:tcBorders>
            <w:shd w:val="clear" w:color="000000" w:fill="C6EFCE"/>
            <w:noWrap/>
            <w:vAlign w:val="bottom"/>
            <w:hideMark/>
          </w:tcPr>
          <w:p w14:paraId="352B8230" w14:textId="22A7A167"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222 %</w:t>
            </w:r>
          </w:p>
        </w:tc>
        <w:tc>
          <w:tcPr>
            <w:tcW w:w="782" w:type="dxa"/>
            <w:tcBorders>
              <w:top w:val="nil"/>
              <w:left w:val="nil"/>
              <w:bottom w:val="nil"/>
              <w:right w:val="nil"/>
            </w:tcBorders>
            <w:shd w:val="clear" w:color="000000" w:fill="C6EFCE"/>
            <w:noWrap/>
            <w:vAlign w:val="bottom"/>
            <w:hideMark/>
          </w:tcPr>
          <w:p w14:paraId="612E425A" w14:textId="37BFE7EF"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154 %</w:t>
            </w:r>
          </w:p>
        </w:tc>
        <w:tc>
          <w:tcPr>
            <w:tcW w:w="781" w:type="dxa"/>
            <w:tcBorders>
              <w:top w:val="nil"/>
              <w:left w:val="nil"/>
              <w:bottom w:val="nil"/>
              <w:right w:val="nil"/>
            </w:tcBorders>
            <w:shd w:val="clear" w:color="000000" w:fill="C6EFCE"/>
            <w:noWrap/>
            <w:vAlign w:val="bottom"/>
            <w:hideMark/>
          </w:tcPr>
          <w:p w14:paraId="46B46B82" w14:textId="7F983FD3"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216 %</w:t>
            </w:r>
          </w:p>
        </w:tc>
        <w:tc>
          <w:tcPr>
            <w:tcW w:w="782" w:type="dxa"/>
            <w:tcBorders>
              <w:top w:val="nil"/>
              <w:left w:val="nil"/>
              <w:bottom w:val="nil"/>
              <w:right w:val="nil"/>
            </w:tcBorders>
            <w:shd w:val="clear" w:color="000000" w:fill="C6EFCE"/>
            <w:noWrap/>
            <w:vAlign w:val="bottom"/>
            <w:hideMark/>
          </w:tcPr>
          <w:p w14:paraId="128D3AE3" w14:textId="3078F995" w:rsidR="00A9200B" w:rsidRPr="00A9200B" w:rsidRDefault="00A9200B" w:rsidP="00A9200B">
            <w:pPr>
              <w:jc w:val="right"/>
              <w:rPr>
                <w:rFonts w:ascii="Calibri" w:hAnsi="Calibri" w:cs="Calibri"/>
                <w:b/>
                <w:bCs/>
                <w:color w:val="006100"/>
                <w:sz w:val="18"/>
                <w:szCs w:val="18"/>
              </w:rPr>
            </w:pPr>
            <w:r w:rsidRPr="00A9200B">
              <w:rPr>
                <w:rFonts w:ascii="Calibri" w:hAnsi="Calibri" w:cs="Calibri"/>
                <w:b/>
                <w:bCs/>
                <w:color w:val="006100"/>
                <w:sz w:val="18"/>
                <w:szCs w:val="18"/>
              </w:rPr>
              <w:t>209 %</w:t>
            </w:r>
          </w:p>
        </w:tc>
      </w:tr>
      <w:tr w:rsidR="00A9200B" w:rsidRPr="001D3709" w14:paraId="04D587E8" w14:textId="77777777" w:rsidTr="00A9200B">
        <w:trPr>
          <w:trHeight w:val="436"/>
        </w:trPr>
        <w:tc>
          <w:tcPr>
            <w:tcW w:w="465" w:type="dxa"/>
            <w:tcBorders>
              <w:top w:val="nil"/>
              <w:left w:val="nil"/>
              <w:bottom w:val="nil"/>
              <w:right w:val="nil"/>
            </w:tcBorders>
            <w:shd w:val="clear" w:color="000000" w:fill="FFFFFF"/>
            <w:noWrap/>
            <w:vAlign w:val="bottom"/>
            <w:hideMark/>
          </w:tcPr>
          <w:p w14:paraId="06D99F47" w14:textId="77777777" w:rsidR="00A9200B" w:rsidRPr="001D3709" w:rsidRDefault="00A9200B" w:rsidP="00A9200B">
            <w:pPr>
              <w:jc w:val="right"/>
              <w:rPr>
                <w:rFonts w:ascii="Calibri" w:hAnsi="Calibri" w:cs="Calibri"/>
                <w:b/>
                <w:bCs/>
                <w:color w:val="000000"/>
                <w:sz w:val="16"/>
                <w:szCs w:val="16"/>
              </w:rPr>
            </w:pPr>
            <w:r w:rsidRPr="001D3709">
              <w:rPr>
                <w:rFonts w:ascii="Calibri" w:hAnsi="Calibri" w:cs="Calibri"/>
                <w:b/>
                <w:bCs/>
                <w:color w:val="000000"/>
                <w:sz w:val="16"/>
                <w:szCs w:val="16"/>
              </w:rPr>
              <w:t>2017</w:t>
            </w:r>
          </w:p>
        </w:tc>
        <w:tc>
          <w:tcPr>
            <w:tcW w:w="781" w:type="dxa"/>
            <w:tcBorders>
              <w:top w:val="nil"/>
              <w:left w:val="nil"/>
              <w:bottom w:val="nil"/>
              <w:right w:val="nil"/>
            </w:tcBorders>
            <w:shd w:val="clear" w:color="000000" w:fill="C6EFCE"/>
            <w:noWrap/>
            <w:vAlign w:val="bottom"/>
            <w:hideMark/>
          </w:tcPr>
          <w:p w14:paraId="65C00A62" w14:textId="53139150"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105 %</w:t>
            </w:r>
          </w:p>
        </w:tc>
        <w:tc>
          <w:tcPr>
            <w:tcW w:w="739" w:type="dxa"/>
            <w:tcBorders>
              <w:top w:val="nil"/>
              <w:left w:val="nil"/>
              <w:bottom w:val="nil"/>
              <w:right w:val="nil"/>
            </w:tcBorders>
            <w:shd w:val="clear" w:color="000000" w:fill="C6EFCE"/>
            <w:noWrap/>
            <w:vAlign w:val="bottom"/>
            <w:hideMark/>
          </w:tcPr>
          <w:p w14:paraId="135B3629" w14:textId="7DA26F40"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121 %</w:t>
            </w:r>
          </w:p>
        </w:tc>
        <w:tc>
          <w:tcPr>
            <w:tcW w:w="824" w:type="dxa"/>
            <w:tcBorders>
              <w:top w:val="nil"/>
              <w:left w:val="nil"/>
              <w:bottom w:val="nil"/>
              <w:right w:val="nil"/>
            </w:tcBorders>
            <w:shd w:val="clear" w:color="000000" w:fill="C6EFCE"/>
            <w:noWrap/>
            <w:vAlign w:val="bottom"/>
            <w:hideMark/>
          </w:tcPr>
          <w:p w14:paraId="2D396D3B" w14:textId="2F4A49AD"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291 %</w:t>
            </w:r>
          </w:p>
        </w:tc>
        <w:tc>
          <w:tcPr>
            <w:tcW w:w="781" w:type="dxa"/>
            <w:tcBorders>
              <w:top w:val="nil"/>
              <w:left w:val="nil"/>
              <w:bottom w:val="nil"/>
              <w:right w:val="nil"/>
            </w:tcBorders>
            <w:shd w:val="clear" w:color="000000" w:fill="C6EFCE"/>
            <w:noWrap/>
            <w:vAlign w:val="bottom"/>
            <w:hideMark/>
          </w:tcPr>
          <w:p w14:paraId="0F203BF7" w14:textId="2AB106E9"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211 %</w:t>
            </w:r>
          </w:p>
        </w:tc>
        <w:tc>
          <w:tcPr>
            <w:tcW w:w="782" w:type="dxa"/>
            <w:tcBorders>
              <w:top w:val="nil"/>
              <w:left w:val="nil"/>
              <w:bottom w:val="nil"/>
              <w:right w:val="nil"/>
            </w:tcBorders>
            <w:shd w:val="clear" w:color="000000" w:fill="FFC7CE"/>
            <w:noWrap/>
            <w:vAlign w:val="bottom"/>
            <w:hideMark/>
          </w:tcPr>
          <w:p w14:paraId="62A929CD" w14:textId="4298B53F" w:rsidR="00A9200B" w:rsidRPr="00A9200B" w:rsidRDefault="00A9200B" w:rsidP="00A9200B">
            <w:pPr>
              <w:jc w:val="right"/>
              <w:rPr>
                <w:rFonts w:ascii="Calibri" w:hAnsi="Calibri" w:cs="Calibri"/>
                <w:color w:val="9C0006"/>
                <w:sz w:val="18"/>
                <w:szCs w:val="18"/>
              </w:rPr>
            </w:pPr>
            <w:r w:rsidRPr="00A9200B">
              <w:rPr>
                <w:rFonts w:ascii="Calibri" w:hAnsi="Calibri" w:cs="Calibri"/>
                <w:color w:val="9C0006"/>
                <w:sz w:val="18"/>
                <w:szCs w:val="18"/>
              </w:rPr>
              <w:t>66 %</w:t>
            </w:r>
          </w:p>
        </w:tc>
        <w:tc>
          <w:tcPr>
            <w:tcW w:w="781" w:type="dxa"/>
            <w:tcBorders>
              <w:top w:val="nil"/>
              <w:left w:val="nil"/>
              <w:bottom w:val="nil"/>
              <w:right w:val="nil"/>
            </w:tcBorders>
            <w:shd w:val="clear" w:color="000000" w:fill="C6EFCE"/>
            <w:noWrap/>
            <w:vAlign w:val="bottom"/>
            <w:hideMark/>
          </w:tcPr>
          <w:p w14:paraId="0EB58AB9" w14:textId="5251E0ED"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161 %</w:t>
            </w:r>
          </w:p>
        </w:tc>
        <w:tc>
          <w:tcPr>
            <w:tcW w:w="782" w:type="dxa"/>
            <w:tcBorders>
              <w:top w:val="nil"/>
              <w:left w:val="nil"/>
              <w:bottom w:val="nil"/>
              <w:right w:val="nil"/>
            </w:tcBorders>
            <w:shd w:val="clear" w:color="000000" w:fill="C6EFCE"/>
            <w:noWrap/>
            <w:vAlign w:val="bottom"/>
            <w:hideMark/>
          </w:tcPr>
          <w:p w14:paraId="6597883D" w14:textId="5D593BF2"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280 %</w:t>
            </w:r>
          </w:p>
        </w:tc>
        <w:tc>
          <w:tcPr>
            <w:tcW w:w="781" w:type="dxa"/>
            <w:tcBorders>
              <w:top w:val="nil"/>
              <w:left w:val="nil"/>
              <w:bottom w:val="nil"/>
              <w:right w:val="nil"/>
            </w:tcBorders>
            <w:shd w:val="clear" w:color="000000" w:fill="C6EFCE"/>
            <w:noWrap/>
            <w:vAlign w:val="bottom"/>
            <w:hideMark/>
          </w:tcPr>
          <w:p w14:paraId="01526C5F" w14:textId="790A0178" w:rsidR="00A9200B" w:rsidRPr="00A9200B" w:rsidRDefault="00A9200B" w:rsidP="00A9200B">
            <w:pPr>
              <w:jc w:val="right"/>
              <w:rPr>
                <w:rFonts w:ascii="Calibri" w:hAnsi="Calibri" w:cs="Calibri"/>
                <w:color w:val="9C0006"/>
                <w:sz w:val="18"/>
                <w:szCs w:val="18"/>
              </w:rPr>
            </w:pPr>
            <w:r w:rsidRPr="00A9200B">
              <w:rPr>
                <w:rFonts w:ascii="Calibri" w:hAnsi="Calibri" w:cs="Calibri"/>
                <w:color w:val="006100"/>
                <w:sz w:val="18"/>
                <w:szCs w:val="18"/>
              </w:rPr>
              <w:t>84 %</w:t>
            </w:r>
          </w:p>
        </w:tc>
        <w:tc>
          <w:tcPr>
            <w:tcW w:w="782" w:type="dxa"/>
            <w:tcBorders>
              <w:top w:val="nil"/>
              <w:left w:val="nil"/>
              <w:bottom w:val="nil"/>
              <w:right w:val="nil"/>
            </w:tcBorders>
            <w:shd w:val="clear" w:color="000000" w:fill="C6EFCE"/>
            <w:noWrap/>
            <w:vAlign w:val="bottom"/>
            <w:hideMark/>
          </w:tcPr>
          <w:p w14:paraId="521434AE" w14:textId="3815A991"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128 %</w:t>
            </w:r>
          </w:p>
        </w:tc>
        <w:tc>
          <w:tcPr>
            <w:tcW w:w="781" w:type="dxa"/>
            <w:tcBorders>
              <w:top w:val="nil"/>
              <w:left w:val="nil"/>
              <w:bottom w:val="nil"/>
              <w:right w:val="nil"/>
            </w:tcBorders>
            <w:shd w:val="clear" w:color="000000" w:fill="C6EFCE"/>
            <w:noWrap/>
            <w:vAlign w:val="bottom"/>
            <w:hideMark/>
          </w:tcPr>
          <w:p w14:paraId="6C35CB94" w14:textId="33E28BFC"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137 %</w:t>
            </w:r>
          </w:p>
        </w:tc>
        <w:tc>
          <w:tcPr>
            <w:tcW w:w="782" w:type="dxa"/>
            <w:tcBorders>
              <w:top w:val="nil"/>
              <w:left w:val="nil"/>
              <w:bottom w:val="nil"/>
              <w:right w:val="nil"/>
            </w:tcBorders>
            <w:shd w:val="clear" w:color="000000" w:fill="FFC7CE"/>
            <w:noWrap/>
            <w:vAlign w:val="bottom"/>
            <w:hideMark/>
          </w:tcPr>
          <w:p w14:paraId="66CFE64C" w14:textId="2EB01D27" w:rsidR="00A9200B" w:rsidRPr="00A9200B" w:rsidRDefault="00A9200B" w:rsidP="00A9200B">
            <w:pPr>
              <w:jc w:val="right"/>
              <w:rPr>
                <w:rFonts w:ascii="Calibri" w:hAnsi="Calibri" w:cs="Calibri"/>
                <w:color w:val="9C0006"/>
                <w:sz w:val="18"/>
                <w:szCs w:val="18"/>
              </w:rPr>
            </w:pPr>
            <w:r w:rsidRPr="00A9200B">
              <w:rPr>
                <w:rFonts w:ascii="Calibri" w:hAnsi="Calibri" w:cs="Calibri"/>
                <w:color w:val="9C0006"/>
                <w:sz w:val="18"/>
                <w:szCs w:val="18"/>
              </w:rPr>
              <w:t>72 %</w:t>
            </w:r>
          </w:p>
        </w:tc>
        <w:tc>
          <w:tcPr>
            <w:tcW w:w="781" w:type="dxa"/>
            <w:tcBorders>
              <w:top w:val="nil"/>
              <w:left w:val="nil"/>
              <w:bottom w:val="nil"/>
              <w:right w:val="nil"/>
            </w:tcBorders>
            <w:shd w:val="clear" w:color="000000" w:fill="C6EFCE"/>
            <w:noWrap/>
            <w:vAlign w:val="bottom"/>
            <w:hideMark/>
          </w:tcPr>
          <w:p w14:paraId="50C2E36D" w14:textId="04E89073"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214 %</w:t>
            </w:r>
          </w:p>
        </w:tc>
        <w:tc>
          <w:tcPr>
            <w:tcW w:w="782" w:type="dxa"/>
            <w:tcBorders>
              <w:top w:val="nil"/>
              <w:left w:val="nil"/>
              <w:bottom w:val="nil"/>
              <w:right w:val="nil"/>
            </w:tcBorders>
            <w:shd w:val="clear" w:color="000000" w:fill="C6EFCE"/>
            <w:noWrap/>
            <w:vAlign w:val="bottom"/>
            <w:hideMark/>
          </w:tcPr>
          <w:p w14:paraId="5F9BA310" w14:textId="63EC0BB0"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156 %</w:t>
            </w:r>
          </w:p>
        </w:tc>
        <w:tc>
          <w:tcPr>
            <w:tcW w:w="781" w:type="dxa"/>
            <w:tcBorders>
              <w:top w:val="nil"/>
              <w:left w:val="nil"/>
              <w:bottom w:val="nil"/>
              <w:right w:val="nil"/>
            </w:tcBorders>
            <w:shd w:val="clear" w:color="000000" w:fill="C6EFCE"/>
            <w:noWrap/>
            <w:vAlign w:val="bottom"/>
            <w:hideMark/>
          </w:tcPr>
          <w:p w14:paraId="70CB8E2D" w14:textId="3B423A36"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250 %</w:t>
            </w:r>
          </w:p>
        </w:tc>
        <w:tc>
          <w:tcPr>
            <w:tcW w:w="782" w:type="dxa"/>
            <w:tcBorders>
              <w:top w:val="nil"/>
              <w:left w:val="nil"/>
              <w:bottom w:val="nil"/>
              <w:right w:val="nil"/>
            </w:tcBorders>
            <w:shd w:val="clear" w:color="000000" w:fill="C6EFCE"/>
            <w:noWrap/>
            <w:vAlign w:val="bottom"/>
            <w:hideMark/>
          </w:tcPr>
          <w:p w14:paraId="4C1A4DBB" w14:textId="3F0C7448"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113 %</w:t>
            </w:r>
          </w:p>
        </w:tc>
        <w:tc>
          <w:tcPr>
            <w:tcW w:w="781" w:type="dxa"/>
            <w:tcBorders>
              <w:top w:val="nil"/>
              <w:left w:val="nil"/>
              <w:bottom w:val="nil"/>
              <w:right w:val="nil"/>
            </w:tcBorders>
            <w:shd w:val="clear" w:color="000000" w:fill="C6EFCE"/>
            <w:noWrap/>
            <w:vAlign w:val="bottom"/>
            <w:hideMark/>
          </w:tcPr>
          <w:p w14:paraId="2824E2AA" w14:textId="30EDEFC3"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196 %</w:t>
            </w:r>
          </w:p>
        </w:tc>
        <w:tc>
          <w:tcPr>
            <w:tcW w:w="782" w:type="dxa"/>
            <w:tcBorders>
              <w:top w:val="nil"/>
              <w:left w:val="nil"/>
              <w:bottom w:val="nil"/>
              <w:right w:val="nil"/>
            </w:tcBorders>
            <w:shd w:val="clear" w:color="000000" w:fill="C6EFCE"/>
            <w:noWrap/>
            <w:vAlign w:val="bottom"/>
            <w:hideMark/>
          </w:tcPr>
          <w:p w14:paraId="2A186488" w14:textId="1B316EF9" w:rsidR="00A9200B" w:rsidRPr="00A9200B" w:rsidRDefault="00A9200B" w:rsidP="00A9200B">
            <w:pPr>
              <w:jc w:val="right"/>
              <w:rPr>
                <w:rFonts w:ascii="Calibri" w:hAnsi="Calibri" w:cs="Calibri"/>
                <w:b/>
                <w:bCs/>
                <w:color w:val="006100"/>
                <w:sz w:val="18"/>
                <w:szCs w:val="18"/>
              </w:rPr>
            </w:pPr>
            <w:r w:rsidRPr="00A9200B">
              <w:rPr>
                <w:rFonts w:ascii="Calibri" w:hAnsi="Calibri" w:cs="Calibri"/>
                <w:b/>
                <w:bCs/>
                <w:color w:val="006100"/>
                <w:sz w:val="18"/>
                <w:szCs w:val="18"/>
              </w:rPr>
              <w:t>197 %</w:t>
            </w:r>
          </w:p>
        </w:tc>
      </w:tr>
      <w:tr w:rsidR="00A9200B" w:rsidRPr="001D3709" w14:paraId="00AC3740" w14:textId="77777777" w:rsidTr="00A9200B">
        <w:trPr>
          <w:trHeight w:val="436"/>
        </w:trPr>
        <w:tc>
          <w:tcPr>
            <w:tcW w:w="465" w:type="dxa"/>
            <w:tcBorders>
              <w:top w:val="nil"/>
              <w:left w:val="nil"/>
              <w:bottom w:val="nil"/>
              <w:right w:val="nil"/>
            </w:tcBorders>
            <w:shd w:val="clear" w:color="000000" w:fill="FFFFFF"/>
            <w:noWrap/>
            <w:vAlign w:val="bottom"/>
            <w:hideMark/>
          </w:tcPr>
          <w:p w14:paraId="0ECB823C" w14:textId="77777777" w:rsidR="00A9200B" w:rsidRPr="001D3709" w:rsidRDefault="00A9200B" w:rsidP="00A9200B">
            <w:pPr>
              <w:jc w:val="right"/>
              <w:rPr>
                <w:rFonts w:ascii="Calibri" w:hAnsi="Calibri" w:cs="Calibri"/>
                <w:b/>
                <w:bCs/>
                <w:color w:val="000000"/>
                <w:sz w:val="16"/>
                <w:szCs w:val="16"/>
              </w:rPr>
            </w:pPr>
            <w:r w:rsidRPr="001D3709">
              <w:rPr>
                <w:rFonts w:ascii="Calibri" w:hAnsi="Calibri" w:cs="Calibri"/>
                <w:b/>
                <w:bCs/>
                <w:color w:val="000000"/>
                <w:sz w:val="16"/>
                <w:szCs w:val="16"/>
              </w:rPr>
              <w:t>2018</w:t>
            </w:r>
          </w:p>
        </w:tc>
        <w:tc>
          <w:tcPr>
            <w:tcW w:w="781" w:type="dxa"/>
            <w:tcBorders>
              <w:top w:val="nil"/>
              <w:left w:val="nil"/>
              <w:bottom w:val="nil"/>
              <w:right w:val="nil"/>
            </w:tcBorders>
            <w:shd w:val="clear" w:color="000000" w:fill="C6EFCE"/>
            <w:noWrap/>
            <w:vAlign w:val="bottom"/>
            <w:hideMark/>
          </w:tcPr>
          <w:p w14:paraId="304FFF0E" w14:textId="5795E0A9"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113 %</w:t>
            </w:r>
          </w:p>
        </w:tc>
        <w:tc>
          <w:tcPr>
            <w:tcW w:w="739" w:type="dxa"/>
            <w:tcBorders>
              <w:top w:val="nil"/>
              <w:left w:val="nil"/>
              <w:bottom w:val="nil"/>
              <w:right w:val="nil"/>
            </w:tcBorders>
            <w:shd w:val="clear" w:color="000000" w:fill="C6EFCE"/>
            <w:noWrap/>
            <w:vAlign w:val="bottom"/>
            <w:hideMark/>
          </w:tcPr>
          <w:p w14:paraId="07F88BF7" w14:textId="3038AB3E"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138 %</w:t>
            </w:r>
          </w:p>
        </w:tc>
        <w:tc>
          <w:tcPr>
            <w:tcW w:w="824" w:type="dxa"/>
            <w:tcBorders>
              <w:top w:val="nil"/>
              <w:left w:val="nil"/>
              <w:bottom w:val="nil"/>
              <w:right w:val="nil"/>
            </w:tcBorders>
            <w:shd w:val="clear" w:color="000000" w:fill="C6EFCE"/>
            <w:noWrap/>
            <w:vAlign w:val="bottom"/>
            <w:hideMark/>
          </w:tcPr>
          <w:p w14:paraId="651E27F8" w14:textId="0191AB9A"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221 %</w:t>
            </w:r>
          </w:p>
        </w:tc>
        <w:tc>
          <w:tcPr>
            <w:tcW w:w="781" w:type="dxa"/>
            <w:tcBorders>
              <w:top w:val="nil"/>
              <w:left w:val="nil"/>
              <w:bottom w:val="nil"/>
              <w:right w:val="nil"/>
            </w:tcBorders>
            <w:shd w:val="clear" w:color="000000" w:fill="C6EFCE"/>
            <w:noWrap/>
            <w:vAlign w:val="bottom"/>
            <w:hideMark/>
          </w:tcPr>
          <w:p w14:paraId="50F0397F" w14:textId="219DD669"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156 %</w:t>
            </w:r>
          </w:p>
        </w:tc>
        <w:tc>
          <w:tcPr>
            <w:tcW w:w="782" w:type="dxa"/>
            <w:tcBorders>
              <w:top w:val="nil"/>
              <w:left w:val="nil"/>
              <w:bottom w:val="nil"/>
              <w:right w:val="nil"/>
            </w:tcBorders>
            <w:shd w:val="clear" w:color="000000" w:fill="FFC7CE"/>
            <w:noWrap/>
            <w:vAlign w:val="bottom"/>
            <w:hideMark/>
          </w:tcPr>
          <w:p w14:paraId="2ADAA643" w14:textId="45D7BC2A" w:rsidR="00A9200B" w:rsidRPr="00A9200B" w:rsidRDefault="00A9200B" w:rsidP="00A9200B">
            <w:pPr>
              <w:jc w:val="right"/>
              <w:rPr>
                <w:rFonts w:ascii="Calibri" w:hAnsi="Calibri" w:cs="Calibri"/>
                <w:color w:val="9C0006"/>
                <w:sz w:val="18"/>
                <w:szCs w:val="18"/>
              </w:rPr>
            </w:pPr>
            <w:r w:rsidRPr="00A9200B">
              <w:rPr>
                <w:rFonts w:ascii="Calibri" w:hAnsi="Calibri" w:cs="Calibri"/>
                <w:color w:val="9C0006"/>
                <w:sz w:val="18"/>
                <w:szCs w:val="18"/>
              </w:rPr>
              <w:t>1 %</w:t>
            </w:r>
          </w:p>
        </w:tc>
        <w:tc>
          <w:tcPr>
            <w:tcW w:w="781" w:type="dxa"/>
            <w:tcBorders>
              <w:top w:val="nil"/>
              <w:left w:val="nil"/>
              <w:bottom w:val="nil"/>
              <w:right w:val="nil"/>
            </w:tcBorders>
            <w:shd w:val="clear" w:color="000000" w:fill="C6EFCE"/>
            <w:noWrap/>
            <w:vAlign w:val="bottom"/>
            <w:hideMark/>
          </w:tcPr>
          <w:p w14:paraId="21292C1D" w14:textId="25F15D71"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122 %</w:t>
            </w:r>
          </w:p>
        </w:tc>
        <w:tc>
          <w:tcPr>
            <w:tcW w:w="782" w:type="dxa"/>
            <w:tcBorders>
              <w:top w:val="nil"/>
              <w:left w:val="nil"/>
              <w:bottom w:val="nil"/>
              <w:right w:val="nil"/>
            </w:tcBorders>
            <w:shd w:val="clear" w:color="000000" w:fill="C6EFCE"/>
            <w:noWrap/>
            <w:vAlign w:val="bottom"/>
            <w:hideMark/>
          </w:tcPr>
          <w:p w14:paraId="438E0ADC" w14:textId="3BDF45CC"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244 %</w:t>
            </w:r>
          </w:p>
        </w:tc>
        <w:tc>
          <w:tcPr>
            <w:tcW w:w="781" w:type="dxa"/>
            <w:tcBorders>
              <w:top w:val="nil"/>
              <w:left w:val="nil"/>
              <w:bottom w:val="nil"/>
              <w:right w:val="nil"/>
            </w:tcBorders>
            <w:shd w:val="clear" w:color="000000" w:fill="C6EFCE"/>
            <w:noWrap/>
            <w:vAlign w:val="bottom"/>
            <w:hideMark/>
          </w:tcPr>
          <w:p w14:paraId="3B4367D9" w14:textId="3F146814"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219 %</w:t>
            </w:r>
          </w:p>
        </w:tc>
        <w:tc>
          <w:tcPr>
            <w:tcW w:w="782" w:type="dxa"/>
            <w:tcBorders>
              <w:top w:val="nil"/>
              <w:left w:val="nil"/>
              <w:bottom w:val="nil"/>
              <w:right w:val="nil"/>
            </w:tcBorders>
            <w:shd w:val="clear" w:color="000000" w:fill="C6EFCE"/>
            <w:noWrap/>
            <w:vAlign w:val="bottom"/>
            <w:hideMark/>
          </w:tcPr>
          <w:p w14:paraId="23F3C614" w14:textId="7A661403"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156 %</w:t>
            </w:r>
          </w:p>
        </w:tc>
        <w:tc>
          <w:tcPr>
            <w:tcW w:w="781" w:type="dxa"/>
            <w:tcBorders>
              <w:top w:val="nil"/>
              <w:left w:val="nil"/>
              <w:bottom w:val="nil"/>
              <w:right w:val="nil"/>
            </w:tcBorders>
            <w:shd w:val="clear" w:color="000000" w:fill="C6EFCE"/>
            <w:noWrap/>
            <w:vAlign w:val="bottom"/>
            <w:hideMark/>
          </w:tcPr>
          <w:p w14:paraId="5A02A35D" w14:textId="4EC32357"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132 %</w:t>
            </w:r>
          </w:p>
        </w:tc>
        <w:tc>
          <w:tcPr>
            <w:tcW w:w="782" w:type="dxa"/>
            <w:tcBorders>
              <w:top w:val="nil"/>
              <w:left w:val="nil"/>
              <w:bottom w:val="nil"/>
              <w:right w:val="nil"/>
            </w:tcBorders>
            <w:shd w:val="clear" w:color="000000" w:fill="C6EFCE"/>
            <w:noWrap/>
            <w:vAlign w:val="bottom"/>
            <w:hideMark/>
          </w:tcPr>
          <w:p w14:paraId="3242062C" w14:textId="518F6A36"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100 %</w:t>
            </w:r>
          </w:p>
        </w:tc>
        <w:tc>
          <w:tcPr>
            <w:tcW w:w="781" w:type="dxa"/>
            <w:tcBorders>
              <w:top w:val="nil"/>
              <w:left w:val="nil"/>
              <w:bottom w:val="nil"/>
              <w:right w:val="nil"/>
            </w:tcBorders>
            <w:shd w:val="clear" w:color="000000" w:fill="C6EFCE"/>
            <w:noWrap/>
            <w:vAlign w:val="bottom"/>
            <w:hideMark/>
          </w:tcPr>
          <w:p w14:paraId="29F3823A" w14:textId="12025726"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154 %</w:t>
            </w:r>
          </w:p>
        </w:tc>
        <w:tc>
          <w:tcPr>
            <w:tcW w:w="782" w:type="dxa"/>
            <w:tcBorders>
              <w:top w:val="nil"/>
              <w:left w:val="nil"/>
              <w:bottom w:val="nil"/>
              <w:right w:val="nil"/>
            </w:tcBorders>
            <w:shd w:val="clear" w:color="000000" w:fill="FFC7CE"/>
            <w:noWrap/>
            <w:vAlign w:val="bottom"/>
            <w:hideMark/>
          </w:tcPr>
          <w:p w14:paraId="7DD7C668" w14:textId="7345B6C8" w:rsidR="00A9200B" w:rsidRPr="00A9200B" w:rsidRDefault="00A9200B" w:rsidP="00A9200B">
            <w:pPr>
              <w:jc w:val="right"/>
              <w:rPr>
                <w:rFonts w:ascii="Calibri" w:hAnsi="Calibri" w:cs="Calibri"/>
                <w:color w:val="9C0006"/>
                <w:sz w:val="18"/>
                <w:szCs w:val="18"/>
              </w:rPr>
            </w:pPr>
            <w:r w:rsidRPr="00A9200B">
              <w:rPr>
                <w:rFonts w:ascii="Calibri" w:hAnsi="Calibri" w:cs="Calibri"/>
                <w:color w:val="9C0006"/>
                <w:sz w:val="18"/>
                <w:szCs w:val="18"/>
              </w:rPr>
              <w:t>56 %</w:t>
            </w:r>
          </w:p>
        </w:tc>
        <w:tc>
          <w:tcPr>
            <w:tcW w:w="781" w:type="dxa"/>
            <w:tcBorders>
              <w:top w:val="nil"/>
              <w:left w:val="nil"/>
              <w:bottom w:val="nil"/>
              <w:right w:val="nil"/>
            </w:tcBorders>
            <w:shd w:val="clear" w:color="000000" w:fill="C6EFCE"/>
            <w:noWrap/>
            <w:vAlign w:val="bottom"/>
            <w:hideMark/>
          </w:tcPr>
          <w:p w14:paraId="59E36DBB" w14:textId="1C8E94DD"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269 %</w:t>
            </w:r>
          </w:p>
        </w:tc>
        <w:tc>
          <w:tcPr>
            <w:tcW w:w="782" w:type="dxa"/>
            <w:tcBorders>
              <w:top w:val="nil"/>
              <w:left w:val="nil"/>
              <w:bottom w:val="nil"/>
              <w:right w:val="nil"/>
            </w:tcBorders>
            <w:shd w:val="clear" w:color="000000" w:fill="C6EFCE"/>
            <w:noWrap/>
            <w:vAlign w:val="bottom"/>
            <w:hideMark/>
          </w:tcPr>
          <w:p w14:paraId="04F572C8" w14:textId="63C6031B"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122 %</w:t>
            </w:r>
          </w:p>
        </w:tc>
        <w:tc>
          <w:tcPr>
            <w:tcW w:w="781" w:type="dxa"/>
            <w:tcBorders>
              <w:top w:val="nil"/>
              <w:left w:val="nil"/>
              <w:bottom w:val="nil"/>
              <w:right w:val="nil"/>
            </w:tcBorders>
            <w:shd w:val="clear" w:color="000000" w:fill="C6EFCE"/>
            <w:noWrap/>
            <w:vAlign w:val="bottom"/>
            <w:hideMark/>
          </w:tcPr>
          <w:p w14:paraId="57411FF2" w14:textId="35FEDD97"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174 %</w:t>
            </w:r>
          </w:p>
        </w:tc>
        <w:tc>
          <w:tcPr>
            <w:tcW w:w="782" w:type="dxa"/>
            <w:tcBorders>
              <w:top w:val="nil"/>
              <w:left w:val="nil"/>
              <w:bottom w:val="nil"/>
              <w:right w:val="nil"/>
            </w:tcBorders>
            <w:shd w:val="clear" w:color="000000" w:fill="C6EFCE"/>
            <w:noWrap/>
            <w:vAlign w:val="bottom"/>
            <w:hideMark/>
          </w:tcPr>
          <w:p w14:paraId="78737714" w14:textId="2A7FCB74" w:rsidR="00A9200B" w:rsidRPr="00A9200B" w:rsidRDefault="00A9200B" w:rsidP="00A9200B">
            <w:pPr>
              <w:jc w:val="right"/>
              <w:rPr>
                <w:rFonts w:ascii="Calibri" w:hAnsi="Calibri" w:cs="Calibri"/>
                <w:b/>
                <w:bCs/>
                <w:color w:val="006100"/>
                <w:sz w:val="18"/>
                <w:szCs w:val="18"/>
              </w:rPr>
            </w:pPr>
            <w:r w:rsidRPr="00A9200B">
              <w:rPr>
                <w:rFonts w:ascii="Calibri" w:hAnsi="Calibri" w:cs="Calibri"/>
                <w:b/>
                <w:bCs/>
                <w:color w:val="006100"/>
                <w:sz w:val="18"/>
                <w:szCs w:val="18"/>
              </w:rPr>
              <w:t>174 %</w:t>
            </w:r>
          </w:p>
        </w:tc>
      </w:tr>
      <w:tr w:rsidR="00A9200B" w:rsidRPr="001D3709" w14:paraId="0302838F" w14:textId="77777777" w:rsidTr="00A9200B">
        <w:trPr>
          <w:trHeight w:val="436"/>
        </w:trPr>
        <w:tc>
          <w:tcPr>
            <w:tcW w:w="465" w:type="dxa"/>
            <w:tcBorders>
              <w:top w:val="nil"/>
              <w:left w:val="nil"/>
              <w:bottom w:val="nil"/>
              <w:right w:val="nil"/>
            </w:tcBorders>
            <w:shd w:val="clear" w:color="000000" w:fill="FFFFFF"/>
            <w:noWrap/>
            <w:vAlign w:val="bottom"/>
            <w:hideMark/>
          </w:tcPr>
          <w:p w14:paraId="69D044D3" w14:textId="77777777" w:rsidR="00A9200B" w:rsidRPr="001D3709" w:rsidRDefault="00A9200B" w:rsidP="00A9200B">
            <w:pPr>
              <w:jc w:val="right"/>
              <w:rPr>
                <w:rFonts w:ascii="Calibri" w:hAnsi="Calibri" w:cs="Calibri"/>
                <w:b/>
                <w:bCs/>
                <w:color w:val="000000"/>
                <w:sz w:val="16"/>
                <w:szCs w:val="16"/>
              </w:rPr>
            </w:pPr>
            <w:r w:rsidRPr="001D3709">
              <w:rPr>
                <w:rFonts w:ascii="Calibri" w:hAnsi="Calibri" w:cs="Calibri"/>
                <w:b/>
                <w:bCs/>
                <w:color w:val="000000"/>
                <w:sz w:val="16"/>
                <w:szCs w:val="16"/>
              </w:rPr>
              <w:t>2019</w:t>
            </w:r>
          </w:p>
        </w:tc>
        <w:tc>
          <w:tcPr>
            <w:tcW w:w="781" w:type="dxa"/>
            <w:tcBorders>
              <w:top w:val="nil"/>
              <w:left w:val="nil"/>
              <w:bottom w:val="nil"/>
              <w:right w:val="nil"/>
            </w:tcBorders>
            <w:shd w:val="clear" w:color="000000" w:fill="C6EFCE"/>
            <w:noWrap/>
            <w:vAlign w:val="bottom"/>
            <w:hideMark/>
          </w:tcPr>
          <w:p w14:paraId="75ED43CB" w14:textId="1A738B68" w:rsidR="00A9200B" w:rsidRPr="00A9200B" w:rsidRDefault="00A9200B" w:rsidP="00A9200B">
            <w:pPr>
              <w:jc w:val="right"/>
              <w:rPr>
                <w:rFonts w:ascii="Calibri" w:hAnsi="Calibri" w:cs="Calibri"/>
                <w:color w:val="9C0006"/>
                <w:sz w:val="18"/>
                <w:szCs w:val="18"/>
              </w:rPr>
            </w:pPr>
            <w:r w:rsidRPr="00A9200B">
              <w:rPr>
                <w:rFonts w:ascii="Calibri" w:hAnsi="Calibri" w:cs="Calibri"/>
                <w:color w:val="006100"/>
                <w:sz w:val="18"/>
                <w:szCs w:val="18"/>
              </w:rPr>
              <w:t>80 %</w:t>
            </w:r>
          </w:p>
        </w:tc>
        <w:tc>
          <w:tcPr>
            <w:tcW w:w="739" w:type="dxa"/>
            <w:tcBorders>
              <w:top w:val="nil"/>
              <w:left w:val="nil"/>
              <w:bottom w:val="nil"/>
              <w:right w:val="nil"/>
            </w:tcBorders>
            <w:shd w:val="clear" w:color="000000" w:fill="C6EFCE"/>
            <w:noWrap/>
            <w:vAlign w:val="bottom"/>
            <w:hideMark/>
          </w:tcPr>
          <w:p w14:paraId="2A4EB2B1" w14:textId="707027CA"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103 %</w:t>
            </w:r>
          </w:p>
        </w:tc>
        <w:tc>
          <w:tcPr>
            <w:tcW w:w="824" w:type="dxa"/>
            <w:tcBorders>
              <w:top w:val="nil"/>
              <w:left w:val="nil"/>
              <w:bottom w:val="nil"/>
              <w:right w:val="nil"/>
            </w:tcBorders>
            <w:shd w:val="clear" w:color="000000" w:fill="FFC7CE"/>
            <w:noWrap/>
            <w:vAlign w:val="bottom"/>
            <w:hideMark/>
          </w:tcPr>
          <w:p w14:paraId="2829F22A" w14:textId="12FEA74F" w:rsidR="00A9200B" w:rsidRPr="00A9200B" w:rsidRDefault="00A9200B" w:rsidP="00A9200B">
            <w:pPr>
              <w:jc w:val="right"/>
              <w:rPr>
                <w:rFonts w:ascii="Calibri" w:hAnsi="Calibri" w:cs="Calibri"/>
                <w:color w:val="9C0006"/>
                <w:sz w:val="18"/>
                <w:szCs w:val="18"/>
              </w:rPr>
            </w:pPr>
            <w:r w:rsidRPr="00A9200B">
              <w:rPr>
                <w:rFonts w:ascii="Calibri" w:hAnsi="Calibri" w:cs="Calibri"/>
                <w:color w:val="9C0006"/>
                <w:sz w:val="18"/>
                <w:szCs w:val="18"/>
              </w:rPr>
              <w:t>60 %</w:t>
            </w:r>
          </w:p>
        </w:tc>
        <w:tc>
          <w:tcPr>
            <w:tcW w:w="781" w:type="dxa"/>
            <w:tcBorders>
              <w:top w:val="nil"/>
              <w:left w:val="nil"/>
              <w:bottom w:val="nil"/>
              <w:right w:val="nil"/>
            </w:tcBorders>
            <w:shd w:val="clear" w:color="000000" w:fill="FFC7CE"/>
            <w:noWrap/>
            <w:vAlign w:val="bottom"/>
            <w:hideMark/>
          </w:tcPr>
          <w:p w14:paraId="6C3C0222" w14:textId="1E7BD114" w:rsidR="00A9200B" w:rsidRPr="00A9200B" w:rsidRDefault="00A9200B" w:rsidP="00A9200B">
            <w:pPr>
              <w:jc w:val="right"/>
              <w:rPr>
                <w:rFonts w:ascii="Calibri" w:hAnsi="Calibri" w:cs="Calibri"/>
                <w:color w:val="9C0006"/>
                <w:sz w:val="18"/>
                <w:szCs w:val="18"/>
              </w:rPr>
            </w:pPr>
            <w:r w:rsidRPr="00A9200B">
              <w:rPr>
                <w:rFonts w:ascii="Calibri" w:hAnsi="Calibri" w:cs="Calibri"/>
                <w:color w:val="9C0006"/>
                <w:sz w:val="18"/>
                <w:szCs w:val="18"/>
              </w:rPr>
              <w:t>74 %</w:t>
            </w:r>
          </w:p>
        </w:tc>
        <w:tc>
          <w:tcPr>
            <w:tcW w:w="782" w:type="dxa"/>
            <w:tcBorders>
              <w:top w:val="nil"/>
              <w:left w:val="nil"/>
              <w:bottom w:val="nil"/>
              <w:right w:val="nil"/>
            </w:tcBorders>
            <w:shd w:val="clear" w:color="000000" w:fill="FFC7CE"/>
            <w:noWrap/>
            <w:vAlign w:val="bottom"/>
            <w:hideMark/>
          </w:tcPr>
          <w:p w14:paraId="552ABA20" w14:textId="0E6ACF91" w:rsidR="00A9200B" w:rsidRPr="00A9200B" w:rsidRDefault="00A9200B" w:rsidP="00A9200B">
            <w:pPr>
              <w:jc w:val="right"/>
              <w:rPr>
                <w:rFonts w:ascii="Calibri" w:hAnsi="Calibri" w:cs="Calibri"/>
                <w:color w:val="9C0006"/>
                <w:sz w:val="18"/>
                <w:szCs w:val="18"/>
              </w:rPr>
            </w:pPr>
            <w:r w:rsidRPr="00A9200B">
              <w:rPr>
                <w:rFonts w:ascii="Calibri" w:hAnsi="Calibri" w:cs="Calibri"/>
                <w:color w:val="9C0006"/>
                <w:sz w:val="18"/>
                <w:szCs w:val="18"/>
              </w:rPr>
              <w:t>-61 %</w:t>
            </w:r>
          </w:p>
        </w:tc>
        <w:tc>
          <w:tcPr>
            <w:tcW w:w="781" w:type="dxa"/>
            <w:tcBorders>
              <w:top w:val="nil"/>
              <w:left w:val="nil"/>
              <w:bottom w:val="nil"/>
              <w:right w:val="nil"/>
            </w:tcBorders>
            <w:shd w:val="clear" w:color="000000" w:fill="FFC7CE"/>
            <w:noWrap/>
            <w:vAlign w:val="bottom"/>
            <w:hideMark/>
          </w:tcPr>
          <w:p w14:paraId="63334D7E" w14:textId="305BC98F" w:rsidR="00A9200B" w:rsidRPr="00A9200B" w:rsidRDefault="00A9200B" w:rsidP="00A9200B">
            <w:pPr>
              <w:jc w:val="right"/>
              <w:rPr>
                <w:rFonts w:ascii="Calibri" w:hAnsi="Calibri" w:cs="Calibri"/>
                <w:color w:val="9C0006"/>
                <w:sz w:val="18"/>
                <w:szCs w:val="18"/>
              </w:rPr>
            </w:pPr>
            <w:r w:rsidRPr="00A9200B">
              <w:rPr>
                <w:rFonts w:ascii="Calibri" w:hAnsi="Calibri" w:cs="Calibri"/>
                <w:color w:val="9C0006"/>
                <w:sz w:val="18"/>
                <w:szCs w:val="18"/>
              </w:rPr>
              <w:t>34 %</w:t>
            </w:r>
          </w:p>
        </w:tc>
        <w:tc>
          <w:tcPr>
            <w:tcW w:w="782" w:type="dxa"/>
            <w:tcBorders>
              <w:top w:val="nil"/>
              <w:left w:val="nil"/>
              <w:bottom w:val="nil"/>
              <w:right w:val="nil"/>
            </w:tcBorders>
            <w:shd w:val="clear" w:color="000000" w:fill="C6EFCE"/>
            <w:noWrap/>
            <w:vAlign w:val="bottom"/>
            <w:hideMark/>
          </w:tcPr>
          <w:p w14:paraId="4230BBE1" w14:textId="3B46451B"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143 %</w:t>
            </w:r>
          </w:p>
        </w:tc>
        <w:tc>
          <w:tcPr>
            <w:tcW w:w="781" w:type="dxa"/>
            <w:tcBorders>
              <w:top w:val="nil"/>
              <w:left w:val="nil"/>
              <w:bottom w:val="nil"/>
              <w:right w:val="nil"/>
            </w:tcBorders>
            <w:shd w:val="clear" w:color="000000" w:fill="C6EFCE"/>
            <w:noWrap/>
            <w:vAlign w:val="bottom"/>
            <w:hideMark/>
          </w:tcPr>
          <w:p w14:paraId="62A49029" w14:textId="55DD4D13"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263 %</w:t>
            </w:r>
          </w:p>
        </w:tc>
        <w:tc>
          <w:tcPr>
            <w:tcW w:w="782" w:type="dxa"/>
            <w:tcBorders>
              <w:top w:val="nil"/>
              <w:left w:val="nil"/>
              <w:bottom w:val="nil"/>
              <w:right w:val="nil"/>
            </w:tcBorders>
            <w:shd w:val="clear" w:color="000000" w:fill="C6EFCE"/>
            <w:noWrap/>
            <w:vAlign w:val="bottom"/>
            <w:hideMark/>
          </w:tcPr>
          <w:p w14:paraId="5E3B6489" w14:textId="04CC3F39"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208 %</w:t>
            </w:r>
          </w:p>
        </w:tc>
        <w:tc>
          <w:tcPr>
            <w:tcW w:w="781" w:type="dxa"/>
            <w:tcBorders>
              <w:top w:val="nil"/>
              <w:left w:val="nil"/>
              <w:bottom w:val="nil"/>
              <w:right w:val="nil"/>
            </w:tcBorders>
            <w:shd w:val="clear" w:color="000000" w:fill="FFC7CE"/>
            <w:noWrap/>
            <w:vAlign w:val="bottom"/>
            <w:hideMark/>
          </w:tcPr>
          <w:p w14:paraId="278CCE56" w14:textId="2A8666BD" w:rsidR="00A9200B" w:rsidRPr="00A9200B" w:rsidRDefault="00A9200B" w:rsidP="00A9200B">
            <w:pPr>
              <w:jc w:val="right"/>
              <w:rPr>
                <w:rFonts w:ascii="Calibri" w:hAnsi="Calibri" w:cs="Calibri"/>
                <w:color w:val="9C0006"/>
                <w:sz w:val="18"/>
                <w:szCs w:val="18"/>
              </w:rPr>
            </w:pPr>
            <w:r w:rsidRPr="00A9200B">
              <w:rPr>
                <w:rFonts w:ascii="Calibri" w:hAnsi="Calibri" w:cs="Calibri"/>
                <w:color w:val="9C0006"/>
                <w:sz w:val="18"/>
                <w:szCs w:val="18"/>
              </w:rPr>
              <w:t>66 %</w:t>
            </w:r>
          </w:p>
        </w:tc>
        <w:tc>
          <w:tcPr>
            <w:tcW w:w="782" w:type="dxa"/>
            <w:tcBorders>
              <w:top w:val="nil"/>
              <w:left w:val="nil"/>
              <w:bottom w:val="nil"/>
              <w:right w:val="nil"/>
            </w:tcBorders>
            <w:shd w:val="clear" w:color="000000" w:fill="C6EFCE"/>
            <w:noWrap/>
            <w:vAlign w:val="bottom"/>
            <w:hideMark/>
          </w:tcPr>
          <w:p w14:paraId="5FD488AA" w14:textId="47D3A753" w:rsidR="00A9200B" w:rsidRPr="00A9200B" w:rsidRDefault="00A9200B" w:rsidP="00A9200B">
            <w:pPr>
              <w:jc w:val="right"/>
              <w:rPr>
                <w:rFonts w:ascii="Calibri" w:hAnsi="Calibri" w:cs="Calibri"/>
                <w:color w:val="9C0006"/>
                <w:sz w:val="18"/>
                <w:szCs w:val="18"/>
              </w:rPr>
            </w:pPr>
            <w:r w:rsidRPr="00A9200B">
              <w:rPr>
                <w:rFonts w:ascii="Calibri" w:hAnsi="Calibri" w:cs="Calibri"/>
                <w:color w:val="006100"/>
                <w:sz w:val="18"/>
                <w:szCs w:val="18"/>
              </w:rPr>
              <w:t>85 %</w:t>
            </w:r>
          </w:p>
        </w:tc>
        <w:tc>
          <w:tcPr>
            <w:tcW w:w="781" w:type="dxa"/>
            <w:tcBorders>
              <w:top w:val="nil"/>
              <w:left w:val="nil"/>
              <w:bottom w:val="nil"/>
              <w:right w:val="nil"/>
            </w:tcBorders>
            <w:shd w:val="clear" w:color="000000" w:fill="FFC7CE"/>
            <w:noWrap/>
            <w:vAlign w:val="bottom"/>
            <w:hideMark/>
          </w:tcPr>
          <w:p w14:paraId="778BD046" w14:textId="757DA839" w:rsidR="00A9200B" w:rsidRPr="00A9200B" w:rsidRDefault="00A9200B" w:rsidP="00A9200B">
            <w:pPr>
              <w:jc w:val="right"/>
              <w:rPr>
                <w:rFonts w:ascii="Calibri" w:hAnsi="Calibri" w:cs="Calibri"/>
                <w:color w:val="9C0006"/>
                <w:sz w:val="18"/>
                <w:szCs w:val="18"/>
              </w:rPr>
            </w:pPr>
            <w:r w:rsidRPr="00A9200B">
              <w:rPr>
                <w:rFonts w:ascii="Calibri" w:hAnsi="Calibri" w:cs="Calibri"/>
                <w:color w:val="9C0006"/>
                <w:sz w:val="18"/>
                <w:szCs w:val="18"/>
              </w:rPr>
              <w:t>53 %</w:t>
            </w:r>
          </w:p>
        </w:tc>
        <w:tc>
          <w:tcPr>
            <w:tcW w:w="782" w:type="dxa"/>
            <w:tcBorders>
              <w:top w:val="nil"/>
              <w:left w:val="nil"/>
              <w:bottom w:val="nil"/>
              <w:right w:val="nil"/>
            </w:tcBorders>
            <w:shd w:val="clear" w:color="000000" w:fill="FFC7CE"/>
            <w:noWrap/>
            <w:vAlign w:val="bottom"/>
            <w:hideMark/>
          </w:tcPr>
          <w:p w14:paraId="49C20A8F" w14:textId="020FFC4F" w:rsidR="00A9200B" w:rsidRPr="00A9200B" w:rsidRDefault="00A9200B" w:rsidP="00A9200B">
            <w:pPr>
              <w:jc w:val="right"/>
              <w:rPr>
                <w:rFonts w:ascii="Calibri" w:hAnsi="Calibri" w:cs="Calibri"/>
                <w:color w:val="9C0006"/>
                <w:sz w:val="18"/>
                <w:szCs w:val="18"/>
              </w:rPr>
            </w:pPr>
            <w:r w:rsidRPr="00A9200B">
              <w:rPr>
                <w:rFonts w:ascii="Calibri" w:hAnsi="Calibri" w:cs="Calibri"/>
                <w:color w:val="9C0006"/>
                <w:sz w:val="18"/>
                <w:szCs w:val="18"/>
              </w:rPr>
              <w:t>-160 %</w:t>
            </w:r>
          </w:p>
        </w:tc>
        <w:tc>
          <w:tcPr>
            <w:tcW w:w="781" w:type="dxa"/>
            <w:tcBorders>
              <w:top w:val="nil"/>
              <w:left w:val="nil"/>
              <w:bottom w:val="nil"/>
              <w:right w:val="nil"/>
            </w:tcBorders>
            <w:shd w:val="clear" w:color="000000" w:fill="C6EFCE"/>
            <w:noWrap/>
            <w:vAlign w:val="bottom"/>
            <w:hideMark/>
          </w:tcPr>
          <w:p w14:paraId="341BF6FA" w14:textId="05E1DBBC"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202 %</w:t>
            </w:r>
          </w:p>
        </w:tc>
        <w:tc>
          <w:tcPr>
            <w:tcW w:w="782" w:type="dxa"/>
            <w:tcBorders>
              <w:top w:val="nil"/>
              <w:left w:val="nil"/>
              <w:bottom w:val="nil"/>
              <w:right w:val="nil"/>
            </w:tcBorders>
            <w:shd w:val="clear" w:color="000000" w:fill="C6EFCE"/>
            <w:noWrap/>
            <w:vAlign w:val="bottom"/>
            <w:hideMark/>
          </w:tcPr>
          <w:p w14:paraId="2FDEA54B" w14:textId="4BFC1548" w:rsidR="00A9200B" w:rsidRPr="00A9200B" w:rsidRDefault="00A9200B" w:rsidP="00A9200B">
            <w:pPr>
              <w:jc w:val="right"/>
              <w:rPr>
                <w:rFonts w:ascii="Calibri" w:hAnsi="Calibri" w:cs="Calibri"/>
                <w:color w:val="9C0006"/>
                <w:sz w:val="18"/>
                <w:szCs w:val="18"/>
              </w:rPr>
            </w:pPr>
            <w:r w:rsidRPr="00A9200B">
              <w:rPr>
                <w:rFonts w:ascii="Calibri" w:hAnsi="Calibri" w:cs="Calibri"/>
                <w:color w:val="006100"/>
                <w:sz w:val="18"/>
                <w:szCs w:val="18"/>
              </w:rPr>
              <w:t>91 %</w:t>
            </w:r>
          </w:p>
        </w:tc>
        <w:tc>
          <w:tcPr>
            <w:tcW w:w="781" w:type="dxa"/>
            <w:tcBorders>
              <w:top w:val="nil"/>
              <w:left w:val="nil"/>
              <w:bottom w:val="nil"/>
              <w:right w:val="nil"/>
            </w:tcBorders>
            <w:shd w:val="clear" w:color="000000" w:fill="C6EFCE"/>
            <w:noWrap/>
            <w:vAlign w:val="bottom"/>
            <w:hideMark/>
          </w:tcPr>
          <w:p w14:paraId="0B780B3C" w14:textId="669F02D4"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143 %</w:t>
            </w:r>
          </w:p>
        </w:tc>
        <w:tc>
          <w:tcPr>
            <w:tcW w:w="782" w:type="dxa"/>
            <w:tcBorders>
              <w:top w:val="nil"/>
              <w:left w:val="nil"/>
              <w:bottom w:val="nil"/>
              <w:right w:val="nil"/>
            </w:tcBorders>
            <w:shd w:val="clear" w:color="000000" w:fill="C6EFCE"/>
            <w:noWrap/>
            <w:vAlign w:val="bottom"/>
            <w:hideMark/>
          </w:tcPr>
          <w:p w14:paraId="1753C03C" w14:textId="13E98487" w:rsidR="00A9200B" w:rsidRPr="00A9200B" w:rsidRDefault="00A9200B" w:rsidP="00A9200B">
            <w:pPr>
              <w:jc w:val="right"/>
              <w:rPr>
                <w:rFonts w:ascii="Calibri" w:hAnsi="Calibri" w:cs="Calibri"/>
                <w:b/>
                <w:bCs/>
                <w:color w:val="006100"/>
                <w:sz w:val="18"/>
                <w:szCs w:val="18"/>
              </w:rPr>
            </w:pPr>
            <w:r w:rsidRPr="00A9200B">
              <w:rPr>
                <w:rFonts w:ascii="Calibri" w:hAnsi="Calibri" w:cs="Calibri"/>
                <w:b/>
                <w:bCs/>
                <w:color w:val="006100"/>
                <w:sz w:val="18"/>
                <w:szCs w:val="18"/>
              </w:rPr>
              <w:t>124 %</w:t>
            </w:r>
          </w:p>
        </w:tc>
      </w:tr>
      <w:tr w:rsidR="00A9200B" w:rsidRPr="001D3709" w14:paraId="463C0366" w14:textId="77777777" w:rsidTr="00A9200B">
        <w:trPr>
          <w:trHeight w:val="436"/>
        </w:trPr>
        <w:tc>
          <w:tcPr>
            <w:tcW w:w="465" w:type="dxa"/>
            <w:tcBorders>
              <w:top w:val="nil"/>
              <w:left w:val="nil"/>
              <w:bottom w:val="nil"/>
              <w:right w:val="nil"/>
            </w:tcBorders>
            <w:shd w:val="clear" w:color="000000" w:fill="FFFFFF"/>
            <w:noWrap/>
            <w:vAlign w:val="bottom"/>
            <w:hideMark/>
          </w:tcPr>
          <w:p w14:paraId="127DBC8D" w14:textId="77777777" w:rsidR="00A9200B" w:rsidRPr="001D3709" w:rsidRDefault="00A9200B" w:rsidP="00A9200B">
            <w:pPr>
              <w:jc w:val="right"/>
              <w:rPr>
                <w:rFonts w:ascii="Calibri" w:hAnsi="Calibri" w:cs="Calibri"/>
                <w:b/>
                <w:bCs/>
                <w:color w:val="000000"/>
                <w:sz w:val="16"/>
                <w:szCs w:val="16"/>
              </w:rPr>
            </w:pPr>
            <w:r w:rsidRPr="001D3709">
              <w:rPr>
                <w:rFonts w:ascii="Calibri" w:hAnsi="Calibri" w:cs="Calibri"/>
                <w:b/>
                <w:bCs/>
                <w:color w:val="000000"/>
                <w:sz w:val="16"/>
                <w:szCs w:val="16"/>
              </w:rPr>
              <w:t>2020</w:t>
            </w:r>
          </w:p>
        </w:tc>
        <w:tc>
          <w:tcPr>
            <w:tcW w:w="781" w:type="dxa"/>
            <w:tcBorders>
              <w:top w:val="nil"/>
              <w:left w:val="nil"/>
              <w:bottom w:val="nil"/>
              <w:right w:val="nil"/>
            </w:tcBorders>
            <w:shd w:val="clear" w:color="000000" w:fill="FFC7CE"/>
            <w:noWrap/>
            <w:vAlign w:val="bottom"/>
            <w:hideMark/>
          </w:tcPr>
          <w:p w14:paraId="7CB71828" w14:textId="61627584" w:rsidR="00A9200B" w:rsidRPr="00A9200B" w:rsidRDefault="00A9200B" w:rsidP="00A9200B">
            <w:pPr>
              <w:jc w:val="right"/>
              <w:rPr>
                <w:rFonts w:ascii="Calibri" w:hAnsi="Calibri" w:cs="Calibri"/>
                <w:color w:val="9C0006"/>
                <w:sz w:val="18"/>
                <w:szCs w:val="18"/>
              </w:rPr>
            </w:pPr>
            <w:r w:rsidRPr="00A9200B">
              <w:rPr>
                <w:rFonts w:ascii="Calibri" w:hAnsi="Calibri" w:cs="Calibri"/>
                <w:color w:val="9C0006"/>
                <w:sz w:val="18"/>
                <w:szCs w:val="18"/>
              </w:rPr>
              <w:t>42 %</w:t>
            </w:r>
          </w:p>
        </w:tc>
        <w:tc>
          <w:tcPr>
            <w:tcW w:w="739" w:type="dxa"/>
            <w:tcBorders>
              <w:top w:val="nil"/>
              <w:left w:val="nil"/>
              <w:bottom w:val="nil"/>
              <w:right w:val="nil"/>
            </w:tcBorders>
            <w:shd w:val="clear" w:color="000000" w:fill="C6EFCE"/>
            <w:noWrap/>
            <w:vAlign w:val="bottom"/>
            <w:hideMark/>
          </w:tcPr>
          <w:p w14:paraId="1726AA73" w14:textId="4399F4D8" w:rsidR="00A9200B" w:rsidRPr="00A9200B" w:rsidRDefault="00A9200B" w:rsidP="00A9200B">
            <w:pPr>
              <w:jc w:val="right"/>
              <w:rPr>
                <w:rFonts w:ascii="Calibri" w:hAnsi="Calibri" w:cs="Calibri"/>
                <w:color w:val="9C0006"/>
                <w:sz w:val="18"/>
                <w:szCs w:val="18"/>
              </w:rPr>
            </w:pPr>
            <w:r w:rsidRPr="00A9200B">
              <w:rPr>
                <w:rFonts w:ascii="Calibri" w:hAnsi="Calibri" w:cs="Calibri"/>
                <w:color w:val="006100"/>
                <w:sz w:val="18"/>
                <w:szCs w:val="18"/>
              </w:rPr>
              <w:t>91 %</w:t>
            </w:r>
          </w:p>
        </w:tc>
        <w:tc>
          <w:tcPr>
            <w:tcW w:w="824" w:type="dxa"/>
            <w:tcBorders>
              <w:top w:val="nil"/>
              <w:left w:val="nil"/>
              <w:bottom w:val="nil"/>
              <w:right w:val="nil"/>
            </w:tcBorders>
            <w:shd w:val="clear" w:color="000000" w:fill="FFC7CE"/>
            <w:noWrap/>
            <w:vAlign w:val="bottom"/>
            <w:hideMark/>
          </w:tcPr>
          <w:p w14:paraId="4165B141" w14:textId="77315305" w:rsidR="00A9200B" w:rsidRPr="00A9200B" w:rsidRDefault="00A9200B" w:rsidP="00A9200B">
            <w:pPr>
              <w:jc w:val="right"/>
              <w:rPr>
                <w:rFonts w:ascii="Calibri" w:hAnsi="Calibri" w:cs="Calibri"/>
                <w:color w:val="9C0006"/>
                <w:sz w:val="18"/>
                <w:szCs w:val="18"/>
              </w:rPr>
            </w:pPr>
            <w:r w:rsidRPr="00A9200B">
              <w:rPr>
                <w:rFonts w:ascii="Calibri" w:hAnsi="Calibri" w:cs="Calibri"/>
                <w:color w:val="9C0006"/>
                <w:sz w:val="18"/>
                <w:szCs w:val="18"/>
              </w:rPr>
              <w:t>27 %</w:t>
            </w:r>
          </w:p>
        </w:tc>
        <w:tc>
          <w:tcPr>
            <w:tcW w:w="781" w:type="dxa"/>
            <w:tcBorders>
              <w:top w:val="nil"/>
              <w:left w:val="nil"/>
              <w:bottom w:val="nil"/>
              <w:right w:val="nil"/>
            </w:tcBorders>
            <w:shd w:val="clear" w:color="000000" w:fill="FFC7CE"/>
            <w:noWrap/>
            <w:vAlign w:val="bottom"/>
            <w:hideMark/>
          </w:tcPr>
          <w:p w14:paraId="754DDC48" w14:textId="63600116" w:rsidR="00A9200B" w:rsidRPr="00A9200B" w:rsidRDefault="00A9200B" w:rsidP="00A9200B">
            <w:pPr>
              <w:jc w:val="right"/>
              <w:rPr>
                <w:rFonts w:ascii="Calibri" w:hAnsi="Calibri" w:cs="Calibri"/>
                <w:color w:val="9C0006"/>
                <w:sz w:val="18"/>
                <w:szCs w:val="18"/>
              </w:rPr>
            </w:pPr>
            <w:r w:rsidRPr="00A9200B">
              <w:rPr>
                <w:rFonts w:ascii="Calibri" w:hAnsi="Calibri" w:cs="Calibri"/>
                <w:color w:val="9C0006"/>
                <w:sz w:val="18"/>
                <w:szCs w:val="18"/>
              </w:rPr>
              <w:t>2 %</w:t>
            </w:r>
          </w:p>
        </w:tc>
        <w:tc>
          <w:tcPr>
            <w:tcW w:w="782" w:type="dxa"/>
            <w:tcBorders>
              <w:top w:val="nil"/>
              <w:left w:val="nil"/>
              <w:bottom w:val="nil"/>
              <w:right w:val="nil"/>
            </w:tcBorders>
            <w:shd w:val="clear" w:color="000000" w:fill="FFC7CE"/>
            <w:noWrap/>
            <w:vAlign w:val="bottom"/>
            <w:hideMark/>
          </w:tcPr>
          <w:p w14:paraId="4708B5E9" w14:textId="7DE1FD50" w:rsidR="00A9200B" w:rsidRPr="00A9200B" w:rsidRDefault="00A9200B" w:rsidP="00A9200B">
            <w:pPr>
              <w:jc w:val="right"/>
              <w:rPr>
                <w:rFonts w:ascii="Calibri" w:hAnsi="Calibri" w:cs="Calibri"/>
                <w:color w:val="9C0006"/>
                <w:sz w:val="18"/>
                <w:szCs w:val="18"/>
              </w:rPr>
            </w:pPr>
            <w:r w:rsidRPr="00A9200B">
              <w:rPr>
                <w:rFonts w:ascii="Calibri" w:hAnsi="Calibri" w:cs="Calibri"/>
                <w:color w:val="9C0006"/>
                <w:sz w:val="18"/>
                <w:szCs w:val="18"/>
              </w:rPr>
              <w:t>-31 %</w:t>
            </w:r>
          </w:p>
        </w:tc>
        <w:tc>
          <w:tcPr>
            <w:tcW w:w="781" w:type="dxa"/>
            <w:tcBorders>
              <w:top w:val="nil"/>
              <w:left w:val="nil"/>
              <w:bottom w:val="nil"/>
              <w:right w:val="nil"/>
            </w:tcBorders>
            <w:shd w:val="clear" w:color="000000" w:fill="FFC7CE"/>
            <w:noWrap/>
            <w:vAlign w:val="bottom"/>
            <w:hideMark/>
          </w:tcPr>
          <w:p w14:paraId="343779F2" w14:textId="17B86A0F" w:rsidR="00A9200B" w:rsidRPr="00A9200B" w:rsidRDefault="00A9200B" w:rsidP="00A9200B">
            <w:pPr>
              <w:jc w:val="right"/>
              <w:rPr>
                <w:rFonts w:ascii="Calibri" w:hAnsi="Calibri" w:cs="Calibri"/>
                <w:color w:val="9C0006"/>
                <w:sz w:val="18"/>
                <w:szCs w:val="18"/>
              </w:rPr>
            </w:pPr>
            <w:r w:rsidRPr="00A9200B">
              <w:rPr>
                <w:rFonts w:ascii="Calibri" w:hAnsi="Calibri" w:cs="Calibri"/>
                <w:color w:val="9C0006"/>
                <w:sz w:val="18"/>
                <w:szCs w:val="18"/>
              </w:rPr>
              <w:t>42 %</w:t>
            </w:r>
          </w:p>
        </w:tc>
        <w:tc>
          <w:tcPr>
            <w:tcW w:w="782" w:type="dxa"/>
            <w:tcBorders>
              <w:top w:val="nil"/>
              <w:left w:val="nil"/>
              <w:bottom w:val="nil"/>
              <w:right w:val="nil"/>
            </w:tcBorders>
            <w:shd w:val="clear" w:color="000000" w:fill="C6EFCE"/>
            <w:noWrap/>
            <w:vAlign w:val="bottom"/>
            <w:hideMark/>
          </w:tcPr>
          <w:p w14:paraId="4F4E0BA2" w14:textId="061E3CAD" w:rsidR="00A9200B" w:rsidRPr="00A9200B" w:rsidRDefault="00A9200B" w:rsidP="00A9200B">
            <w:pPr>
              <w:jc w:val="right"/>
              <w:rPr>
                <w:rFonts w:ascii="Calibri" w:hAnsi="Calibri" w:cs="Calibri"/>
                <w:color w:val="9C0006"/>
                <w:sz w:val="18"/>
                <w:szCs w:val="18"/>
              </w:rPr>
            </w:pPr>
            <w:r w:rsidRPr="00A9200B">
              <w:rPr>
                <w:rFonts w:ascii="Calibri" w:hAnsi="Calibri" w:cs="Calibri"/>
                <w:color w:val="006100"/>
                <w:sz w:val="18"/>
                <w:szCs w:val="18"/>
              </w:rPr>
              <w:t>98 %</w:t>
            </w:r>
          </w:p>
        </w:tc>
        <w:tc>
          <w:tcPr>
            <w:tcW w:w="781" w:type="dxa"/>
            <w:tcBorders>
              <w:top w:val="nil"/>
              <w:left w:val="nil"/>
              <w:bottom w:val="nil"/>
              <w:right w:val="nil"/>
            </w:tcBorders>
            <w:shd w:val="clear" w:color="000000" w:fill="C6EFCE"/>
            <w:noWrap/>
            <w:vAlign w:val="bottom"/>
            <w:hideMark/>
          </w:tcPr>
          <w:p w14:paraId="00213413" w14:textId="16DF29DB"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260 %</w:t>
            </w:r>
          </w:p>
        </w:tc>
        <w:tc>
          <w:tcPr>
            <w:tcW w:w="782" w:type="dxa"/>
            <w:tcBorders>
              <w:top w:val="nil"/>
              <w:left w:val="nil"/>
              <w:bottom w:val="nil"/>
              <w:right w:val="nil"/>
            </w:tcBorders>
            <w:shd w:val="clear" w:color="000000" w:fill="C6EFCE"/>
            <w:noWrap/>
            <w:vAlign w:val="bottom"/>
            <w:hideMark/>
          </w:tcPr>
          <w:p w14:paraId="14D777CD" w14:textId="09B20E5E"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113 %</w:t>
            </w:r>
          </w:p>
        </w:tc>
        <w:tc>
          <w:tcPr>
            <w:tcW w:w="781" w:type="dxa"/>
            <w:tcBorders>
              <w:top w:val="nil"/>
              <w:left w:val="nil"/>
              <w:bottom w:val="nil"/>
              <w:right w:val="nil"/>
            </w:tcBorders>
            <w:shd w:val="clear" w:color="000000" w:fill="FFC7CE"/>
            <w:noWrap/>
            <w:vAlign w:val="bottom"/>
            <w:hideMark/>
          </w:tcPr>
          <w:p w14:paraId="291B9E1C" w14:textId="71D2E38B" w:rsidR="00A9200B" w:rsidRPr="00A9200B" w:rsidRDefault="00A9200B" w:rsidP="00A9200B">
            <w:pPr>
              <w:jc w:val="right"/>
              <w:rPr>
                <w:rFonts w:ascii="Calibri" w:hAnsi="Calibri" w:cs="Calibri"/>
                <w:color w:val="9C0006"/>
                <w:sz w:val="18"/>
                <w:szCs w:val="18"/>
              </w:rPr>
            </w:pPr>
            <w:r w:rsidRPr="00A9200B">
              <w:rPr>
                <w:rFonts w:ascii="Calibri" w:hAnsi="Calibri" w:cs="Calibri"/>
                <w:color w:val="9C0006"/>
                <w:sz w:val="18"/>
                <w:szCs w:val="18"/>
              </w:rPr>
              <w:t>-2 %</w:t>
            </w:r>
          </w:p>
        </w:tc>
        <w:tc>
          <w:tcPr>
            <w:tcW w:w="782" w:type="dxa"/>
            <w:tcBorders>
              <w:top w:val="nil"/>
              <w:left w:val="nil"/>
              <w:bottom w:val="nil"/>
              <w:right w:val="nil"/>
            </w:tcBorders>
            <w:shd w:val="clear" w:color="000000" w:fill="C6EFCE"/>
            <w:noWrap/>
            <w:vAlign w:val="bottom"/>
            <w:hideMark/>
          </w:tcPr>
          <w:p w14:paraId="238D6794" w14:textId="6706DB5D" w:rsidR="00A9200B" w:rsidRPr="00A9200B" w:rsidRDefault="00A9200B" w:rsidP="00A9200B">
            <w:pPr>
              <w:jc w:val="right"/>
              <w:rPr>
                <w:rFonts w:ascii="Calibri" w:hAnsi="Calibri" w:cs="Calibri"/>
                <w:color w:val="9C0006"/>
                <w:sz w:val="18"/>
                <w:szCs w:val="18"/>
              </w:rPr>
            </w:pPr>
            <w:r w:rsidRPr="00A9200B">
              <w:rPr>
                <w:rFonts w:ascii="Calibri" w:hAnsi="Calibri" w:cs="Calibri"/>
                <w:color w:val="006100"/>
                <w:sz w:val="18"/>
                <w:szCs w:val="18"/>
              </w:rPr>
              <w:t>99 %</w:t>
            </w:r>
          </w:p>
        </w:tc>
        <w:tc>
          <w:tcPr>
            <w:tcW w:w="781" w:type="dxa"/>
            <w:tcBorders>
              <w:top w:val="nil"/>
              <w:left w:val="nil"/>
              <w:bottom w:val="nil"/>
              <w:right w:val="nil"/>
            </w:tcBorders>
            <w:shd w:val="clear" w:color="000000" w:fill="FFC7CE"/>
            <w:noWrap/>
            <w:vAlign w:val="bottom"/>
            <w:hideMark/>
          </w:tcPr>
          <w:p w14:paraId="02CB68CB" w14:textId="4A7E38FD" w:rsidR="00A9200B" w:rsidRPr="00A9200B" w:rsidRDefault="00A9200B" w:rsidP="00A9200B">
            <w:pPr>
              <w:jc w:val="right"/>
              <w:rPr>
                <w:rFonts w:ascii="Calibri" w:hAnsi="Calibri" w:cs="Calibri"/>
                <w:color w:val="9C0006"/>
                <w:sz w:val="18"/>
                <w:szCs w:val="18"/>
              </w:rPr>
            </w:pPr>
            <w:r w:rsidRPr="00A9200B">
              <w:rPr>
                <w:rFonts w:ascii="Calibri" w:hAnsi="Calibri" w:cs="Calibri"/>
                <w:color w:val="9C0006"/>
                <w:sz w:val="18"/>
                <w:szCs w:val="18"/>
              </w:rPr>
              <w:t>56 %</w:t>
            </w:r>
          </w:p>
        </w:tc>
        <w:tc>
          <w:tcPr>
            <w:tcW w:w="782" w:type="dxa"/>
            <w:tcBorders>
              <w:top w:val="nil"/>
              <w:left w:val="nil"/>
              <w:bottom w:val="nil"/>
              <w:right w:val="nil"/>
            </w:tcBorders>
            <w:shd w:val="clear" w:color="000000" w:fill="FFC7CE"/>
            <w:noWrap/>
            <w:vAlign w:val="bottom"/>
            <w:hideMark/>
          </w:tcPr>
          <w:p w14:paraId="507FE6EC" w14:textId="7C79A9D6" w:rsidR="00A9200B" w:rsidRPr="00A9200B" w:rsidRDefault="00A9200B" w:rsidP="00A9200B">
            <w:pPr>
              <w:jc w:val="right"/>
              <w:rPr>
                <w:rFonts w:ascii="Calibri" w:hAnsi="Calibri" w:cs="Calibri"/>
                <w:color w:val="9C0006"/>
                <w:sz w:val="18"/>
                <w:szCs w:val="18"/>
              </w:rPr>
            </w:pPr>
            <w:r w:rsidRPr="00A9200B">
              <w:rPr>
                <w:rFonts w:ascii="Calibri" w:hAnsi="Calibri" w:cs="Calibri"/>
                <w:color w:val="9C0006"/>
                <w:sz w:val="18"/>
                <w:szCs w:val="18"/>
              </w:rPr>
              <w:t>-221 %</w:t>
            </w:r>
          </w:p>
        </w:tc>
        <w:tc>
          <w:tcPr>
            <w:tcW w:w="781" w:type="dxa"/>
            <w:tcBorders>
              <w:top w:val="nil"/>
              <w:left w:val="nil"/>
              <w:bottom w:val="nil"/>
              <w:right w:val="nil"/>
            </w:tcBorders>
            <w:shd w:val="clear" w:color="000000" w:fill="C6EFCE"/>
            <w:noWrap/>
            <w:vAlign w:val="bottom"/>
            <w:hideMark/>
          </w:tcPr>
          <w:p w14:paraId="55CAC7E6" w14:textId="50CE0350"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166 %</w:t>
            </w:r>
          </w:p>
        </w:tc>
        <w:tc>
          <w:tcPr>
            <w:tcW w:w="782" w:type="dxa"/>
            <w:tcBorders>
              <w:top w:val="nil"/>
              <w:left w:val="nil"/>
              <w:bottom w:val="nil"/>
              <w:right w:val="nil"/>
            </w:tcBorders>
            <w:shd w:val="clear" w:color="000000" w:fill="C6EFCE"/>
            <w:noWrap/>
            <w:vAlign w:val="bottom"/>
            <w:hideMark/>
          </w:tcPr>
          <w:p w14:paraId="5F639D11" w14:textId="68443BDB"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118 %</w:t>
            </w:r>
          </w:p>
        </w:tc>
        <w:tc>
          <w:tcPr>
            <w:tcW w:w="781" w:type="dxa"/>
            <w:tcBorders>
              <w:top w:val="nil"/>
              <w:left w:val="nil"/>
              <w:bottom w:val="nil"/>
              <w:right w:val="nil"/>
            </w:tcBorders>
            <w:shd w:val="clear" w:color="000000" w:fill="C6EFCE"/>
            <w:noWrap/>
            <w:vAlign w:val="bottom"/>
            <w:hideMark/>
          </w:tcPr>
          <w:p w14:paraId="0B8D7F34" w14:textId="09EDAAE7"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137 %</w:t>
            </w:r>
          </w:p>
        </w:tc>
        <w:tc>
          <w:tcPr>
            <w:tcW w:w="782" w:type="dxa"/>
            <w:tcBorders>
              <w:top w:val="nil"/>
              <w:left w:val="nil"/>
              <w:bottom w:val="nil"/>
              <w:right w:val="nil"/>
            </w:tcBorders>
            <w:shd w:val="clear" w:color="000000" w:fill="C6EFCE"/>
            <w:noWrap/>
            <w:vAlign w:val="bottom"/>
            <w:hideMark/>
          </w:tcPr>
          <w:p w14:paraId="4E55A231" w14:textId="1B37E6CE" w:rsidR="00A9200B" w:rsidRPr="00A9200B" w:rsidRDefault="00A9200B" w:rsidP="00A9200B">
            <w:pPr>
              <w:jc w:val="right"/>
              <w:rPr>
                <w:rFonts w:ascii="Calibri" w:hAnsi="Calibri" w:cs="Calibri"/>
                <w:b/>
                <w:bCs/>
                <w:color w:val="006100"/>
                <w:sz w:val="18"/>
                <w:szCs w:val="18"/>
              </w:rPr>
            </w:pPr>
            <w:r w:rsidRPr="00A9200B">
              <w:rPr>
                <w:rFonts w:ascii="Calibri" w:hAnsi="Calibri" w:cs="Calibri"/>
                <w:b/>
                <w:bCs/>
                <w:color w:val="006100"/>
                <w:sz w:val="18"/>
                <w:szCs w:val="18"/>
              </w:rPr>
              <w:t>109 %</w:t>
            </w:r>
          </w:p>
        </w:tc>
      </w:tr>
      <w:tr w:rsidR="00A9200B" w:rsidRPr="001D3709" w14:paraId="11CCC50A" w14:textId="77777777" w:rsidTr="00A9200B">
        <w:trPr>
          <w:trHeight w:val="436"/>
        </w:trPr>
        <w:tc>
          <w:tcPr>
            <w:tcW w:w="465" w:type="dxa"/>
            <w:tcBorders>
              <w:top w:val="nil"/>
              <w:left w:val="nil"/>
              <w:bottom w:val="nil"/>
              <w:right w:val="nil"/>
            </w:tcBorders>
            <w:shd w:val="clear" w:color="000000" w:fill="FFFFFF"/>
            <w:noWrap/>
            <w:vAlign w:val="bottom"/>
            <w:hideMark/>
          </w:tcPr>
          <w:p w14:paraId="075B327B" w14:textId="77777777" w:rsidR="00A9200B" w:rsidRPr="001D3709" w:rsidRDefault="00A9200B" w:rsidP="00A9200B">
            <w:pPr>
              <w:jc w:val="right"/>
              <w:rPr>
                <w:rFonts w:ascii="Calibri" w:hAnsi="Calibri" w:cs="Calibri"/>
                <w:b/>
                <w:bCs/>
                <w:color w:val="000000"/>
                <w:sz w:val="16"/>
                <w:szCs w:val="16"/>
              </w:rPr>
            </w:pPr>
            <w:r w:rsidRPr="001D3709">
              <w:rPr>
                <w:rFonts w:ascii="Calibri" w:hAnsi="Calibri" w:cs="Calibri"/>
                <w:b/>
                <w:bCs/>
                <w:color w:val="000000"/>
                <w:sz w:val="16"/>
                <w:szCs w:val="16"/>
              </w:rPr>
              <w:t>2021</w:t>
            </w:r>
          </w:p>
        </w:tc>
        <w:tc>
          <w:tcPr>
            <w:tcW w:w="781" w:type="dxa"/>
            <w:tcBorders>
              <w:top w:val="nil"/>
              <w:left w:val="nil"/>
              <w:bottom w:val="nil"/>
              <w:right w:val="nil"/>
            </w:tcBorders>
            <w:shd w:val="clear" w:color="000000" w:fill="FFC7CE"/>
            <w:noWrap/>
            <w:vAlign w:val="bottom"/>
            <w:hideMark/>
          </w:tcPr>
          <w:p w14:paraId="50AC44AA" w14:textId="2EC634AF" w:rsidR="00A9200B" w:rsidRPr="00A9200B" w:rsidRDefault="00A9200B" w:rsidP="00A9200B">
            <w:pPr>
              <w:jc w:val="right"/>
              <w:rPr>
                <w:rFonts w:ascii="Calibri" w:hAnsi="Calibri" w:cs="Calibri"/>
                <w:color w:val="9C0006"/>
                <w:sz w:val="18"/>
                <w:szCs w:val="18"/>
              </w:rPr>
            </w:pPr>
            <w:r w:rsidRPr="00A9200B">
              <w:rPr>
                <w:rFonts w:ascii="Calibri" w:hAnsi="Calibri" w:cs="Calibri"/>
                <w:color w:val="9C0006"/>
                <w:sz w:val="18"/>
                <w:szCs w:val="18"/>
              </w:rPr>
              <w:t>50 %</w:t>
            </w:r>
          </w:p>
        </w:tc>
        <w:tc>
          <w:tcPr>
            <w:tcW w:w="739" w:type="dxa"/>
            <w:tcBorders>
              <w:top w:val="nil"/>
              <w:left w:val="nil"/>
              <w:bottom w:val="nil"/>
              <w:right w:val="nil"/>
            </w:tcBorders>
            <w:shd w:val="clear" w:color="000000" w:fill="C6EFCE"/>
            <w:noWrap/>
            <w:vAlign w:val="bottom"/>
            <w:hideMark/>
          </w:tcPr>
          <w:p w14:paraId="7BD31F7F" w14:textId="1EBBF3D6"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151 %</w:t>
            </w:r>
          </w:p>
        </w:tc>
        <w:tc>
          <w:tcPr>
            <w:tcW w:w="824" w:type="dxa"/>
            <w:tcBorders>
              <w:top w:val="nil"/>
              <w:left w:val="nil"/>
              <w:bottom w:val="nil"/>
              <w:right w:val="nil"/>
            </w:tcBorders>
            <w:shd w:val="clear" w:color="000000" w:fill="C6EFCE"/>
            <w:noWrap/>
            <w:vAlign w:val="bottom"/>
            <w:hideMark/>
          </w:tcPr>
          <w:p w14:paraId="6D6C40FF" w14:textId="557A995F" w:rsidR="00A9200B" w:rsidRPr="00A9200B" w:rsidRDefault="00A9200B" w:rsidP="00A9200B">
            <w:pPr>
              <w:jc w:val="right"/>
              <w:rPr>
                <w:rFonts w:ascii="Calibri" w:hAnsi="Calibri" w:cs="Calibri"/>
                <w:color w:val="9C0006"/>
                <w:sz w:val="18"/>
                <w:szCs w:val="18"/>
              </w:rPr>
            </w:pPr>
            <w:r w:rsidRPr="00A9200B">
              <w:rPr>
                <w:rFonts w:ascii="Calibri" w:hAnsi="Calibri" w:cs="Calibri"/>
                <w:color w:val="006100"/>
                <w:sz w:val="18"/>
                <w:szCs w:val="18"/>
              </w:rPr>
              <w:t>96 %</w:t>
            </w:r>
          </w:p>
        </w:tc>
        <w:tc>
          <w:tcPr>
            <w:tcW w:w="781" w:type="dxa"/>
            <w:tcBorders>
              <w:top w:val="nil"/>
              <w:left w:val="nil"/>
              <w:bottom w:val="nil"/>
              <w:right w:val="nil"/>
            </w:tcBorders>
            <w:shd w:val="clear" w:color="000000" w:fill="FFC7CE"/>
            <w:noWrap/>
            <w:vAlign w:val="bottom"/>
            <w:hideMark/>
          </w:tcPr>
          <w:p w14:paraId="6D066C32" w14:textId="40107182" w:rsidR="00A9200B" w:rsidRPr="00A9200B" w:rsidRDefault="00A9200B" w:rsidP="00A9200B">
            <w:pPr>
              <w:jc w:val="right"/>
              <w:rPr>
                <w:rFonts w:ascii="Calibri" w:hAnsi="Calibri" w:cs="Calibri"/>
                <w:color w:val="9C0006"/>
                <w:sz w:val="18"/>
                <w:szCs w:val="18"/>
              </w:rPr>
            </w:pPr>
            <w:r w:rsidRPr="00A9200B">
              <w:rPr>
                <w:rFonts w:ascii="Calibri" w:hAnsi="Calibri" w:cs="Calibri"/>
                <w:color w:val="9C0006"/>
                <w:sz w:val="18"/>
                <w:szCs w:val="18"/>
              </w:rPr>
              <w:t>-15 %</w:t>
            </w:r>
          </w:p>
        </w:tc>
        <w:tc>
          <w:tcPr>
            <w:tcW w:w="782" w:type="dxa"/>
            <w:tcBorders>
              <w:top w:val="nil"/>
              <w:left w:val="nil"/>
              <w:bottom w:val="nil"/>
              <w:right w:val="nil"/>
            </w:tcBorders>
            <w:shd w:val="clear" w:color="000000" w:fill="FFC7CE"/>
            <w:noWrap/>
            <w:vAlign w:val="bottom"/>
            <w:hideMark/>
          </w:tcPr>
          <w:p w14:paraId="2A71BA38" w14:textId="7E74DDDE" w:rsidR="00A9200B" w:rsidRPr="00A9200B" w:rsidRDefault="00A9200B" w:rsidP="00A9200B">
            <w:pPr>
              <w:jc w:val="right"/>
              <w:rPr>
                <w:rFonts w:ascii="Calibri" w:hAnsi="Calibri" w:cs="Calibri"/>
                <w:color w:val="9C0006"/>
                <w:sz w:val="18"/>
                <w:szCs w:val="18"/>
              </w:rPr>
            </w:pPr>
            <w:r w:rsidRPr="00A9200B">
              <w:rPr>
                <w:rFonts w:ascii="Calibri" w:hAnsi="Calibri" w:cs="Calibri"/>
                <w:color w:val="9C0006"/>
                <w:sz w:val="18"/>
                <w:szCs w:val="18"/>
              </w:rPr>
              <w:t>53 %</w:t>
            </w:r>
          </w:p>
        </w:tc>
        <w:tc>
          <w:tcPr>
            <w:tcW w:w="781" w:type="dxa"/>
            <w:tcBorders>
              <w:top w:val="nil"/>
              <w:left w:val="nil"/>
              <w:bottom w:val="nil"/>
              <w:right w:val="nil"/>
            </w:tcBorders>
            <w:shd w:val="clear" w:color="000000" w:fill="C6EFCE"/>
            <w:noWrap/>
            <w:vAlign w:val="bottom"/>
            <w:hideMark/>
          </w:tcPr>
          <w:p w14:paraId="6801BA27" w14:textId="4A865265"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104 %</w:t>
            </w:r>
          </w:p>
        </w:tc>
        <w:tc>
          <w:tcPr>
            <w:tcW w:w="782" w:type="dxa"/>
            <w:tcBorders>
              <w:top w:val="nil"/>
              <w:left w:val="nil"/>
              <w:bottom w:val="nil"/>
              <w:right w:val="nil"/>
            </w:tcBorders>
            <w:shd w:val="clear" w:color="000000" w:fill="C6EFCE"/>
            <w:noWrap/>
            <w:vAlign w:val="bottom"/>
            <w:hideMark/>
          </w:tcPr>
          <w:p w14:paraId="254F52C5" w14:textId="7691CE23" w:rsidR="00A9200B" w:rsidRPr="00A9200B" w:rsidRDefault="00A9200B" w:rsidP="00A9200B">
            <w:pPr>
              <w:jc w:val="right"/>
              <w:rPr>
                <w:rFonts w:ascii="Calibri" w:hAnsi="Calibri" w:cs="Calibri"/>
                <w:color w:val="9C0006"/>
                <w:sz w:val="18"/>
                <w:szCs w:val="18"/>
              </w:rPr>
            </w:pPr>
            <w:r w:rsidRPr="00A9200B">
              <w:rPr>
                <w:rFonts w:ascii="Calibri" w:hAnsi="Calibri" w:cs="Calibri"/>
                <w:color w:val="006100"/>
                <w:sz w:val="18"/>
                <w:szCs w:val="18"/>
              </w:rPr>
              <w:t>85 %</w:t>
            </w:r>
          </w:p>
        </w:tc>
        <w:tc>
          <w:tcPr>
            <w:tcW w:w="781" w:type="dxa"/>
            <w:tcBorders>
              <w:top w:val="nil"/>
              <w:left w:val="nil"/>
              <w:bottom w:val="nil"/>
              <w:right w:val="nil"/>
            </w:tcBorders>
            <w:shd w:val="clear" w:color="000000" w:fill="C6EFCE"/>
            <w:noWrap/>
            <w:vAlign w:val="bottom"/>
            <w:hideMark/>
          </w:tcPr>
          <w:p w14:paraId="6F2718EB" w14:textId="14A6B7C8" w:rsidR="00A9200B" w:rsidRPr="00A9200B" w:rsidRDefault="00A9200B" w:rsidP="00A9200B">
            <w:pPr>
              <w:jc w:val="right"/>
              <w:rPr>
                <w:rFonts w:ascii="Calibri" w:hAnsi="Calibri" w:cs="Calibri"/>
                <w:color w:val="9C0006"/>
                <w:sz w:val="18"/>
                <w:szCs w:val="18"/>
              </w:rPr>
            </w:pPr>
            <w:r w:rsidRPr="00A9200B">
              <w:rPr>
                <w:rFonts w:ascii="Calibri" w:hAnsi="Calibri" w:cs="Calibri"/>
                <w:color w:val="006100"/>
                <w:sz w:val="18"/>
                <w:szCs w:val="18"/>
              </w:rPr>
              <w:t>93 %</w:t>
            </w:r>
          </w:p>
        </w:tc>
        <w:tc>
          <w:tcPr>
            <w:tcW w:w="782" w:type="dxa"/>
            <w:tcBorders>
              <w:top w:val="nil"/>
              <w:left w:val="nil"/>
              <w:bottom w:val="nil"/>
              <w:right w:val="nil"/>
            </w:tcBorders>
            <w:shd w:val="clear" w:color="000000" w:fill="FFC7CE"/>
            <w:noWrap/>
            <w:vAlign w:val="bottom"/>
            <w:hideMark/>
          </w:tcPr>
          <w:p w14:paraId="49F3E8E8" w14:textId="238E3B5D" w:rsidR="00A9200B" w:rsidRPr="00A9200B" w:rsidRDefault="00A9200B" w:rsidP="00A9200B">
            <w:pPr>
              <w:jc w:val="right"/>
              <w:rPr>
                <w:rFonts w:ascii="Calibri" w:hAnsi="Calibri" w:cs="Calibri"/>
                <w:color w:val="9C0006"/>
                <w:sz w:val="18"/>
                <w:szCs w:val="18"/>
              </w:rPr>
            </w:pPr>
            <w:r w:rsidRPr="00A9200B">
              <w:rPr>
                <w:rFonts w:ascii="Calibri" w:hAnsi="Calibri" w:cs="Calibri"/>
                <w:color w:val="9C0006"/>
                <w:sz w:val="18"/>
                <w:szCs w:val="18"/>
              </w:rPr>
              <w:t>-8 %</w:t>
            </w:r>
          </w:p>
        </w:tc>
        <w:tc>
          <w:tcPr>
            <w:tcW w:w="781" w:type="dxa"/>
            <w:tcBorders>
              <w:top w:val="nil"/>
              <w:left w:val="nil"/>
              <w:bottom w:val="nil"/>
              <w:right w:val="nil"/>
            </w:tcBorders>
            <w:shd w:val="clear" w:color="000000" w:fill="FFC7CE"/>
            <w:noWrap/>
            <w:vAlign w:val="bottom"/>
            <w:hideMark/>
          </w:tcPr>
          <w:p w14:paraId="2D3AD7BC" w14:textId="5AA43554" w:rsidR="00A9200B" w:rsidRPr="00A9200B" w:rsidRDefault="00A9200B" w:rsidP="00A9200B">
            <w:pPr>
              <w:jc w:val="right"/>
              <w:rPr>
                <w:rFonts w:ascii="Calibri" w:hAnsi="Calibri" w:cs="Calibri"/>
                <w:color w:val="9C0006"/>
                <w:sz w:val="18"/>
                <w:szCs w:val="18"/>
              </w:rPr>
            </w:pPr>
            <w:r w:rsidRPr="00A9200B">
              <w:rPr>
                <w:rFonts w:ascii="Calibri" w:hAnsi="Calibri" w:cs="Calibri"/>
                <w:color w:val="9C0006"/>
                <w:sz w:val="18"/>
                <w:szCs w:val="18"/>
              </w:rPr>
              <w:t>12 %</w:t>
            </w:r>
          </w:p>
        </w:tc>
        <w:tc>
          <w:tcPr>
            <w:tcW w:w="782" w:type="dxa"/>
            <w:tcBorders>
              <w:top w:val="nil"/>
              <w:left w:val="nil"/>
              <w:bottom w:val="nil"/>
              <w:right w:val="nil"/>
            </w:tcBorders>
            <w:shd w:val="clear" w:color="000000" w:fill="FFC7CE"/>
            <w:noWrap/>
            <w:vAlign w:val="bottom"/>
            <w:hideMark/>
          </w:tcPr>
          <w:p w14:paraId="45731DC4" w14:textId="2BC75911" w:rsidR="00A9200B" w:rsidRPr="00A9200B" w:rsidRDefault="00A9200B" w:rsidP="00A9200B">
            <w:pPr>
              <w:jc w:val="right"/>
              <w:rPr>
                <w:rFonts w:ascii="Calibri" w:hAnsi="Calibri" w:cs="Calibri"/>
                <w:color w:val="9C0006"/>
                <w:sz w:val="18"/>
                <w:szCs w:val="18"/>
              </w:rPr>
            </w:pPr>
            <w:r w:rsidRPr="00A9200B">
              <w:rPr>
                <w:rFonts w:ascii="Calibri" w:hAnsi="Calibri" w:cs="Calibri"/>
                <w:color w:val="9C0006"/>
                <w:sz w:val="18"/>
                <w:szCs w:val="18"/>
              </w:rPr>
              <w:t>73 %</w:t>
            </w:r>
          </w:p>
        </w:tc>
        <w:tc>
          <w:tcPr>
            <w:tcW w:w="781" w:type="dxa"/>
            <w:tcBorders>
              <w:top w:val="nil"/>
              <w:left w:val="nil"/>
              <w:bottom w:val="nil"/>
              <w:right w:val="nil"/>
            </w:tcBorders>
            <w:shd w:val="clear" w:color="000000" w:fill="C6EFCE"/>
            <w:noWrap/>
            <w:vAlign w:val="bottom"/>
            <w:hideMark/>
          </w:tcPr>
          <w:p w14:paraId="6C49B334" w14:textId="2ACFC7F7"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116 %</w:t>
            </w:r>
          </w:p>
        </w:tc>
        <w:tc>
          <w:tcPr>
            <w:tcW w:w="782" w:type="dxa"/>
            <w:tcBorders>
              <w:top w:val="nil"/>
              <w:left w:val="nil"/>
              <w:bottom w:val="nil"/>
              <w:right w:val="nil"/>
            </w:tcBorders>
            <w:shd w:val="clear" w:color="000000" w:fill="FFC7CE"/>
            <w:noWrap/>
            <w:vAlign w:val="bottom"/>
            <w:hideMark/>
          </w:tcPr>
          <w:p w14:paraId="626CCB46" w14:textId="5C227CFB" w:rsidR="00A9200B" w:rsidRPr="00A9200B" w:rsidRDefault="00A9200B" w:rsidP="00A9200B">
            <w:pPr>
              <w:jc w:val="right"/>
              <w:rPr>
                <w:rFonts w:ascii="Calibri" w:hAnsi="Calibri" w:cs="Calibri"/>
                <w:color w:val="9C0006"/>
                <w:sz w:val="18"/>
                <w:szCs w:val="18"/>
              </w:rPr>
            </w:pPr>
            <w:r w:rsidRPr="00A9200B">
              <w:rPr>
                <w:rFonts w:ascii="Calibri" w:hAnsi="Calibri" w:cs="Calibri"/>
                <w:color w:val="9C0006"/>
                <w:sz w:val="18"/>
                <w:szCs w:val="18"/>
              </w:rPr>
              <w:t>-18 %</w:t>
            </w:r>
          </w:p>
        </w:tc>
        <w:tc>
          <w:tcPr>
            <w:tcW w:w="781" w:type="dxa"/>
            <w:tcBorders>
              <w:top w:val="nil"/>
              <w:left w:val="nil"/>
              <w:bottom w:val="nil"/>
              <w:right w:val="nil"/>
            </w:tcBorders>
            <w:shd w:val="clear" w:color="000000" w:fill="C6EFCE"/>
            <w:noWrap/>
            <w:vAlign w:val="bottom"/>
            <w:hideMark/>
          </w:tcPr>
          <w:p w14:paraId="02BF202A" w14:textId="4D4A1F1B"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147 %</w:t>
            </w:r>
          </w:p>
        </w:tc>
        <w:tc>
          <w:tcPr>
            <w:tcW w:w="782" w:type="dxa"/>
            <w:tcBorders>
              <w:top w:val="nil"/>
              <w:left w:val="nil"/>
              <w:bottom w:val="nil"/>
              <w:right w:val="nil"/>
            </w:tcBorders>
            <w:shd w:val="clear" w:color="000000" w:fill="C6EFCE"/>
            <w:noWrap/>
            <w:vAlign w:val="bottom"/>
            <w:hideMark/>
          </w:tcPr>
          <w:p w14:paraId="794195AA" w14:textId="7A67E4F7" w:rsidR="00A9200B" w:rsidRPr="00A9200B" w:rsidRDefault="00A9200B" w:rsidP="00A9200B">
            <w:pPr>
              <w:jc w:val="right"/>
              <w:rPr>
                <w:rFonts w:ascii="Calibri" w:hAnsi="Calibri" w:cs="Calibri"/>
                <w:color w:val="9C0006"/>
                <w:sz w:val="18"/>
                <w:szCs w:val="18"/>
              </w:rPr>
            </w:pPr>
            <w:r w:rsidRPr="00A9200B">
              <w:rPr>
                <w:rFonts w:ascii="Calibri" w:hAnsi="Calibri" w:cs="Calibri"/>
                <w:color w:val="006100"/>
                <w:sz w:val="18"/>
                <w:szCs w:val="18"/>
              </w:rPr>
              <w:t>84 %</w:t>
            </w:r>
          </w:p>
        </w:tc>
        <w:tc>
          <w:tcPr>
            <w:tcW w:w="781" w:type="dxa"/>
            <w:tcBorders>
              <w:top w:val="nil"/>
              <w:left w:val="nil"/>
              <w:bottom w:val="nil"/>
              <w:right w:val="nil"/>
            </w:tcBorders>
            <w:shd w:val="clear" w:color="000000" w:fill="C6EFCE"/>
            <w:noWrap/>
            <w:vAlign w:val="bottom"/>
            <w:hideMark/>
          </w:tcPr>
          <w:p w14:paraId="6417939E" w14:textId="5463159B"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134 %</w:t>
            </w:r>
          </w:p>
        </w:tc>
        <w:tc>
          <w:tcPr>
            <w:tcW w:w="782" w:type="dxa"/>
            <w:tcBorders>
              <w:top w:val="nil"/>
              <w:left w:val="nil"/>
              <w:bottom w:val="nil"/>
              <w:right w:val="nil"/>
            </w:tcBorders>
            <w:shd w:val="clear" w:color="000000" w:fill="C6EFCE"/>
            <w:noWrap/>
            <w:vAlign w:val="bottom"/>
            <w:hideMark/>
          </w:tcPr>
          <w:p w14:paraId="778704B6" w14:textId="67F62781" w:rsidR="00A9200B" w:rsidRPr="00A9200B" w:rsidRDefault="00A9200B" w:rsidP="00A9200B">
            <w:pPr>
              <w:jc w:val="right"/>
              <w:rPr>
                <w:rFonts w:ascii="Calibri" w:hAnsi="Calibri" w:cs="Calibri"/>
                <w:b/>
                <w:bCs/>
                <w:color w:val="006100"/>
                <w:sz w:val="18"/>
                <w:szCs w:val="18"/>
              </w:rPr>
            </w:pPr>
            <w:r w:rsidRPr="00A9200B">
              <w:rPr>
                <w:rFonts w:ascii="Calibri" w:hAnsi="Calibri" w:cs="Calibri"/>
                <w:b/>
                <w:bCs/>
                <w:color w:val="006100"/>
                <w:sz w:val="18"/>
                <w:szCs w:val="18"/>
              </w:rPr>
              <w:t>112 %</w:t>
            </w:r>
          </w:p>
        </w:tc>
      </w:tr>
      <w:tr w:rsidR="00A9200B" w:rsidRPr="001D3709" w14:paraId="65600BA6" w14:textId="77777777" w:rsidTr="00A9200B">
        <w:trPr>
          <w:trHeight w:val="436"/>
        </w:trPr>
        <w:tc>
          <w:tcPr>
            <w:tcW w:w="465" w:type="dxa"/>
            <w:tcBorders>
              <w:top w:val="nil"/>
              <w:left w:val="nil"/>
              <w:bottom w:val="nil"/>
              <w:right w:val="nil"/>
            </w:tcBorders>
            <w:shd w:val="clear" w:color="000000" w:fill="FFFFFF"/>
            <w:noWrap/>
            <w:vAlign w:val="bottom"/>
          </w:tcPr>
          <w:p w14:paraId="7C316BE1" w14:textId="303F1E94" w:rsidR="00A9200B" w:rsidRPr="001D3709" w:rsidRDefault="00A9200B" w:rsidP="00A9200B">
            <w:pPr>
              <w:jc w:val="right"/>
              <w:rPr>
                <w:rFonts w:ascii="Calibri" w:hAnsi="Calibri" w:cs="Calibri"/>
                <w:b/>
                <w:bCs/>
                <w:color w:val="000000"/>
                <w:sz w:val="16"/>
                <w:szCs w:val="16"/>
              </w:rPr>
            </w:pPr>
            <w:r>
              <w:rPr>
                <w:rFonts w:ascii="Calibri" w:hAnsi="Calibri" w:cs="Calibri"/>
                <w:b/>
                <w:bCs/>
                <w:color w:val="000000"/>
                <w:sz w:val="16"/>
                <w:szCs w:val="16"/>
              </w:rPr>
              <w:t>2022</w:t>
            </w:r>
          </w:p>
        </w:tc>
        <w:tc>
          <w:tcPr>
            <w:tcW w:w="781" w:type="dxa"/>
            <w:tcBorders>
              <w:top w:val="nil"/>
              <w:left w:val="nil"/>
              <w:bottom w:val="nil"/>
              <w:right w:val="nil"/>
            </w:tcBorders>
            <w:shd w:val="clear" w:color="000000" w:fill="C6EFCE"/>
            <w:noWrap/>
            <w:vAlign w:val="bottom"/>
          </w:tcPr>
          <w:p w14:paraId="0F048975" w14:textId="69567D5E" w:rsidR="00A9200B" w:rsidRPr="00A9200B" w:rsidRDefault="00A9200B" w:rsidP="00A9200B">
            <w:pPr>
              <w:jc w:val="right"/>
              <w:rPr>
                <w:rFonts w:ascii="Calibri" w:hAnsi="Calibri" w:cs="Calibri"/>
                <w:color w:val="9C0006"/>
                <w:sz w:val="18"/>
                <w:szCs w:val="18"/>
              </w:rPr>
            </w:pPr>
            <w:r w:rsidRPr="00A9200B">
              <w:rPr>
                <w:rFonts w:ascii="Calibri" w:hAnsi="Calibri" w:cs="Calibri"/>
                <w:color w:val="006100"/>
                <w:sz w:val="18"/>
                <w:szCs w:val="18"/>
              </w:rPr>
              <w:t>139 %</w:t>
            </w:r>
          </w:p>
        </w:tc>
        <w:tc>
          <w:tcPr>
            <w:tcW w:w="739" w:type="dxa"/>
            <w:tcBorders>
              <w:top w:val="nil"/>
              <w:left w:val="nil"/>
              <w:bottom w:val="nil"/>
              <w:right w:val="nil"/>
            </w:tcBorders>
            <w:shd w:val="clear" w:color="000000" w:fill="C6EFCE"/>
            <w:noWrap/>
            <w:vAlign w:val="bottom"/>
          </w:tcPr>
          <w:p w14:paraId="3C1A0494" w14:textId="36146281"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237 %</w:t>
            </w:r>
          </w:p>
        </w:tc>
        <w:tc>
          <w:tcPr>
            <w:tcW w:w="824" w:type="dxa"/>
            <w:tcBorders>
              <w:top w:val="nil"/>
              <w:left w:val="nil"/>
              <w:bottom w:val="nil"/>
              <w:right w:val="nil"/>
            </w:tcBorders>
            <w:shd w:val="clear" w:color="000000" w:fill="C6EFCE"/>
            <w:noWrap/>
            <w:vAlign w:val="bottom"/>
          </w:tcPr>
          <w:p w14:paraId="4D2E68A6" w14:textId="4713C328" w:rsidR="00A9200B" w:rsidRPr="00A9200B" w:rsidRDefault="00A9200B" w:rsidP="00A9200B">
            <w:pPr>
              <w:jc w:val="right"/>
              <w:rPr>
                <w:rFonts w:ascii="Calibri" w:hAnsi="Calibri" w:cs="Calibri"/>
                <w:color w:val="9C0006"/>
                <w:sz w:val="18"/>
                <w:szCs w:val="18"/>
              </w:rPr>
            </w:pPr>
            <w:r w:rsidRPr="00A9200B">
              <w:rPr>
                <w:rFonts w:ascii="Calibri" w:hAnsi="Calibri" w:cs="Calibri"/>
                <w:color w:val="006100"/>
                <w:sz w:val="18"/>
                <w:szCs w:val="18"/>
              </w:rPr>
              <w:t>169 %</w:t>
            </w:r>
          </w:p>
        </w:tc>
        <w:tc>
          <w:tcPr>
            <w:tcW w:w="781" w:type="dxa"/>
            <w:tcBorders>
              <w:top w:val="nil"/>
              <w:left w:val="nil"/>
              <w:bottom w:val="nil"/>
              <w:right w:val="nil"/>
            </w:tcBorders>
            <w:shd w:val="clear" w:color="000000" w:fill="FFC7CE"/>
            <w:noWrap/>
            <w:vAlign w:val="bottom"/>
          </w:tcPr>
          <w:p w14:paraId="08717BB4" w14:textId="5C32BCA2" w:rsidR="00A9200B" w:rsidRPr="00A9200B" w:rsidRDefault="00A9200B" w:rsidP="00A9200B">
            <w:pPr>
              <w:jc w:val="right"/>
              <w:rPr>
                <w:rFonts w:ascii="Calibri" w:hAnsi="Calibri" w:cs="Calibri"/>
                <w:color w:val="9C0006"/>
                <w:sz w:val="18"/>
                <w:szCs w:val="18"/>
              </w:rPr>
            </w:pPr>
            <w:r w:rsidRPr="00A9200B">
              <w:rPr>
                <w:rFonts w:ascii="Calibri" w:hAnsi="Calibri" w:cs="Calibri"/>
                <w:color w:val="9C0006"/>
                <w:sz w:val="18"/>
                <w:szCs w:val="18"/>
              </w:rPr>
              <w:t>-31 %</w:t>
            </w:r>
          </w:p>
        </w:tc>
        <w:tc>
          <w:tcPr>
            <w:tcW w:w="782" w:type="dxa"/>
            <w:tcBorders>
              <w:top w:val="nil"/>
              <w:left w:val="nil"/>
              <w:bottom w:val="nil"/>
              <w:right w:val="nil"/>
            </w:tcBorders>
            <w:shd w:val="clear" w:color="000000" w:fill="FFC7CE"/>
            <w:noWrap/>
            <w:vAlign w:val="bottom"/>
          </w:tcPr>
          <w:p w14:paraId="04A3623D" w14:textId="217B6A4C" w:rsidR="00A9200B" w:rsidRPr="00A9200B" w:rsidRDefault="00A9200B" w:rsidP="00A9200B">
            <w:pPr>
              <w:jc w:val="right"/>
              <w:rPr>
                <w:rFonts w:ascii="Calibri" w:hAnsi="Calibri" w:cs="Calibri"/>
                <w:color w:val="9C0006"/>
                <w:sz w:val="18"/>
                <w:szCs w:val="18"/>
              </w:rPr>
            </w:pPr>
            <w:r w:rsidRPr="00A9200B">
              <w:rPr>
                <w:rFonts w:ascii="Calibri" w:hAnsi="Calibri" w:cs="Calibri"/>
                <w:color w:val="9C0006"/>
                <w:sz w:val="18"/>
                <w:szCs w:val="18"/>
              </w:rPr>
              <w:t>78 %</w:t>
            </w:r>
          </w:p>
        </w:tc>
        <w:tc>
          <w:tcPr>
            <w:tcW w:w="781" w:type="dxa"/>
            <w:tcBorders>
              <w:top w:val="nil"/>
              <w:left w:val="nil"/>
              <w:bottom w:val="nil"/>
              <w:right w:val="nil"/>
            </w:tcBorders>
            <w:shd w:val="clear" w:color="000000" w:fill="C6EFCE"/>
            <w:noWrap/>
            <w:vAlign w:val="bottom"/>
          </w:tcPr>
          <w:p w14:paraId="0AFC7A55" w14:textId="16A9981D"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166 %</w:t>
            </w:r>
          </w:p>
        </w:tc>
        <w:tc>
          <w:tcPr>
            <w:tcW w:w="782" w:type="dxa"/>
            <w:tcBorders>
              <w:top w:val="nil"/>
              <w:left w:val="nil"/>
              <w:bottom w:val="nil"/>
              <w:right w:val="nil"/>
            </w:tcBorders>
            <w:shd w:val="clear" w:color="000000" w:fill="C6EFCE"/>
            <w:noWrap/>
            <w:vAlign w:val="bottom"/>
          </w:tcPr>
          <w:p w14:paraId="12EDBCE3" w14:textId="033D5459" w:rsidR="00A9200B" w:rsidRPr="00A9200B" w:rsidRDefault="00A9200B" w:rsidP="00A9200B">
            <w:pPr>
              <w:jc w:val="right"/>
              <w:rPr>
                <w:rFonts w:ascii="Calibri" w:hAnsi="Calibri" w:cs="Calibri"/>
                <w:color w:val="9C0006"/>
                <w:sz w:val="18"/>
                <w:szCs w:val="18"/>
              </w:rPr>
            </w:pPr>
            <w:r w:rsidRPr="00A9200B">
              <w:rPr>
                <w:rFonts w:ascii="Calibri" w:hAnsi="Calibri" w:cs="Calibri"/>
                <w:color w:val="006100"/>
                <w:sz w:val="18"/>
                <w:szCs w:val="18"/>
              </w:rPr>
              <w:t>107 %</w:t>
            </w:r>
          </w:p>
        </w:tc>
        <w:tc>
          <w:tcPr>
            <w:tcW w:w="781" w:type="dxa"/>
            <w:tcBorders>
              <w:top w:val="nil"/>
              <w:left w:val="nil"/>
              <w:bottom w:val="nil"/>
              <w:right w:val="nil"/>
            </w:tcBorders>
            <w:shd w:val="clear" w:color="000000" w:fill="FFC7CE"/>
            <w:noWrap/>
            <w:vAlign w:val="bottom"/>
          </w:tcPr>
          <w:p w14:paraId="4574182C" w14:textId="62D99C91" w:rsidR="00A9200B" w:rsidRPr="00A9200B" w:rsidRDefault="00A9200B" w:rsidP="00A9200B">
            <w:pPr>
              <w:jc w:val="right"/>
              <w:rPr>
                <w:rFonts w:ascii="Calibri" w:hAnsi="Calibri" w:cs="Calibri"/>
                <w:color w:val="9C0006"/>
                <w:sz w:val="18"/>
                <w:szCs w:val="18"/>
              </w:rPr>
            </w:pPr>
            <w:r w:rsidRPr="00A9200B">
              <w:rPr>
                <w:rFonts w:ascii="Calibri" w:hAnsi="Calibri" w:cs="Calibri"/>
                <w:color w:val="9C0006"/>
                <w:sz w:val="18"/>
                <w:szCs w:val="18"/>
              </w:rPr>
              <w:t>39 %</w:t>
            </w:r>
          </w:p>
        </w:tc>
        <w:tc>
          <w:tcPr>
            <w:tcW w:w="782" w:type="dxa"/>
            <w:tcBorders>
              <w:top w:val="nil"/>
              <w:left w:val="nil"/>
              <w:bottom w:val="nil"/>
              <w:right w:val="nil"/>
            </w:tcBorders>
            <w:shd w:val="clear" w:color="000000" w:fill="C6EFCE"/>
            <w:noWrap/>
            <w:vAlign w:val="bottom"/>
          </w:tcPr>
          <w:p w14:paraId="11D0234F" w14:textId="51585665" w:rsidR="00A9200B" w:rsidRPr="00A9200B" w:rsidRDefault="00A9200B" w:rsidP="00A9200B">
            <w:pPr>
              <w:jc w:val="right"/>
              <w:rPr>
                <w:rFonts w:ascii="Calibri" w:hAnsi="Calibri" w:cs="Calibri"/>
                <w:color w:val="9C0006"/>
                <w:sz w:val="18"/>
                <w:szCs w:val="18"/>
              </w:rPr>
            </w:pPr>
            <w:r w:rsidRPr="00A9200B">
              <w:rPr>
                <w:rFonts w:ascii="Calibri" w:hAnsi="Calibri" w:cs="Calibri"/>
                <w:color w:val="006100"/>
                <w:sz w:val="18"/>
                <w:szCs w:val="18"/>
              </w:rPr>
              <w:t>110 %</w:t>
            </w:r>
          </w:p>
        </w:tc>
        <w:tc>
          <w:tcPr>
            <w:tcW w:w="781" w:type="dxa"/>
            <w:tcBorders>
              <w:top w:val="nil"/>
              <w:left w:val="nil"/>
              <w:bottom w:val="nil"/>
              <w:right w:val="nil"/>
            </w:tcBorders>
            <w:shd w:val="clear" w:color="000000" w:fill="FFC7CE"/>
            <w:noWrap/>
            <w:vAlign w:val="bottom"/>
          </w:tcPr>
          <w:p w14:paraId="78E74093" w14:textId="44F74ADD" w:rsidR="00A9200B" w:rsidRPr="00A9200B" w:rsidRDefault="00A9200B" w:rsidP="00A9200B">
            <w:pPr>
              <w:jc w:val="right"/>
              <w:rPr>
                <w:rFonts w:ascii="Calibri" w:hAnsi="Calibri" w:cs="Calibri"/>
                <w:color w:val="9C0006"/>
                <w:sz w:val="18"/>
                <w:szCs w:val="18"/>
              </w:rPr>
            </w:pPr>
            <w:r w:rsidRPr="00A9200B">
              <w:rPr>
                <w:rFonts w:ascii="Calibri" w:hAnsi="Calibri" w:cs="Calibri"/>
                <w:color w:val="9C0006"/>
                <w:sz w:val="18"/>
                <w:szCs w:val="18"/>
              </w:rPr>
              <w:t>56 %</w:t>
            </w:r>
          </w:p>
        </w:tc>
        <w:tc>
          <w:tcPr>
            <w:tcW w:w="782" w:type="dxa"/>
            <w:tcBorders>
              <w:top w:val="nil"/>
              <w:left w:val="nil"/>
              <w:bottom w:val="nil"/>
              <w:right w:val="nil"/>
            </w:tcBorders>
            <w:shd w:val="clear" w:color="000000" w:fill="FFC7CE"/>
            <w:noWrap/>
            <w:vAlign w:val="bottom"/>
          </w:tcPr>
          <w:p w14:paraId="5AA52E0E" w14:textId="5DFFE8E2" w:rsidR="00A9200B" w:rsidRPr="00A9200B" w:rsidRDefault="00A9200B" w:rsidP="00A9200B">
            <w:pPr>
              <w:jc w:val="right"/>
              <w:rPr>
                <w:rFonts w:ascii="Calibri" w:hAnsi="Calibri" w:cs="Calibri"/>
                <w:color w:val="9C0006"/>
                <w:sz w:val="18"/>
                <w:szCs w:val="18"/>
              </w:rPr>
            </w:pPr>
            <w:r w:rsidRPr="00A9200B">
              <w:rPr>
                <w:rFonts w:ascii="Calibri" w:hAnsi="Calibri" w:cs="Calibri"/>
                <w:color w:val="9C0006"/>
                <w:sz w:val="18"/>
                <w:szCs w:val="18"/>
              </w:rPr>
              <w:t>47 %</w:t>
            </w:r>
          </w:p>
        </w:tc>
        <w:tc>
          <w:tcPr>
            <w:tcW w:w="781" w:type="dxa"/>
            <w:tcBorders>
              <w:top w:val="nil"/>
              <w:left w:val="nil"/>
              <w:bottom w:val="nil"/>
              <w:right w:val="nil"/>
            </w:tcBorders>
            <w:shd w:val="clear" w:color="000000" w:fill="C6EFCE"/>
            <w:noWrap/>
            <w:vAlign w:val="bottom"/>
          </w:tcPr>
          <w:p w14:paraId="0DE4A33C" w14:textId="3D9615D2"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181 %</w:t>
            </w:r>
          </w:p>
        </w:tc>
        <w:tc>
          <w:tcPr>
            <w:tcW w:w="782" w:type="dxa"/>
            <w:tcBorders>
              <w:top w:val="nil"/>
              <w:left w:val="nil"/>
              <w:bottom w:val="nil"/>
              <w:right w:val="nil"/>
            </w:tcBorders>
            <w:shd w:val="clear" w:color="000000" w:fill="C6EFCE"/>
            <w:noWrap/>
            <w:vAlign w:val="bottom"/>
          </w:tcPr>
          <w:p w14:paraId="1756E79A" w14:textId="41CFEC76" w:rsidR="00A9200B" w:rsidRPr="00A9200B" w:rsidRDefault="00A9200B" w:rsidP="00A9200B">
            <w:pPr>
              <w:jc w:val="right"/>
              <w:rPr>
                <w:rFonts w:ascii="Calibri" w:hAnsi="Calibri" w:cs="Calibri"/>
                <w:color w:val="9C0006"/>
                <w:sz w:val="18"/>
                <w:szCs w:val="18"/>
              </w:rPr>
            </w:pPr>
            <w:r w:rsidRPr="00A9200B">
              <w:rPr>
                <w:rFonts w:ascii="Calibri" w:hAnsi="Calibri" w:cs="Calibri"/>
                <w:color w:val="006100"/>
                <w:sz w:val="18"/>
                <w:szCs w:val="18"/>
              </w:rPr>
              <w:t>106 %</w:t>
            </w:r>
          </w:p>
        </w:tc>
        <w:tc>
          <w:tcPr>
            <w:tcW w:w="781" w:type="dxa"/>
            <w:tcBorders>
              <w:top w:val="nil"/>
              <w:left w:val="nil"/>
              <w:bottom w:val="nil"/>
              <w:right w:val="nil"/>
            </w:tcBorders>
            <w:shd w:val="clear" w:color="000000" w:fill="C6EFCE"/>
            <w:noWrap/>
            <w:vAlign w:val="bottom"/>
          </w:tcPr>
          <w:p w14:paraId="7BFFB843" w14:textId="60AF362B"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191 %</w:t>
            </w:r>
          </w:p>
        </w:tc>
        <w:tc>
          <w:tcPr>
            <w:tcW w:w="782" w:type="dxa"/>
            <w:tcBorders>
              <w:top w:val="nil"/>
              <w:left w:val="nil"/>
              <w:bottom w:val="nil"/>
              <w:right w:val="nil"/>
            </w:tcBorders>
            <w:shd w:val="clear" w:color="000000" w:fill="FFC7CE"/>
            <w:noWrap/>
            <w:vAlign w:val="bottom"/>
          </w:tcPr>
          <w:p w14:paraId="1C4CE0D2" w14:textId="3CBDFE84" w:rsidR="00A9200B" w:rsidRPr="00A9200B" w:rsidRDefault="00A9200B" w:rsidP="00A9200B">
            <w:pPr>
              <w:jc w:val="right"/>
              <w:rPr>
                <w:rFonts w:ascii="Calibri" w:hAnsi="Calibri" w:cs="Calibri"/>
                <w:color w:val="9C0006"/>
                <w:sz w:val="18"/>
                <w:szCs w:val="18"/>
              </w:rPr>
            </w:pPr>
            <w:r w:rsidRPr="00A9200B">
              <w:rPr>
                <w:rFonts w:ascii="Calibri" w:hAnsi="Calibri" w:cs="Calibri"/>
                <w:color w:val="9C0006"/>
                <w:sz w:val="18"/>
                <w:szCs w:val="18"/>
              </w:rPr>
              <w:t>37 %</w:t>
            </w:r>
          </w:p>
        </w:tc>
        <w:tc>
          <w:tcPr>
            <w:tcW w:w="781" w:type="dxa"/>
            <w:tcBorders>
              <w:top w:val="nil"/>
              <w:left w:val="nil"/>
              <w:bottom w:val="nil"/>
              <w:right w:val="nil"/>
            </w:tcBorders>
            <w:shd w:val="clear" w:color="000000" w:fill="C6EFCE"/>
            <w:noWrap/>
            <w:vAlign w:val="bottom"/>
          </w:tcPr>
          <w:p w14:paraId="4C59A324" w14:textId="5FD9E132"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145 %</w:t>
            </w:r>
          </w:p>
        </w:tc>
        <w:tc>
          <w:tcPr>
            <w:tcW w:w="782" w:type="dxa"/>
            <w:tcBorders>
              <w:top w:val="nil"/>
              <w:left w:val="nil"/>
              <w:bottom w:val="nil"/>
              <w:right w:val="nil"/>
            </w:tcBorders>
            <w:shd w:val="clear" w:color="000000" w:fill="C6EFCE"/>
            <w:noWrap/>
            <w:vAlign w:val="bottom"/>
          </w:tcPr>
          <w:p w14:paraId="25D48787" w14:textId="44A133CC" w:rsidR="00A9200B" w:rsidRPr="00A9200B" w:rsidRDefault="00A9200B" w:rsidP="00A9200B">
            <w:pPr>
              <w:jc w:val="right"/>
              <w:rPr>
                <w:rFonts w:ascii="Calibri" w:hAnsi="Calibri" w:cs="Calibri"/>
                <w:b/>
                <w:bCs/>
                <w:color w:val="006100"/>
                <w:sz w:val="18"/>
                <w:szCs w:val="18"/>
              </w:rPr>
            </w:pPr>
            <w:r w:rsidRPr="00A9200B">
              <w:rPr>
                <w:rFonts w:ascii="Calibri" w:hAnsi="Calibri" w:cs="Calibri"/>
                <w:b/>
                <w:bCs/>
                <w:color w:val="006100"/>
                <w:sz w:val="18"/>
                <w:szCs w:val="18"/>
              </w:rPr>
              <w:t>134 %</w:t>
            </w:r>
          </w:p>
        </w:tc>
      </w:tr>
      <w:tr w:rsidR="00A9200B" w:rsidRPr="001D3709" w14:paraId="3F3F83DF" w14:textId="77777777" w:rsidTr="00A9200B">
        <w:trPr>
          <w:trHeight w:val="436"/>
        </w:trPr>
        <w:tc>
          <w:tcPr>
            <w:tcW w:w="465" w:type="dxa"/>
            <w:tcBorders>
              <w:top w:val="nil"/>
              <w:left w:val="nil"/>
              <w:bottom w:val="nil"/>
              <w:right w:val="nil"/>
            </w:tcBorders>
            <w:shd w:val="clear" w:color="000000" w:fill="FFFFFF"/>
            <w:noWrap/>
            <w:vAlign w:val="bottom"/>
          </w:tcPr>
          <w:p w14:paraId="4D258FC2" w14:textId="0BFD2FA5" w:rsidR="00A9200B" w:rsidRPr="001D3709" w:rsidRDefault="00A9200B" w:rsidP="00A9200B">
            <w:pPr>
              <w:jc w:val="right"/>
              <w:rPr>
                <w:rFonts w:ascii="Calibri" w:hAnsi="Calibri" w:cs="Calibri"/>
                <w:b/>
                <w:bCs/>
                <w:color w:val="000000"/>
                <w:sz w:val="16"/>
                <w:szCs w:val="16"/>
              </w:rPr>
            </w:pPr>
            <w:r>
              <w:rPr>
                <w:rFonts w:ascii="Calibri" w:hAnsi="Calibri" w:cs="Calibri"/>
                <w:b/>
                <w:bCs/>
                <w:color w:val="000000"/>
                <w:sz w:val="16"/>
                <w:szCs w:val="16"/>
              </w:rPr>
              <w:t>2023</w:t>
            </w:r>
          </w:p>
        </w:tc>
        <w:tc>
          <w:tcPr>
            <w:tcW w:w="781" w:type="dxa"/>
            <w:tcBorders>
              <w:top w:val="nil"/>
              <w:left w:val="nil"/>
              <w:bottom w:val="nil"/>
              <w:right w:val="nil"/>
            </w:tcBorders>
            <w:shd w:val="clear" w:color="000000" w:fill="C6EFCE"/>
            <w:noWrap/>
            <w:vAlign w:val="bottom"/>
          </w:tcPr>
          <w:p w14:paraId="3508E217" w14:textId="774D03E1" w:rsidR="00A9200B" w:rsidRPr="00A9200B" w:rsidRDefault="00A9200B" w:rsidP="00A9200B">
            <w:pPr>
              <w:jc w:val="right"/>
              <w:rPr>
                <w:rFonts w:ascii="Calibri" w:hAnsi="Calibri" w:cs="Calibri"/>
                <w:color w:val="9C0006"/>
                <w:sz w:val="18"/>
                <w:szCs w:val="18"/>
              </w:rPr>
            </w:pPr>
            <w:r w:rsidRPr="00A9200B">
              <w:rPr>
                <w:rFonts w:ascii="Calibri" w:hAnsi="Calibri" w:cs="Calibri"/>
                <w:color w:val="006100"/>
                <w:sz w:val="18"/>
                <w:szCs w:val="18"/>
              </w:rPr>
              <w:t>165 %</w:t>
            </w:r>
          </w:p>
        </w:tc>
        <w:tc>
          <w:tcPr>
            <w:tcW w:w="739" w:type="dxa"/>
            <w:tcBorders>
              <w:top w:val="nil"/>
              <w:left w:val="nil"/>
              <w:bottom w:val="nil"/>
              <w:right w:val="nil"/>
            </w:tcBorders>
            <w:shd w:val="clear" w:color="000000" w:fill="C6EFCE"/>
            <w:noWrap/>
            <w:vAlign w:val="bottom"/>
          </w:tcPr>
          <w:p w14:paraId="30D65350" w14:textId="609AC8B8"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227 %</w:t>
            </w:r>
          </w:p>
        </w:tc>
        <w:tc>
          <w:tcPr>
            <w:tcW w:w="824" w:type="dxa"/>
            <w:tcBorders>
              <w:top w:val="nil"/>
              <w:left w:val="nil"/>
              <w:bottom w:val="nil"/>
              <w:right w:val="nil"/>
            </w:tcBorders>
            <w:shd w:val="clear" w:color="000000" w:fill="C6EFCE"/>
            <w:noWrap/>
            <w:vAlign w:val="bottom"/>
          </w:tcPr>
          <w:p w14:paraId="2946FE6D" w14:textId="2D132FF5" w:rsidR="00A9200B" w:rsidRPr="00A9200B" w:rsidRDefault="00A9200B" w:rsidP="00A9200B">
            <w:pPr>
              <w:jc w:val="right"/>
              <w:rPr>
                <w:rFonts w:ascii="Calibri" w:hAnsi="Calibri" w:cs="Calibri"/>
                <w:color w:val="9C0006"/>
                <w:sz w:val="18"/>
                <w:szCs w:val="18"/>
              </w:rPr>
            </w:pPr>
            <w:r w:rsidRPr="00A9200B">
              <w:rPr>
                <w:rFonts w:ascii="Calibri" w:hAnsi="Calibri" w:cs="Calibri"/>
                <w:color w:val="006100"/>
                <w:sz w:val="18"/>
                <w:szCs w:val="18"/>
              </w:rPr>
              <w:t>229 %</w:t>
            </w:r>
          </w:p>
        </w:tc>
        <w:tc>
          <w:tcPr>
            <w:tcW w:w="781" w:type="dxa"/>
            <w:tcBorders>
              <w:top w:val="nil"/>
              <w:left w:val="nil"/>
              <w:bottom w:val="nil"/>
              <w:right w:val="nil"/>
            </w:tcBorders>
            <w:shd w:val="clear" w:color="000000" w:fill="FFC7CE"/>
            <w:noWrap/>
            <w:vAlign w:val="bottom"/>
          </w:tcPr>
          <w:p w14:paraId="239B77B0" w14:textId="5423A02C" w:rsidR="00A9200B" w:rsidRPr="00A9200B" w:rsidRDefault="00A9200B" w:rsidP="00A9200B">
            <w:pPr>
              <w:jc w:val="right"/>
              <w:rPr>
                <w:rFonts w:ascii="Calibri" w:hAnsi="Calibri" w:cs="Calibri"/>
                <w:color w:val="9C0006"/>
                <w:sz w:val="18"/>
                <w:szCs w:val="18"/>
              </w:rPr>
            </w:pPr>
            <w:r w:rsidRPr="00A9200B">
              <w:rPr>
                <w:rFonts w:ascii="Calibri" w:hAnsi="Calibri" w:cs="Calibri"/>
                <w:color w:val="9C0006"/>
                <w:sz w:val="18"/>
                <w:szCs w:val="18"/>
              </w:rPr>
              <w:t>-33 %</w:t>
            </w:r>
          </w:p>
        </w:tc>
        <w:tc>
          <w:tcPr>
            <w:tcW w:w="782" w:type="dxa"/>
            <w:tcBorders>
              <w:top w:val="nil"/>
              <w:left w:val="nil"/>
              <w:bottom w:val="nil"/>
              <w:right w:val="nil"/>
            </w:tcBorders>
            <w:shd w:val="clear" w:color="000000" w:fill="C6EFCE"/>
            <w:noWrap/>
            <w:vAlign w:val="bottom"/>
          </w:tcPr>
          <w:p w14:paraId="1E4B577B" w14:textId="75C48D79" w:rsidR="00A9200B" w:rsidRPr="00A9200B" w:rsidRDefault="00A9200B" w:rsidP="00A9200B">
            <w:pPr>
              <w:jc w:val="right"/>
              <w:rPr>
                <w:rFonts w:ascii="Calibri" w:hAnsi="Calibri" w:cs="Calibri"/>
                <w:color w:val="9C0006"/>
                <w:sz w:val="18"/>
                <w:szCs w:val="18"/>
              </w:rPr>
            </w:pPr>
            <w:r w:rsidRPr="00A9200B">
              <w:rPr>
                <w:rFonts w:ascii="Calibri" w:hAnsi="Calibri" w:cs="Calibri"/>
                <w:color w:val="006100"/>
                <w:sz w:val="18"/>
                <w:szCs w:val="18"/>
              </w:rPr>
              <w:t>98 %</w:t>
            </w:r>
          </w:p>
        </w:tc>
        <w:tc>
          <w:tcPr>
            <w:tcW w:w="781" w:type="dxa"/>
            <w:tcBorders>
              <w:top w:val="nil"/>
              <w:left w:val="nil"/>
              <w:bottom w:val="nil"/>
              <w:right w:val="nil"/>
            </w:tcBorders>
            <w:shd w:val="clear" w:color="000000" w:fill="C6EFCE"/>
            <w:noWrap/>
            <w:vAlign w:val="bottom"/>
          </w:tcPr>
          <w:p w14:paraId="4B67DA88" w14:textId="107464D4"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197 %</w:t>
            </w:r>
          </w:p>
        </w:tc>
        <w:tc>
          <w:tcPr>
            <w:tcW w:w="782" w:type="dxa"/>
            <w:tcBorders>
              <w:top w:val="nil"/>
              <w:left w:val="nil"/>
              <w:bottom w:val="nil"/>
              <w:right w:val="nil"/>
            </w:tcBorders>
            <w:shd w:val="clear" w:color="000000" w:fill="C6EFCE"/>
            <w:noWrap/>
            <w:vAlign w:val="bottom"/>
          </w:tcPr>
          <w:p w14:paraId="6A376CDE" w14:textId="5C4CD4E2" w:rsidR="00A9200B" w:rsidRPr="00A9200B" w:rsidRDefault="00A9200B" w:rsidP="00A9200B">
            <w:pPr>
              <w:jc w:val="right"/>
              <w:rPr>
                <w:rFonts w:ascii="Calibri" w:hAnsi="Calibri" w:cs="Calibri"/>
                <w:color w:val="9C0006"/>
                <w:sz w:val="18"/>
                <w:szCs w:val="18"/>
              </w:rPr>
            </w:pPr>
            <w:r w:rsidRPr="00A9200B">
              <w:rPr>
                <w:rFonts w:ascii="Calibri" w:hAnsi="Calibri" w:cs="Calibri"/>
                <w:color w:val="006100"/>
                <w:sz w:val="18"/>
                <w:szCs w:val="18"/>
              </w:rPr>
              <w:t>107 %</w:t>
            </w:r>
          </w:p>
        </w:tc>
        <w:tc>
          <w:tcPr>
            <w:tcW w:w="781" w:type="dxa"/>
            <w:tcBorders>
              <w:top w:val="nil"/>
              <w:left w:val="nil"/>
              <w:bottom w:val="nil"/>
              <w:right w:val="nil"/>
            </w:tcBorders>
            <w:shd w:val="clear" w:color="000000" w:fill="FFC7CE"/>
            <w:noWrap/>
            <w:vAlign w:val="bottom"/>
          </w:tcPr>
          <w:p w14:paraId="6B587C34" w14:textId="0A8FC0F7" w:rsidR="00A9200B" w:rsidRPr="00A9200B" w:rsidRDefault="00A9200B" w:rsidP="00A9200B">
            <w:pPr>
              <w:jc w:val="right"/>
              <w:rPr>
                <w:rFonts w:ascii="Calibri" w:hAnsi="Calibri" w:cs="Calibri"/>
                <w:color w:val="9C0006"/>
                <w:sz w:val="18"/>
                <w:szCs w:val="18"/>
              </w:rPr>
            </w:pPr>
            <w:r w:rsidRPr="00A9200B">
              <w:rPr>
                <w:rFonts w:ascii="Calibri" w:hAnsi="Calibri" w:cs="Calibri"/>
                <w:color w:val="9C0006"/>
                <w:sz w:val="18"/>
                <w:szCs w:val="18"/>
              </w:rPr>
              <w:t>-66 %</w:t>
            </w:r>
          </w:p>
        </w:tc>
        <w:tc>
          <w:tcPr>
            <w:tcW w:w="782" w:type="dxa"/>
            <w:tcBorders>
              <w:top w:val="nil"/>
              <w:left w:val="nil"/>
              <w:bottom w:val="nil"/>
              <w:right w:val="nil"/>
            </w:tcBorders>
            <w:shd w:val="clear" w:color="000000" w:fill="FFC7CE"/>
            <w:noWrap/>
            <w:vAlign w:val="bottom"/>
          </w:tcPr>
          <w:p w14:paraId="3CA1C4E3" w14:textId="47EA758F" w:rsidR="00A9200B" w:rsidRPr="00A9200B" w:rsidRDefault="00A9200B" w:rsidP="00A9200B">
            <w:pPr>
              <w:jc w:val="right"/>
              <w:rPr>
                <w:rFonts w:ascii="Calibri" w:hAnsi="Calibri" w:cs="Calibri"/>
                <w:color w:val="9C0006"/>
                <w:sz w:val="18"/>
                <w:szCs w:val="18"/>
              </w:rPr>
            </w:pPr>
            <w:r w:rsidRPr="00A9200B">
              <w:rPr>
                <w:rFonts w:ascii="Calibri" w:hAnsi="Calibri" w:cs="Calibri"/>
                <w:color w:val="9C0006"/>
                <w:sz w:val="18"/>
                <w:szCs w:val="18"/>
              </w:rPr>
              <w:t>67 %</w:t>
            </w:r>
          </w:p>
        </w:tc>
        <w:tc>
          <w:tcPr>
            <w:tcW w:w="781" w:type="dxa"/>
            <w:tcBorders>
              <w:top w:val="nil"/>
              <w:left w:val="nil"/>
              <w:bottom w:val="nil"/>
              <w:right w:val="nil"/>
            </w:tcBorders>
            <w:shd w:val="clear" w:color="000000" w:fill="C6EFCE"/>
            <w:noWrap/>
            <w:vAlign w:val="bottom"/>
          </w:tcPr>
          <w:p w14:paraId="250B04D2" w14:textId="08ACC0C6" w:rsidR="00A9200B" w:rsidRPr="00A9200B" w:rsidRDefault="00A9200B" w:rsidP="00A9200B">
            <w:pPr>
              <w:jc w:val="right"/>
              <w:rPr>
                <w:rFonts w:ascii="Calibri" w:hAnsi="Calibri" w:cs="Calibri"/>
                <w:color w:val="9C0006"/>
                <w:sz w:val="18"/>
                <w:szCs w:val="18"/>
              </w:rPr>
            </w:pPr>
            <w:r w:rsidRPr="00A9200B">
              <w:rPr>
                <w:rFonts w:ascii="Calibri" w:hAnsi="Calibri" w:cs="Calibri"/>
                <w:color w:val="006100"/>
                <w:sz w:val="18"/>
                <w:szCs w:val="18"/>
              </w:rPr>
              <w:t>93 %</w:t>
            </w:r>
          </w:p>
        </w:tc>
        <w:tc>
          <w:tcPr>
            <w:tcW w:w="782" w:type="dxa"/>
            <w:tcBorders>
              <w:top w:val="nil"/>
              <w:left w:val="nil"/>
              <w:bottom w:val="nil"/>
              <w:right w:val="nil"/>
            </w:tcBorders>
            <w:shd w:val="clear" w:color="000000" w:fill="FFC7CE"/>
            <w:noWrap/>
            <w:vAlign w:val="bottom"/>
          </w:tcPr>
          <w:p w14:paraId="32C4A34A" w14:textId="666C2CE4" w:rsidR="00A9200B" w:rsidRPr="00A9200B" w:rsidRDefault="00A9200B" w:rsidP="00A9200B">
            <w:pPr>
              <w:jc w:val="right"/>
              <w:rPr>
                <w:rFonts w:ascii="Calibri" w:hAnsi="Calibri" w:cs="Calibri"/>
                <w:color w:val="9C0006"/>
                <w:sz w:val="18"/>
                <w:szCs w:val="18"/>
              </w:rPr>
            </w:pPr>
            <w:r w:rsidRPr="00A9200B">
              <w:rPr>
                <w:rFonts w:ascii="Calibri" w:hAnsi="Calibri" w:cs="Calibri"/>
                <w:color w:val="9C0006"/>
                <w:sz w:val="18"/>
                <w:szCs w:val="18"/>
              </w:rPr>
              <w:t>-53 %</w:t>
            </w:r>
          </w:p>
        </w:tc>
        <w:tc>
          <w:tcPr>
            <w:tcW w:w="781" w:type="dxa"/>
            <w:tcBorders>
              <w:top w:val="nil"/>
              <w:left w:val="nil"/>
              <w:bottom w:val="nil"/>
              <w:right w:val="nil"/>
            </w:tcBorders>
            <w:shd w:val="clear" w:color="000000" w:fill="C6EFCE"/>
            <w:noWrap/>
            <w:vAlign w:val="bottom"/>
          </w:tcPr>
          <w:p w14:paraId="3CB90DCC" w14:textId="5F03132C"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164 %</w:t>
            </w:r>
          </w:p>
        </w:tc>
        <w:tc>
          <w:tcPr>
            <w:tcW w:w="782" w:type="dxa"/>
            <w:tcBorders>
              <w:top w:val="nil"/>
              <w:left w:val="nil"/>
              <w:bottom w:val="nil"/>
              <w:right w:val="nil"/>
            </w:tcBorders>
            <w:shd w:val="clear" w:color="000000" w:fill="C6EFCE"/>
            <w:noWrap/>
            <w:vAlign w:val="bottom"/>
          </w:tcPr>
          <w:p w14:paraId="225322A1" w14:textId="140371DA" w:rsidR="00A9200B" w:rsidRPr="00A9200B" w:rsidRDefault="00A9200B" w:rsidP="00A9200B">
            <w:pPr>
              <w:jc w:val="right"/>
              <w:rPr>
                <w:rFonts w:ascii="Calibri" w:hAnsi="Calibri" w:cs="Calibri"/>
                <w:color w:val="9C0006"/>
                <w:sz w:val="18"/>
                <w:szCs w:val="18"/>
              </w:rPr>
            </w:pPr>
            <w:r w:rsidRPr="00A9200B">
              <w:rPr>
                <w:rFonts w:ascii="Calibri" w:hAnsi="Calibri" w:cs="Calibri"/>
                <w:color w:val="006100"/>
                <w:sz w:val="18"/>
                <w:szCs w:val="18"/>
              </w:rPr>
              <w:t>187 %</w:t>
            </w:r>
          </w:p>
        </w:tc>
        <w:tc>
          <w:tcPr>
            <w:tcW w:w="781" w:type="dxa"/>
            <w:tcBorders>
              <w:top w:val="nil"/>
              <w:left w:val="nil"/>
              <w:bottom w:val="nil"/>
              <w:right w:val="nil"/>
            </w:tcBorders>
            <w:shd w:val="clear" w:color="000000" w:fill="C6EFCE"/>
            <w:noWrap/>
            <w:vAlign w:val="bottom"/>
          </w:tcPr>
          <w:p w14:paraId="6A6433F5" w14:textId="63337D21"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219 %</w:t>
            </w:r>
          </w:p>
        </w:tc>
        <w:tc>
          <w:tcPr>
            <w:tcW w:w="782" w:type="dxa"/>
            <w:tcBorders>
              <w:top w:val="nil"/>
              <w:left w:val="nil"/>
              <w:bottom w:val="nil"/>
              <w:right w:val="nil"/>
            </w:tcBorders>
            <w:shd w:val="clear" w:color="000000" w:fill="FFC7CE"/>
            <w:noWrap/>
            <w:vAlign w:val="bottom"/>
          </w:tcPr>
          <w:p w14:paraId="212A240F" w14:textId="49543906" w:rsidR="00A9200B" w:rsidRPr="00A9200B" w:rsidRDefault="00A9200B" w:rsidP="00A9200B">
            <w:pPr>
              <w:jc w:val="right"/>
              <w:rPr>
                <w:rFonts w:ascii="Calibri" w:hAnsi="Calibri" w:cs="Calibri"/>
                <w:color w:val="9C0006"/>
                <w:sz w:val="18"/>
                <w:szCs w:val="18"/>
              </w:rPr>
            </w:pPr>
            <w:r w:rsidRPr="00A9200B">
              <w:rPr>
                <w:rFonts w:ascii="Calibri" w:hAnsi="Calibri" w:cs="Calibri"/>
                <w:color w:val="9C0006"/>
                <w:sz w:val="18"/>
                <w:szCs w:val="18"/>
              </w:rPr>
              <w:t>31 %</w:t>
            </w:r>
          </w:p>
        </w:tc>
        <w:tc>
          <w:tcPr>
            <w:tcW w:w="781" w:type="dxa"/>
            <w:tcBorders>
              <w:top w:val="nil"/>
              <w:left w:val="nil"/>
              <w:bottom w:val="nil"/>
              <w:right w:val="nil"/>
            </w:tcBorders>
            <w:shd w:val="clear" w:color="000000" w:fill="C6EFCE"/>
            <w:noWrap/>
            <w:vAlign w:val="bottom"/>
          </w:tcPr>
          <w:p w14:paraId="68B6160F" w14:textId="3F1C7372"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140 %</w:t>
            </w:r>
          </w:p>
        </w:tc>
        <w:tc>
          <w:tcPr>
            <w:tcW w:w="782" w:type="dxa"/>
            <w:tcBorders>
              <w:top w:val="nil"/>
              <w:left w:val="nil"/>
              <w:bottom w:val="nil"/>
              <w:right w:val="nil"/>
            </w:tcBorders>
            <w:shd w:val="clear" w:color="000000" w:fill="C6EFCE"/>
            <w:noWrap/>
            <w:vAlign w:val="bottom"/>
          </w:tcPr>
          <w:p w14:paraId="2C7929A6" w14:textId="4185B534" w:rsidR="00A9200B" w:rsidRPr="00A9200B" w:rsidRDefault="00A9200B" w:rsidP="00A9200B">
            <w:pPr>
              <w:jc w:val="right"/>
              <w:rPr>
                <w:rFonts w:ascii="Calibri" w:hAnsi="Calibri" w:cs="Calibri"/>
                <w:b/>
                <w:bCs/>
                <w:color w:val="006100"/>
                <w:sz w:val="18"/>
                <w:szCs w:val="18"/>
              </w:rPr>
            </w:pPr>
            <w:r w:rsidRPr="00A9200B">
              <w:rPr>
                <w:rFonts w:ascii="Calibri" w:hAnsi="Calibri" w:cs="Calibri"/>
                <w:b/>
                <w:bCs/>
                <w:color w:val="006100"/>
                <w:sz w:val="18"/>
                <w:szCs w:val="18"/>
              </w:rPr>
              <w:t>136 %</w:t>
            </w:r>
          </w:p>
        </w:tc>
      </w:tr>
    </w:tbl>
    <w:p w14:paraId="14F9898B" w14:textId="7EAA422E" w:rsidR="00A9200B" w:rsidRDefault="00A9200B" w:rsidP="00CE412E">
      <w:pPr>
        <w:pStyle w:val="Rubrik9"/>
        <w:rPr>
          <w:rFonts w:eastAsia="SimSun"/>
          <w:lang w:eastAsia="en-US"/>
        </w:rPr>
      </w:pPr>
      <w:bookmarkStart w:id="70" w:name="_Toc74661657"/>
    </w:p>
    <w:p w14:paraId="64B9EA9A" w14:textId="77777777" w:rsidR="00A9200B" w:rsidRDefault="00A9200B">
      <w:pPr>
        <w:rPr>
          <w:rFonts w:ascii="Arial" w:eastAsia="SimSun" w:hAnsi="Arial" w:cs="Arial"/>
          <w:sz w:val="22"/>
          <w:szCs w:val="22"/>
          <w:lang w:eastAsia="en-US"/>
        </w:rPr>
      </w:pPr>
      <w:r>
        <w:rPr>
          <w:rFonts w:eastAsia="SimSun"/>
          <w:lang w:eastAsia="en-US"/>
        </w:rPr>
        <w:br w:type="page"/>
      </w:r>
    </w:p>
    <w:p w14:paraId="5C7B3B99" w14:textId="77777777" w:rsidR="00A9200B" w:rsidRDefault="00A9200B" w:rsidP="00CE412E">
      <w:pPr>
        <w:pStyle w:val="Rubrik9"/>
        <w:rPr>
          <w:rFonts w:eastAsia="SimSun"/>
          <w:lang w:eastAsia="en-US"/>
        </w:rPr>
      </w:pPr>
    </w:p>
    <w:p w14:paraId="2A2EF13E" w14:textId="6C41CA75" w:rsidR="003648FF" w:rsidRDefault="003648FF" w:rsidP="00CE412E">
      <w:pPr>
        <w:pStyle w:val="Rubrik9"/>
        <w:rPr>
          <w:rFonts w:eastAsia="SimSun"/>
          <w:lang w:eastAsia="en-US"/>
        </w:rPr>
      </w:pPr>
      <w:r w:rsidRPr="003648FF">
        <w:rPr>
          <w:rFonts w:eastAsia="SimSun"/>
          <w:lang w:eastAsia="en-US"/>
        </w:rPr>
        <w:t>Tabell 3</w:t>
      </w:r>
      <w:r>
        <w:rPr>
          <w:rFonts w:eastAsia="SimSun"/>
          <w:lang w:eastAsia="en-US"/>
        </w:rPr>
        <w:t>.</w:t>
      </w:r>
      <w:r w:rsidRPr="003648FF">
        <w:rPr>
          <w:rFonts w:eastAsia="SimSun"/>
          <w:lang w:eastAsia="en-US"/>
        </w:rPr>
        <w:t xml:space="preserve"> </w:t>
      </w:r>
      <w:r w:rsidR="009C2E72">
        <w:rPr>
          <w:rFonts w:eastAsia="SimSun"/>
          <w:lang w:eastAsia="en-US"/>
        </w:rPr>
        <w:t>Kriterium 2(2): s</w:t>
      </w:r>
      <w:r w:rsidRPr="003648FF">
        <w:rPr>
          <w:rFonts w:eastAsia="SimSun"/>
          <w:lang w:eastAsia="en-US"/>
        </w:rPr>
        <w:t>oliditet</w:t>
      </w:r>
      <w:r w:rsidR="00CA1549">
        <w:rPr>
          <w:rFonts w:eastAsia="SimSun"/>
          <w:lang w:eastAsia="en-US"/>
        </w:rPr>
        <w:t>sgrad</w:t>
      </w:r>
      <w:bookmarkEnd w:id="70"/>
      <w:r w:rsidR="009C2E72">
        <w:rPr>
          <w:rFonts w:eastAsia="SimSun"/>
          <w:lang w:eastAsia="en-US"/>
        </w:rPr>
        <w:t>, gränsvärde 50 procent</w:t>
      </w:r>
    </w:p>
    <w:p w14:paraId="4D6F23B4" w14:textId="77777777" w:rsidR="00AC3993" w:rsidRPr="00AC3993" w:rsidRDefault="00AC3993" w:rsidP="00AC3993">
      <w:pPr>
        <w:rPr>
          <w:rFonts w:eastAsia="SimSun"/>
          <w:lang w:eastAsia="en-US"/>
        </w:rPr>
      </w:pPr>
    </w:p>
    <w:tbl>
      <w:tblPr>
        <w:tblW w:w="13750" w:type="dxa"/>
        <w:tblLayout w:type="fixed"/>
        <w:tblCellMar>
          <w:left w:w="70" w:type="dxa"/>
          <w:right w:w="70" w:type="dxa"/>
        </w:tblCellMar>
        <w:tblLook w:val="04A0" w:firstRow="1" w:lastRow="0" w:firstColumn="1" w:lastColumn="0" w:noHBand="0" w:noVBand="1"/>
      </w:tblPr>
      <w:tblGrid>
        <w:gridCol w:w="465"/>
        <w:gridCol w:w="781"/>
        <w:gridCol w:w="781"/>
        <w:gridCol w:w="782"/>
        <w:gridCol w:w="781"/>
        <w:gridCol w:w="782"/>
        <w:gridCol w:w="781"/>
        <w:gridCol w:w="782"/>
        <w:gridCol w:w="781"/>
        <w:gridCol w:w="782"/>
        <w:gridCol w:w="781"/>
        <w:gridCol w:w="782"/>
        <w:gridCol w:w="781"/>
        <w:gridCol w:w="782"/>
        <w:gridCol w:w="781"/>
        <w:gridCol w:w="782"/>
        <w:gridCol w:w="781"/>
        <w:gridCol w:w="782"/>
      </w:tblGrid>
      <w:tr w:rsidR="00B86DA9" w:rsidRPr="00B86DA9" w14:paraId="058F8218" w14:textId="77777777" w:rsidTr="00B86DA9">
        <w:trPr>
          <w:trHeight w:val="375"/>
        </w:trPr>
        <w:tc>
          <w:tcPr>
            <w:tcW w:w="465" w:type="dxa"/>
            <w:tcBorders>
              <w:top w:val="nil"/>
              <w:left w:val="nil"/>
              <w:bottom w:val="nil"/>
              <w:right w:val="nil"/>
            </w:tcBorders>
            <w:shd w:val="clear" w:color="000000" w:fill="FFFFFF"/>
            <w:noWrap/>
            <w:hideMark/>
          </w:tcPr>
          <w:p w14:paraId="748331DB" w14:textId="77777777" w:rsidR="00B86DA9" w:rsidRPr="00B86DA9" w:rsidRDefault="00B86DA9">
            <w:pPr>
              <w:rPr>
                <w:rFonts w:ascii="Calibri" w:hAnsi="Calibri" w:cs="Calibri"/>
                <w:sz w:val="16"/>
                <w:szCs w:val="16"/>
                <w:lang w:val="sv-FI" w:eastAsia="sv-FI"/>
              </w:rPr>
            </w:pPr>
            <w:r w:rsidRPr="00B86DA9">
              <w:rPr>
                <w:rFonts w:ascii="Calibri" w:hAnsi="Calibri" w:cs="Calibri"/>
                <w:sz w:val="16"/>
                <w:szCs w:val="16"/>
              </w:rPr>
              <w:t> </w:t>
            </w:r>
          </w:p>
        </w:tc>
        <w:tc>
          <w:tcPr>
            <w:tcW w:w="781" w:type="dxa"/>
            <w:tcBorders>
              <w:top w:val="nil"/>
              <w:left w:val="nil"/>
              <w:bottom w:val="nil"/>
              <w:right w:val="nil"/>
            </w:tcBorders>
            <w:shd w:val="clear" w:color="000000" w:fill="FFFFFF"/>
            <w:noWrap/>
            <w:vAlign w:val="bottom"/>
            <w:hideMark/>
          </w:tcPr>
          <w:p w14:paraId="681C8A3A" w14:textId="77777777" w:rsidR="00B86DA9" w:rsidRPr="00B86DA9" w:rsidRDefault="00B86DA9">
            <w:pPr>
              <w:rPr>
                <w:rFonts w:ascii="Calibri" w:hAnsi="Calibri" w:cs="Calibri"/>
                <w:b/>
                <w:bCs/>
                <w:color w:val="000000"/>
                <w:sz w:val="16"/>
                <w:szCs w:val="16"/>
                <w:u w:val="single"/>
              </w:rPr>
            </w:pPr>
            <w:r w:rsidRPr="00B86DA9">
              <w:rPr>
                <w:rFonts w:ascii="Calibri" w:hAnsi="Calibri" w:cs="Calibri"/>
                <w:b/>
                <w:bCs/>
                <w:color w:val="000000"/>
                <w:sz w:val="16"/>
                <w:szCs w:val="16"/>
                <w:u w:val="single"/>
              </w:rPr>
              <w:t>Brändö</w:t>
            </w:r>
          </w:p>
        </w:tc>
        <w:tc>
          <w:tcPr>
            <w:tcW w:w="781" w:type="dxa"/>
            <w:tcBorders>
              <w:top w:val="nil"/>
              <w:left w:val="nil"/>
              <w:bottom w:val="nil"/>
              <w:right w:val="nil"/>
            </w:tcBorders>
            <w:shd w:val="clear" w:color="000000" w:fill="FFFFFF"/>
            <w:noWrap/>
            <w:vAlign w:val="bottom"/>
            <w:hideMark/>
          </w:tcPr>
          <w:p w14:paraId="29EFD406" w14:textId="77777777" w:rsidR="00B86DA9" w:rsidRPr="00B86DA9" w:rsidRDefault="00B86DA9">
            <w:pPr>
              <w:rPr>
                <w:rFonts w:ascii="Calibri" w:hAnsi="Calibri" w:cs="Calibri"/>
                <w:b/>
                <w:bCs/>
                <w:color w:val="000000"/>
                <w:sz w:val="16"/>
                <w:szCs w:val="16"/>
                <w:u w:val="single"/>
              </w:rPr>
            </w:pPr>
            <w:r w:rsidRPr="00B86DA9">
              <w:rPr>
                <w:rFonts w:ascii="Calibri" w:hAnsi="Calibri" w:cs="Calibri"/>
                <w:b/>
                <w:bCs/>
                <w:color w:val="000000"/>
                <w:sz w:val="16"/>
                <w:szCs w:val="16"/>
                <w:u w:val="single"/>
              </w:rPr>
              <w:t>Eckerö</w:t>
            </w:r>
          </w:p>
        </w:tc>
        <w:tc>
          <w:tcPr>
            <w:tcW w:w="782" w:type="dxa"/>
            <w:tcBorders>
              <w:top w:val="nil"/>
              <w:left w:val="nil"/>
              <w:bottom w:val="nil"/>
              <w:right w:val="nil"/>
            </w:tcBorders>
            <w:shd w:val="clear" w:color="000000" w:fill="FFFFFF"/>
            <w:noWrap/>
            <w:vAlign w:val="bottom"/>
            <w:hideMark/>
          </w:tcPr>
          <w:p w14:paraId="70A5B4CE" w14:textId="77777777" w:rsidR="00B86DA9" w:rsidRPr="00B86DA9" w:rsidRDefault="00B86DA9">
            <w:pPr>
              <w:rPr>
                <w:rFonts w:ascii="Calibri" w:hAnsi="Calibri" w:cs="Calibri"/>
                <w:b/>
                <w:bCs/>
                <w:color w:val="000000"/>
                <w:sz w:val="16"/>
                <w:szCs w:val="16"/>
                <w:u w:val="single"/>
              </w:rPr>
            </w:pPr>
            <w:r w:rsidRPr="00B86DA9">
              <w:rPr>
                <w:rFonts w:ascii="Calibri" w:hAnsi="Calibri" w:cs="Calibri"/>
                <w:b/>
                <w:bCs/>
                <w:color w:val="000000"/>
                <w:sz w:val="16"/>
                <w:szCs w:val="16"/>
                <w:u w:val="single"/>
              </w:rPr>
              <w:t>Finström</w:t>
            </w:r>
          </w:p>
        </w:tc>
        <w:tc>
          <w:tcPr>
            <w:tcW w:w="781" w:type="dxa"/>
            <w:tcBorders>
              <w:top w:val="nil"/>
              <w:left w:val="nil"/>
              <w:bottom w:val="nil"/>
              <w:right w:val="nil"/>
            </w:tcBorders>
            <w:shd w:val="clear" w:color="000000" w:fill="FFFFFF"/>
            <w:noWrap/>
            <w:vAlign w:val="bottom"/>
            <w:hideMark/>
          </w:tcPr>
          <w:p w14:paraId="20163FBE" w14:textId="77777777" w:rsidR="00B86DA9" w:rsidRPr="00B86DA9" w:rsidRDefault="00B86DA9">
            <w:pPr>
              <w:rPr>
                <w:rFonts w:ascii="Calibri" w:hAnsi="Calibri" w:cs="Calibri"/>
                <w:b/>
                <w:bCs/>
                <w:color w:val="000000"/>
                <w:sz w:val="16"/>
                <w:szCs w:val="16"/>
                <w:u w:val="single"/>
              </w:rPr>
            </w:pPr>
            <w:r w:rsidRPr="00B86DA9">
              <w:rPr>
                <w:rFonts w:ascii="Calibri" w:hAnsi="Calibri" w:cs="Calibri"/>
                <w:b/>
                <w:bCs/>
                <w:color w:val="000000"/>
                <w:sz w:val="16"/>
                <w:szCs w:val="16"/>
                <w:u w:val="single"/>
              </w:rPr>
              <w:t>Föglö</w:t>
            </w:r>
          </w:p>
        </w:tc>
        <w:tc>
          <w:tcPr>
            <w:tcW w:w="782" w:type="dxa"/>
            <w:tcBorders>
              <w:top w:val="nil"/>
              <w:left w:val="nil"/>
              <w:bottom w:val="nil"/>
              <w:right w:val="nil"/>
            </w:tcBorders>
            <w:shd w:val="clear" w:color="000000" w:fill="FFFFFF"/>
            <w:noWrap/>
            <w:vAlign w:val="bottom"/>
            <w:hideMark/>
          </w:tcPr>
          <w:p w14:paraId="10982E13" w14:textId="77777777" w:rsidR="00B86DA9" w:rsidRPr="00B86DA9" w:rsidRDefault="00B86DA9">
            <w:pPr>
              <w:rPr>
                <w:rFonts w:ascii="Calibri" w:hAnsi="Calibri" w:cs="Calibri"/>
                <w:b/>
                <w:bCs/>
                <w:color w:val="000000"/>
                <w:sz w:val="16"/>
                <w:szCs w:val="16"/>
                <w:u w:val="single"/>
              </w:rPr>
            </w:pPr>
            <w:r w:rsidRPr="00B86DA9">
              <w:rPr>
                <w:rFonts w:ascii="Calibri" w:hAnsi="Calibri" w:cs="Calibri"/>
                <w:b/>
                <w:bCs/>
                <w:color w:val="000000"/>
                <w:sz w:val="16"/>
                <w:szCs w:val="16"/>
                <w:u w:val="single"/>
              </w:rPr>
              <w:t>Geta</w:t>
            </w:r>
          </w:p>
        </w:tc>
        <w:tc>
          <w:tcPr>
            <w:tcW w:w="781" w:type="dxa"/>
            <w:tcBorders>
              <w:top w:val="nil"/>
              <w:left w:val="nil"/>
              <w:bottom w:val="nil"/>
              <w:right w:val="nil"/>
            </w:tcBorders>
            <w:shd w:val="clear" w:color="000000" w:fill="FFFFFF"/>
            <w:noWrap/>
            <w:vAlign w:val="bottom"/>
            <w:hideMark/>
          </w:tcPr>
          <w:p w14:paraId="392C3E68" w14:textId="77777777" w:rsidR="00B86DA9" w:rsidRPr="00B86DA9" w:rsidRDefault="00B86DA9">
            <w:pPr>
              <w:rPr>
                <w:rFonts w:ascii="Calibri" w:hAnsi="Calibri" w:cs="Calibri"/>
                <w:b/>
                <w:bCs/>
                <w:color w:val="000000"/>
                <w:sz w:val="16"/>
                <w:szCs w:val="16"/>
                <w:u w:val="single"/>
              </w:rPr>
            </w:pPr>
            <w:r w:rsidRPr="00B86DA9">
              <w:rPr>
                <w:rFonts w:ascii="Calibri" w:hAnsi="Calibri" w:cs="Calibri"/>
                <w:b/>
                <w:bCs/>
                <w:color w:val="000000"/>
                <w:sz w:val="16"/>
                <w:szCs w:val="16"/>
                <w:u w:val="single"/>
              </w:rPr>
              <w:t>Hammarland</w:t>
            </w:r>
          </w:p>
        </w:tc>
        <w:tc>
          <w:tcPr>
            <w:tcW w:w="782" w:type="dxa"/>
            <w:tcBorders>
              <w:top w:val="nil"/>
              <w:left w:val="nil"/>
              <w:bottom w:val="nil"/>
              <w:right w:val="nil"/>
            </w:tcBorders>
            <w:shd w:val="clear" w:color="000000" w:fill="FFFFFF"/>
            <w:noWrap/>
            <w:vAlign w:val="bottom"/>
            <w:hideMark/>
          </w:tcPr>
          <w:p w14:paraId="7162FBC3" w14:textId="77777777" w:rsidR="00B86DA9" w:rsidRPr="00B86DA9" w:rsidRDefault="00B86DA9">
            <w:pPr>
              <w:rPr>
                <w:rFonts w:ascii="Calibri" w:hAnsi="Calibri" w:cs="Calibri"/>
                <w:b/>
                <w:bCs/>
                <w:color w:val="000000"/>
                <w:sz w:val="16"/>
                <w:szCs w:val="16"/>
                <w:u w:val="single"/>
              </w:rPr>
            </w:pPr>
            <w:r w:rsidRPr="00B86DA9">
              <w:rPr>
                <w:rFonts w:ascii="Calibri" w:hAnsi="Calibri" w:cs="Calibri"/>
                <w:b/>
                <w:bCs/>
                <w:color w:val="000000"/>
                <w:sz w:val="16"/>
                <w:szCs w:val="16"/>
                <w:u w:val="single"/>
              </w:rPr>
              <w:t>Jomala</w:t>
            </w:r>
          </w:p>
        </w:tc>
        <w:tc>
          <w:tcPr>
            <w:tcW w:w="781" w:type="dxa"/>
            <w:tcBorders>
              <w:top w:val="nil"/>
              <w:left w:val="nil"/>
              <w:bottom w:val="nil"/>
              <w:right w:val="nil"/>
            </w:tcBorders>
            <w:shd w:val="clear" w:color="000000" w:fill="FFFFFF"/>
            <w:noWrap/>
            <w:vAlign w:val="bottom"/>
            <w:hideMark/>
          </w:tcPr>
          <w:p w14:paraId="7D615BD3" w14:textId="77777777" w:rsidR="00B86DA9" w:rsidRPr="00B86DA9" w:rsidRDefault="00B86DA9">
            <w:pPr>
              <w:rPr>
                <w:rFonts w:ascii="Calibri" w:hAnsi="Calibri" w:cs="Calibri"/>
                <w:b/>
                <w:bCs/>
                <w:color w:val="000000"/>
                <w:sz w:val="16"/>
                <w:szCs w:val="16"/>
                <w:u w:val="single"/>
              </w:rPr>
            </w:pPr>
            <w:r w:rsidRPr="00B86DA9">
              <w:rPr>
                <w:rFonts w:ascii="Calibri" w:hAnsi="Calibri" w:cs="Calibri"/>
                <w:b/>
                <w:bCs/>
                <w:color w:val="000000"/>
                <w:sz w:val="16"/>
                <w:szCs w:val="16"/>
                <w:u w:val="single"/>
              </w:rPr>
              <w:t>Kumlinge</w:t>
            </w:r>
          </w:p>
        </w:tc>
        <w:tc>
          <w:tcPr>
            <w:tcW w:w="782" w:type="dxa"/>
            <w:tcBorders>
              <w:top w:val="nil"/>
              <w:left w:val="nil"/>
              <w:bottom w:val="nil"/>
              <w:right w:val="nil"/>
            </w:tcBorders>
            <w:shd w:val="clear" w:color="000000" w:fill="FFFFFF"/>
            <w:noWrap/>
            <w:vAlign w:val="bottom"/>
            <w:hideMark/>
          </w:tcPr>
          <w:p w14:paraId="1B0CB4C0" w14:textId="77777777" w:rsidR="00B86DA9" w:rsidRPr="00B86DA9" w:rsidRDefault="00B86DA9">
            <w:pPr>
              <w:rPr>
                <w:rFonts w:ascii="Calibri" w:hAnsi="Calibri" w:cs="Calibri"/>
                <w:b/>
                <w:bCs/>
                <w:color w:val="000000"/>
                <w:sz w:val="16"/>
                <w:szCs w:val="16"/>
                <w:u w:val="single"/>
              </w:rPr>
            </w:pPr>
            <w:r w:rsidRPr="00B86DA9">
              <w:rPr>
                <w:rFonts w:ascii="Calibri" w:hAnsi="Calibri" w:cs="Calibri"/>
                <w:b/>
                <w:bCs/>
                <w:color w:val="000000"/>
                <w:sz w:val="16"/>
                <w:szCs w:val="16"/>
                <w:u w:val="single"/>
              </w:rPr>
              <w:t>Kökar</w:t>
            </w:r>
          </w:p>
        </w:tc>
        <w:tc>
          <w:tcPr>
            <w:tcW w:w="781" w:type="dxa"/>
            <w:tcBorders>
              <w:top w:val="nil"/>
              <w:left w:val="nil"/>
              <w:bottom w:val="nil"/>
              <w:right w:val="nil"/>
            </w:tcBorders>
            <w:shd w:val="clear" w:color="000000" w:fill="FFFFFF"/>
            <w:noWrap/>
            <w:vAlign w:val="bottom"/>
            <w:hideMark/>
          </w:tcPr>
          <w:p w14:paraId="517EF068" w14:textId="77777777" w:rsidR="00B86DA9" w:rsidRPr="00B86DA9" w:rsidRDefault="00B86DA9">
            <w:pPr>
              <w:rPr>
                <w:rFonts w:ascii="Calibri" w:hAnsi="Calibri" w:cs="Calibri"/>
                <w:b/>
                <w:bCs/>
                <w:color w:val="000000"/>
                <w:sz w:val="16"/>
                <w:szCs w:val="16"/>
                <w:u w:val="single"/>
              </w:rPr>
            </w:pPr>
            <w:r w:rsidRPr="00B86DA9">
              <w:rPr>
                <w:rFonts w:ascii="Calibri" w:hAnsi="Calibri" w:cs="Calibri"/>
                <w:b/>
                <w:bCs/>
                <w:color w:val="000000"/>
                <w:sz w:val="16"/>
                <w:szCs w:val="16"/>
                <w:u w:val="single"/>
              </w:rPr>
              <w:t>Lemland</w:t>
            </w:r>
          </w:p>
        </w:tc>
        <w:tc>
          <w:tcPr>
            <w:tcW w:w="782" w:type="dxa"/>
            <w:tcBorders>
              <w:top w:val="nil"/>
              <w:left w:val="nil"/>
              <w:bottom w:val="nil"/>
              <w:right w:val="nil"/>
            </w:tcBorders>
            <w:shd w:val="clear" w:color="000000" w:fill="FFFFFF"/>
            <w:noWrap/>
            <w:vAlign w:val="bottom"/>
            <w:hideMark/>
          </w:tcPr>
          <w:p w14:paraId="0DD9AAA3" w14:textId="77777777" w:rsidR="00B86DA9" w:rsidRPr="00B86DA9" w:rsidRDefault="00B86DA9">
            <w:pPr>
              <w:rPr>
                <w:rFonts w:ascii="Calibri" w:hAnsi="Calibri" w:cs="Calibri"/>
                <w:b/>
                <w:bCs/>
                <w:color w:val="000000"/>
                <w:sz w:val="16"/>
                <w:szCs w:val="16"/>
                <w:u w:val="single"/>
              </w:rPr>
            </w:pPr>
            <w:r w:rsidRPr="00B86DA9">
              <w:rPr>
                <w:rFonts w:ascii="Calibri" w:hAnsi="Calibri" w:cs="Calibri"/>
                <w:b/>
                <w:bCs/>
                <w:color w:val="000000"/>
                <w:sz w:val="16"/>
                <w:szCs w:val="16"/>
                <w:u w:val="single"/>
              </w:rPr>
              <w:t>Lumparland</w:t>
            </w:r>
          </w:p>
        </w:tc>
        <w:tc>
          <w:tcPr>
            <w:tcW w:w="781" w:type="dxa"/>
            <w:tcBorders>
              <w:top w:val="nil"/>
              <w:left w:val="nil"/>
              <w:bottom w:val="nil"/>
              <w:right w:val="nil"/>
            </w:tcBorders>
            <w:shd w:val="clear" w:color="000000" w:fill="FFFFFF"/>
            <w:noWrap/>
            <w:vAlign w:val="bottom"/>
            <w:hideMark/>
          </w:tcPr>
          <w:p w14:paraId="7273F56B" w14:textId="77777777" w:rsidR="00B86DA9" w:rsidRPr="00B86DA9" w:rsidRDefault="00B86DA9">
            <w:pPr>
              <w:rPr>
                <w:rFonts w:ascii="Calibri" w:hAnsi="Calibri" w:cs="Calibri"/>
                <w:b/>
                <w:bCs/>
                <w:color w:val="000000"/>
                <w:sz w:val="16"/>
                <w:szCs w:val="16"/>
                <w:u w:val="single"/>
              </w:rPr>
            </w:pPr>
            <w:r w:rsidRPr="00B86DA9">
              <w:rPr>
                <w:rFonts w:ascii="Calibri" w:hAnsi="Calibri" w:cs="Calibri"/>
                <w:b/>
                <w:bCs/>
                <w:color w:val="000000"/>
                <w:sz w:val="16"/>
                <w:szCs w:val="16"/>
                <w:u w:val="single"/>
              </w:rPr>
              <w:t>Saltvik</w:t>
            </w:r>
          </w:p>
        </w:tc>
        <w:tc>
          <w:tcPr>
            <w:tcW w:w="782" w:type="dxa"/>
            <w:tcBorders>
              <w:top w:val="nil"/>
              <w:left w:val="nil"/>
              <w:bottom w:val="nil"/>
              <w:right w:val="nil"/>
            </w:tcBorders>
            <w:shd w:val="clear" w:color="000000" w:fill="FFFFFF"/>
            <w:noWrap/>
            <w:vAlign w:val="bottom"/>
            <w:hideMark/>
          </w:tcPr>
          <w:p w14:paraId="659B11A4" w14:textId="77777777" w:rsidR="00B86DA9" w:rsidRPr="00B86DA9" w:rsidRDefault="00B86DA9">
            <w:pPr>
              <w:rPr>
                <w:rFonts w:ascii="Calibri" w:hAnsi="Calibri" w:cs="Calibri"/>
                <w:b/>
                <w:bCs/>
                <w:color w:val="000000"/>
                <w:sz w:val="16"/>
                <w:szCs w:val="16"/>
                <w:u w:val="single"/>
              </w:rPr>
            </w:pPr>
            <w:r w:rsidRPr="00B86DA9">
              <w:rPr>
                <w:rFonts w:ascii="Calibri" w:hAnsi="Calibri" w:cs="Calibri"/>
                <w:b/>
                <w:bCs/>
                <w:color w:val="000000"/>
                <w:sz w:val="16"/>
                <w:szCs w:val="16"/>
                <w:u w:val="single"/>
              </w:rPr>
              <w:t>Sottunga</w:t>
            </w:r>
          </w:p>
        </w:tc>
        <w:tc>
          <w:tcPr>
            <w:tcW w:w="781" w:type="dxa"/>
            <w:tcBorders>
              <w:top w:val="nil"/>
              <w:left w:val="nil"/>
              <w:bottom w:val="nil"/>
              <w:right w:val="nil"/>
            </w:tcBorders>
            <w:shd w:val="clear" w:color="000000" w:fill="FFFFFF"/>
            <w:noWrap/>
            <w:vAlign w:val="bottom"/>
            <w:hideMark/>
          </w:tcPr>
          <w:p w14:paraId="09009F84" w14:textId="77777777" w:rsidR="00B86DA9" w:rsidRPr="00B86DA9" w:rsidRDefault="00B86DA9">
            <w:pPr>
              <w:rPr>
                <w:rFonts w:ascii="Calibri" w:hAnsi="Calibri" w:cs="Calibri"/>
                <w:b/>
                <w:bCs/>
                <w:color w:val="000000"/>
                <w:sz w:val="16"/>
                <w:szCs w:val="16"/>
                <w:u w:val="single"/>
              </w:rPr>
            </w:pPr>
            <w:r w:rsidRPr="00B86DA9">
              <w:rPr>
                <w:rFonts w:ascii="Calibri" w:hAnsi="Calibri" w:cs="Calibri"/>
                <w:b/>
                <w:bCs/>
                <w:color w:val="000000"/>
                <w:sz w:val="16"/>
                <w:szCs w:val="16"/>
                <w:u w:val="single"/>
              </w:rPr>
              <w:t>Sund</w:t>
            </w:r>
          </w:p>
        </w:tc>
        <w:tc>
          <w:tcPr>
            <w:tcW w:w="782" w:type="dxa"/>
            <w:tcBorders>
              <w:top w:val="nil"/>
              <w:left w:val="nil"/>
              <w:bottom w:val="nil"/>
              <w:right w:val="nil"/>
            </w:tcBorders>
            <w:shd w:val="clear" w:color="000000" w:fill="FFFFFF"/>
            <w:noWrap/>
            <w:vAlign w:val="bottom"/>
            <w:hideMark/>
          </w:tcPr>
          <w:p w14:paraId="77F443BF" w14:textId="77777777" w:rsidR="00B86DA9" w:rsidRPr="00B86DA9" w:rsidRDefault="00B86DA9">
            <w:pPr>
              <w:rPr>
                <w:rFonts w:ascii="Calibri" w:hAnsi="Calibri" w:cs="Calibri"/>
                <w:b/>
                <w:bCs/>
                <w:color w:val="000000"/>
                <w:sz w:val="16"/>
                <w:szCs w:val="16"/>
                <w:u w:val="single"/>
              </w:rPr>
            </w:pPr>
            <w:r w:rsidRPr="00B86DA9">
              <w:rPr>
                <w:rFonts w:ascii="Calibri" w:hAnsi="Calibri" w:cs="Calibri"/>
                <w:b/>
                <w:bCs/>
                <w:color w:val="000000"/>
                <w:sz w:val="16"/>
                <w:szCs w:val="16"/>
                <w:u w:val="single"/>
              </w:rPr>
              <w:t>Vårdö</w:t>
            </w:r>
          </w:p>
        </w:tc>
        <w:tc>
          <w:tcPr>
            <w:tcW w:w="781" w:type="dxa"/>
            <w:tcBorders>
              <w:top w:val="nil"/>
              <w:left w:val="nil"/>
              <w:bottom w:val="nil"/>
              <w:right w:val="nil"/>
            </w:tcBorders>
            <w:shd w:val="clear" w:color="000000" w:fill="FFFFFF"/>
            <w:noWrap/>
            <w:vAlign w:val="bottom"/>
            <w:hideMark/>
          </w:tcPr>
          <w:p w14:paraId="70D7EA73" w14:textId="77777777" w:rsidR="00B86DA9" w:rsidRPr="00B86DA9" w:rsidRDefault="00B86DA9">
            <w:pPr>
              <w:rPr>
                <w:rFonts w:ascii="Calibri" w:hAnsi="Calibri" w:cs="Calibri"/>
                <w:b/>
                <w:bCs/>
                <w:color w:val="000000"/>
                <w:sz w:val="16"/>
                <w:szCs w:val="16"/>
                <w:u w:val="single"/>
              </w:rPr>
            </w:pPr>
            <w:r w:rsidRPr="00B86DA9">
              <w:rPr>
                <w:rFonts w:ascii="Calibri" w:hAnsi="Calibri" w:cs="Calibri"/>
                <w:b/>
                <w:bCs/>
                <w:color w:val="000000"/>
                <w:sz w:val="16"/>
                <w:szCs w:val="16"/>
                <w:u w:val="single"/>
              </w:rPr>
              <w:t>Mariehamn</w:t>
            </w:r>
          </w:p>
        </w:tc>
        <w:tc>
          <w:tcPr>
            <w:tcW w:w="782" w:type="dxa"/>
            <w:tcBorders>
              <w:top w:val="nil"/>
              <w:left w:val="nil"/>
              <w:bottom w:val="nil"/>
              <w:right w:val="nil"/>
            </w:tcBorders>
            <w:shd w:val="clear" w:color="000000" w:fill="FFFFFF"/>
            <w:noWrap/>
            <w:vAlign w:val="bottom"/>
            <w:hideMark/>
          </w:tcPr>
          <w:p w14:paraId="264A258E" w14:textId="77777777" w:rsidR="00B86DA9" w:rsidRPr="00B86DA9" w:rsidRDefault="00B86DA9">
            <w:pPr>
              <w:rPr>
                <w:rFonts w:ascii="Calibri" w:hAnsi="Calibri" w:cs="Calibri"/>
                <w:b/>
                <w:bCs/>
                <w:color w:val="000000"/>
                <w:sz w:val="16"/>
                <w:szCs w:val="16"/>
                <w:u w:val="single"/>
              </w:rPr>
            </w:pPr>
            <w:r w:rsidRPr="00B86DA9">
              <w:rPr>
                <w:rFonts w:ascii="Calibri" w:hAnsi="Calibri" w:cs="Calibri"/>
                <w:b/>
                <w:bCs/>
                <w:color w:val="000000"/>
                <w:sz w:val="16"/>
                <w:szCs w:val="16"/>
                <w:u w:val="single"/>
              </w:rPr>
              <w:t>Alla kommuner</w:t>
            </w:r>
          </w:p>
        </w:tc>
      </w:tr>
      <w:tr w:rsidR="00A9200B" w:rsidRPr="00B86DA9" w14:paraId="5644F763" w14:textId="77777777" w:rsidTr="00A9200B">
        <w:trPr>
          <w:trHeight w:val="439"/>
        </w:trPr>
        <w:tc>
          <w:tcPr>
            <w:tcW w:w="465" w:type="dxa"/>
            <w:tcBorders>
              <w:top w:val="nil"/>
              <w:left w:val="nil"/>
              <w:bottom w:val="nil"/>
              <w:right w:val="nil"/>
            </w:tcBorders>
            <w:shd w:val="clear" w:color="000000" w:fill="FFFFFF"/>
            <w:noWrap/>
            <w:vAlign w:val="bottom"/>
            <w:hideMark/>
          </w:tcPr>
          <w:p w14:paraId="6D7E8D76" w14:textId="77777777" w:rsidR="00A9200B" w:rsidRPr="00B86DA9" w:rsidRDefault="00A9200B" w:rsidP="00A9200B">
            <w:pPr>
              <w:jc w:val="right"/>
              <w:rPr>
                <w:rFonts w:ascii="Calibri" w:hAnsi="Calibri" w:cs="Calibri"/>
                <w:b/>
                <w:bCs/>
                <w:color w:val="000000"/>
                <w:sz w:val="16"/>
                <w:szCs w:val="16"/>
              </w:rPr>
            </w:pPr>
            <w:r w:rsidRPr="00B86DA9">
              <w:rPr>
                <w:rFonts w:ascii="Calibri" w:hAnsi="Calibri" w:cs="Calibri"/>
                <w:b/>
                <w:bCs/>
                <w:color w:val="000000"/>
                <w:sz w:val="16"/>
                <w:szCs w:val="16"/>
              </w:rPr>
              <w:t>2014</w:t>
            </w:r>
          </w:p>
        </w:tc>
        <w:tc>
          <w:tcPr>
            <w:tcW w:w="781" w:type="dxa"/>
            <w:tcBorders>
              <w:top w:val="nil"/>
              <w:left w:val="nil"/>
              <w:bottom w:val="nil"/>
              <w:right w:val="nil"/>
            </w:tcBorders>
            <w:shd w:val="clear" w:color="000000" w:fill="C6EFCE"/>
            <w:noWrap/>
            <w:vAlign w:val="bottom"/>
            <w:hideMark/>
          </w:tcPr>
          <w:p w14:paraId="2B05D14B" w14:textId="158EE9DF"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85 %</w:t>
            </w:r>
          </w:p>
        </w:tc>
        <w:tc>
          <w:tcPr>
            <w:tcW w:w="781" w:type="dxa"/>
            <w:tcBorders>
              <w:top w:val="nil"/>
              <w:left w:val="nil"/>
              <w:bottom w:val="nil"/>
              <w:right w:val="nil"/>
            </w:tcBorders>
            <w:shd w:val="clear" w:color="000000" w:fill="C6EFCE"/>
            <w:noWrap/>
            <w:vAlign w:val="bottom"/>
            <w:hideMark/>
          </w:tcPr>
          <w:p w14:paraId="193AF39B" w14:textId="1C76E297"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76 %</w:t>
            </w:r>
          </w:p>
        </w:tc>
        <w:tc>
          <w:tcPr>
            <w:tcW w:w="782" w:type="dxa"/>
            <w:tcBorders>
              <w:top w:val="nil"/>
              <w:left w:val="nil"/>
              <w:bottom w:val="nil"/>
              <w:right w:val="nil"/>
            </w:tcBorders>
            <w:shd w:val="clear" w:color="000000" w:fill="FFC7CE"/>
            <w:noWrap/>
            <w:vAlign w:val="bottom"/>
            <w:hideMark/>
          </w:tcPr>
          <w:p w14:paraId="05A02E1F" w14:textId="728CD98E" w:rsidR="00A9200B" w:rsidRPr="00A9200B" w:rsidRDefault="00A9200B" w:rsidP="00A9200B">
            <w:pPr>
              <w:jc w:val="right"/>
              <w:rPr>
                <w:rFonts w:ascii="Calibri" w:hAnsi="Calibri" w:cs="Calibri"/>
                <w:color w:val="9C0006"/>
                <w:sz w:val="18"/>
                <w:szCs w:val="18"/>
              </w:rPr>
            </w:pPr>
            <w:r w:rsidRPr="00A9200B">
              <w:rPr>
                <w:rFonts w:ascii="Calibri" w:hAnsi="Calibri" w:cs="Calibri"/>
                <w:color w:val="9C0006"/>
                <w:sz w:val="18"/>
                <w:szCs w:val="18"/>
              </w:rPr>
              <w:t>47 %</w:t>
            </w:r>
          </w:p>
        </w:tc>
        <w:tc>
          <w:tcPr>
            <w:tcW w:w="781" w:type="dxa"/>
            <w:tcBorders>
              <w:top w:val="nil"/>
              <w:left w:val="nil"/>
              <w:bottom w:val="nil"/>
              <w:right w:val="nil"/>
            </w:tcBorders>
            <w:shd w:val="clear" w:color="000000" w:fill="C6EFCE"/>
            <w:noWrap/>
            <w:vAlign w:val="bottom"/>
            <w:hideMark/>
          </w:tcPr>
          <w:p w14:paraId="6D160033" w14:textId="60226CA5"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82 %</w:t>
            </w:r>
          </w:p>
        </w:tc>
        <w:tc>
          <w:tcPr>
            <w:tcW w:w="782" w:type="dxa"/>
            <w:tcBorders>
              <w:top w:val="nil"/>
              <w:left w:val="nil"/>
              <w:bottom w:val="nil"/>
              <w:right w:val="nil"/>
            </w:tcBorders>
            <w:shd w:val="clear" w:color="000000" w:fill="C6EFCE"/>
            <w:noWrap/>
            <w:vAlign w:val="bottom"/>
            <w:hideMark/>
          </w:tcPr>
          <w:p w14:paraId="0012936D" w14:textId="05829087"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72 %</w:t>
            </w:r>
          </w:p>
        </w:tc>
        <w:tc>
          <w:tcPr>
            <w:tcW w:w="781" w:type="dxa"/>
            <w:tcBorders>
              <w:top w:val="nil"/>
              <w:left w:val="nil"/>
              <w:bottom w:val="nil"/>
              <w:right w:val="nil"/>
            </w:tcBorders>
            <w:shd w:val="clear" w:color="000000" w:fill="C6EFCE"/>
            <w:noWrap/>
            <w:vAlign w:val="bottom"/>
            <w:hideMark/>
          </w:tcPr>
          <w:p w14:paraId="63AE697A" w14:textId="03468E96"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91 %</w:t>
            </w:r>
          </w:p>
        </w:tc>
        <w:tc>
          <w:tcPr>
            <w:tcW w:w="782" w:type="dxa"/>
            <w:tcBorders>
              <w:top w:val="nil"/>
              <w:left w:val="nil"/>
              <w:bottom w:val="nil"/>
              <w:right w:val="nil"/>
            </w:tcBorders>
            <w:shd w:val="clear" w:color="000000" w:fill="C6EFCE"/>
            <w:noWrap/>
            <w:vAlign w:val="bottom"/>
            <w:hideMark/>
          </w:tcPr>
          <w:p w14:paraId="351165F5" w14:textId="4847F0C5"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79 %</w:t>
            </w:r>
          </w:p>
        </w:tc>
        <w:tc>
          <w:tcPr>
            <w:tcW w:w="781" w:type="dxa"/>
            <w:tcBorders>
              <w:top w:val="nil"/>
              <w:left w:val="nil"/>
              <w:bottom w:val="nil"/>
              <w:right w:val="nil"/>
            </w:tcBorders>
            <w:shd w:val="clear" w:color="000000" w:fill="C6EFCE"/>
            <w:noWrap/>
            <w:vAlign w:val="bottom"/>
            <w:hideMark/>
          </w:tcPr>
          <w:p w14:paraId="77813A0C" w14:textId="333498B3"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67 %</w:t>
            </w:r>
          </w:p>
        </w:tc>
        <w:tc>
          <w:tcPr>
            <w:tcW w:w="782" w:type="dxa"/>
            <w:tcBorders>
              <w:top w:val="nil"/>
              <w:left w:val="nil"/>
              <w:bottom w:val="nil"/>
              <w:right w:val="nil"/>
            </w:tcBorders>
            <w:shd w:val="clear" w:color="000000" w:fill="FFC7CE"/>
            <w:noWrap/>
            <w:vAlign w:val="bottom"/>
            <w:hideMark/>
          </w:tcPr>
          <w:p w14:paraId="339CDA97" w14:textId="4C5B0D8E" w:rsidR="00A9200B" w:rsidRPr="00A9200B" w:rsidRDefault="00A9200B" w:rsidP="00A9200B">
            <w:pPr>
              <w:jc w:val="right"/>
              <w:rPr>
                <w:rFonts w:ascii="Calibri" w:hAnsi="Calibri" w:cs="Calibri"/>
                <w:color w:val="9C0006"/>
                <w:sz w:val="18"/>
                <w:szCs w:val="18"/>
              </w:rPr>
            </w:pPr>
            <w:r w:rsidRPr="00A9200B">
              <w:rPr>
                <w:rFonts w:ascii="Calibri" w:hAnsi="Calibri" w:cs="Calibri"/>
                <w:color w:val="9C0006"/>
                <w:sz w:val="18"/>
                <w:szCs w:val="18"/>
              </w:rPr>
              <w:t>11 %</w:t>
            </w:r>
          </w:p>
        </w:tc>
        <w:tc>
          <w:tcPr>
            <w:tcW w:w="781" w:type="dxa"/>
            <w:tcBorders>
              <w:top w:val="nil"/>
              <w:left w:val="nil"/>
              <w:bottom w:val="nil"/>
              <w:right w:val="nil"/>
            </w:tcBorders>
            <w:shd w:val="clear" w:color="000000" w:fill="C6EFCE"/>
            <w:noWrap/>
            <w:vAlign w:val="bottom"/>
            <w:hideMark/>
          </w:tcPr>
          <w:p w14:paraId="237AB2FE" w14:textId="649F4EDD"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65 %</w:t>
            </w:r>
          </w:p>
        </w:tc>
        <w:tc>
          <w:tcPr>
            <w:tcW w:w="782" w:type="dxa"/>
            <w:tcBorders>
              <w:top w:val="nil"/>
              <w:left w:val="nil"/>
              <w:bottom w:val="nil"/>
              <w:right w:val="nil"/>
            </w:tcBorders>
            <w:shd w:val="clear" w:color="000000" w:fill="FFC7CE"/>
            <w:noWrap/>
            <w:vAlign w:val="bottom"/>
            <w:hideMark/>
          </w:tcPr>
          <w:p w14:paraId="35316F79" w14:textId="229455DF" w:rsidR="00A9200B" w:rsidRPr="00A9200B" w:rsidRDefault="00A9200B" w:rsidP="00A9200B">
            <w:pPr>
              <w:jc w:val="right"/>
              <w:rPr>
                <w:rFonts w:ascii="Calibri" w:hAnsi="Calibri" w:cs="Calibri"/>
                <w:color w:val="9C0006"/>
                <w:sz w:val="18"/>
                <w:szCs w:val="18"/>
              </w:rPr>
            </w:pPr>
            <w:r w:rsidRPr="00A9200B">
              <w:rPr>
                <w:rFonts w:ascii="Calibri" w:hAnsi="Calibri" w:cs="Calibri"/>
                <w:color w:val="9C0006"/>
                <w:sz w:val="18"/>
                <w:szCs w:val="18"/>
              </w:rPr>
              <w:t>49 %</w:t>
            </w:r>
          </w:p>
        </w:tc>
        <w:tc>
          <w:tcPr>
            <w:tcW w:w="781" w:type="dxa"/>
            <w:tcBorders>
              <w:top w:val="nil"/>
              <w:left w:val="nil"/>
              <w:bottom w:val="nil"/>
              <w:right w:val="nil"/>
            </w:tcBorders>
            <w:shd w:val="clear" w:color="000000" w:fill="C6EFCE"/>
            <w:noWrap/>
            <w:vAlign w:val="bottom"/>
            <w:hideMark/>
          </w:tcPr>
          <w:p w14:paraId="448E4D73" w14:textId="6755928A"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63 %</w:t>
            </w:r>
          </w:p>
        </w:tc>
        <w:tc>
          <w:tcPr>
            <w:tcW w:w="782" w:type="dxa"/>
            <w:tcBorders>
              <w:top w:val="nil"/>
              <w:left w:val="nil"/>
              <w:bottom w:val="nil"/>
              <w:right w:val="nil"/>
            </w:tcBorders>
            <w:shd w:val="clear" w:color="000000" w:fill="C6EFCE"/>
            <w:noWrap/>
            <w:vAlign w:val="bottom"/>
            <w:hideMark/>
          </w:tcPr>
          <w:p w14:paraId="223DFC1C" w14:textId="2D8EED31"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68 %</w:t>
            </w:r>
          </w:p>
        </w:tc>
        <w:tc>
          <w:tcPr>
            <w:tcW w:w="781" w:type="dxa"/>
            <w:tcBorders>
              <w:top w:val="nil"/>
              <w:left w:val="nil"/>
              <w:bottom w:val="nil"/>
              <w:right w:val="nil"/>
            </w:tcBorders>
            <w:shd w:val="clear" w:color="000000" w:fill="C6EFCE"/>
            <w:noWrap/>
            <w:vAlign w:val="bottom"/>
            <w:hideMark/>
          </w:tcPr>
          <w:p w14:paraId="3EFD9504" w14:textId="0A5D5082"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65 %</w:t>
            </w:r>
          </w:p>
        </w:tc>
        <w:tc>
          <w:tcPr>
            <w:tcW w:w="782" w:type="dxa"/>
            <w:tcBorders>
              <w:top w:val="nil"/>
              <w:left w:val="nil"/>
              <w:bottom w:val="nil"/>
              <w:right w:val="nil"/>
            </w:tcBorders>
            <w:shd w:val="clear" w:color="000000" w:fill="FFC7CE"/>
            <w:noWrap/>
            <w:vAlign w:val="bottom"/>
            <w:hideMark/>
          </w:tcPr>
          <w:p w14:paraId="214A81F0" w14:textId="7578E01E" w:rsidR="00A9200B" w:rsidRPr="00A9200B" w:rsidRDefault="00A9200B" w:rsidP="00A9200B">
            <w:pPr>
              <w:jc w:val="right"/>
              <w:rPr>
                <w:rFonts w:ascii="Calibri" w:hAnsi="Calibri" w:cs="Calibri"/>
                <w:color w:val="9C0006"/>
                <w:sz w:val="18"/>
                <w:szCs w:val="18"/>
              </w:rPr>
            </w:pPr>
            <w:r w:rsidRPr="00A9200B">
              <w:rPr>
                <w:rFonts w:ascii="Calibri" w:hAnsi="Calibri" w:cs="Calibri"/>
                <w:color w:val="9C0006"/>
                <w:sz w:val="18"/>
                <w:szCs w:val="18"/>
              </w:rPr>
              <w:t>48 %</w:t>
            </w:r>
          </w:p>
        </w:tc>
        <w:tc>
          <w:tcPr>
            <w:tcW w:w="781" w:type="dxa"/>
            <w:tcBorders>
              <w:top w:val="nil"/>
              <w:left w:val="nil"/>
              <w:bottom w:val="nil"/>
              <w:right w:val="nil"/>
            </w:tcBorders>
            <w:shd w:val="clear" w:color="000000" w:fill="C6EFCE"/>
            <w:noWrap/>
            <w:vAlign w:val="bottom"/>
            <w:hideMark/>
          </w:tcPr>
          <w:p w14:paraId="4267929A" w14:textId="22121FAE"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71 %</w:t>
            </w:r>
          </w:p>
        </w:tc>
        <w:tc>
          <w:tcPr>
            <w:tcW w:w="782" w:type="dxa"/>
            <w:tcBorders>
              <w:top w:val="nil"/>
              <w:left w:val="nil"/>
              <w:bottom w:val="nil"/>
              <w:right w:val="nil"/>
            </w:tcBorders>
            <w:shd w:val="clear" w:color="000000" w:fill="C6EFCE"/>
            <w:noWrap/>
            <w:vAlign w:val="bottom"/>
            <w:hideMark/>
          </w:tcPr>
          <w:p w14:paraId="1A70038D" w14:textId="7F3C6E63" w:rsidR="00A9200B" w:rsidRPr="00A9200B" w:rsidRDefault="00A9200B" w:rsidP="00A9200B">
            <w:pPr>
              <w:jc w:val="right"/>
              <w:rPr>
                <w:rFonts w:ascii="Calibri" w:hAnsi="Calibri" w:cs="Calibri"/>
                <w:b/>
                <w:bCs/>
                <w:color w:val="006100"/>
                <w:sz w:val="18"/>
                <w:szCs w:val="18"/>
              </w:rPr>
            </w:pPr>
            <w:r w:rsidRPr="00A9200B">
              <w:rPr>
                <w:rFonts w:ascii="Calibri" w:hAnsi="Calibri" w:cs="Calibri"/>
                <w:b/>
                <w:bCs/>
                <w:color w:val="006100"/>
                <w:sz w:val="18"/>
                <w:szCs w:val="18"/>
              </w:rPr>
              <w:t>70 %</w:t>
            </w:r>
          </w:p>
        </w:tc>
      </w:tr>
      <w:tr w:rsidR="00A9200B" w:rsidRPr="00B86DA9" w14:paraId="12DAFB13" w14:textId="77777777" w:rsidTr="00A9200B">
        <w:trPr>
          <w:trHeight w:val="439"/>
        </w:trPr>
        <w:tc>
          <w:tcPr>
            <w:tcW w:w="465" w:type="dxa"/>
            <w:tcBorders>
              <w:top w:val="nil"/>
              <w:left w:val="nil"/>
              <w:bottom w:val="nil"/>
              <w:right w:val="nil"/>
            </w:tcBorders>
            <w:shd w:val="clear" w:color="000000" w:fill="FFFFFF"/>
            <w:noWrap/>
            <w:vAlign w:val="bottom"/>
            <w:hideMark/>
          </w:tcPr>
          <w:p w14:paraId="2ED36F87" w14:textId="77777777" w:rsidR="00A9200B" w:rsidRPr="00B86DA9" w:rsidRDefault="00A9200B" w:rsidP="00A9200B">
            <w:pPr>
              <w:jc w:val="right"/>
              <w:rPr>
                <w:rFonts w:ascii="Calibri" w:hAnsi="Calibri" w:cs="Calibri"/>
                <w:b/>
                <w:bCs/>
                <w:color w:val="000000"/>
                <w:sz w:val="16"/>
                <w:szCs w:val="16"/>
              </w:rPr>
            </w:pPr>
            <w:r w:rsidRPr="00B86DA9">
              <w:rPr>
                <w:rFonts w:ascii="Calibri" w:hAnsi="Calibri" w:cs="Calibri"/>
                <w:b/>
                <w:bCs/>
                <w:color w:val="000000"/>
                <w:sz w:val="16"/>
                <w:szCs w:val="16"/>
              </w:rPr>
              <w:t>2015</w:t>
            </w:r>
          </w:p>
        </w:tc>
        <w:tc>
          <w:tcPr>
            <w:tcW w:w="781" w:type="dxa"/>
            <w:tcBorders>
              <w:top w:val="nil"/>
              <w:left w:val="nil"/>
              <w:bottom w:val="nil"/>
              <w:right w:val="nil"/>
            </w:tcBorders>
            <w:shd w:val="clear" w:color="000000" w:fill="C6EFCE"/>
            <w:noWrap/>
            <w:vAlign w:val="bottom"/>
            <w:hideMark/>
          </w:tcPr>
          <w:p w14:paraId="006A4A5D" w14:textId="29325B1A"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83 %</w:t>
            </w:r>
          </w:p>
        </w:tc>
        <w:tc>
          <w:tcPr>
            <w:tcW w:w="781" w:type="dxa"/>
            <w:tcBorders>
              <w:top w:val="nil"/>
              <w:left w:val="nil"/>
              <w:bottom w:val="nil"/>
              <w:right w:val="nil"/>
            </w:tcBorders>
            <w:shd w:val="clear" w:color="000000" w:fill="C6EFCE"/>
            <w:noWrap/>
            <w:vAlign w:val="bottom"/>
            <w:hideMark/>
          </w:tcPr>
          <w:p w14:paraId="08B38DBB" w14:textId="51FB74D8"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81 %</w:t>
            </w:r>
          </w:p>
        </w:tc>
        <w:tc>
          <w:tcPr>
            <w:tcW w:w="782" w:type="dxa"/>
            <w:tcBorders>
              <w:top w:val="nil"/>
              <w:left w:val="nil"/>
              <w:bottom w:val="nil"/>
              <w:right w:val="nil"/>
            </w:tcBorders>
            <w:shd w:val="clear" w:color="000000" w:fill="FFC7CE"/>
            <w:noWrap/>
            <w:vAlign w:val="bottom"/>
            <w:hideMark/>
          </w:tcPr>
          <w:p w14:paraId="6B50FE66" w14:textId="42075BEE" w:rsidR="00A9200B" w:rsidRPr="00A9200B" w:rsidRDefault="00A9200B" w:rsidP="00A9200B">
            <w:pPr>
              <w:jc w:val="right"/>
              <w:rPr>
                <w:rFonts w:ascii="Calibri" w:hAnsi="Calibri" w:cs="Calibri"/>
                <w:color w:val="9C0006"/>
                <w:sz w:val="18"/>
                <w:szCs w:val="18"/>
              </w:rPr>
            </w:pPr>
            <w:r w:rsidRPr="00A9200B">
              <w:rPr>
                <w:rFonts w:ascii="Calibri" w:hAnsi="Calibri" w:cs="Calibri"/>
                <w:color w:val="9C0006"/>
                <w:sz w:val="18"/>
                <w:szCs w:val="18"/>
              </w:rPr>
              <w:t>49 %</w:t>
            </w:r>
          </w:p>
        </w:tc>
        <w:tc>
          <w:tcPr>
            <w:tcW w:w="781" w:type="dxa"/>
            <w:tcBorders>
              <w:top w:val="nil"/>
              <w:left w:val="nil"/>
              <w:bottom w:val="nil"/>
              <w:right w:val="nil"/>
            </w:tcBorders>
            <w:shd w:val="clear" w:color="000000" w:fill="C6EFCE"/>
            <w:noWrap/>
            <w:vAlign w:val="bottom"/>
            <w:hideMark/>
          </w:tcPr>
          <w:p w14:paraId="1D3C6EA1" w14:textId="5876F777"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83 %</w:t>
            </w:r>
          </w:p>
        </w:tc>
        <w:tc>
          <w:tcPr>
            <w:tcW w:w="782" w:type="dxa"/>
            <w:tcBorders>
              <w:top w:val="nil"/>
              <w:left w:val="nil"/>
              <w:bottom w:val="nil"/>
              <w:right w:val="nil"/>
            </w:tcBorders>
            <w:shd w:val="clear" w:color="000000" w:fill="C6EFCE"/>
            <w:noWrap/>
            <w:vAlign w:val="bottom"/>
            <w:hideMark/>
          </w:tcPr>
          <w:p w14:paraId="326CD102" w14:textId="1792D376"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72 %</w:t>
            </w:r>
          </w:p>
        </w:tc>
        <w:tc>
          <w:tcPr>
            <w:tcW w:w="781" w:type="dxa"/>
            <w:tcBorders>
              <w:top w:val="nil"/>
              <w:left w:val="nil"/>
              <w:bottom w:val="nil"/>
              <w:right w:val="nil"/>
            </w:tcBorders>
            <w:shd w:val="clear" w:color="000000" w:fill="C6EFCE"/>
            <w:noWrap/>
            <w:vAlign w:val="bottom"/>
            <w:hideMark/>
          </w:tcPr>
          <w:p w14:paraId="139B0E40" w14:textId="4F1CCB5A"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92 %</w:t>
            </w:r>
          </w:p>
        </w:tc>
        <w:tc>
          <w:tcPr>
            <w:tcW w:w="782" w:type="dxa"/>
            <w:tcBorders>
              <w:top w:val="nil"/>
              <w:left w:val="nil"/>
              <w:bottom w:val="nil"/>
              <w:right w:val="nil"/>
            </w:tcBorders>
            <w:shd w:val="clear" w:color="000000" w:fill="C6EFCE"/>
            <w:noWrap/>
            <w:vAlign w:val="bottom"/>
            <w:hideMark/>
          </w:tcPr>
          <w:p w14:paraId="3E7E5C88" w14:textId="32CE24F9"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67 %</w:t>
            </w:r>
          </w:p>
        </w:tc>
        <w:tc>
          <w:tcPr>
            <w:tcW w:w="781" w:type="dxa"/>
            <w:tcBorders>
              <w:top w:val="nil"/>
              <w:left w:val="nil"/>
              <w:bottom w:val="nil"/>
              <w:right w:val="nil"/>
            </w:tcBorders>
            <w:shd w:val="clear" w:color="000000" w:fill="C6EFCE"/>
            <w:noWrap/>
            <w:vAlign w:val="bottom"/>
            <w:hideMark/>
          </w:tcPr>
          <w:p w14:paraId="10B0987D" w14:textId="5FE1B0EF"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65 %</w:t>
            </w:r>
          </w:p>
        </w:tc>
        <w:tc>
          <w:tcPr>
            <w:tcW w:w="782" w:type="dxa"/>
            <w:tcBorders>
              <w:top w:val="nil"/>
              <w:left w:val="nil"/>
              <w:bottom w:val="nil"/>
              <w:right w:val="nil"/>
            </w:tcBorders>
            <w:shd w:val="clear" w:color="000000" w:fill="FFC7CE"/>
            <w:noWrap/>
            <w:vAlign w:val="bottom"/>
            <w:hideMark/>
          </w:tcPr>
          <w:p w14:paraId="61D6A709" w14:textId="6E77E34E" w:rsidR="00A9200B" w:rsidRPr="00A9200B" w:rsidRDefault="00A9200B" w:rsidP="00A9200B">
            <w:pPr>
              <w:jc w:val="right"/>
              <w:rPr>
                <w:rFonts w:ascii="Calibri" w:hAnsi="Calibri" w:cs="Calibri"/>
                <w:color w:val="9C0006"/>
                <w:sz w:val="18"/>
                <w:szCs w:val="18"/>
              </w:rPr>
            </w:pPr>
            <w:r w:rsidRPr="00A9200B">
              <w:rPr>
                <w:rFonts w:ascii="Calibri" w:hAnsi="Calibri" w:cs="Calibri"/>
                <w:color w:val="9C0006"/>
                <w:sz w:val="18"/>
                <w:szCs w:val="18"/>
              </w:rPr>
              <w:t>15 %</w:t>
            </w:r>
          </w:p>
        </w:tc>
        <w:tc>
          <w:tcPr>
            <w:tcW w:w="781" w:type="dxa"/>
            <w:tcBorders>
              <w:top w:val="nil"/>
              <w:left w:val="nil"/>
              <w:bottom w:val="nil"/>
              <w:right w:val="nil"/>
            </w:tcBorders>
            <w:shd w:val="clear" w:color="000000" w:fill="C6EFCE"/>
            <w:noWrap/>
            <w:vAlign w:val="bottom"/>
            <w:hideMark/>
          </w:tcPr>
          <w:p w14:paraId="02D2E3E2" w14:textId="34DB59F5"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64 %</w:t>
            </w:r>
          </w:p>
        </w:tc>
        <w:tc>
          <w:tcPr>
            <w:tcW w:w="782" w:type="dxa"/>
            <w:tcBorders>
              <w:top w:val="nil"/>
              <w:left w:val="nil"/>
              <w:bottom w:val="nil"/>
              <w:right w:val="nil"/>
            </w:tcBorders>
            <w:shd w:val="clear" w:color="000000" w:fill="FFC7CE"/>
            <w:noWrap/>
            <w:vAlign w:val="bottom"/>
            <w:hideMark/>
          </w:tcPr>
          <w:p w14:paraId="6F7CFFE2" w14:textId="2B4C3161" w:rsidR="00A9200B" w:rsidRPr="00A9200B" w:rsidRDefault="00A9200B" w:rsidP="00A9200B">
            <w:pPr>
              <w:jc w:val="right"/>
              <w:rPr>
                <w:rFonts w:ascii="Calibri" w:hAnsi="Calibri" w:cs="Calibri"/>
                <w:color w:val="9C0006"/>
                <w:sz w:val="18"/>
                <w:szCs w:val="18"/>
              </w:rPr>
            </w:pPr>
            <w:r w:rsidRPr="00A9200B">
              <w:rPr>
                <w:rFonts w:ascii="Calibri" w:hAnsi="Calibri" w:cs="Calibri"/>
                <w:color w:val="9C0006"/>
                <w:sz w:val="18"/>
                <w:szCs w:val="18"/>
              </w:rPr>
              <w:t>43 %</w:t>
            </w:r>
          </w:p>
        </w:tc>
        <w:tc>
          <w:tcPr>
            <w:tcW w:w="781" w:type="dxa"/>
            <w:tcBorders>
              <w:top w:val="nil"/>
              <w:left w:val="nil"/>
              <w:bottom w:val="nil"/>
              <w:right w:val="nil"/>
            </w:tcBorders>
            <w:shd w:val="clear" w:color="000000" w:fill="C6EFCE"/>
            <w:noWrap/>
            <w:vAlign w:val="bottom"/>
            <w:hideMark/>
          </w:tcPr>
          <w:p w14:paraId="29717671" w14:textId="53079D30"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63 %</w:t>
            </w:r>
          </w:p>
        </w:tc>
        <w:tc>
          <w:tcPr>
            <w:tcW w:w="782" w:type="dxa"/>
            <w:tcBorders>
              <w:top w:val="nil"/>
              <w:left w:val="nil"/>
              <w:bottom w:val="nil"/>
              <w:right w:val="nil"/>
            </w:tcBorders>
            <w:shd w:val="clear" w:color="000000" w:fill="C6EFCE"/>
            <w:noWrap/>
            <w:vAlign w:val="bottom"/>
            <w:hideMark/>
          </w:tcPr>
          <w:p w14:paraId="00D9A8D8" w14:textId="5D29E1DF"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65 %</w:t>
            </w:r>
          </w:p>
        </w:tc>
        <w:tc>
          <w:tcPr>
            <w:tcW w:w="781" w:type="dxa"/>
            <w:tcBorders>
              <w:top w:val="nil"/>
              <w:left w:val="nil"/>
              <w:bottom w:val="nil"/>
              <w:right w:val="nil"/>
            </w:tcBorders>
            <w:shd w:val="clear" w:color="000000" w:fill="C6EFCE"/>
            <w:noWrap/>
            <w:vAlign w:val="bottom"/>
            <w:hideMark/>
          </w:tcPr>
          <w:p w14:paraId="392F0723" w14:textId="48E7BBCF"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66 %</w:t>
            </w:r>
          </w:p>
        </w:tc>
        <w:tc>
          <w:tcPr>
            <w:tcW w:w="782" w:type="dxa"/>
            <w:tcBorders>
              <w:top w:val="nil"/>
              <w:left w:val="nil"/>
              <w:bottom w:val="nil"/>
              <w:right w:val="nil"/>
            </w:tcBorders>
            <w:shd w:val="clear" w:color="000000" w:fill="C6EFCE"/>
            <w:noWrap/>
            <w:vAlign w:val="bottom"/>
            <w:hideMark/>
          </w:tcPr>
          <w:p w14:paraId="5C31AB0C" w14:textId="52CBE1D1"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51 %</w:t>
            </w:r>
          </w:p>
        </w:tc>
        <w:tc>
          <w:tcPr>
            <w:tcW w:w="781" w:type="dxa"/>
            <w:tcBorders>
              <w:top w:val="nil"/>
              <w:left w:val="nil"/>
              <w:bottom w:val="nil"/>
              <w:right w:val="nil"/>
            </w:tcBorders>
            <w:shd w:val="clear" w:color="000000" w:fill="C6EFCE"/>
            <w:noWrap/>
            <w:vAlign w:val="bottom"/>
            <w:hideMark/>
          </w:tcPr>
          <w:p w14:paraId="787BCEC9" w14:textId="6ED9B819"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52 %</w:t>
            </w:r>
          </w:p>
        </w:tc>
        <w:tc>
          <w:tcPr>
            <w:tcW w:w="782" w:type="dxa"/>
            <w:tcBorders>
              <w:top w:val="nil"/>
              <w:left w:val="nil"/>
              <w:bottom w:val="nil"/>
              <w:right w:val="nil"/>
            </w:tcBorders>
            <w:shd w:val="clear" w:color="000000" w:fill="C6EFCE"/>
            <w:noWrap/>
            <w:vAlign w:val="bottom"/>
            <w:hideMark/>
          </w:tcPr>
          <w:p w14:paraId="40B8F6A5" w14:textId="768AC8B7" w:rsidR="00A9200B" w:rsidRPr="00A9200B" w:rsidRDefault="00A9200B" w:rsidP="00A9200B">
            <w:pPr>
              <w:jc w:val="right"/>
              <w:rPr>
                <w:rFonts w:ascii="Calibri" w:hAnsi="Calibri" w:cs="Calibri"/>
                <w:b/>
                <w:bCs/>
                <w:color w:val="006100"/>
                <w:sz w:val="18"/>
                <w:szCs w:val="18"/>
              </w:rPr>
            </w:pPr>
            <w:r w:rsidRPr="00A9200B">
              <w:rPr>
                <w:rFonts w:ascii="Calibri" w:hAnsi="Calibri" w:cs="Calibri"/>
                <w:b/>
                <w:bCs/>
                <w:color w:val="006100"/>
                <w:sz w:val="18"/>
                <w:szCs w:val="18"/>
              </w:rPr>
              <w:t>74 %</w:t>
            </w:r>
          </w:p>
        </w:tc>
      </w:tr>
      <w:tr w:rsidR="00A9200B" w:rsidRPr="00B86DA9" w14:paraId="308AB6CF" w14:textId="77777777" w:rsidTr="00A9200B">
        <w:trPr>
          <w:trHeight w:val="439"/>
        </w:trPr>
        <w:tc>
          <w:tcPr>
            <w:tcW w:w="465" w:type="dxa"/>
            <w:tcBorders>
              <w:top w:val="nil"/>
              <w:left w:val="nil"/>
              <w:bottom w:val="nil"/>
              <w:right w:val="nil"/>
            </w:tcBorders>
            <w:shd w:val="clear" w:color="000000" w:fill="FFFFFF"/>
            <w:noWrap/>
            <w:vAlign w:val="bottom"/>
            <w:hideMark/>
          </w:tcPr>
          <w:p w14:paraId="75DEC74A" w14:textId="77777777" w:rsidR="00A9200B" w:rsidRPr="00B86DA9" w:rsidRDefault="00A9200B" w:rsidP="00A9200B">
            <w:pPr>
              <w:jc w:val="right"/>
              <w:rPr>
                <w:rFonts w:ascii="Calibri" w:hAnsi="Calibri" w:cs="Calibri"/>
                <w:b/>
                <w:bCs/>
                <w:color w:val="000000"/>
                <w:sz w:val="16"/>
                <w:szCs w:val="16"/>
              </w:rPr>
            </w:pPr>
            <w:r w:rsidRPr="00B86DA9">
              <w:rPr>
                <w:rFonts w:ascii="Calibri" w:hAnsi="Calibri" w:cs="Calibri"/>
                <w:b/>
                <w:bCs/>
                <w:color w:val="000000"/>
                <w:sz w:val="16"/>
                <w:szCs w:val="16"/>
              </w:rPr>
              <w:t>2016</w:t>
            </w:r>
          </w:p>
        </w:tc>
        <w:tc>
          <w:tcPr>
            <w:tcW w:w="781" w:type="dxa"/>
            <w:tcBorders>
              <w:top w:val="nil"/>
              <w:left w:val="nil"/>
              <w:bottom w:val="nil"/>
              <w:right w:val="nil"/>
            </w:tcBorders>
            <w:shd w:val="clear" w:color="000000" w:fill="C6EFCE"/>
            <w:noWrap/>
            <w:vAlign w:val="bottom"/>
            <w:hideMark/>
          </w:tcPr>
          <w:p w14:paraId="7E905558" w14:textId="3B015DF0"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84 %</w:t>
            </w:r>
          </w:p>
        </w:tc>
        <w:tc>
          <w:tcPr>
            <w:tcW w:w="781" w:type="dxa"/>
            <w:tcBorders>
              <w:top w:val="nil"/>
              <w:left w:val="nil"/>
              <w:bottom w:val="nil"/>
              <w:right w:val="nil"/>
            </w:tcBorders>
            <w:shd w:val="clear" w:color="000000" w:fill="C6EFCE"/>
            <w:noWrap/>
            <w:vAlign w:val="bottom"/>
            <w:hideMark/>
          </w:tcPr>
          <w:p w14:paraId="02270DBA" w14:textId="72AD7A2C"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81 %</w:t>
            </w:r>
          </w:p>
        </w:tc>
        <w:tc>
          <w:tcPr>
            <w:tcW w:w="782" w:type="dxa"/>
            <w:tcBorders>
              <w:top w:val="nil"/>
              <w:left w:val="nil"/>
              <w:bottom w:val="nil"/>
              <w:right w:val="nil"/>
            </w:tcBorders>
            <w:shd w:val="clear" w:color="000000" w:fill="C6EFCE"/>
            <w:noWrap/>
            <w:vAlign w:val="bottom"/>
            <w:hideMark/>
          </w:tcPr>
          <w:p w14:paraId="2F465CAE" w14:textId="78C7961F"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54 %</w:t>
            </w:r>
          </w:p>
        </w:tc>
        <w:tc>
          <w:tcPr>
            <w:tcW w:w="781" w:type="dxa"/>
            <w:tcBorders>
              <w:top w:val="nil"/>
              <w:left w:val="nil"/>
              <w:bottom w:val="nil"/>
              <w:right w:val="nil"/>
            </w:tcBorders>
            <w:shd w:val="clear" w:color="000000" w:fill="C6EFCE"/>
            <w:noWrap/>
            <w:vAlign w:val="bottom"/>
            <w:hideMark/>
          </w:tcPr>
          <w:p w14:paraId="395E5D53" w14:textId="25C091D7"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84 %</w:t>
            </w:r>
          </w:p>
        </w:tc>
        <w:tc>
          <w:tcPr>
            <w:tcW w:w="782" w:type="dxa"/>
            <w:tcBorders>
              <w:top w:val="nil"/>
              <w:left w:val="nil"/>
              <w:bottom w:val="nil"/>
              <w:right w:val="nil"/>
            </w:tcBorders>
            <w:shd w:val="clear" w:color="000000" w:fill="C6EFCE"/>
            <w:noWrap/>
            <w:vAlign w:val="bottom"/>
            <w:hideMark/>
          </w:tcPr>
          <w:p w14:paraId="742F0906" w14:textId="281BC9AF"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72 %</w:t>
            </w:r>
          </w:p>
        </w:tc>
        <w:tc>
          <w:tcPr>
            <w:tcW w:w="781" w:type="dxa"/>
            <w:tcBorders>
              <w:top w:val="nil"/>
              <w:left w:val="nil"/>
              <w:bottom w:val="nil"/>
              <w:right w:val="nil"/>
            </w:tcBorders>
            <w:shd w:val="clear" w:color="000000" w:fill="C6EFCE"/>
            <w:noWrap/>
            <w:vAlign w:val="bottom"/>
            <w:hideMark/>
          </w:tcPr>
          <w:p w14:paraId="4B7A1D25" w14:textId="3B98E03A"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93 %</w:t>
            </w:r>
          </w:p>
        </w:tc>
        <w:tc>
          <w:tcPr>
            <w:tcW w:w="782" w:type="dxa"/>
            <w:tcBorders>
              <w:top w:val="nil"/>
              <w:left w:val="nil"/>
              <w:bottom w:val="nil"/>
              <w:right w:val="nil"/>
            </w:tcBorders>
            <w:shd w:val="clear" w:color="000000" w:fill="C6EFCE"/>
            <w:noWrap/>
            <w:vAlign w:val="bottom"/>
            <w:hideMark/>
          </w:tcPr>
          <w:p w14:paraId="26BCF8EC" w14:textId="6AD2F63D"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64 %</w:t>
            </w:r>
          </w:p>
        </w:tc>
        <w:tc>
          <w:tcPr>
            <w:tcW w:w="781" w:type="dxa"/>
            <w:tcBorders>
              <w:top w:val="nil"/>
              <w:left w:val="nil"/>
              <w:bottom w:val="nil"/>
              <w:right w:val="nil"/>
            </w:tcBorders>
            <w:shd w:val="clear" w:color="000000" w:fill="C6EFCE"/>
            <w:noWrap/>
            <w:vAlign w:val="bottom"/>
            <w:hideMark/>
          </w:tcPr>
          <w:p w14:paraId="3AA63F77" w14:textId="63F5C495"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64 %</w:t>
            </w:r>
          </w:p>
        </w:tc>
        <w:tc>
          <w:tcPr>
            <w:tcW w:w="782" w:type="dxa"/>
            <w:tcBorders>
              <w:top w:val="nil"/>
              <w:left w:val="nil"/>
              <w:bottom w:val="nil"/>
              <w:right w:val="nil"/>
            </w:tcBorders>
            <w:shd w:val="clear" w:color="000000" w:fill="FFC7CE"/>
            <w:noWrap/>
            <w:vAlign w:val="bottom"/>
            <w:hideMark/>
          </w:tcPr>
          <w:p w14:paraId="16DD87E2" w14:textId="5D48EB1D" w:rsidR="00A9200B" w:rsidRPr="00A9200B" w:rsidRDefault="00A9200B" w:rsidP="00A9200B">
            <w:pPr>
              <w:jc w:val="right"/>
              <w:rPr>
                <w:rFonts w:ascii="Calibri" w:hAnsi="Calibri" w:cs="Calibri"/>
                <w:color w:val="9C0006"/>
                <w:sz w:val="18"/>
                <w:szCs w:val="18"/>
              </w:rPr>
            </w:pPr>
            <w:r w:rsidRPr="00A9200B">
              <w:rPr>
                <w:rFonts w:ascii="Calibri" w:hAnsi="Calibri" w:cs="Calibri"/>
                <w:color w:val="9C0006"/>
                <w:sz w:val="18"/>
                <w:szCs w:val="18"/>
              </w:rPr>
              <w:t>11 %</w:t>
            </w:r>
          </w:p>
        </w:tc>
        <w:tc>
          <w:tcPr>
            <w:tcW w:w="781" w:type="dxa"/>
            <w:tcBorders>
              <w:top w:val="nil"/>
              <w:left w:val="nil"/>
              <w:bottom w:val="nil"/>
              <w:right w:val="nil"/>
            </w:tcBorders>
            <w:shd w:val="clear" w:color="000000" w:fill="C6EFCE"/>
            <w:noWrap/>
            <w:vAlign w:val="bottom"/>
            <w:hideMark/>
          </w:tcPr>
          <w:p w14:paraId="4BB29FCD" w14:textId="66EA7D05"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64 %</w:t>
            </w:r>
          </w:p>
        </w:tc>
        <w:tc>
          <w:tcPr>
            <w:tcW w:w="782" w:type="dxa"/>
            <w:tcBorders>
              <w:top w:val="nil"/>
              <w:left w:val="nil"/>
              <w:bottom w:val="nil"/>
              <w:right w:val="nil"/>
            </w:tcBorders>
            <w:shd w:val="clear" w:color="000000" w:fill="FFC7CE"/>
            <w:noWrap/>
            <w:vAlign w:val="bottom"/>
            <w:hideMark/>
          </w:tcPr>
          <w:p w14:paraId="1EA945E1" w14:textId="24820993" w:rsidR="00A9200B" w:rsidRPr="00A9200B" w:rsidRDefault="00A9200B" w:rsidP="00A9200B">
            <w:pPr>
              <w:jc w:val="right"/>
              <w:rPr>
                <w:rFonts w:ascii="Calibri" w:hAnsi="Calibri" w:cs="Calibri"/>
                <w:color w:val="9C0006"/>
                <w:sz w:val="18"/>
                <w:szCs w:val="18"/>
              </w:rPr>
            </w:pPr>
            <w:r w:rsidRPr="00A9200B">
              <w:rPr>
                <w:rFonts w:ascii="Calibri" w:hAnsi="Calibri" w:cs="Calibri"/>
                <w:color w:val="9C0006"/>
                <w:sz w:val="18"/>
                <w:szCs w:val="18"/>
              </w:rPr>
              <w:t>43 %</w:t>
            </w:r>
          </w:p>
        </w:tc>
        <w:tc>
          <w:tcPr>
            <w:tcW w:w="781" w:type="dxa"/>
            <w:tcBorders>
              <w:top w:val="nil"/>
              <w:left w:val="nil"/>
              <w:bottom w:val="nil"/>
              <w:right w:val="nil"/>
            </w:tcBorders>
            <w:shd w:val="clear" w:color="000000" w:fill="C6EFCE"/>
            <w:noWrap/>
            <w:vAlign w:val="bottom"/>
            <w:hideMark/>
          </w:tcPr>
          <w:p w14:paraId="5EEA8A60" w14:textId="0290309C"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68 %</w:t>
            </w:r>
          </w:p>
        </w:tc>
        <w:tc>
          <w:tcPr>
            <w:tcW w:w="782" w:type="dxa"/>
            <w:tcBorders>
              <w:top w:val="nil"/>
              <w:left w:val="nil"/>
              <w:bottom w:val="nil"/>
              <w:right w:val="nil"/>
            </w:tcBorders>
            <w:shd w:val="clear" w:color="000000" w:fill="C6EFCE"/>
            <w:noWrap/>
            <w:vAlign w:val="bottom"/>
            <w:hideMark/>
          </w:tcPr>
          <w:p w14:paraId="66CB6335" w14:textId="182D5E98"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70 %</w:t>
            </w:r>
          </w:p>
        </w:tc>
        <w:tc>
          <w:tcPr>
            <w:tcW w:w="781" w:type="dxa"/>
            <w:tcBorders>
              <w:top w:val="nil"/>
              <w:left w:val="nil"/>
              <w:bottom w:val="nil"/>
              <w:right w:val="nil"/>
            </w:tcBorders>
            <w:shd w:val="clear" w:color="000000" w:fill="C6EFCE"/>
            <w:noWrap/>
            <w:vAlign w:val="bottom"/>
            <w:hideMark/>
          </w:tcPr>
          <w:p w14:paraId="23A9DC65" w14:textId="5A05BD7C"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69 %</w:t>
            </w:r>
          </w:p>
        </w:tc>
        <w:tc>
          <w:tcPr>
            <w:tcW w:w="782" w:type="dxa"/>
            <w:tcBorders>
              <w:top w:val="nil"/>
              <w:left w:val="nil"/>
              <w:bottom w:val="nil"/>
              <w:right w:val="nil"/>
            </w:tcBorders>
            <w:shd w:val="clear" w:color="000000" w:fill="C6EFCE"/>
            <w:noWrap/>
            <w:vAlign w:val="bottom"/>
            <w:hideMark/>
          </w:tcPr>
          <w:p w14:paraId="4678D6FF" w14:textId="12030295"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52 %</w:t>
            </w:r>
          </w:p>
        </w:tc>
        <w:tc>
          <w:tcPr>
            <w:tcW w:w="781" w:type="dxa"/>
            <w:tcBorders>
              <w:top w:val="nil"/>
              <w:left w:val="nil"/>
              <w:bottom w:val="nil"/>
              <w:right w:val="nil"/>
            </w:tcBorders>
            <w:shd w:val="clear" w:color="000000" w:fill="C6EFCE"/>
            <w:noWrap/>
            <w:vAlign w:val="bottom"/>
            <w:hideMark/>
          </w:tcPr>
          <w:p w14:paraId="24DCD958" w14:textId="068FD409"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56 %</w:t>
            </w:r>
          </w:p>
        </w:tc>
        <w:tc>
          <w:tcPr>
            <w:tcW w:w="782" w:type="dxa"/>
            <w:tcBorders>
              <w:top w:val="nil"/>
              <w:left w:val="nil"/>
              <w:bottom w:val="nil"/>
              <w:right w:val="nil"/>
            </w:tcBorders>
            <w:shd w:val="clear" w:color="000000" w:fill="C6EFCE"/>
            <w:noWrap/>
            <w:vAlign w:val="bottom"/>
            <w:hideMark/>
          </w:tcPr>
          <w:p w14:paraId="478ABD3D" w14:textId="051BDC7B" w:rsidR="00A9200B" w:rsidRPr="00A9200B" w:rsidRDefault="00A9200B" w:rsidP="00A9200B">
            <w:pPr>
              <w:jc w:val="right"/>
              <w:rPr>
                <w:rFonts w:ascii="Calibri" w:hAnsi="Calibri" w:cs="Calibri"/>
                <w:b/>
                <w:bCs/>
                <w:color w:val="006100"/>
                <w:sz w:val="18"/>
                <w:szCs w:val="18"/>
              </w:rPr>
            </w:pPr>
            <w:r w:rsidRPr="00A9200B">
              <w:rPr>
                <w:rFonts w:ascii="Calibri" w:hAnsi="Calibri" w:cs="Calibri"/>
                <w:b/>
                <w:bCs/>
                <w:color w:val="006100"/>
                <w:sz w:val="18"/>
                <w:szCs w:val="18"/>
              </w:rPr>
              <w:t>76 %</w:t>
            </w:r>
          </w:p>
        </w:tc>
      </w:tr>
      <w:tr w:rsidR="00A9200B" w:rsidRPr="00B86DA9" w14:paraId="47247410" w14:textId="77777777" w:rsidTr="00A9200B">
        <w:trPr>
          <w:trHeight w:val="439"/>
        </w:trPr>
        <w:tc>
          <w:tcPr>
            <w:tcW w:w="465" w:type="dxa"/>
            <w:tcBorders>
              <w:top w:val="nil"/>
              <w:left w:val="nil"/>
              <w:bottom w:val="nil"/>
              <w:right w:val="nil"/>
            </w:tcBorders>
            <w:shd w:val="clear" w:color="000000" w:fill="FFFFFF"/>
            <w:noWrap/>
            <w:vAlign w:val="bottom"/>
            <w:hideMark/>
          </w:tcPr>
          <w:p w14:paraId="54940162" w14:textId="77777777" w:rsidR="00A9200B" w:rsidRPr="00B86DA9" w:rsidRDefault="00A9200B" w:rsidP="00A9200B">
            <w:pPr>
              <w:jc w:val="right"/>
              <w:rPr>
                <w:rFonts w:ascii="Calibri" w:hAnsi="Calibri" w:cs="Calibri"/>
                <w:b/>
                <w:bCs/>
                <w:color w:val="000000"/>
                <w:sz w:val="16"/>
                <w:szCs w:val="16"/>
              </w:rPr>
            </w:pPr>
            <w:r w:rsidRPr="00B86DA9">
              <w:rPr>
                <w:rFonts w:ascii="Calibri" w:hAnsi="Calibri" w:cs="Calibri"/>
                <w:b/>
                <w:bCs/>
                <w:color w:val="000000"/>
                <w:sz w:val="16"/>
                <w:szCs w:val="16"/>
              </w:rPr>
              <w:t>2017</w:t>
            </w:r>
          </w:p>
        </w:tc>
        <w:tc>
          <w:tcPr>
            <w:tcW w:w="781" w:type="dxa"/>
            <w:tcBorders>
              <w:top w:val="nil"/>
              <w:left w:val="nil"/>
              <w:bottom w:val="nil"/>
              <w:right w:val="nil"/>
            </w:tcBorders>
            <w:shd w:val="clear" w:color="000000" w:fill="C6EFCE"/>
            <w:noWrap/>
            <w:vAlign w:val="bottom"/>
            <w:hideMark/>
          </w:tcPr>
          <w:p w14:paraId="4D05F2CE" w14:textId="4B5B5C58"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85 %</w:t>
            </w:r>
          </w:p>
        </w:tc>
        <w:tc>
          <w:tcPr>
            <w:tcW w:w="781" w:type="dxa"/>
            <w:tcBorders>
              <w:top w:val="nil"/>
              <w:left w:val="nil"/>
              <w:bottom w:val="nil"/>
              <w:right w:val="nil"/>
            </w:tcBorders>
            <w:shd w:val="clear" w:color="000000" w:fill="C6EFCE"/>
            <w:noWrap/>
            <w:vAlign w:val="bottom"/>
            <w:hideMark/>
          </w:tcPr>
          <w:p w14:paraId="78409961" w14:textId="132851AB"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82 %</w:t>
            </w:r>
          </w:p>
        </w:tc>
        <w:tc>
          <w:tcPr>
            <w:tcW w:w="782" w:type="dxa"/>
            <w:tcBorders>
              <w:top w:val="nil"/>
              <w:left w:val="nil"/>
              <w:bottom w:val="nil"/>
              <w:right w:val="nil"/>
            </w:tcBorders>
            <w:shd w:val="clear" w:color="000000" w:fill="C6EFCE"/>
            <w:noWrap/>
            <w:vAlign w:val="bottom"/>
            <w:hideMark/>
          </w:tcPr>
          <w:p w14:paraId="6149288E" w14:textId="64DF4A60"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58 %</w:t>
            </w:r>
          </w:p>
        </w:tc>
        <w:tc>
          <w:tcPr>
            <w:tcW w:w="781" w:type="dxa"/>
            <w:tcBorders>
              <w:top w:val="nil"/>
              <w:left w:val="nil"/>
              <w:bottom w:val="nil"/>
              <w:right w:val="nil"/>
            </w:tcBorders>
            <w:shd w:val="clear" w:color="000000" w:fill="C6EFCE"/>
            <w:noWrap/>
            <w:vAlign w:val="bottom"/>
            <w:hideMark/>
          </w:tcPr>
          <w:p w14:paraId="4EA5B56A" w14:textId="43359527"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85 %</w:t>
            </w:r>
          </w:p>
        </w:tc>
        <w:tc>
          <w:tcPr>
            <w:tcW w:w="782" w:type="dxa"/>
            <w:tcBorders>
              <w:top w:val="nil"/>
              <w:left w:val="nil"/>
              <w:bottom w:val="nil"/>
              <w:right w:val="nil"/>
            </w:tcBorders>
            <w:shd w:val="clear" w:color="000000" w:fill="C6EFCE"/>
            <w:noWrap/>
            <w:vAlign w:val="bottom"/>
            <w:hideMark/>
          </w:tcPr>
          <w:p w14:paraId="462D7794" w14:textId="339F24B2"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67 %</w:t>
            </w:r>
          </w:p>
        </w:tc>
        <w:tc>
          <w:tcPr>
            <w:tcW w:w="781" w:type="dxa"/>
            <w:tcBorders>
              <w:top w:val="nil"/>
              <w:left w:val="nil"/>
              <w:bottom w:val="nil"/>
              <w:right w:val="nil"/>
            </w:tcBorders>
            <w:shd w:val="clear" w:color="000000" w:fill="C6EFCE"/>
            <w:noWrap/>
            <w:vAlign w:val="bottom"/>
            <w:hideMark/>
          </w:tcPr>
          <w:p w14:paraId="59513AF6" w14:textId="37D01992"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93 %</w:t>
            </w:r>
          </w:p>
        </w:tc>
        <w:tc>
          <w:tcPr>
            <w:tcW w:w="782" w:type="dxa"/>
            <w:tcBorders>
              <w:top w:val="nil"/>
              <w:left w:val="nil"/>
              <w:bottom w:val="nil"/>
              <w:right w:val="nil"/>
            </w:tcBorders>
            <w:shd w:val="clear" w:color="000000" w:fill="C6EFCE"/>
            <w:noWrap/>
            <w:vAlign w:val="bottom"/>
            <w:hideMark/>
          </w:tcPr>
          <w:p w14:paraId="1C4FD32D" w14:textId="3966463D"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76 %</w:t>
            </w:r>
          </w:p>
        </w:tc>
        <w:tc>
          <w:tcPr>
            <w:tcW w:w="781" w:type="dxa"/>
            <w:tcBorders>
              <w:top w:val="nil"/>
              <w:left w:val="nil"/>
              <w:bottom w:val="nil"/>
              <w:right w:val="nil"/>
            </w:tcBorders>
            <w:shd w:val="clear" w:color="000000" w:fill="C6EFCE"/>
            <w:noWrap/>
            <w:vAlign w:val="bottom"/>
            <w:hideMark/>
          </w:tcPr>
          <w:p w14:paraId="3D6516BA" w14:textId="03994397"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68 %</w:t>
            </w:r>
          </w:p>
        </w:tc>
        <w:tc>
          <w:tcPr>
            <w:tcW w:w="782" w:type="dxa"/>
            <w:tcBorders>
              <w:top w:val="nil"/>
              <w:left w:val="nil"/>
              <w:bottom w:val="nil"/>
              <w:right w:val="nil"/>
            </w:tcBorders>
            <w:shd w:val="clear" w:color="000000" w:fill="FFC7CE"/>
            <w:noWrap/>
            <w:vAlign w:val="bottom"/>
            <w:hideMark/>
          </w:tcPr>
          <w:p w14:paraId="6A25ABF1" w14:textId="29F4C76B" w:rsidR="00A9200B" w:rsidRPr="00A9200B" w:rsidRDefault="00A9200B" w:rsidP="00A9200B">
            <w:pPr>
              <w:jc w:val="right"/>
              <w:rPr>
                <w:rFonts w:ascii="Calibri" w:hAnsi="Calibri" w:cs="Calibri"/>
                <w:color w:val="9C0006"/>
                <w:sz w:val="18"/>
                <w:szCs w:val="18"/>
              </w:rPr>
            </w:pPr>
            <w:r w:rsidRPr="00A9200B">
              <w:rPr>
                <w:rFonts w:ascii="Calibri" w:hAnsi="Calibri" w:cs="Calibri"/>
                <w:color w:val="9C0006"/>
                <w:sz w:val="18"/>
                <w:szCs w:val="18"/>
              </w:rPr>
              <w:t>14 %</w:t>
            </w:r>
          </w:p>
        </w:tc>
        <w:tc>
          <w:tcPr>
            <w:tcW w:w="781" w:type="dxa"/>
            <w:tcBorders>
              <w:top w:val="nil"/>
              <w:left w:val="nil"/>
              <w:bottom w:val="nil"/>
              <w:right w:val="nil"/>
            </w:tcBorders>
            <w:shd w:val="clear" w:color="000000" w:fill="C6EFCE"/>
            <w:noWrap/>
            <w:vAlign w:val="bottom"/>
            <w:hideMark/>
          </w:tcPr>
          <w:p w14:paraId="42423C9A" w14:textId="5C4553B5"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66 %</w:t>
            </w:r>
          </w:p>
        </w:tc>
        <w:tc>
          <w:tcPr>
            <w:tcW w:w="782" w:type="dxa"/>
            <w:tcBorders>
              <w:top w:val="nil"/>
              <w:left w:val="nil"/>
              <w:bottom w:val="nil"/>
              <w:right w:val="nil"/>
            </w:tcBorders>
            <w:shd w:val="clear" w:color="000000" w:fill="FFC7CE"/>
            <w:noWrap/>
            <w:vAlign w:val="bottom"/>
            <w:hideMark/>
          </w:tcPr>
          <w:p w14:paraId="021BCA0C" w14:textId="7548B968" w:rsidR="00A9200B" w:rsidRPr="00A9200B" w:rsidRDefault="00A9200B" w:rsidP="00A9200B">
            <w:pPr>
              <w:jc w:val="right"/>
              <w:rPr>
                <w:rFonts w:ascii="Calibri" w:hAnsi="Calibri" w:cs="Calibri"/>
                <w:color w:val="9C0006"/>
                <w:sz w:val="18"/>
                <w:szCs w:val="18"/>
              </w:rPr>
            </w:pPr>
            <w:r w:rsidRPr="00A9200B">
              <w:rPr>
                <w:rFonts w:ascii="Calibri" w:hAnsi="Calibri" w:cs="Calibri"/>
                <w:color w:val="9C0006"/>
                <w:sz w:val="18"/>
                <w:szCs w:val="18"/>
              </w:rPr>
              <w:t>45 %</w:t>
            </w:r>
          </w:p>
        </w:tc>
        <w:tc>
          <w:tcPr>
            <w:tcW w:w="781" w:type="dxa"/>
            <w:tcBorders>
              <w:top w:val="nil"/>
              <w:left w:val="nil"/>
              <w:bottom w:val="nil"/>
              <w:right w:val="nil"/>
            </w:tcBorders>
            <w:shd w:val="clear" w:color="000000" w:fill="C6EFCE"/>
            <w:noWrap/>
            <w:vAlign w:val="bottom"/>
            <w:hideMark/>
          </w:tcPr>
          <w:p w14:paraId="7F22E9A0" w14:textId="7D085DD4"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68 %</w:t>
            </w:r>
          </w:p>
        </w:tc>
        <w:tc>
          <w:tcPr>
            <w:tcW w:w="782" w:type="dxa"/>
            <w:tcBorders>
              <w:top w:val="nil"/>
              <w:left w:val="nil"/>
              <w:bottom w:val="nil"/>
              <w:right w:val="nil"/>
            </w:tcBorders>
            <w:shd w:val="clear" w:color="000000" w:fill="C6EFCE"/>
            <w:noWrap/>
            <w:vAlign w:val="bottom"/>
            <w:hideMark/>
          </w:tcPr>
          <w:p w14:paraId="796992F7" w14:textId="5BDC3711"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71 %</w:t>
            </w:r>
          </w:p>
        </w:tc>
        <w:tc>
          <w:tcPr>
            <w:tcW w:w="781" w:type="dxa"/>
            <w:tcBorders>
              <w:top w:val="nil"/>
              <w:left w:val="nil"/>
              <w:bottom w:val="nil"/>
              <w:right w:val="nil"/>
            </w:tcBorders>
            <w:shd w:val="clear" w:color="000000" w:fill="C6EFCE"/>
            <w:noWrap/>
            <w:vAlign w:val="bottom"/>
            <w:hideMark/>
          </w:tcPr>
          <w:p w14:paraId="6237F79A" w14:textId="75F84BDF"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72 %</w:t>
            </w:r>
          </w:p>
        </w:tc>
        <w:tc>
          <w:tcPr>
            <w:tcW w:w="782" w:type="dxa"/>
            <w:tcBorders>
              <w:top w:val="nil"/>
              <w:left w:val="nil"/>
              <w:bottom w:val="nil"/>
              <w:right w:val="nil"/>
            </w:tcBorders>
            <w:shd w:val="clear" w:color="000000" w:fill="C6EFCE"/>
            <w:noWrap/>
            <w:vAlign w:val="bottom"/>
            <w:hideMark/>
          </w:tcPr>
          <w:p w14:paraId="1822C21D" w14:textId="43BE2ACC"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52 %</w:t>
            </w:r>
          </w:p>
        </w:tc>
        <w:tc>
          <w:tcPr>
            <w:tcW w:w="781" w:type="dxa"/>
            <w:tcBorders>
              <w:top w:val="nil"/>
              <w:left w:val="nil"/>
              <w:bottom w:val="nil"/>
              <w:right w:val="nil"/>
            </w:tcBorders>
            <w:shd w:val="clear" w:color="000000" w:fill="C6EFCE"/>
            <w:noWrap/>
            <w:vAlign w:val="bottom"/>
            <w:hideMark/>
          </w:tcPr>
          <w:p w14:paraId="087D8CFC" w14:textId="58DC216B"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58 %</w:t>
            </w:r>
          </w:p>
        </w:tc>
        <w:tc>
          <w:tcPr>
            <w:tcW w:w="782" w:type="dxa"/>
            <w:tcBorders>
              <w:top w:val="nil"/>
              <w:left w:val="nil"/>
              <w:bottom w:val="nil"/>
              <w:right w:val="nil"/>
            </w:tcBorders>
            <w:shd w:val="clear" w:color="000000" w:fill="C6EFCE"/>
            <w:noWrap/>
            <w:vAlign w:val="bottom"/>
            <w:hideMark/>
          </w:tcPr>
          <w:p w14:paraId="539646BC" w14:textId="2AD1A7D6" w:rsidR="00A9200B" w:rsidRPr="00A9200B" w:rsidRDefault="00A9200B" w:rsidP="00A9200B">
            <w:pPr>
              <w:jc w:val="right"/>
              <w:rPr>
                <w:rFonts w:ascii="Calibri" w:hAnsi="Calibri" w:cs="Calibri"/>
                <w:b/>
                <w:bCs/>
                <w:color w:val="006100"/>
                <w:sz w:val="18"/>
                <w:szCs w:val="18"/>
              </w:rPr>
            </w:pPr>
            <w:r w:rsidRPr="00A9200B">
              <w:rPr>
                <w:rFonts w:ascii="Calibri" w:hAnsi="Calibri" w:cs="Calibri"/>
                <w:b/>
                <w:bCs/>
                <w:color w:val="006100"/>
                <w:sz w:val="18"/>
                <w:szCs w:val="18"/>
              </w:rPr>
              <w:t>77 %</w:t>
            </w:r>
          </w:p>
        </w:tc>
      </w:tr>
      <w:tr w:rsidR="00A9200B" w:rsidRPr="00B86DA9" w14:paraId="7494350E" w14:textId="77777777" w:rsidTr="00A9200B">
        <w:trPr>
          <w:trHeight w:val="439"/>
        </w:trPr>
        <w:tc>
          <w:tcPr>
            <w:tcW w:w="465" w:type="dxa"/>
            <w:tcBorders>
              <w:top w:val="nil"/>
              <w:left w:val="nil"/>
              <w:bottom w:val="nil"/>
              <w:right w:val="nil"/>
            </w:tcBorders>
            <w:shd w:val="clear" w:color="000000" w:fill="FFFFFF"/>
            <w:noWrap/>
            <w:vAlign w:val="bottom"/>
            <w:hideMark/>
          </w:tcPr>
          <w:p w14:paraId="5C855484" w14:textId="77777777" w:rsidR="00A9200B" w:rsidRPr="00B86DA9" w:rsidRDefault="00A9200B" w:rsidP="00A9200B">
            <w:pPr>
              <w:jc w:val="right"/>
              <w:rPr>
                <w:rFonts w:ascii="Calibri" w:hAnsi="Calibri" w:cs="Calibri"/>
                <w:b/>
                <w:bCs/>
                <w:color w:val="000000"/>
                <w:sz w:val="16"/>
                <w:szCs w:val="16"/>
              </w:rPr>
            </w:pPr>
            <w:r w:rsidRPr="00B86DA9">
              <w:rPr>
                <w:rFonts w:ascii="Calibri" w:hAnsi="Calibri" w:cs="Calibri"/>
                <w:b/>
                <w:bCs/>
                <w:color w:val="000000"/>
                <w:sz w:val="16"/>
                <w:szCs w:val="16"/>
              </w:rPr>
              <w:t>2018</w:t>
            </w:r>
          </w:p>
        </w:tc>
        <w:tc>
          <w:tcPr>
            <w:tcW w:w="781" w:type="dxa"/>
            <w:tcBorders>
              <w:top w:val="nil"/>
              <w:left w:val="nil"/>
              <w:bottom w:val="nil"/>
              <w:right w:val="nil"/>
            </w:tcBorders>
            <w:shd w:val="clear" w:color="000000" w:fill="C6EFCE"/>
            <w:noWrap/>
            <w:vAlign w:val="bottom"/>
            <w:hideMark/>
          </w:tcPr>
          <w:p w14:paraId="02082978" w14:textId="234F3A0C"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85 %</w:t>
            </w:r>
          </w:p>
        </w:tc>
        <w:tc>
          <w:tcPr>
            <w:tcW w:w="781" w:type="dxa"/>
            <w:tcBorders>
              <w:top w:val="nil"/>
              <w:left w:val="nil"/>
              <w:bottom w:val="nil"/>
              <w:right w:val="nil"/>
            </w:tcBorders>
            <w:shd w:val="clear" w:color="000000" w:fill="C6EFCE"/>
            <w:noWrap/>
            <w:vAlign w:val="bottom"/>
            <w:hideMark/>
          </w:tcPr>
          <w:p w14:paraId="0E2B8816" w14:textId="15FDB1A3"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82 %</w:t>
            </w:r>
          </w:p>
        </w:tc>
        <w:tc>
          <w:tcPr>
            <w:tcW w:w="782" w:type="dxa"/>
            <w:tcBorders>
              <w:top w:val="nil"/>
              <w:left w:val="nil"/>
              <w:bottom w:val="nil"/>
              <w:right w:val="nil"/>
            </w:tcBorders>
            <w:shd w:val="clear" w:color="000000" w:fill="C6EFCE"/>
            <w:noWrap/>
            <w:vAlign w:val="bottom"/>
            <w:hideMark/>
          </w:tcPr>
          <w:p w14:paraId="37105CE8" w14:textId="1BADD50A"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59 %</w:t>
            </w:r>
          </w:p>
        </w:tc>
        <w:tc>
          <w:tcPr>
            <w:tcW w:w="781" w:type="dxa"/>
            <w:tcBorders>
              <w:top w:val="nil"/>
              <w:left w:val="nil"/>
              <w:bottom w:val="nil"/>
              <w:right w:val="nil"/>
            </w:tcBorders>
            <w:shd w:val="clear" w:color="000000" w:fill="C6EFCE"/>
            <w:noWrap/>
            <w:vAlign w:val="bottom"/>
            <w:hideMark/>
          </w:tcPr>
          <w:p w14:paraId="09C90182" w14:textId="0C0C53DC"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83 %</w:t>
            </w:r>
          </w:p>
        </w:tc>
        <w:tc>
          <w:tcPr>
            <w:tcW w:w="782" w:type="dxa"/>
            <w:tcBorders>
              <w:top w:val="nil"/>
              <w:left w:val="nil"/>
              <w:bottom w:val="nil"/>
              <w:right w:val="nil"/>
            </w:tcBorders>
            <w:shd w:val="clear" w:color="000000" w:fill="C6EFCE"/>
            <w:noWrap/>
            <w:vAlign w:val="bottom"/>
            <w:hideMark/>
          </w:tcPr>
          <w:p w14:paraId="7F4B87CD" w14:textId="3CE9F1A9"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58 %</w:t>
            </w:r>
          </w:p>
        </w:tc>
        <w:tc>
          <w:tcPr>
            <w:tcW w:w="781" w:type="dxa"/>
            <w:tcBorders>
              <w:top w:val="nil"/>
              <w:left w:val="nil"/>
              <w:bottom w:val="nil"/>
              <w:right w:val="nil"/>
            </w:tcBorders>
            <w:shd w:val="clear" w:color="000000" w:fill="C6EFCE"/>
            <w:noWrap/>
            <w:vAlign w:val="bottom"/>
            <w:hideMark/>
          </w:tcPr>
          <w:p w14:paraId="0FA5D0CA" w14:textId="7AB0B350"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91 %</w:t>
            </w:r>
          </w:p>
        </w:tc>
        <w:tc>
          <w:tcPr>
            <w:tcW w:w="782" w:type="dxa"/>
            <w:tcBorders>
              <w:top w:val="nil"/>
              <w:left w:val="nil"/>
              <w:bottom w:val="nil"/>
              <w:right w:val="nil"/>
            </w:tcBorders>
            <w:shd w:val="clear" w:color="000000" w:fill="C6EFCE"/>
            <w:noWrap/>
            <w:vAlign w:val="bottom"/>
            <w:hideMark/>
          </w:tcPr>
          <w:p w14:paraId="67479F09" w14:textId="7D8882DD"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74 %</w:t>
            </w:r>
          </w:p>
        </w:tc>
        <w:tc>
          <w:tcPr>
            <w:tcW w:w="781" w:type="dxa"/>
            <w:tcBorders>
              <w:top w:val="nil"/>
              <w:left w:val="nil"/>
              <w:bottom w:val="nil"/>
              <w:right w:val="nil"/>
            </w:tcBorders>
            <w:shd w:val="clear" w:color="000000" w:fill="C6EFCE"/>
            <w:noWrap/>
            <w:vAlign w:val="bottom"/>
            <w:hideMark/>
          </w:tcPr>
          <w:p w14:paraId="41AD0B50" w14:textId="2682C781"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72 %</w:t>
            </w:r>
          </w:p>
        </w:tc>
        <w:tc>
          <w:tcPr>
            <w:tcW w:w="782" w:type="dxa"/>
            <w:tcBorders>
              <w:top w:val="nil"/>
              <w:left w:val="nil"/>
              <w:bottom w:val="nil"/>
              <w:right w:val="nil"/>
            </w:tcBorders>
            <w:shd w:val="clear" w:color="000000" w:fill="FFC7CE"/>
            <w:noWrap/>
            <w:vAlign w:val="bottom"/>
            <w:hideMark/>
          </w:tcPr>
          <w:p w14:paraId="2697DD3F" w14:textId="7E3D4BF5" w:rsidR="00A9200B" w:rsidRPr="00A9200B" w:rsidRDefault="00A9200B" w:rsidP="00A9200B">
            <w:pPr>
              <w:jc w:val="right"/>
              <w:rPr>
                <w:rFonts w:ascii="Calibri" w:hAnsi="Calibri" w:cs="Calibri"/>
                <w:color w:val="9C0006"/>
                <w:sz w:val="18"/>
                <w:szCs w:val="18"/>
              </w:rPr>
            </w:pPr>
            <w:r w:rsidRPr="00A9200B">
              <w:rPr>
                <w:rFonts w:ascii="Calibri" w:hAnsi="Calibri" w:cs="Calibri"/>
                <w:color w:val="9C0006"/>
                <w:sz w:val="18"/>
                <w:szCs w:val="18"/>
              </w:rPr>
              <w:t>20 %</w:t>
            </w:r>
          </w:p>
        </w:tc>
        <w:tc>
          <w:tcPr>
            <w:tcW w:w="781" w:type="dxa"/>
            <w:tcBorders>
              <w:top w:val="nil"/>
              <w:left w:val="nil"/>
              <w:bottom w:val="nil"/>
              <w:right w:val="nil"/>
            </w:tcBorders>
            <w:shd w:val="clear" w:color="000000" w:fill="C6EFCE"/>
            <w:noWrap/>
            <w:vAlign w:val="bottom"/>
            <w:hideMark/>
          </w:tcPr>
          <w:p w14:paraId="2B0F83EB" w14:textId="300F8077"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64 %</w:t>
            </w:r>
          </w:p>
        </w:tc>
        <w:tc>
          <w:tcPr>
            <w:tcW w:w="782" w:type="dxa"/>
            <w:tcBorders>
              <w:top w:val="nil"/>
              <w:left w:val="nil"/>
              <w:bottom w:val="nil"/>
              <w:right w:val="nil"/>
            </w:tcBorders>
            <w:shd w:val="clear" w:color="000000" w:fill="FFC7CE"/>
            <w:noWrap/>
            <w:vAlign w:val="bottom"/>
            <w:hideMark/>
          </w:tcPr>
          <w:p w14:paraId="0D449389" w14:textId="2FF1C1B0" w:rsidR="00A9200B" w:rsidRPr="00A9200B" w:rsidRDefault="00A9200B" w:rsidP="00A9200B">
            <w:pPr>
              <w:jc w:val="right"/>
              <w:rPr>
                <w:rFonts w:ascii="Calibri" w:hAnsi="Calibri" w:cs="Calibri"/>
                <w:color w:val="9C0006"/>
                <w:sz w:val="18"/>
                <w:szCs w:val="18"/>
              </w:rPr>
            </w:pPr>
            <w:r w:rsidRPr="00A9200B">
              <w:rPr>
                <w:rFonts w:ascii="Calibri" w:hAnsi="Calibri" w:cs="Calibri"/>
                <w:color w:val="9C0006"/>
                <w:sz w:val="18"/>
                <w:szCs w:val="18"/>
              </w:rPr>
              <w:t>45 %</w:t>
            </w:r>
          </w:p>
        </w:tc>
        <w:tc>
          <w:tcPr>
            <w:tcW w:w="781" w:type="dxa"/>
            <w:tcBorders>
              <w:top w:val="nil"/>
              <w:left w:val="nil"/>
              <w:bottom w:val="nil"/>
              <w:right w:val="nil"/>
            </w:tcBorders>
            <w:shd w:val="clear" w:color="000000" w:fill="C6EFCE"/>
            <w:noWrap/>
            <w:vAlign w:val="bottom"/>
            <w:hideMark/>
          </w:tcPr>
          <w:p w14:paraId="1ADC94FC" w14:textId="6864D687"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66 %</w:t>
            </w:r>
          </w:p>
        </w:tc>
        <w:tc>
          <w:tcPr>
            <w:tcW w:w="782" w:type="dxa"/>
            <w:tcBorders>
              <w:top w:val="nil"/>
              <w:left w:val="nil"/>
              <w:bottom w:val="nil"/>
              <w:right w:val="nil"/>
            </w:tcBorders>
            <w:shd w:val="clear" w:color="000000" w:fill="C6EFCE"/>
            <w:noWrap/>
            <w:vAlign w:val="bottom"/>
            <w:hideMark/>
          </w:tcPr>
          <w:p w14:paraId="1B4C5374" w14:textId="72B9953F"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65 %</w:t>
            </w:r>
          </w:p>
        </w:tc>
        <w:tc>
          <w:tcPr>
            <w:tcW w:w="781" w:type="dxa"/>
            <w:tcBorders>
              <w:top w:val="nil"/>
              <w:left w:val="nil"/>
              <w:bottom w:val="nil"/>
              <w:right w:val="nil"/>
            </w:tcBorders>
            <w:shd w:val="clear" w:color="000000" w:fill="C6EFCE"/>
            <w:noWrap/>
            <w:vAlign w:val="bottom"/>
            <w:hideMark/>
          </w:tcPr>
          <w:p w14:paraId="5A2A3CB1" w14:textId="0447C110"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71 %</w:t>
            </w:r>
          </w:p>
        </w:tc>
        <w:tc>
          <w:tcPr>
            <w:tcW w:w="782" w:type="dxa"/>
            <w:tcBorders>
              <w:top w:val="nil"/>
              <w:left w:val="nil"/>
              <w:bottom w:val="nil"/>
              <w:right w:val="nil"/>
            </w:tcBorders>
            <w:shd w:val="clear" w:color="000000" w:fill="FFC7CE"/>
            <w:noWrap/>
            <w:vAlign w:val="bottom"/>
            <w:hideMark/>
          </w:tcPr>
          <w:p w14:paraId="21672AF1" w14:textId="7F35080C" w:rsidR="00A9200B" w:rsidRPr="00A9200B" w:rsidRDefault="00A9200B" w:rsidP="00A9200B">
            <w:pPr>
              <w:jc w:val="right"/>
              <w:rPr>
                <w:rFonts w:ascii="Calibri" w:hAnsi="Calibri" w:cs="Calibri"/>
                <w:color w:val="9C0006"/>
                <w:sz w:val="18"/>
                <w:szCs w:val="18"/>
              </w:rPr>
            </w:pPr>
            <w:r w:rsidRPr="00A9200B">
              <w:rPr>
                <w:rFonts w:ascii="Calibri" w:hAnsi="Calibri" w:cs="Calibri"/>
                <w:color w:val="9C0006"/>
                <w:sz w:val="18"/>
                <w:szCs w:val="18"/>
              </w:rPr>
              <w:t>48 %</w:t>
            </w:r>
          </w:p>
        </w:tc>
        <w:tc>
          <w:tcPr>
            <w:tcW w:w="781" w:type="dxa"/>
            <w:tcBorders>
              <w:top w:val="nil"/>
              <w:left w:val="nil"/>
              <w:bottom w:val="nil"/>
              <w:right w:val="nil"/>
            </w:tcBorders>
            <w:shd w:val="clear" w:color="000000" w:fill="C6EFCE"/>
            <w:noWrap/>
            <w:vAlign w:val="bottom"/>
            <w:hideMark/>
          </w:tcPr>
          <w:p w14:paraId="0DE734D3" w14:textId="203EF6AE"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59 %</w:t>
            </w:r>
          </w:p>
        </w:tc>
        <w:tc>
          <w:tcPr>
            <w:tcW w:w="782" w:type="dxa"/>
            <w:tcBorders>
              <w:top w:val="nil"/>
              <w:left w:val="nil"/>
              <w:bottom w:val="nil"/>
              <w:right w:val="nil"/>
            </w:tcBorders>
            <w:shd w:val="clear" w:color="000000" w:fill="C6EFCE"/>
            <w:noWrap/>
            <w:vAlign w:val="bottom"/>
            <w:hideMark/>
          </w:tcPr>
          <w:p w14:paraId="79E22AE3" w14:textId="151DB287" w:rsidR="00A9200B" w:rsidRPr="00A9200B" w:rsidRDefault="00A9200B" w:rsidP="00A9200B">
            <w:pPr>
              <w:jc w:val="right"/>
              <w:rPr>
                <w:rFonts w:ascii="Calibri" w:hAnsi="Calibri" w:cs="Calibri"/>
                <w:b/>
                <w:bCs/>
                <w:color w:val="006100"/>
                <w:sz w:val="18"/>
                <w:szCs w:val="18"/>
              </w:rPr>
            </w:pPr>
            <w:r w:rsidRPr="00A9200B">
              <w:rPr>
                <w:rFonts w:ascii="Calibri" w:hAnsi="Calibri" w:cs="Calibri"/>
                <w:b/>
                <w:bCs/>
                <w:color w:val="006100"/>
                <w:sz w:val="18"/>
                <w:szCs w:val="18"/>
              </w:rPr>
              <w:t>77 %</w:t>
            </w:r>
          </w:p>
        </w:tc>
      </w:tr>
      <w:tr w:rsidR="00A9200B" w:rsidRPr="00B86DA9" w14:paraId="011354DB" w14:textId="77777777" w:rsidTr="00A9200B">
        <w:trPr>
          <w:trHeight w:val="439"/>
        </w:trPr>
        <w:tc>
          <w:tcPr>
            <w:tcW w:w="465" w:type="dxa"/>
            <w:tcBorders>
              <w:top w:val="nil"/>
              <w:left w:val="nil"/>
              <w:bottom w:val="nil"/>
              <w:right w:val="nil"/>
            </w:tcBorders>
            <w:shd w:val="clear" w:color="000000" w:fill="FFFFFF"/>
            <w:noWrap/>
            <w:vAlign w:val="bottom"/>
            <w:hideMark/>
          </w:tcPr>
          <w:p w14:paraId="74C45E2E" w14:textId="77777777" w:rsidR="00A9200B" w:rsidRPr="00B86DA9" w:rsidRDefault="00A9200B" w:rsidP="00A9200B">
            <w:pPr>
              <w:jc w:val="right"/>
              <w:rPr>
                <w:rFonts w:ascii="Calibri" w:hAnsi="Calibri" w:cs="Calibri"/>
                <w:b/>
                <w:bCs/>
                <w:color w:val="000000"/>
                <w:sz w:val="16"/>
                <w:szCs w:val="16"/>
              </w:rPr>
            </w:pPr>
            <w:r w:rsidRPr="00B86DA9">
              <w:rPr>
                <w:rFonts w:ascii="Calibri" w:hAnsi="Calibri" w:cs="Calibri"/>
                <w:b/>
                <w:bCs/>
                <w:color w:val="000000"/>
                <w:sz w:val="16"/>
                <w:szCs w:val="16"/>
              </w:rPr>
              <w:t>2019</w:t>
            </w:r>
          </w:p>
        </w:tc>
        <w:tc>
          <w:tcPr>
            <w:tcW w:w="781" w:type="dxa"/>
            <w:tcBorders>
              <w:top w:val="nil"/>
              <w:left w:val="nil"/>
              <w:bottom w:val="nil"/>
              <w:right w:val="nil"/>
            </w:tcBorders>
            <w:shd w:val="clear" w:color="000000" w:fill="C6EFCE"/>
            <w:noWrap/>
            <w:vAlign w:val="bottom"/>
            <w:hideMark/>
          </w:tcPr>
          <w:p w14:paraId="2C5E13E8" w14:textId="2B593322"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84 %</w:t>
            </w:r>
          </w:p>
        </w:tc>
        <w:tc>
          <w:tcPr>
            <w:tcW w:w="781" w:type="dxa"/>
            <w:tcBorders>
              <w:top w:val="nil"/>
              <w:left w:val="nil"/>
              <w:bottom w:val="nil"/>
              <w:right w:val="nil"/>
            </w:tcBorders>
            <w:shd w:val="clear" w:color="000000" w:fill="C6EFCE"/>
            <w:noWrap/>
            <w:vAlign w:val="bottom"/>
            <w:hideMark/>
          </w:tcPr>
          <w:p w14:paraId="302E753D" w14:textId="079A67FD"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81 %</w:t>
            </w:r>
          </w:p>
        </w:tc>
        <w:tc>
          <w:tcPr>
            <w:tcW w:w="782" w:type="dxa"/>
            <w:tcBorders>
              <w:top w:val="nil"/>
              <w:left w:val="nil"/>
              <w:bottom w:val="nil"/>
              <w:right w:val="nil"/>
            </w:tcBorders>
            <w:shd w:val="clear" w:color="000000" w:fill="C6EFCE"/>
            <w:noWrap/>
            <w:vAlign w:val="bottom"/>
            <w:hideMark/>
          </w:tcPr>
          <w:p w14:paraId="0154635B" w14:textId="51C75078"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57 %</w:t>
            </w:r>
          </w:p>
        </w:tc>
        <w:tc>
          <w:tcPr>
            <w:tcW w:w="781" w:type="dxa"/>
            <w:tcBorders>
              <w:top w:val="nil"/>
              <w:left w:val="nil"/>
              <w:bottom w:val="nil"/>
              <w:right w:val="nil"/>
            </w:tcBorders>
            <w:shd w:val="clear" w:color="000000" w:fill="C6EFCE"/>
            <w:noWrap/>
            <w:vAlign w:val="bottom"/>
            <w:hideMark/>
          </w:tcPr>
          <w:p w14:paraId="1D744465" w14:textId="150F3E67"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84 %</w:t>
            </w:r>
          </w:p>
        </w:tc>
        <w:tc>
          <w:tcPr>
            <w:tcW w:w="782" w:type="dxa"/>
            <w:tcBorders>
              <w:top w:val="nil"/>
              <w:left w:val="nil"/>
              <w:bottom w:val="nil"/>
              <w:right w:val="nil"/>
            </w:tcBorders>
            <w:shd w:val="clear" w:color="000000" w:fill="C6EFCE"/>
            <w:noWrap/>
            <w:vAlign w:val="bottom"/>
            <w:hideMark/>
          </w:tcPr>
          <w:p w14:paraId="1070A239" w14:textId="301F691C"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57 %</w:t>
            </w:r>
          </w:p>
        </w:tc>
        <w:tc>
          <w:tcPr>
            <w:tcW w:w="781" w:type="dxa"/>
            <w:tcBorders>
              <w:top w:val="nil"/>
              <w:left w:val="nil"/>
              <w:bottom w:val="nil"/>
              <w:right w:val="nil"/>
            </w:tcBorders>
            <w:shd w:val="clear" w:color="000000" w:fill="C6EFCE"/>
            <w:noWrap/>
            <w:vAlign w:val="bottom"/>
            <w:hideMark/>
          </w:tcPr>
          <w:p w14:paraId="4C0C2748" w14:textId="47ED34FF"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92 %</w:t>
            </w:r>
          </w:p>
        </w:tc>
        <w:tc>
          <w:tcPr>
            <w:tcW w:w="782" w:type="dxa"/>
            <w:tcBorders>
              <w:top w:val="nil"/>
              <w:left w:val="nil"/>
              <w:bottom w:val="nil"/>
              <w:right w:val="nil"/>
            </w:tcBorders>
            <w:shd w:val="clear" w:color="000000" w:fill="C6EFCE"/>
            <w:noWrap/>
            <w:vAlign w:val="bottom"/>
            <w:hideMark/>
          </w:tcPr>
          <w:p w14:paraId="094BCAB1" w14:textId="73CDB396"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57 %</w:t>
            </w:r>
          </w:p>
        </w:tc>
        <w:tc>
          <w:tcPr>
            <w:tcW w:w="781" w:type="dxa"/>
            <w:tcBorders>
              <w:top w:val="nil"/>
              <w:left w:val="nil"/>
              <w:bottom w:val="nil"/>
              <w:right w:val="nil"/>
            </w:tcBorders>
            <w:shd w:val="clear" w:color="000000" w:fill="C6EFCE"/>
            <w:noWrap/>
            <w:vAlign w:val="bottom"/>
            <w:hideMark/>
          </w:tcPr>
          <w:p w14:paraId="3BAB95B5" w14:textId="1167E012"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74 %</w:t>
            </w:r>
          </w:p>
        </w:tc>
        <w:tc>
          <w:tcPr>
            <w:tcW w:w="782" w:type="dxa"/>
            <w:tcBorders>
              <w:top w:val="nil"/>
              <w:left w:val="nil"/>
              <w:bottom w:val="nil"/>
              <w:right w:val="nil"/>
            </w:tcBorders>
            <w:shd w:val="clear" w:color="000000" w:fill="FFC7CE"/>
            <w:noWrap/>
            <w:vAlign w:val="bottom"/>
            <w:hideMark/>
          </w:tcPr>
          <w:p w14:paraId="409B1D71" w14:textId="33EEF6AB" w:rsidR="00A9200B" w:rsidRPr="00A9200B" w:rsidRDefault="00A9200B" w:rsidP="00A9200B">
            <w:pPr>
              <w:jc w:val="right"/>
              <w:rPr>
                <w:rFonts w:ascii="Calibri" w:hAnsi="Calibri" w:cs="Calibri"/>
                <w:color w:val="9C0006"/>
                <w:sz w:val="18"/>
                <w:szCs w:val="18"/>
              </w:rPr>
            </w:pPr>
            <w:r w:rsidRPr="00A9200B">
              <w:rPr>
                <w:rFonts w:ascii="Calibri" w:hAnsi="Calibri" w:cs="Calibri"/>
                <w:color w:val="9C0006"/>
                <w:sz w:val="18"/>
                <w:szCs w:val="18"/>
              </w:rPr>
              <w:t>19 %</w:t>
            </w:r>
          </w:p>
        </w:tc>
        <w:tc>
          <w:tcPr>
            <w:tcW w:w="781" w:type="dxa"/>
            <w:tcBorders>
              <w:top w:val="nil"/>
              <w:left w:val="nil"/>
              <w:bottom w:val="nil"/>
              <w:right w:val="nil"/>
            </w:tcBorders>
            <w:shd w:val="clear" w:color="000000" w:fill="C6EFCE"/>
            <w:noWrap/>
            <w:vAlign w:val="bottom"/>
            <w:hideMark/>
          </w:tcPr>
          <w:p w14:paraId="19C545FB" w14:textId="6A112D87"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55 %</w:t>
            </w:r>
          </w:p>
        </w:tc>
        <w:tc>
          <w:tcPr>
            <w:tcW w:w="782" w:type="dxa"/>
            <w:tcBorders>
              <w:top w:val="nil"/>
              <w:left w:val="nil"/>
              <w:bottom w:val="nil"/>
              <w:right w:val="nil"/>
            </w:tcBorders>
            <w:shd w:val="clear" w:color="000000" w:fill="FFC7CE"/>
            <w:noWrap/>
            <w:vAlign w:val="bottom"/>
            <w:hideMark/>
          </w:tcPr>
          <w:p w14:paraId="401A5E10" w14:textId="6CFF0DCC" w:rsidR="00A9200B" w:rsidRPr="00A9200B" w:rsidRDefault="00A9200B" w:rsidP="00A9200B">
            <w:pPr>
              <w:jc w:val="right"/>
              <w:rPr>
                <w:rFonts w:ascii="Calibri" w:hAnsi="Calibri" w:cs="Calibri"/>
                <w:color w:val="9C0006"/>
                <w:sz w:val="18"/>
                <w:szCs w:val="18"/>
              </w:rPr>
            </w:pPr>
            <w:r w:rsidRPr="00A9200B">
              <w:rPr>
                <w:rFonts w:ascii="Calibri" w:hAnsi="Calibri" w:cs="Calibri"/>
                <w:color w:val="9C0006"/>
                <w:sz w:val="18"/>
                <w:szCs w:val="18"/>
              </w:rPr>
              <w:t>45 %</w:t>
            </w:r>
          </w:p>
        </w:tc>
        <w:tc>
          <w:tcPr>
            <w:tcW w:w="781" w:type="dxa"/>
            <w:tcBorders>
              <w:top w:val="nil"/>
              <w:left w:val="nil"/>
              <w:bottom w:val="nil"/>
              <w:right w:val="nil"/>
            </w:tcBorders>
            <w:shd w:val="clear" w:color="000000" w:fill="C6EFCE"/>
            <w:noWrap/>
            <w:vAlign w:val="bottom"/>
            <w:hideMark/>
          </w:tcPr>
          <w:p w14:paraId="4E976846" w14:textId="0578CD8E"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64 %</w:t>
            </w:r>
          </w:p>
        </w:tc>
        <w:tc>
          <w:tcPr>
            <w:tcW w:w="782" w:type="dxa"/>
            <w:tcBorders>
              <w:top w:val="nil"/>
              <w:left w:val="nil"/>
              <w:bottom w:val="nil"/>
              <w:right w:val="nil"/>
            </w:tcBorders>
            <w:shd w:val="clear" w:color="000000" w:fill="C6EFCE"/>
            <w:noWrap/>
            <w:vAlign w:val="bottom"/>
            <w:hideMark/>
          </w:tcPr>
          <w:p w14:paraId="218824D1" w14:textId="6F993E75"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67 %</w:t>
            </w:r>
          </w:p>
        </w:tc>
        <w:tc>
          <w:tcPr>
            <w:tcW w:w="781" w:type="dxa"/>
            <w:tcBorders>
              <w:top w:val="nil"/>
              <w:left w:val="nil"/>
              <w:bottom w:val="nil"/>
              <w:right w:val="nil"/>
            </w:tcBorders>
            <w:shd w:val="clear" w:color="000000" w:fill="C6EFCE"/>
            <w:noWrap/>
            <w:vAlign w:val="bottom"/>
            <w:hideMark/>
          </w:tcPr>
          <w:p w14:paraId="7EF9222A" w14:textId="7E6ACB65"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75 %</w:t>
            </w:r>
          </w:p>
        </w:tc>
        <w:tc>
          <w:tcPr>
            <w:tcW w:w="782" w:type="dxa"/>
            <w:tcBorders>
              <w:top w:val="nil"/>
              <w:left w:val="nil"/>
              <w:bottom w:val="nil"/>
              <w:right w:val="nil"/>
            </w:tcBorders>
            <w:shd w:val="clear" w:color="000000" w:fill="FFC7CE"/>
            <w:noWrap/>
            <w:vAlign w:val="bottom"/>
            <w:hideMark/>
          </w:tcPr>
          <w:p w14:paraId="36A0A6F6" w14:textId="30C9F8E7" w:rsidR="00A9200B" w:rsidRPr="00A9200B" w:rsidRDefault="00A9200B" w:rsidP="00A9200B">
            <w:pPr>
              <w:jc w:val="right"/>
              <w:rPr>
                <w:rFonts w:ascii="Calibri" w:hAnsi="Calibri" w:cs="Calibri"/>
                <w:color w:val="9C0006"/>
                <w:sz w:val="18"/>
                <w:szCs w:val="18"/>
              </w:rPr>
            </w:pPr>
            <w:r w:rsidRPr="00A9200B">
              <w:rPr>
                <w:rFonts w:ascii="Calibri" w:hAnsi="Calibri" w:cs="Calibri"/>
                <w:color w:val="9C0006"/>
                <w:sz w:val="18"/>
                <w:szCs w:val="18"/>
              </w:rPr>
              <w:t>49 %</w:t>
            </w:r>
          </w:p>
        </w:tc>
        <w:tc>
          <w:tcPr>
            <w:tcW w:w="781" w:type="dxa"/>
            <w:tcBorders>
              <w:top w:val="nil"/>
              <w:left w:val="nil"/>
              <w:bottom w:val="nil"/>
              <w:right w:val="nil"/>
            </w:tcBorders>
            <w:shd w:val="clear" w:color="000000" w:fill="C6EFCE"/>
            <w:noWrap/>
            <w:vAlign w:val="bottom"/>
            <w:hideMark/>
          </w:tcPr>
          <w:p w14:paraId="4C31EF07" w14:textId="768A9C01"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58 %</w:t>
            </w:r>
          </w:p>
        </w:tc>
        <w:tc>
          <w:tcPr>
            <w:tcW w:w="782" w:type="dxa"/>
            <w:tcBorders>
              <w:top w:val="nil"/>
              <w:left w:val="nil"/>
              <w:bottom w:val="nil"/>
              <w:right w:val="nil"/>
            </w:tcBorders>
            <w:shd w:val="clear" w:color="000000" w:fill="C6EFCE"/>
            <w:noWrap/>
            <w:vAlign w:val="bottom"/>
            <w:hideMark/>
          </w:tcPr>
          <w:p w14:paraId="32ABBA35" w14:textId="2C46509A" w:rsidR="00A9200B" w:rsidRPr="00A9200B" w:rsidRDefault="00A9200B" w:rsidP="00A9200B">
            <w:pPr>
              <w:jc w:val="right"/>
              <w:rPr>
                <w:rFonts w:ascii="Calibri" w:hAnsi="Calibri" w:cs="Calibri"/>
                <w:b/>
                <w:bCs/>
                <w:color w:val="006100"/>
                <w:sz w:val="18"/>
                <w:szCs w:val="18"/>
              </w:rPr>
            </w:pPr>
            <w:r w:rsidRPr="00A9200B">
              <w:rPr>
                <w:rFonts w:ascii="Calibri" w:hAnsi="Calibri" w:cs="Calibri"/>
                <w:b/>
                <w:bCs/>
                <w:color w:val="006100"/>
                <w:sz w:val="18"/>
                <w:szCs w:val="18"/>
              </w:rPr>
              <w:t>75 %</w:t>
            </w:r>
          </w:p>
        </w:tc>
      </w:tr>
      <w:tr w:rsidR="00A9200B" w:rsidRPr="00B86DA9" w14:paraId="64F1C687" w14:textId="77777777" w:rsidTr="00A9200B">
        <w:trPr>
          <w:trHeight w:val="439"/>
        </w:trPr>
        <w:tc>
          <w:tcPr>
            <w:tcW w:w="465" w:type="dxa"/>
            <w:tcBorders>
              <w:top w:val="nil"/>
              <w:left w:val="nil"/>
              <w:bottom w:val="nil"/>
              <w:right w:val="nil"/>
            </w:tcBorders>
            <w:shd w:val="clear" w:color="000000" w:fill="FFFFFF"/>
            <w:noWrap/>
            <w:vAlign w:val="bottom"/>
            <w:hideMark/>
          </w:tcPr>
          <w:p w14:paraId="5DAB019D" w14:textId="77777777" w:rsidR="00A9200B" w:rsidRPr="00B86DA9" w:rsidRDefault="00A9200B" w:rsidP="00A9200B">
            <w:pPr>
              <w:jc w:val="right"/>
              <w:rPr>
                <w:rFonts w:ascii="Calibri" w:hAnsi="Calibri" w:cs="Calibri"/>
                <w:b/>
                <w:bCs/>
                <w:color w:val="000000"/>
                <w:sz w:val="16"/>
                <w:szCs w:val="16"/>
              </w:rPr>
            </w:pPr>
            <w:r w:rsidRPr="00B86DA9">
              <w:rPr>
                <w:rFonts w:ascii="Calibri" w:hAnsi="Calibri" w:cs="Calibri"/>
                <w:b/>
                <w:bCs/>
                <w:color w:val="000000"/>
                <w:sz w:val="16"/>
                <w:szCs w:val="16"/>
              </w:rPr>
              <w:t>2020</w:t>
            </w:r>
          </w:p>
        </w:tc>
        <w:tc>
          <w:tcPr>
            <w:tcW w:w="781" w:type="dxa"/>
            <w:tcBorders>
              <w:top w:val="nil"/>
              <w:left w:val="nil"/>
              <w:bottom w:val="nil"/>
              <w:right w:val="nil"/>
            </w:tcBorders>
            <w:shd w:val="clear" w:color="000000" w:fill="C6EFCE"/>
            <w:noWrap/>
            <w:vAlign w:val="bottom"/>
            <w:hideMark/>
          </w:tcPr>
          <w:p w14:paraId="0469DCC0" w14:textId="277D0746"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84 %</w:t>
            </w:r>
          </w:p>
        </w:tc>
        <w:tc>
          <w:tcPr>
            <w:tcW w:w="781" w:type="dxa"/>
            <w:tcBorders>
              <w:top w:val="nil"/>
              <w:left w:val="nil"/>
              <w:bottom w:val="nil"/>
              <w:right w:val="nil"/>
            </w:tcBorders>
            <w:shd w:val="clear" w:color="000000" w:fill="C6EFCE"/>
            <w:noWrap/>
            <w:vAlign w:val="bottom"/>
            <w:hideMark/>
          </w:tcPr>
          <w:p w14:paraId="6C46623A" w14:textId="6D9B533C"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81 %</w:t>
            </w:r>
          </w:p>
        </w:tc>
        <w:tc>
          <w:tcPr>
            <w:tcW w:w="782" w:type="dxa"/>
            <w:tcBorders>
              <w:top w:val="nil"/>
              <w:left w:val="nil"/>
              <w:bottom w:val="nil"/>
              <w:right w:val="nil"/>
            </w:tcBorders>
            <w:shd w:val="clear" w:color="000000" w:fill="C6EFCE"/>
            <w:noWrap/>
            <w:vAlign w:val="bottom"/>
            <w:hideMark/>
          </w:tcPr>
          <w:p w14:paraId="633338EA" w14:textId="59C929FD"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59 %</w:t>
            </w:r>
          </w:p>
        </w:tc>
        <w:tc>
          <w:tcPr>
            <w:tcW w:w="781" w:type="dxa"/>
            <w:tcBorders>
              <w:top w:val="nil"/>
              <w:left w:val="nil"/>
              <w:bottom w:val="nil"/>
              <w:right w:val="nil"/>
            </w:tcBorders>
            <w:shd w:val="clear" w:color="000000" w:fill="C6EFCE"/>
            <w:noWrap/>
            <w:vAlign w:val="bottom"/>
            <w:hideMark/>
          </w:tcPr>
          <w:p w14:paraId="3F1B4DF0" w14:textId="1EC85F2A"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83 %</w:t>
            </w:r>
          </w:p>
        </w:tc>
        <w:tc>
          <w:tcPr>
            <w:tcW w:w="782" w:type="dxa"/>
            <w:tcBorders>
              <w:top w:val="nil"/>
              <w:left w:val="nil"/>
              <w:bottom w:val="nil"/>
              <w:right w:val="nil"/>
            </w:tcBorders>
            <w:shd w:val="clear" w:color="000000" w:fill="C6EFCE"/>
            <w:noWrap/>
            <w:vAlign w:val="bottom"/>
            <w:hideMark/>
          </w:tcPr>
          <w:p w14:paraId="1589BD5E" w14:textId="41AB27C2"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57 %</w:t>
            </w:r>
          </w:p>
        </w:tc>
        <w:tc>
          <w:tcPr>
            <w:tcW w:w="781" w:type="dxa"/>
            <w:tcBorders>
              <w:top w:val="nil"/>
              <w:left w:val="nil"/>
              <w:bottom w:val="nil"/>
              <w:right w:val="nil"/>
            </w:tcBorders>
            <w:shd w:val="clear" w:color="000000" w:fill="C6EFCE"/>
            <w:noWrap/>
            <w:vAlign w:val="bottom"/>
            <w:hideMark/>
          </w:tcPr>
          <w:p w14:paraId="60327612" w14:textId="335DB492"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83 %</w:t>
            </w:r>
          </w:p>
        </w:tc>
        <w:tc>
          <w:tcPr>
            <w:tcW w:w="782" w:type="dxa"/>
            <w:tcBorders>
              <w:top w:val="nil"/>
              <w:left w:val="nil"/>
              <w:bottom w:val="nil"/>
              <w:right w:val="nil"/>
            </w:tcBorders>
            <w:shd w:val="clear" w:color="000000" w:fill="C6EFCE"/>
            <w:noWrap/>
            <w:vAlign w:val="bottom"/>
            <w:hideMark/>
          </w:tcPr>
          <w:p w14:paraId="0AE86FDA" w14:textId="68BC9F00"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59 %</w:t>
            </w:r>
          </w:p>
        </w:tc>
        <w:tc>
          <w:tcPr>
            <w:tcW w:w="781" w:type="dxa"/>
            <w:tcBorders>
              <w:top w:val="nil"/>
              <w:left w:val="nil"/>
              <w:bottom w:val="nil"/>
              <w:right w:val="nil"/>
            </w:tcBorders>
            <w:shd w:val="clear" w:color="000000" w:fill="C6EFCE"/>
            <w:noWrap/>
            <w:vAlign w:val="bottom"/>
            <w:hideMark/>
          </w:tcPr>
          <w:p w14:paraId="1217B379" w14:textId="78865360"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77 %</w:t>
            </w:r>
          </w:p>
        </w:tc>
        <w:tc>
          <w:tcPr>
            <w:tcW w:w="782" w:type="dxa"/>
            <w:tcBorders>
              <w:top w:val="nil"/>
              <w:left w:val="nil"/>
              <w:bottom w:val="nil"/>
              <w:right w:val="nil"/>
            </w:tcBorders>
            <w:shd w:val="clear" w:color="000000" w:fill="FFC7CE"/>
            <w:noWrap/>
            <w:vAlign w:val="bottom"/>
            <w:hideMark/>
          </w:tcPr>
          <w:p w14:paraId="324CE20E" w14:textId="3B1499D0" w:rsidR="00A9200B" w:rsidRPr="00A9200B" w:rsidRDefault="00A9200B" w:rsidP="00A9200B">
            <w:pPr>
              <w:jc w:val="right"/>
              <w:rPr>
                <w:rFonts w:ascii="Calibri" w:hAnsi="Calibri" w:cs="Calibri"/>
                <w:color w:val="9C0006"/>
                <w:sz w:val="18"/>
                <w:szCs w:val="18"/>
              </w:rPr>
            </w:pPr>
            <w:r w:rsidRPr="00A9200B">
              <w:rPr>
                <w:rFonts w:ascii="Calibri" w:hAnsi="Calibri" w:cs="Calibri"/>
                <w:color w:val="9C0006"/>
                <w:sz w:val="18"/>
                <w:szCs w:val="18"/>
              </w:rPr>
              <w:t>15 %</w:t>
            </w:r>
          </w:p>
        </w:tc>
        <w:tc>
          <w:tcPr>
            <w:tcW w:w="781" w:type="dxa"/>
            <w:tcBorders>
              <w:top w:val="nil"/>
              <w:left w:val="nil"/>
              <w:bottom w:val="nil"/>
              <w:right w:val="nil"/>
            </w:tcBorders>
            <w:shd w:val="clear" w:color="000000" w:fill="FFC7CE"/>
            <w:noWrap/>
            <w:vAlign w:val="bottom"/>
            <w:hideMark/>
          </w:tcPr>
          <w:p w14:paraId="4A88F64C" w14:textId="3E80FB0D" w:rsidR="00A9200B" w:rsidRPr="00A9200B" w:rsidRDefault="00A9200B" w:rsidP="00A9200B">
            <w:pPr>
              <w:jc w:val="right"/>
              <w:rPr>
                <w:rFonts w:ascii="Calibri" w:hAnsi="Calibri" w:cs="Calibri"/>
                <w:color w:val="9C0006"/>
                <w:sz w:val="18"/>
                <w:szCs w:val="18"/>
              </w:rPr>
            </w:pPr>
            <w:r w:rsidRPr="00A9200B">
              <w:rPr>
                <w:rFonts w:ascii="Calibri" w:hAnsi="Calibri" w:cs="Calibri"/>
                <w:color w:val="9C0006"/>
                <w:sz w:val="18"/>
                <w:szCs w:val="18"/>
              </w:rPr>
              <w:t>47 %</w:t>
            </w:r>
          </w:p>
        </w:tc>
        <w:tc>
          <w:tcPr>
            <w:tcW w:w="782" w:type="dxa"/>
            <w:tcBorders>
              <w:top w:val="nil"/>
              <w:left w:val="nil"/>
              <w:bottom w:val="nil"/>
              <w:right w:val="nil"/>
            </w:tcBorders>
            <w:shd w:val="clear" w:color="000000" w:fill="FFC7CE"/>
            <w:noWrap/>
            <w:vAlign w:val="bottom"/>
            <w:hideMark/>
          </w:tcPr>
          <w:p w14:paraId="035D98D4" w14:textId="3469E8F5" w:rsidR="00A9200B" w:rsidRPr="00A9200B" w:rsidRDefault="00A9200B" w:rsidP="00A9200B">
            <w:pPr>
              <w:jc w:val="right"/>
              <w:rPr>
                <w:rFonts w:ascii="Calibri" w:hAnsi="Calibri" w:cs="Calibri"/>
                <w:color w:val="9C0006"/>
                <w:sz w:val="18"/>
                <w:szCs w:val="18"/>
              </w:rPr>
            </w:pPr>
            <w:r w:rsidRPr="00A9200B">
              <w:rPr>
                <w:rFonts w:ascii="Calibri" w:hAnsi="Calibri" w:cs="Calibri"/>
                <w:color w:val="9C0006"/>
                <w:sz w:val="18"/>
                <w:szCs w:val="18"/>
              </w:rPr>
              <w:t>45 %</w:t>
            </w:r>
          </w:p>
        </w:tc>
        <w:tc>
          <w:tcPr>
            <w:tcW w:w="781" w:type="dxa"/>
            <w:tcBorders>
              <w:top w:val="nil"/>
              <w:left w:val="nil"/>
              <w:bottom w:val="nil"/>
              <w:right w:val="nil"/>
            </w:tcBorders>
            <w:shd w:val="clear" w:color="000000" w:fill="C6EFCE"/>
            <w:noWrap/>
            <w:vAlign w:val="bottom"/>
            <w:hideMark/>
          </w:tcPr>
          <w:p w14:paraId="38BCC0FA" w14:textId="46FDA824"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62 %</w:t>
            </w:r>
          </w:p>
        </w:tc>
        <w:tc>
          <w:tcPr>
            <w:tcW w:w="782" w:type="dxa"/>
            <w:tcBorders>
              <w:top w:val="nil"/>
              <w:left w:val="nil"/>
              <w:bottom w:val="nil"/>
              <w:right w:val="nil"/>
            </w:tcBorders>
            <w:shd w:val="clear" w:color="000000" w:fill="C6EFCE"/>
            <w:noWrap/>
            <w:vAlign w:val="bottom"/>
            <w:hideMark/>
          </w:tcPr>
          <w:p w14:paraId="3C4406FE" w14:textId="002437D3"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58 %</w:t>
            </w:r>
          </w:p>
        </w:tc>
        <w:tc>
          <w:tcPr>
            <w:tcW w:w="781" w:type="dxa"/>
            <w:tcBorders>
              <w:top w:val="nil"/>
              <w:left w:val="nil"/>
              <w:bottom w:val="nil"/>
              <w:right w:val="nil"/>
            </w:tcBorders>
            <w:shd w:val="clear" w:color="000000" w:fill="C6EFCE"/>
            <w:noWrap/>
            <w:vAlign w:val="bottom"/>
            <w:hideMark/>
          </w:tcPr>
          <w:p w14:paraId="18CD25C1" w14:textId="6E4554F9"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77 %</w:t>
            </w:r>
          </w:p>
        </w:tc>
        <w:tc>
          <w:tcPr>
            <w:tcW w:w="782" w:type="dxa"/>
            <w:tcBorders>
              <w:top w:val="nil"/>
              <w:left w:val="nil"/>
              <w:bottom w:val="nil"/>
              <w:right w:val="nil"/>
            </w:tcBorders>
            <w:shd w:val="clear" w:color="000000" w:fill="C6EFCE"/>
            <w:noWrap/>
            <w:vAlign w:val="bottom"/>
            <w:hideMark/>
          </w:tcPr>
          <w:p w14:paraId="112E0AAC" w14:textId="61362A5B"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51 %</w:t>
            </w:r>
          </w:p>
        </w:tc>
        <w:tc>
          <w:tcPr>
            <w:tcW w:w="781" w:type="dxa"/>
            <w:tcBorders>
              <w:top w:val="nil"/>
              <w:left w:val="nil"/>
              <w:bottom w:val="nil"/>
              <w:right w:val="nil"/>
            </w:tcBorders>
            <w:shd w:val="clear" w:color="000000" w:fill="C6EFCE"/>
            <w:noWrap/>
            <w:vAlign w:val="bottom"/>
            <w:hideMark/>
          </w:tcPr>
          <w:p w14:paraId="2E5C2CBF" w14:textId="0B03F51B"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60 %</w:t>
            </w:r>
          </w:p>
        </w:tc>
        <w:tc>
          <w:tcPr>
            <w:tcW w:w="782" w:type="dxa"/>
            <w:tcBorders>
              <w:top w:val="nil"/>
              <w:left w:val="nil"/>
              <w:bottom w:val="nil"/>
              <w:right w:val="nil"/>
            </w:tcBorders>
            <w:shd w:val="clear" w:color="000000" w:fill="C6EFCE"/>
            <w:noWrap/>
            <w:vAlign w:val="bottom"/>
            <w:hideMark/>
          </w:tcPr>
          <w:p w14:paraId="212D6112" w14:textId="4B2CEF0D" w:rsidR="00A9200B" w:rsidRPr="00A9200B" w:rsidRDefault="00A9200B" w:rsidP="00A9200B">
            <w:pPr>
              <w:jc w:val="right"/>
              <w:rPr>
                <w:rFonts w:ascii="Calibri" w:hAnsi="Calibri" w:cs="Calibri"/>
                <w:b/>
                <w:bCs/>
                <w:color w:val="006100"/>
                <w:sz w:val="18"/>
                <w:szCs w:val="18"/>
              </w:rPr>
            </w:pPr>
            <w:r w:rsidRPr="00A9200B">
              <w:rPr>
                <w:rFonts w:ascii="Calibri" w:hAnsi="Calibri" w:cs="Calibri"/>
                <w:b/>
                <w:bCs/>
                <w:color w:val="006100"/>
                <w:sz w:val="18"/>
                <w:szCs w:val="18"/>
              </w:rPr>
              <w:t>75 %</w:t>
            </w:r>
          </w:p>
        </w:tc>
      </w:tr>
      <w:tr w:rsidR="00A9200B" w:rsidRPr="00B86DA9" w14:paraId="15769AEE" w14:textId="77777777" w:rsidTr="00A9200B">
        <w:trPr>
          <w:trHeight w:val="439"/>
        </w:trPr>
        <w:tc>
          <w:tcPr>
            <w:tcW w:w="465" w:type="dxa"/>
            <w:tcBorders>
              <w:top w:val="nil"/>
              <w:left w:val="nil"/>
              <w:bottom w:val="nil"/>
              <w:right w:val="nil"/>
            </w:tcBorders>
            <w:shd w:val="clear" w:color="000000" w:fill="FFFFFF"/>
            <w:noWrap/>
            <w:vAlign w:val="bottom"/>
            <w:hideMark/>
          </w:tcPr>
          <w:p w14:paraId="2A5A24D3" w14:textId="77777777" w:rsidR="00A9200B" w:rsidRPr="00B86DA9" w:rsidRDefault="00A9200B" w:rsidP="00A9200B">
            <w:pPr>
              <w:jc w:val="right"/>
              <w:rPr>
                <w:rFonts w:ascii="Calibri" w:hAnsi="Calibri" w:cs="Calibri"/>
                <w:b/>
                <w:bCs/>
                <w:color w:val="000000"/>
                <w:sz w:val="16"/>
                <w:szCs w:val="16"/>
              </w:rPr>
            </w:pPr>
            <w:r w:rsidRPr="00B86DA9">
              <w:rPr>
                <w:rFonts w:ascii="Calibri" w:hAnsi="Calibri" w:cs="Calibri"/>
                <w:b/>
                <w:bCs/>
                <w:color w:val="000000"/>
                <w:sz w:val="16"/>
                <w:szCs w:val="16"/>
              </w:rPr>
              <w:t>2021</w:t>
            </w:r>
          </w:p>
        </w:tc>
        <w:tc>
          <w:tcPr>
            <w:tcW w:w="781" w:type="dxa"/>
            <w:tcBorders>
              <w:top w:val="nil"/>
              <w:left w:val="nil"/>
              <w:bottom w:val="nil"/>
              <w:right w:val="nil"/>
            </w:tcBorders>
            <w:shd w:val="clear" w:color="000000" w:fill="C6EFCE"/>
            <w:noWrap/>
            <w:vAlign w:val="bottom"/>
            <w:hideMark/>
          </w:tcPr>
          <w:p w14:paraId="5F438F30" w14:textId="2609630A"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83 %</w:t>
            </w:r>
          </w:p>
        </w:tc>
        <w:tc>
          <w:tcPr>
            <w:tcW w:w="781" w:type="dxa"/>
            <w:tcBorders>
              <w:top w:val="nil"/>
              <w:left w:val="nil"/>
              <w:bottom w:val="nil"/>
              <w:right w:val="nil"/>
            </w:tcBorders>
            <w:shd w:val="clear" w:color="000000" w:fill="C6EFCE"/>
            <w:noWrap/>
            <w:vAlign w:val="bottom"/>
            <w:hideMark/>
          </w:tcPr>
          <w:p w14:paraId="3DD90ACA" w14:textId="338642BE"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82 %</w:t>
            </w:r>
          </w:p>
        </w:tc>
        <w:tc>
          <w:tcPr>
            <w:tcW w:w="782" w:type="dxa"/>
            <w:tcBorders>
              <w:top w:val="nil"/>
              <w:left w:val="nil"/>
              <w:bottom w:val="nil"/>
              <w:right w:val="nil"/>
            </w:tcBorders>
            <w:shd w:val="clear" w:color="000000" w:fill="C6EFCE"/>
            <w:noWrap/>
            <w:vAlign w:val="bottom"/>
            <w:hideMark/>
          </w:tcPr>
          <w:p w14:paraId="4A7FC5DE" w14:textId="691C7303"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63 %</w:t>
            </w:r>
          </w:p>
        </w:tc>
        <w:tc>
          <w:tcPr>
            <w:tcW w:w="781" w:type="dxa"/>
            <w:tcBorders>
              <w:top w:val="nil"/>
              <w:left w:val="nil"/>
              <w:bottom w:val="nil"/>
              <w:right w:val="nil"/>
            </w:tcBorders>
            <w:shd w:val="clear" w:color="000000" w:fill="C6EFCE"/>
            <w:noWrap/>
            <w:vAlign w:val="bottom"/>
            <w:hideMark/>
          </w:tcPr>
          <w:p w14:paraId="22D6B15D" w14:textId="4002C6AE"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83 %</w:t>
            </w:r>
          </w:p>
        </w:tc>
        <w:tc>
          <w:tcPr>
            <w:tcW w:w="782" w:type="dxa"/>
            <w:tcBorders>
              <w:top w:val="nil"/>
              <w:left w:val="nil"/>
              <w:bottom w:val="nil"/>
              <w:right w:val="nil"/>
            </w:tcBorders>
            <w:shd w:val="clear" w:color="000000" w:fill="C6EFCE"/>
            <w:noWrap/>
            <w:vAlign w:val="bottom"/>
            <w:hideMark/>
          </w:tcPr>
          <w:p w14:paraId="215EFCDA" w14:textId="49C77BDB"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51 %</w:t>
            </w:r>
          </w:p>
        </w:tc>
        <w:tc>
          <w:tcPr>
            <w:tcW w:w="781" w:type="dxa"/>
            <w:tcBorders>
              <w:top w:val="nil"/>
              <w:left w:val="nil"/>
              <w:bottom w:val="nil"/>
              <w:right w:val="nil"/>
            </w:tcBorders>
            <w:shd w:val="clear" w:color="000000" w:fill="C6EFCE"/>
            <w:noWrap/>
            <w:vAlign w:val="bottom"/>
            <w:hideMark/>
          </w:tcPr>
          <w:p w14:paraId="5416F649" w14:textId="3D07AFC2"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76 %</w:t>
            </w:r>
          </w:p>
        </w:tc>
        <w:tc>
          <w:tcPr>
            <w:tcW w:w="782" w:type="dxa"/>
            <w:tcBorders>
              <w:top w:val="nil"/>
              <w:left w:val="nil"/>
              <w:bottom w:val="nil"/>
              <w:right w:val="nil"/>
            </w:tcBorders>
            <w:shd w:val="clear" w:color="000000" w:fill="C6EFCE"/>
            <w:noWrap/>
            <w:vAlign w:val="bottom"/>
            <w:hideMark/>
          </w:tcPr>
          <w:p w14:paraId="0FF3261D" w14:textId="5A29DD03"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70 %</w:t>
            </w:r>
          </w:p>
        </w:tc>
        <w:tc>
          <w:tcPr>
            <w:tcW w:w="781" w:type="dxa"/>
            <w:tcBorders>
              <w:top w:val="nil"/>
              <w:left w:val="nil"/>
              <w:bottom w:val="nil"/>
              <w:right w:val="nil"/>
            </w:tcBorders>
            <w:shd w:val="clear" w:color="000000" w:fill="C6EFCE"/>
            <w:noWrap/>
            <w:vAlign w:val="bottom"/>
            <w:hideMark/>
          </w:tcPr>
          <w:p w14:paraId="7E09E6F8" w14:textId="7EBC1879"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77 %</w:t>
            </w:r>
          </w:p>
        </w:tc>
        <w:tc>
          <w:tcPr>
            <w:tcW w:w="782" w:type="dxa"/>
            <w:tcBorders>
              <w:top w:val="nil"/>
              <w:left w:val="nil"/>
              <w:bottom w:val="nil"/>
              <w:right w:val="nil"/>
            </w:tcBorders>
            <w:shd w:val="clear" w:color="000000" w:fill="FFC7CE"/>
            <w:noWrap/>
            <w:vAlign w:val="bottom"/>
            <w:hideMark/>
          </w:tcPr>
          <w:p w14:paraId="5CEEC063" w14:textId="5C87609F" w:rsidR="00A9200B" w:rsidRPr="00A9200B" w:rsidRDefault="00A9200B" w:rsidP="00A9200B">
            <w:pPr>
              <w:jc w:val="right"/>
              <w:rPr>
                <w:rFonts w:ascii="Calibri" w:hAnsi="Calibri" w:cs="Calibri"/>
                <w:color w:val="9C0006"/>
                <w:sz w:val="18"/>
                <w:szCs w:val="18"/>
              </w:rPr>
            </w:pPr>
            <w:r w:rsidRPr="00A9200B">
              <w:rPr>
                <w:rFonts w:ascii="Calibri" w:hAnsi="Calibri" w:cs="Calibri"/>
                <w:color w:val="9C0006"/>
                <w:sz w:val="18"/>
                <w:szCs w:val="18"/>
              </w:rPr>
              <w:t>12 %</w:t>
            </w:r>
          </w:p>
        </w:tc>
        <w:tc>
          <w:tcPr>
            <w:tcW w:w="781" w:type="dxa"/>
            <w:tcBorders>
              <w:top w:val="nil"/>
              <w:left w:val="nil"/>
              <w:bottom w:val="nil"/>
              <w:right w:val="nil"/>
            </w:tcBorders>
            <w:shd w:val="clear" w:color="000000" w:fill="FFC7CE"/>
            <w:noWrap/>
            <w:vAlign w:val="bottom"/>
            <w:hideMark/>
          </w:tcPr>
          <w:p w14:paraId="4E577F63" w14:textId="243D5CDD" w:rsidR="00A9200B" w:rsidRPr="00A9200B" w:rsidRDefault="00A9200B" w:rsidP="00A9200B">
            <w:pPr>
              <w:jc w:val="right"/>
              <w:rPr>
                <w:rFonts w:ascii="Calibri" w:hAnsi="Calibri" w:cs="Calibri"/>
                <w:color w:val="9C0006"/>
                <w:sz w:val="18"/>
                <w:szCs w:val="18"/>
              </w:rPr>
            </w:pPr>
            <w:r w:rsidRPr="00A9200B">
              <w:rPr>
                <w:rFonts w:ascii="Calibri" w:hAnsi="Calibri" w:cs="Calibri"/>
                <w:color w:val="9C0006"/>
                <w:sz w:val="18"/>
                <w:szCs w:val="18"/>
              </w:rPr>
              <w:t>41 %</w:t>
            </w:r>
          </w:p>
        </w:tc>
        <w:tc>
          <w:tcPr>
            <w:tcW w:w="782" w:type="dxa"/>
            <w:tcBorders>
              <w:top w:val="nil"/>
              <w:left w:val="nil"/>
              <w:bottom w:val="nil"/>
              <w:right w:val="nil"/>
            </w:tcBorders>
            <w:shd w:val="clear" w:color="000000" w:fill="FFC7CE"/>
            <w:noWrap/>
            <w:vAlign w:val="bottom"/>
            <w:hideMark/>
          </w:tcPr>
          <w:p w14:paraId="0DBEE89D" w14:textId="32661488" w:rsidR="00A9200B" w:rsidRPr="00A9200B" w:rsidRDefault="00A9200B" w:rsidP="00A9200B">
            <w:pPr>
              <w:jc w:val="right"/>
              <w:rPr>
                <w:rFonts w:ascii="Calibri" w:hAnsi="Calibri" w:cs="Calibri"/>
                <w:color w:val="9C0006"/>
                <w:sz w:val="18"/>
                <w:szCs w:val="18"/>
              </w:rPr>
            </w:pPr>
            <w:r w:rsidRPr="00A9200B">
              <w:rPr>
                <w:rFonts w:ascii="Calibri" w:hAnsi="Calibri" w:cs="Calibri"/>
                <w:color w:val="9C0006"/>
                <w:sz w:val="18"/>
                <w:szCs w:val="18"/>
              </w:rPr>
              <w:t>42 %</w:t>
            </w:r>
          </w:p>
        </w:tc>
        <w:tc>
          <w:tcPr>
            <w:tcW w:w="781" w:type="dxa"/>
            <w:tcBorders>
              <w:top w:val="nil"/>
              <w:left w:val="nil"/>
              <w:bottom w:val="nil"/>
              <w:right w:val="nil"/>
            </w:tcBorders>
            <w:shd w:val="clear" w:color="000000" w:fill="C6EFCE"/>
            <w:noWrap/>
            <w:vAlign w:val="bottom"/>
            <w:hideMark/>
          </w:tcPr>
          <w:p w14:paraId="6FEE74DF" w14:textId="3DF45B28"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61 %</w:t>
            </w:r>
          </w:p>
        </w:tc>
        <w:tc>
          <w:tcPr>
            <w:tcW w:w="782" w:type="dxa"/>
            <w:tcBorders>
              <w:top w:val="nil"/>
              <w:left w:val="nil"/>
              <w:bottom w:val="nil"/>
              <w:right w:val="nil"/>
            </w:tcBorders>
            <w:shd w:val="clear" w:color="000000" w:fill="C6EFCE"/>
            <w:noWrap/>
            <w:vAlign w:val="bottom"/>
            <w:hideMark/>
          </w:tcPr>
          <w:p w14:paraId="2A0684CD" w14:textId="2DA39DF8"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61 %</w:t>
            </w:r>
          </w:p>
        </w:tc>
        <w:tc>
          <w:tcPr>
            <w:tcW w:w="781" w:type="dxa"/>
            <w:tcBorders>
              <w:top w:val="nil"/>
              <w:left w:val="nil"/>
              <w:bottom w:val="nil"/>
              <w:right w:val="nil"/>
            </w:tcBorders>
            <w:shd w:val="clear" w:color="000000" w:fill="C6EFCE"/>
            <w:noWrap/>
            <w:vAlign w:val="bottom"/>
            <w:hideMark/>
          </w:tcPr>
          <w:p w14:paraId="572174A1" w14:textId="2BF660F4"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78 %</w:t>
            </w:r>
          </w:p>
        </w:tc>
        <w:tc>
          <w:tcPr>
            <w:tcW w:w="782" w:type="dxa"/>
            <w:tcBorders>
              <w:top w:val="nil"/>
              <w:left w:val="nil"/>
              <w:bottom w:val="nil"/>
              <w:right w:val="nil"/>
            </w:tcBorders>
            <w:shd w:val="clear" w:color="000000" w:fill="C6EFCE"/>
            <w:noWrap/>
            <w:vAlign w:val="bottom"/>
            <w:hideMark/>
          </w:tcPr>
          <w:p w14:paraId="39841B42" w14:textId="5B4E2049"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51 %</w:t>
            </w:r>
          </w:p>
        </w:tc>
        <w:tc>
          <w:tcPr>
            <w:tcW w:w="781" w:type="dxa"/>
            <w:tcBorders>
              <w:top w:val="nil"/>
              <w:left w:val="nil"/>
              <w:bottom w:val="nil"/>
              <w:right w:val="nil"/>
            </w:tcBorders>
            <w:shd w:val="clear" w:color="000000" w:fill="C6EFCE"/>
            <w:noWrap/>
            <w:vAlign w:val="bottom"/>
            <w:hideMark/>
          </w:tcPr>
          <w:p w14:paraId="1C16737E" w14:textId="3A3ECB3F"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61 %</w:t>
            </w:r>
          </w:p>
        </w:tc>
        <w:tc>
          <w:tcPr>
            <w:tcW w:w="782" w:type="dxa"/>
            <w:tcBorders>
              <w:top w:val="nil"/>
              <w:left w:val="nil"/>
              <w:bottom w:val="nil"/>
              <w:right w:val="nil"/>
            </w:tcBorders>
            <w:shd w:val="clear" w:color="000000" w:fill="C6EFCE"/>
            <w:noWrap/>
            <w:vAlign w:val="bottom"/>
            <w:hideMark/>
          </w:tcPr>
          <w:p w14:paraId="24596B50" w14:textId="4E5B6B61" w:rsidR="00A9200B" w:rsidRPr="00A9200B" w:rsidRDefault="00A9200B" w:rsidP="00A9200B">
            <w:pPr>
              <w:jc w:val="right"/>
              <w:rPr>
                <w:rFonts w:ascii="Calibri" w:hAnsi="Calibri" w:cs="Calibri"/>
                <w:b/>
                <w:bCs/>
                <w:color w:val="006100"/>
                <w:sz w:val="18"/>
                <w:szCs w:val="18"/>
              </w:rPr>
            </w:pPr>
            <w:r w:rsidRPr="00A9200B">
              <w:rPr>
                <w:rFonts w:ascii="Calibri" w:hAnsi="Calibri" w:cs="Calibri"/>
                <w:b/>
                <w:bCs/>
                <w:color w:val="006100"/>
                <w:sz w:val="18"/>
                <w:szCs w:val="18"/>
              </w:rPr>
              <w:t>75 %</w:t>
            </w:r>
          </w:p>
        </w:tc>
      </w:tr>
      <w:tr w:rsidR="00A9200B" w:rsidRPr="00B86DA9" w14:paraId="67D861D4" w14:textId="77777777" w:rsidTr="00A9200B">
        <w:trPr>
          <w:trHeight w:val="439"/>
        </w:trPr>
        <w:tc>
          <w:tcPr>
            <w:tcW w:w="465" w:type="dxa"/>
            <w:tcBorders>
              <w:top w:val="nil"/>
              <w:left w:val="nil"/>
              <w:bottom w:val="nil"/>
              <w:right w:val="nil"/>
            </w:tcBorders>
            <w:shd w:val="clear" w:color="000000" w:fill="FFFFFF"/>
            <w:noWrap/>
            <w:vAlign w:val="bottom"/>
          </w:tcPr>
          <w:p w14:paraId="0CF376D3" w14:textId="3504C31E" w:rsidR="00A9200B" w:rsidRPr="00B86DA9" w:rsidRDefault="00A9200B" w:rsidP="00A9200B">
            <w:pPr>
              <w:jc w:val="right"/>
              <w:rPr>
                <w:rFonts w:ascii="Calibri" w:hAnsi="Calibri" w:cs="Calibri"/>
                <w:b/>
                <w:bCs/>
                <w:color w:val="000000"/>
                <w:sz w:val="16"/>
                <w:szCs w:val="16"/>
              </w:rPr>
            </w:pPr>
            <w:r>
              <w:rPr>
                <w:rFonts w:ascii="Calibri" w:hAnsi="Calibri" w:cs="Calibri"/>
                <w:b/>
                <w:bCs/>
                <w:color w:val="000000"/>
                <w:sz w:val="16"/>
                <w:szCs w:val="16"/>
              </w:rPr>
              <w:t>2022</w:t>
            </w:r>
          </w:p>
        </w:tc>
        <w:tc>
          <w:tcPr>
            <w:tcW w:w="781" w:type="dxa"/>
            <w:tcBorders>
              <w:top w:val="nil"/>
              <w:left w:val="nil"/>
              <w:bottom w:val="nil"/>
              <w:right w:val="nil"/>
            </w:tcBorders>
            <w:shd w:val="clear" w:color="000000" w:fill="C6EFCE"/>
            <w:noWrap/>
            <w:vAlign w:val="bottom"/>
          </w:tcPr>
          <w:p w14:paraId="732243C2" w14:textId="243340BB"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85 %</w:t>
            </w:r>
          </w:p>
        </w:tc>
        <w:tc>
          <w:tcPr>
            <w:tcW w:w="781" w:type="dxa"/>
            <w:tcBorders>
              <w:top w:val="nil"/>
              <w:left w:val="nil"/>
              <w:bottom w:val="nil"/>
              <w:right w:val="nil"/>
            </w:tcBorders>
            <w:shd w:val="clear" w:color="000000" w:fill="C6EFCE"/>
            <w:noWrap/>
            <w:vAlign w:val="bottom"/>
          </w:tcPr>
          <w:p w14:paraId="048E51C8" w14:textId="5D470D44"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84 %</w:t>
            </w:r>
          </w:p>
        </w:tc>
        <w:tc>
          <w:tcPr>
            <w:tcW w:w="782" w:type="dxa"/>
            <w:tcBorders>
              <w:top w:val="nil"/>
              <w:left w:val="nil"/>
              <w:bottom w:val="nil"/>
              <w:right w:val="nil"/>
            </w:tcBorders>
            <w:shd w:val="clear" w:color="000000" w:fill="C6EFCE"/>
            <w:noWrap/>
            <w:vAlign w:val="bottom"/>
          </w:tcPr>
          <w:p w14:paraId="62E41323" w14:textId="09D4C08C"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65 %</w:t>
            </w:r>
          </w:p>
        </w:tc>
        <w:tc>
          <w:tcPr>
            <w:tcW w:w="781" w:type="dxa"/>
            <w:tcBorders>
              <w:top w:val="nil"/>
              <w:left w:val="nil"/>
              <w:bottom w:val="nil"/>
              <w:right w:val="nil"/>
            </w:tcBorders>
            <w:shd w:val="clear" w:color="000000" w:fill="C6EFCE"/>
            <w:noWrap/>
            <w:vAlign w:val="bottom"/>
          </w:tcPr>
          <w:p w14:paraId="62BF095E" w14:textId="41EB8257"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82 %</w:t>
            </w:r>
          </w:p>
        </w:tc>
        <w:tc>
          <w:tcPr>
            <w:tcW w:w="782" w:type="dxa"/>
            <w:tcBorders>
              <w:top w:val="nil"/>
              <w:left w:val="nil"/>
              <w:bottom w:val="nil"/>
              <w:right w:val="nil"/>
            </w:tcBorders>
            <w:shd w:val="clear" w:color="000000" w:fill="FFC7CE"/>
            <w:noWrap/>
            <w:vAlign w:val="bottom"/>
          </w:tcPr>
          <w:p w14:paraId="55D74B51" w14:textId="02F42863" w:rsidR="00A9200B" w:rsidRPr="00A9200B" w:rsidRDefault="00A9200B" w:rsidP="00A9200B">
            <w:pPr>
              <w:jc w:val="right"/>
              <w:rPr>
                <w:rFonts w:ascii="Calibri" w:hAnsi="Calibri" w:cs="Calibri"/>
                <w:color w:val="006100"/>
                <w:sz w:val="18"/>
                <w:szCs w:val="18"/>
              </w:rPr>
            </w:pPr>
            <w:r w:rsidRPr="00A9200B">
              <w:rPr>
                <w:rFonts w:ascii="Calibri" w:hAnsi="Calibri" w:cs="Calibri"/>
                <w:color w:val="9C0006"/>
                <w:sz w:val="18"/>
                <w:szCs w:val="18"/>
              </w:rPr>
              <w:t>49 %</w:t>
            </w:r>
          </w:p>
        </w:tc>
        <w:tc>
          <w:tcPr>
            <w:tcW w:w="781" w:type="dxa"/>
            <w:tcBorders>
              <w:top w:val="nil"/>
              <w:left w:val="nil"/>
              <w:bottom w:val="nil"/>
              <w:right w:val="nil"/>
            </w:tcBorders>
            <w:shd w:val="clear" w:color="000000" w:fill="C6EFCE"/>
            <w:noWrap/>
            <w:vAlign w:val="bottom"/>
          </w:tcPr>
          <w:p w14:paraId="3F71390B" w14:textId="6BBE1D34"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77 %</w:t>
            </w:r>
          </w:p>
        </w:tc>
        <w:tc>
          <w:tcPr>
            <w:tcW w:w="782" w:type="dxa"/>
            <w:tcBorders>
              <w:top w:val="nil"/>
              <w:left w:val="nil"/>
              <w:bottom w:val="nil"/>
              <w:right w:val="nil"/>
            </w:tcBorders>
            <w:shd w:val="clear" w:color="000000" w:fill="C6EFCE"/>
            <w:noWrap/>
            <w:vAlign w:val="bottom"/>
          </w:tcPr>
          <w:p w14:paraId="75A633EF" w14:textId="7773396B"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66 %</w:t>
            </w:r>
          </w:p>
        </w:tc>
        <w:tc>
          <w:tcPr>
            <w:tcW w:w="781" w:type="dxa"/>
            <w:tcBorders>
              <w:top w:val="nil"/>
              <w:left w:val="nil"/>
              <w:bottom w:val="nil"/>
              <w:right w:val="nil"/>
            </w:tcBorders>
            <w:shd w:val="clear" w:color="000000" w:fill="C6EFCE"/>
            <w:noWrap/>
            <w:vAlign w:val="bottom"/>
          </w:tcPr>
          <w:p w14:paraId="042348F8" w14:textId="1A6EB370"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76 %</w:t>
            </w:r>
          </w:p>
        </w:tc>
        <w:tc>
          <w:tcPr>
            <w:tcW w:w="782" w:type="dxa"/>
            <w:tcBorders>
              <w:top w:val="nil"/>
              <w:left w:val="nil"/>
              <w:bottom w:val="nil"/>
              <w:right w:val="nil"/>
            </w:tcBorders>
            <w:shd w:val="clear" w:color="000000" w:fill="FFC7CE"/>
            <w:noWrap/>
            <w:vAlign w:val="bottom"/>
          </w:tcPr>
          <w:p w14:paraId="58B3105C" w14:textId="23E68304" w:rsidR="00A9200B" w:rsidRPr="00A9200B" w:rsidRDefault="00A9200B" w:rsidP="00A9200B">
            <w:pPr>
              <w:jc w:val="right"/>
              <w:rPr>
                <w:rFonts w:ascii="Calibri" w:hAnsi="Calibri" w:cs="Calibri"/>
                <w:color w:val="9C0006"/>
                <w:sz w:val="18"/>
                <w:szCs w:val="18"/>
              </w:rPr>
            </w:pPr>
            <w:r w:rsidRPr="00A9200B">
              <w:rPr>
                <w:rFonts w:ascii="Calibri" w:hAnsi="Calibri" w:cs="Calibri"/>
                <w:color w:val="9C0006"/>
                <w:sz w:val="18"/>
                <w:szCs w:val="18"/>
              </w:rPr>
              <w:t>20 %</w:t>
            </w:r>
          </w:p>
        </w:tc>
        <w:tc>
          <w:tcPr>
            <w:tcW w:w="781" w:type="dxa"/>
            <w:tcBorders>
              <w:top w:val="nil"/>
              <w:left w:val="nil"/>
              <w:bottom w:val="nil"/>
              <w:right w:val="nil"/>
            </w:tcBorders>
            <w:shd w:val="clear" w:color="000000" w:fill="FFC7CE"/>
            <w:noWrap/>
            <w:vAlign w:val="bottom"/>
          </w:tcPr>
          <w:p w14:paraId="68877116" w14:textId="5D3CF430" w:rsidR="00A9200B" w:rsidRPr="00A9200B" w:rsidRDefault="00A9200B" w:rsidP="00A9200B">
            <w:pPr>
              <w:jc w:val="right"/>
              <w:rPr>
                <w:rFonts w:ascii="Calibri" w:hAnsi="Calibri" w:cs="Calibri"/>
                <w:color w:val="9C0006"/>
                <w:sz w:val="18"/>
                <w:szCs w:val="18"/>
              </w:rPr>
            </w:pPr>
            <w:r w:rsidRPr="00A9200B">
              <w:rPr>
                <w:rFonts w:ascii="Calibri" w:hAnsi="Calibri" w:cs="Calibri"/>
                <w:color w:val="9C0006"/>
                <w:sz w:val="18"/>
                <w:szCs w:val="18"/>
              </w:rPr>
              <w:t>42 %</w:t>
            </w:r>
          </w:p>
        </w:tc>
        <w:tc>
          <w:tcPr>
            <w:tcW w:w="782" w:type="dxa"/>
            <w:tcBorders>
              <w:top w:val="nil"/>
              <w:left w:val="nil"/>
              <w:bottom w:val="nil"/>
              <w:right w:val="nil"/>
            </w:tcBorders>
            <w:shd w:val="clear" w:color="000000" w:fill="FFC7CE"/>
            <w:noWrap/>
            <w:vAlign w:val="bottom"/>
          </w:tcPr>
          <w:p w14:paraId="2F0A46C3" w14:textId="0670B713" w:rsidR="00A9200B" w:rsidRPr="00A9200B" w:rsidRDefault="00A9200B" w:rsidP="00A9200B">
            <w:pPr>
              <w:jc w:val="right"/>
              <w:rPr>
                <w:rFonts w:ascii="Calibri" w:hAnsi="Calibri" w:cs="Calibri"/>
                <w:color w:val="9C0006"/>
                <w:sz w:val="18"/>
                <w:szCs w:val="18"/>
              </w:rPr>
            </w:pPr>
            <w:r w:rsidRPr="00A9200B">
              <w:rPr>
                <w:rFonts w:ascii="Calibri" w:hAnsi="Calibri" w:cs="Calibri"/>
                <w:color w:val="9C0006"/>
                <w:sz w:val="18"/>
                <w:szCs w:val="18"/>
              </w:rPr>
              <w:t>36 %</w:t>
            </w:r>
          </w:p>
        </w:tc>
        <w:tc>
          <w:tcPr>
            <w:tcW w:w="781" w:type="dxa"/>
            <w:tcBorders>
              <w:top w:val="nil"/>
              <w:left w:val="nil"/>
              <w:bottom w:val="nil"/>
              <w:right w:val="nil"/>
            </w:tcBorders>
            <w:shd w:val="clear" w:color="000000" w:fill="C6EFCE"/>
            <w:noWrap/>
            <w:vAlign w:val="bottom"/>
          </w:tcPr>
          <w:p w14:paraId="384984A7" w14:textId="2D2BFB04"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62 %</w:t>
            </w:r>
          </w:p>
        </w:tc>
        <w:tc>
          <w:tcPr>
            <w:tcW w:w="782" w:type="dxa"/>
            <w:tcBorders>
              <w:top w:val="nil"/>
              <w:left w:val="nil"/>
              <w:bottom w:val="nil"/>
              <w:right w:val="nil"/>
            </w:tcBorders>
            <w:shd w:val="clear" w:color="000000" w:fill="C6EFCE"/>
            <w:noWrap/>
            <w:vAlign w:val="bottom"/>
          </w:tcPr>
          <w:p w14:paraId="7772BE07" w14:textId="0B499B41"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65 %</w:t>
            </w:r>
          </w:p>
        </w:tc>
        <w:tc>
          <w:tcPr>
            <w:tcW w:w="781" w:type="dxa"/>
            <w:tcBorders>
              <w:top w:val="nil"/>
              <w:left w:val="nil"/>
              <w:bottom w:val="nil"/>
              <w:right w:val="nil"/>
            </w:tcBorders>
            <w:shd w:val="clear" w:color="000000" w:fill="C6EFCE"/>
            <w:noWrap/>
            <w:vAlign w:val="bottom"/>
          </w:tcPr>
          <w:p w14:paraId="07F0F7B3" w14:textId="21D5B514"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83 %</w:t>
            </w:r>
          </w:p>
        </w:tc>
        <w:tc>
          <w:tcPr>
            <w:tcW w:w="782" w:type="dxa"/>
            <w:tcBorders>
              <w:top w:val="nil"/>
              <w:left w:val="nil"/>
              <w:bottom w:val="nil"/>
              <w:right w:val="nil"/>
            </w:tcBorders>
            <w:shd w:val="clear" w:color="000000" w:fill="FFC7CE"/>
            <w:noWrap/>
            <w:vAlign w:val="bottom"/>
          </w:tcPr>
          <w:p w14:paraId="425B49E5" w14:textId="1E90770A" w:rsidR="00A9200B" w:rsidRPr="00A9200B" w:rsidRDefault="00A9200B" w:rsidP="00A9200B">
            <w:pPr>
              <w:jc w:val="right"/>
              <w:rPr>
                <w:rFonts w:ascii="Calibri" w:hAnsi="Calibri" w:cs="Calibri"/>
                <w:color w:val="006100"/>
                <w:sz w:val="18"/>
                <w:szCs w:val="18"/>
              </w:rPr>
            </w:pPr>
            <w:r w:rsidRPr="00A9200B">
              <w:rPr>
                <w:rFonts w:ascii="Calibri" w:hAnsi="Calibri" w:cs="Calibri"/>
                <w:color w:val="9C0006"/>
                <w:sz w:val="18"/>
                <w:szCs w:val="18"/>
              </w:rPr>
              <w:t>45 %</w:t>
            </w:r>
          </w:p>
        </w:tc>
        <w:tc>
          <w:tcPr>
            <w:tcW w:w="781" w:type="dxa"/>
            <w:tcBorders>
              <w:top w:val="nil"/>
              <w:left w:val="nil"/>
              <w:bottom w:val="nil"/>
              <w:right w:val="nil"/>
            </w:tcBorders>
            <w:shd w:val="clear" w:color="000000" w:fill="C6EFCE"/>
            <w:noWrap/>
            <w:vAlign w:val="bottom"/>
          </w:tcPr>
          <w:p w14:paraId="432EB50D" w14:textId="27338C02"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62 %</w:t>
            </w:r>
          </w:p>
        </w:tc>
        <w:tc>
          <w:tcPr>
            <w:tcW w:w="782" w:type="dxa"/>
            <w:tcBorders>
              <w:top w:val="nil"/>
              <w:left w:val="nil"/>
              <w:bottom w:val="nil"/>
              <w:right w:val="nil"/>
            </w:tcBorders>
            <w:shd w:val="clear" w:color="000000" w:fill="C6EFCE"/>
            <w:noWrap/>
            <w:vAlign w:val="bottom"/>
          </w:tcPr>
          <w:p w14:paraId="71E48BE9" w14:textId="7F8EE63D" w:rsidR="00A9200B" w:rsidRPr="00A9200B" w:rsidRDefault="00A9200B" w:rsidP="00A9200B">
            <w:pPr>
              <w:jc w:val="right"/>
              <w:rPr>
                <w:rFonts w:ascii="Calibri" w:hAnsi="Calibri" w:cs="Calibri"/>
                <w:b/>
                <w:bCs/>
                <w:color w:val="006100"/>
                <w:sz w:val="18"/>
                <w:szCs w:val="18"/>
              </w:rPr>
            </w:pPr>
            <w:r w:rsidRPr="00A9200B">
              <w:rPr>
                <w:rFonts w:ascii="Calibri" w:hAnsi="Calibri" w:cs="Calibri"/>
                <w:b/>
                <w:bCs/>
                <w:color w:val="006100"/>
                <w:sz w:val="18"/>
                <w:szCs w:val="18"/>
              </w:rPr>
              <w:t>74 %</w:t>
            </w:r>
          </w:p>
        </w:tc>
      </w:tr>
      <w:tr w:rsidR="00A9200B" w:rsidRPr="00B86DA9" w14:paraId="522907CD" w14:textId="77777777" w:rsidTr="00A9200B">
        <w:trPr>
          <w:trHeight w:val="439"/>
        </w:trPr>
        <w:tc>
          <w:tcPr>
            <w:tcW w:w="465" w:type="dxa"/>
            <w:tcBorders>
              <w:top w:val="nil"/>
              <w:left w:val="nil"/>
              <w:bottom w:val="nil"/>
              <w:right w:val="nil"/>
            </w:tcBorders>
            <w:shd w:val="clear" w:color="000000" w:fill="FFFFFF"/>
            <w:noWrap/>
            <w:vAlign w:val="bottom"/>
          </w:tcPr>
          <w:p w14:paraId="308C2CE3" w14:textId="527687BF" w:rsidR="00A9200B" w:rsidRPr="00B86DA9" w:rsidRDefault="00A9200B" w:rsidP="00A9200B">
            <w:pPr>
              <w:jc w:val="right"/>
              <w:rPr>
                <w:rFonts w:ascii="Calibri" w:hAnsi="Calibri" w:cs="Calibri"/>
                <w:b/>
                <w:bCs/>
                <w:color w:val="000000"/>
                <w:sz w:val="16"/>
                <w:szCs w:val="16"/>
              </w:rPr>
            </w:pPr>
            <w:r>
              <w:rPr>
                <w:rFonts w:ascii="Calibri" w:hAnsi="Calibri" w:cs="Calibri"/>
                <w:b/>
                <w:bCs/>
                <w:color w:val="000000"/>
                <w:sz w:val="16"/>
                <w:szCs w:val="16"/>
              </w:rPr>
              <w:t>2023</w:t>
            </w:r>
          </w:p>
        </w:tc>
        <w:tc>
          <w:tcPr>
            <w:tcW w:w="781" w:type="dxa"/>
            <w:tcBorders>
              <w:top w:val="nil"/>
              <w:left w:val="nil"/>
              <w:bottom w:val="nil"/>
              <w:right w:val="nil"/>
            </w:tcBorders>
            <w:shd w:val="clear" w:color="000000" w:fill="C6EFCE"/>
            <w:noWrap/>
            <w:vAlign w:val="bottom"/>
          </w:tcPr>
          <w:p w14:paraId="0CA2CBEC" w14:textId="2823B73C"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83 %</w:t>
            </w:r>
          </w:p>
        </w:tc>
        <w:tc>
          <w:tcPr>
            <w:tcW w:w="781" w:type="dxa"/>
            <w:tcBorders>
              <w:top w:val="nil"/>
              <w:left w:val="nil"/>
              <w:bottom w:val="nil"/>
              <w:right w:val="nil"/>
            </w:tcBorders>
            <w:shd w:val="clear" w:color="000000" w:fill="C6EFCE"/>
            <w:noWrap/>
            <w:vAlign w:val="bottom"/>
          </w:tcPr>
          <w:p w14:paraId="5C75CCD6" w14:textId="7D39430C"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84 %</w:t>
            </w:r>
          </w:p>
        </w:tc>
        <w:tc>
          <w:tcPr>
            <w:tcW w:w="782" w:type="dxa"/>
            <w:tcBorders>
              <w:top w:val="nil"/>
              <w:left w:val="nil"/>
              <w:bottom w:val="nil"/>
              <w:right w:val="nil"/>
            </w:tcBorders>
            <w:shd w:val="clear" w:color="000000" w:fill="C6EFCE"/>
            <w:noWrap/>
            <w:vAlign w:val="bottom"/>
          </w:tcPr>
          <w:p w14:paraId="2E401F1C" w14:textId="18CE23CA"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68 %</w:t>
            </w:r>
          </w:p>
        </w:tc>
        <w:tc>
          <w:tcPr>
            <w:tcW w:w="781" w:type="dxa"/>
            <w:tcBorders>
              <w:top w:val="nil"/>
              <w:left w:val="nil"/>
              <w:bottom w:val="nil"/>
              <w:right w:val="nil"/>
            </w:tcBorders>
            <w:shd w:val="clear" w:color="000000" w:fill="C6EFCE"/>
            <w:noWrap/>
            <w:vAlign w:val="bottom"/>
          </w:tcPr>
          <w:p w14:paraId="6CF64831" w14:textId="373FBCBF"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81 %</w:t>
            </w:r>
          </w:p>
        </w:tc>
        <w:tc>
          <w:tcPr>
            <w:tcW w:w="782" w:type="dxa"/>
            <w:tcBorders>
              <w:top w:val="nil"/>
              <w:left w:val="nil"/>
              <w:bottom w:val="nil"/>
              <w:right w:val="nil"/>
            </w:tcBorders>
            <w:shd w:val="clear" w:color="000000" w:fill="FFC7CE"/>
            <w:noWrap/>
            <w:vAlign w:val="bottom"/>
          </w:tcPr>
          <w:p w14:paraId="3F3C6388" w14:textId="2338C65A" w:rsidR="00A9200B" w:rsidRPr="00A9200B" w:rsidRDefault="00A9200B" w:rsidP="00A9200B">
            <w:pPr>
              <w:jc w:val="right"/>
              <w:rPr>
                <w:rFonts w:ascii="Calibri" w:hAnsi="Calibri" w:cs="Calibri"/>
                <w:color w:val="006100"/>
                <w:sz w:val="18"/>
                <w:szCs w:val="18"/>
              </w:rPr>
            </w:pPr>
            <w:r w:rsidRPr="00A9200B">
              <w:rPr>
                <w:rFonts w:ascii="Calibri" w:hAnsi="Calibri" w:cs="Calibri"/>
                <w:color w:val="9C0006"/>
                <w:sz w:val="18"/>
                <w:szCs w:val="18"/>
              </w:rPr>
              <w:t>49 %</w:t>
            </w:r>
          </w:p>
        </w:tc>
        <w:tc>
          <w:tcPr>
            <w:tcW w:w="781" w:type="dxa"/>
            <w:tcBorders>
              <w:top w:val="nil"/>
              <w:left w:val="nil"/>
              <w:bottom w:val="nil"/>
              <w:right w:val="nil"/>
            </w:tcBorders>
            <w:shd w:val="clear" w:color="000000" w:fill="C6EFCE"/>
            <w:noWrap/>
            <w:vAlign w:val="bottom"/>
          </w:tcPr>
          <w:p w14:paraId="0AC32942" w14:textId="541E31CD"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78 %</w:t>
            </w:r>
          </w:p>
        </w:tc>
        <w:tc>
          <w:tcPr>
            <w:tcW w:w="782" w:type="dxa"/>
            <w:tcBorders>
              <w:top w:val="nil"/>
              <w:left w:val="nil"/>
              <w:bottom w:val="nil"/>
              <w:right w:val="nil"/>
            </w:tcBorders>
            <w:shd w:val="clear" w:color="000000" w:fill="C6EFCE"/>
            <w:noWrap/>
            <w:vAlign w:val="bottom"/>
          </w:tcPr>
          <w:p w14:paraId="7C127C13" w14:textId="25696DC6"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67 %</w:t>
            </w:r>
          </w:p>
        </w:tc>
        <w:tc>
          <w:tcPr>
            <w:tcW w:w="781" w:type="dxa"/>
            <w:tcBorders>
              <w:top w:val="nil"/>
              <w:left w:val="nil"/>
              <w:bottom w:val="nil"/>
              <w:right w:val="nil"/>
            </w:tcBorders>
            <w:shd w:val="clear" w:color="000000" w:fill="C6EFCE"/>
            <w:noWrap/>
            <w:vAlign w:val="bottom"/>
          </w:tcPr>
          <w:p w14:paraId="6C2EE075" w14:textId="58A518C6"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72 %</w:t>
            </w:r>
          </w:p>
        </w:tc>
        <w:tc>
          <w:tcPr>
            <w:tcW w:w="782" w:type="dxa"/>
            <w:tcBorders>
              <w:top w:val="nil"/>
              <w:left w:val="nil"/>
              <w:bottom w:val="nil"/>
              <w:right w:val="nil"/>
            </w:tcBorders>
            <w:shd w:val="clear" w:color="000000" w:fill="FFC7CE"/>
            <w:noWrap/>
            <w:vAlign w:val="bottom"/>
          </w:tcPr>
          <w:p w14:paraId="5D65D692" w14:textId="50B44795" w:rsidR="00A9200B" w:rsidRPr="00A9200B" w:rsidRDefault="00A9200B" w:rsidP="00A9200B">
            <w:pPr>
              <w:jc w:val="right"/>
              <w:rPr>
                <w:rFonts w:ascii="Calibri" w:hAnsi="Calibri" w:cs="Calibri"/>
                <w:color w:val="9C0006"/>
                <w:sz w:val="18"/>
                <w:szCs w:val="18"/>
              </w:rPr>
            </w:pPr>
            <w:r w:rsidRPr="00A9200B">
              <w:rPr>
                <w:rFonts w:ascii="Calibri" w:hAnsi="Calibri" w:cs="Calibri"/>
                <w:color w:val="9C0006"/>
                <w:sz w:val="18"/>
                <w:szCs w:val="18"/>
              </w:rPr>
              <w:t>12 %</w:t>
            </w:r>
          </w:p>
        </w:tc>
        <w:tc>
          <w:tcPr>
            <w:tcW w:w="781" w:type="dxa"/>
            <w:tcBorders>
              <w:top w:val="nil"/>
              <w:left w:val="nil"/>
              <w:bottom w:val="nil"/>
              <w:right w:val="nil"/>
            </w:tcBorders>
            <w:shd w:val="clear" w:color="000000" w:fill="FFC7CE"/>
            <w:noWrap/>
            <w:vAlign w:val="bottom"/>
          </w:tcPr>
          <w:p w14:paraId="26E598CD" w14:textId="2F2B0F4C" w:rsidR="00A9200B" w:rsidRPr="00A9200B" w:rsidRDefault="00A9200B" w:rsidP="00A9200B">
            <w:pPr>
              <w:jc w:val="right"/>
              <w:rPr>
                <w:rFonts w:ascii="Calibri" w:hAnsi="Calibri" w:cs="Calibri"/>
                <w:color w:val="9C0006"/>
                <w:sz w:val="18"/>
                <w:szCs w:val="18"/>
              </w:rPr>
            </w:pPr>
            <w:r w:rsidRPr="00A9200B">
              <w:rPr>
                <w:rFonts w:ascii="Calibri" w:hAnsi="Calibri" w:cs="Calibri"/>
                <w:color w:val="9C0006"/>
                <w:sz w:val="18"/>
                <w:szCs w:val="18"/>
              </w:rPr>
              <w:t>43 %</w:t>
            </w:r>
          </w:p>
        </w:tc>
        <w:tc>
          <w:tcPr>
            <w:tcW w:w="782" w:type="dxa"/>
            <w:tcBorders>
              <w:top w:val="nil"/>
              <w:left w:val="nil"/>
              <w:bottom w:val="nil"/>
              <w:right w:val="nil"/>
            </w:tcBorders>
            <w:shd w:val="clear" w:color="000000" w:fill="FFC7CE"/>
            <w:noWrap/>
            <w:vAlign w:val="bottom"/>
          </w:tcPr>
          <w:p w14:paraId="5123AA51" w14:textId="21F6AD3B" w:rsidR="00A9200B" w:rsidRPr="00A9200B" w:rsidRDefault="00A9200B" w:rsidP="00A9200B">
            <w:pPr>
              <w:jc w:val="right"/>
              <w:rPr>
                <w:rFonts w:ascii="Calibri" w:hAnsi="Calibri" w:cs="Calibri"/>
                <w:color w:val="9C0006"/>
                <w:sz w:val="18"/>
                <w:szCs w:val="18"/>
              </w:rPr>
            </w:pPr>
            <w:r w:rsidRPr="00A9200B">
              <w:rPr>
                <w:rFonts w:ascii="Calibri" w:hAnsi="Calibri" w:cs="Calibri"/>
                <w:color w:val="9C0006"/>
                <w:sz w:val="18"/>
                <w:szCs w:val="18"/>
              </w:rPr>
              <w:t>28 %</w:t>
            </w:r>
          </w:p>
        </w:tc>
        <w:tc>
          <w:tcPr>
            <w:tcW w:w="781" w:type="dxa"/>
            <w:tcBorders>
              <w:top w:val="nil"/>
              <w:left w:val="nil"/>
              <w:bottom w:val="nil"/>
              <w:right w:val="nil"/>
            </w:tcBorders>
            <w:shd w:val="clear" w:color="000000" w:fill="C6EFCE"/>
            <w:noWrap/>
            <w:vAlign w:val="bottom"/>
          </w:tcPr>
          <w:p w14:paraId="6049C7F4" w14:textId="0F606303"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64 %</w:t>
            </w:r>
          </w:p>
        </w:tc>
        <w:tc>
          <w:tcPr>
            <w:tcW w:w="782" w:type="dxa"/>
            <w:tcBorders>
              <w:top w:val="nil"/>
              <w:left w:val="nil"/>
              <w:bottom w:val="nil"/>
              <w:right w:val="nil"/>
            </w:tcBorders>
            <w:shd w:val="clear" w:color="000000" w:fill="C6EFCE"/>
            <w:noWrap/>
            <w:vAlign w:val="bottom"/>
          </w:tcPr>
          <w:p w14:paraId="0988D660" w14:textId="7FC334DD"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66 %</w:t>
            </w:r>
          </w:p>
        </w:tc>
        <w:tc>
          <w:tcPr>
            <w:tcW w:w="781" w:type="dxa"/>
            <w:tcBorders>
              <w:top w:val="nil"/>
              <w:left w:val="nil"/>
              <w:bottom w:val="nil"/>
              <w:right w:val="nil"/>
            </w:tcBorders>
            <w:shd w:val="clear" w:color="000000" w:fill="C6EFCE"/>
            <w:noWrap/>
            <w:vAlign w:val="bottom"/>
          </w:tcPr>
          <w:p w14:paraId="6194E894" w14:textId="7ED00D20"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91 %</w:t>
            </w:r>
          </w:p>
        </w:tc>
        <w:tc>
          <w:tcPr>
            <w:tcW w:w="782" w:type="dxa"/>
            <w:tcBorders>
              <w:top w:val="nil"/>
              <w:left w:val="nil"/>
              <w:bottom w:val="nil"/>
              <w:right w:val="nil"/>
            </w:tcBorders>
            <w:shd w:val="clear" w:color="000000" w:fill="FFC7CE"/>
            <w:noWrap/>
            <w:vAlign w:val="bottom"/>
          </w:tcPr>
          <w:p w14:paraId="28AB6F73" w14:textId="0E9474CC" w:rsidR="00A9200B" w:rsidRPr="00A9200B" w:rsidRDefault="00A9200B" w:rsidP="00A9200B">
            <w:pPr>
              <w:jc w:val="right"/>
              <w:rPr>
                <w:rFonts w:ascii="Calibri" w:hAnsi="Calibri" w:cs="Calibri"/>
                <w:color w:val="006100"/>
                <w:sz w:val="18"/>
                <w:szCs w:val="18"/>
              </w:rPr>
            </w:pPr>
            <w:r w:rsidRPr="00A9200B">
              <w:rPr>
                <w:rFonts w:ascii="Calibri" w:hAnsi="Calibri" w:cs="Calibri"/>
                <w:color w:val="9C0006"/>
                <w:sz w:val="18"/>
                <w:szCs w:val="18"/>
              </w:rPr>
              <w:t>45 %</w:t>
            </w:r>
          </w:p>
        </w:tc>
        <w:tc>
          <w:tcPr>
            <w:tcW w:w="781" w:type="dxa"/>
            <w:tcBorders>
              <w:top w:val="nil"/>
              <w:left w:val="nil"/>
              <w:bottom w:val="nil"/>
              <w:right w:val="nil"/>
            </w:tcBorders>
            <w:shd w:val="clear" w:color="000000" w:fill="C6EFCE"/>
            <w:noWrap/>
            <w:vAlign w:val="bottom"/>
          </w:tcPr>
          <w:p w14:paraId="53DF6804" w14:textId="7051666F" w:rsidR="00A9200B" w:rsidRPr="00A9200B" w:rsidRDefault="00A9200B" w:rsidP="00A9200B">
            <w:pPr>
              <w:jc w:val="right"/>
              <w:rPr>
                <w:rFonts w:ascii="Calibri" w:hAnsi="Calibri" w:cs="Calibri"/>
                <w:color w:val="006100"/>
                <w:sz w:val="18"/>
                <w:szCs w:val="18"/>
              </w:rPr>
            </w:pPr>
            <w:r w:rsidRPr="00A9200B">
              <w:rPr>
                <w:rFonts w:ascii="Calibri" w:hAnsi="Calibri" w:cs="Calibri"/>
                <w:color w:val="006100"/>
                <w:sz w:val="18"/>
                <w:szCs w:val="18"/>
              </w:rPr>
              <w:t>65 %</w:t>
            </w:r>
          </w:p>
        </w:tc>
        <w:tc>
          <w:tcPr>
            <w:tcW w:w="782" w:type="dxa"/>
            <w:tcBorders>
              <w:top w:val="nil"/>
              <w:left w:val="nil"/>
              <w:bottom w:val="nil"/>
              <w:right w:val="nil"/>
            </w:tcBorders>
            <w:shd w:val="clear" w:color="000000" w:fill="C6EFCE"/>
            <w:noWrap/>
            <w:vAlign w:val="bottom"/>
          </w:tcPr>
          <w:p w14:paraId="3CA6481B" w14:textId="7DD3B698" w:rsidR="00A9200B" w:rsidRPr="00A9200B" w:rsidRDefault="00A9200B" w:rsidP="00A9200B">
            <w:pPr>
              <w:jc w:val="right"/>
              <w:rPr>
                <w:rFonts w:ascii="Calibri" w:hAnsi="Calibri" w:cs="Calibri"/>
                <w:b/>
                <w:bCs/>
                <w:color w:val="006100"/>
                <w:sz w:val="18"/>
                <w:szCs w:val="18"/>
              </w:rPr>
            </w:pPr>
            <w:r w:rsidRPr="00A9200B">
              <w:rPr>
                <w:rFonts w:ascii="Calibri" w:hAnsi="Calibri" w:cs="Calibri"/>
                <w:b/>
                <w:bCs/>
                <w:color w:val="006100"/>
                <w:sz w:val="18"/>
                <w:szCs w:val="18"/>
              </w:rPr>
              <w:t>75 %</w:t>
            </w:r>
          </w:p>
        </w:tc>
      </w:tr>
    </w:tbl>
    <w:p w14:paraId="518EC226" w14:textId="77777777" w:rsidR="00CE412E" w:rsidRDefault="00CE412E" w:rsidP="00CE412E">
      <w:pPr>
        <w:rPr>
          <w:rFonts w:ascii="Calibri" w:eastAsia="Calibri" w:hAnsi="Calibri" w:cs="Calibri"/>
          <w:sz w:val="22"/>
          <w:szCs w:val="22"/>
          <w:lang w:eastAsia="en-US"/>
        </w:rPr>
      </w:pPr>
    </w:p>
    <w:p w14:paraId="24B8F697" w14:textId="66D8C7E9" w:rsidR="00000056" w:rsidRDefault="00000056">
      <w:pPr>
        <w:rPr>
          <w:rFonts w:ascii="Calibri" w:eastAsia="Calibri" w:hAnsi="Calibri" w:cs="Calibri"/>
          <w:sz w:val="22"/>
          <w:szCs w:val="22"/>
          <w:lang w:eastAsia="en-US"/>
        </w:rPr>
      </w:pPr>
      <w:r>
        <w:rPr>
          <w:rFonts w:ascii="Calibri" w:eastAsia="Calibri" w:hAnsi="Calibri" w:cs="Calibri"/>
          <w:sz w:val="22"/>
          <w:szCs w:val="22"/>
          <w:lang w:eastAsia="en-US"/>
        </w:rPr>
        <w:br w:type="page"/>
      </w:r>
    </w:p>
    <w:p w14:paraId="5743731F" w14:textId="77777777" w:rsidR="00000056" w:rsidRDefault="00000056" w:rsidP="00CE412E">
      <w:pPr>
        <w:rPr>
          <w:rFonts w:ascii="Calibri" w:eastAsia="Calibri" w:hAnsi="Calibri" w:cs="Calibri"/>
          <w:sz w:val="22"/>
          <w:szCs w:val="22"/>
          <w:lang w:eastAsia="en-US"/>
        </w:rPr>
        <w:sectPr w:rsidR="00000056" w:rsidSect="003648FF">
          <w:type w:val="continuous"/>
          <w:pgSz w:w="16838" w:h="11906" w:orient="landscape" w:code="9"/>
          <w:pgMar w:top="2041" w:right="1134" w:bottom="3175" w:left="1247" w:header="737" w:footer="737" w:gutter="0"/>
          <w:cols w:space="720"/>
          <w:formProt w:val="0"/>
          <w:titlePg/>
          <w:docGrid w:linePitch="224"/>
        </w:sectPr>
      </w:pPr>
    </w:p>
    <w:p w14:paraId="257A134F" w14:textId="35774B25" w:rsidR="00000056" w:rsidRDefault="00000056" w:rsidP="00000056">
      <w:pPr>
        <w:pStyle w:val="RubrikA"/>
        <w:rPr>
          <w:rFonts w:eastAsia="Calibri"/>
          <w:lang w:eastAsia="en-US"/>
        </w:rPr>
      </w:pPr>
      <w:bookmarkStart w:id="71" w:name="_Toc194570807"/>
      <w:r>
        <w:rPr>
          <w:rFonts w:eastAsia="Calibri"/>
          <w:lang w:eastAsia="en-US"/>
        </w:rPr>
        <w:lastRenderedPageBreak/>
        <w:t>Parallelltexter</w:t>
      </w:r>
      <w:bookmarkEnd w:id="71"/>
    </w:p>
    <w:p w14:paraId="2BC2075E" w14:textId="77777777" w:rsidR="00000056" w:rsidRDefault="00000056" w:rsidP="00000056">
      <w:pPr>
        <w:pStyle w:val="Rubrikmellanrum"/>
        <w:rPr>
          <w:rFonts w:eastAsia="Calibri"/>
          <w:lang w:eastAsia="en-US"/>
        </w:rPr>
      </w:pPr>
    </w:p>
    <w:p w14:paraId="4451AC1A" w14:textId="3278987C" w:rsidR="00000056" w:rsidRPr="00000056" w:rsidRDefault="00000056" w:rsidP="00000056">
      <w:pPr>
        <w:pStyle w:val="ArendeUnderRubrik"/>
        <w:rPr>
          <w:rFonts w:eastAsia="Calibri"/>
          <w:lang w:eastAsia="en-US"/>
        </w:rPr>
      </w:pPr>
      <w:r>
        <w:rPr>
          <w:rFonts w:eastAsia="Calibri"/>
          <w:lang w:eastAsia="en-US"/>
        </w:rPr>
        <w:t>Parallelltexter till landskapsregeringens lagförslag nr 20/2024-2025</w:t>
      </w:r>
    </w:p>
    <w:sectPr w:rsidR="00000056" w:rsidRPr="00000056" w:rsidSect="00000056">
      <w:pgSz w:w="11906" w:h="16838" w:code="9"/>
      <w:pgMar w:top="1134" w:right="3175" w:bottom="1247" w:left="2041" w:header="737" w:footer="737"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3FB58" w14:textId="77777777" w:rsidR="00BE2921" w:rsidRDefault="00BE2921">
      <w:r>
        <w:separator/>
      </w:r>
    </w:p>
  </w:endnote>
  <w:endnote w:type="continuationSeparator" w:id="0">
    <w:p w14:paraId="03D6A51A" w14:textId="77777777" w:rsidR="00BE2921" w:rsidRDefault="00BE2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odern No. 20">
    <w:panose1 w:val="0207070407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F2101" w14:textId="77777777" w:rsidR="00AF3004" w:rsidRDefault="00AF3004">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34BB2" w14:textId="45D16453" w:rsidR="00AF3004" w:rsidRDefault="00AF3004">
    <w:pPr>
      <w:pStyle w:val="Sidfot"/>
      <w:rPr>
        <w:lang w:val="fi-FI"/>
      </w:rPr>
    </w:pPr>
    <w:r>
      <w:fldChar w:fldCharType="begin"/>
    </w:r>
    <w:r>
      <w:rPr>
        <w:lang w:val="fi-FI"/>
      </w:rPr>
      <w:instrText xml:space="preserve"> FILENAME  \* MERGEFORMAT </w:instrText>
    </w:r>
    <w:r>
      <w:fldChar w:fldCharType="separate"/>
    </w:r>
    <w:r w:rsidR="00000056">
      <w:rPr>
        <w:noProof/>
        <w:lang w:val="fi-FI"/>
      </w:rPr>
      <w:t>LF2020242025</w:t>
    </w:r>
    <w:r w:rsidR="001639E0">
      <w:rPr>
        <w:noProof/>
        <w:lang w:val="fi-FI"/>
      </w:rPr>
      <w:t>.docx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6216D" w14:textId="77777777" w:rsidR="00AF3004" w:rsidRDefault="00AF30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50DF5" w14:textId="77777777" w:rsidR="00BE2921" w:rsidRDefault="00BE2921">
      <w:r>
        <w:separator/>
      </w:r>
    </w:p>
  </w:footnote>
  <w:footnote w:type="continuationSeparator" w:id="0">
    <w:p w14:paraId="02C154B3" w14:textId="77777777" w:rsidR="00BE2921" w:rsidRDefault="00BE2921">
      <w:r>
        <w:continuationSeparator/>
      </w:r>
    </w:p>
  </w:footnote>
  <w:footnote w:id="1">
    <w:p w14:paraId="6AE57657" w14:textId="77777777" w:rsidR="009F0FCB" w:rsidRPr="008A764D" w:rsidRDefault="009F0FCB" w:rsidP="009F0FCB">
      <w:pPr>
        <w:pStyle w:val="Fotnotstext"/>
        <w:rPr>
          <w:lang w:val="sv-FI"/>
        </w:rPr>
      </w:pPr>
      <w:r>
        <w:rPr>
          <w:rStyle w:val="Fotnotsreferens"/>
        </w:rPr>
        <w:footnoteRef/>
      </w:r>
      <w:r>
        <w:t xml:space="preserve"> </w:t>
      </w:r>
      <w:r>
        <w:rPr>
          <w:lang w:val="sv-FI"/>
        </w:rPr>
        <w:t>ÅFS 1991:73 (FördrS 65/1991)</w:t>
      </w:r>
    </w:p>
  </w:footnote>
  <w:footnote w:id="2">
    <w:p w14:paraId="7FF9C75C" w14:textId="090EA8B7" w:rsidR="009F0FCB" w:rsidRPr="008A764D" w:rsidRDefault="009F0FCB" w:rsidP="009F0FCB">
      <w:pPr>
        <w:pStyle w:val="Fotnotstext"/>
        <w:rPr>
          <w:lang w:val="sv-FI"/>
        </w:rPr>
      </w:pPr>
      <w:r>
        <w:rPr>
          <w:rStyle w:val="Fotnotsreferens"/>
        </w:rPr>
        <w:footnoteRef/>
      </w:r>
      <w:r>
        <w:t xml:space="preserve"> </w:t>
      </w:r>
      <w:r>
        <w:rPr>
          <w:lang w:val="sv-FI"/>
        </w:rPr>
        <w:t>Se till exempel GrUU 16/2014,</w:t>
      </w:r>
      <w:r w:rsidR="003D7171">
        <w:rPr>
          <w:lang w:val="sv-FI"/>
        </w:rPr>
        <w:t xml:space="preserve"> GrUU 40/2014,</w:t>
      </w:r>
      <w:r>
        <w:rPr>
          <w:lang w:val="sv-FI"/>
        </w:rPr>
        <w:t xml:space="preserve"> GrUU 15/2020 och GrUU</w:t>
      </w:r>
      <w:r w:rsidR="003D7171">
        <w:rPr>
          <w:lang w:val="sv-FI"/>
        </w:rPr>
        <w:t> </w:t>
      </w:r>
      <w:r>
        <w:rPr>
          <w:lang w:val="sv-FI"/>
        </w:rPr>
        <w:t>17/2021</w:t>
      </w:r>
    </w:p>
  </w:footnote>
  <w:footnote w:id="3">
    <w:p w14:paraId="7F7CB72F" w14:textId="77777777" w:rsidR="00DD7FD2" w:rsidRPr="00104A37" w:rsidRDefault="00DD7FD2" w:rsidP="00DD7FD2">
      <w:pPr>
        <w:pStyle w:val="Fotnotstext"/>
        <w:rPr>
          <w:lang w:val="sv-FI"/>
        </w:rPr>
      </w:pPr>
      <w:r>
        <w:rPr>
          <w:rStyle w:val="Fotnotsreferens"/>
        </w:rPr>
        <w:footnoteRef/>
      </w:r>
      <w:r>
        <w:t xml:space="preserve"> </w:t>
      </w:r>
      <w:r>
        <w:rPr>
          <w:lang w:val="sv-FI"/>
        </w:rPr>
        <w:t>Betänkande om revidering av kommunallagen för landskapet Åland, Arbetsgruppen för modernisering och uppdatering av kommunallagen för landskapet Åland, Dnr: ÅLR 2024/3493</w:t>
      </w:r>
    </w:p>
  </w:footnote>
  <w:footnote w:id="4">
    <w:p w14:paraId="2695567B" w14:textId="1F7AF498" w:rsidR="00D410C0" w:rsidRPr="00D410C0" w:rsidRDefault="00D410C0">
      <w:pPr>
        <w:pStyle w:val="Fotnotstext"/>
        <w:rPr>
          <w:lang w:val="sv-FI"/>
        </w:rPr>
      </w:pPr>
      <w:r>
        <w:rPr>
          <w:rStyle w:val="Fotnotsreferens"/>
        </w:rPr>
        <w:footnoteRef/>
      </w:r>
      <w:r>
        <w:t xml:space="preserve"> LF 21/2017–2018, s. 39</w:t>
      </w:r>
    </w:p>
  </w:footnote>
  <w:footnote w:id="5">
    <w:p w14:paraId="10D9C18A" w14:textId="4004387D" w:rsidR="00B1383C" w:rsidRPr="00B1383C" w:rsidRDefault="00B1383C">
      <w:pPr>
        <w:pStyle w:val="Fotnotstext"/>
        <w:rPr>
          <w:lang w:val="sv-FI"/>
        </w:rPr>
      </w:pPr>
      <w:r>
        <w:rPr>
          <w:rStyle w:val="Fotnotsreferens"/>
        </w:rPr>
        <w:footnoteRef/>
      </w:r>
      <w:r>
        <w:t xml:space="preserve"> </w:t>
      </w:r>
      <w:r>
        <w:rPr>
          <w:lang w:val="sv-FI"/>
        </w:rPr>
        <w:t xml:space="preserve">RP 280/2018, s. </w:t>
      </w:r>
      <w:r w:rsidR="007456D4">
        <w:rPr>
          <w:lang w:val="sv-FI"/>
        </w:rPr>
        <w:t>6–7.</w:t>
      </w:r>
    </w:p>
  </w:footnote>
  <w:footnote w:id="6">
    <w:p w14:paraId="56070E85" w14:textId="5CC83EF2" w:rsidR="00DB7F6B" w:rsidRPr="00DB7F6B" w:rsidRDefault="00DB7F6B">
      <w:pPr>
        <w:pStyle w:val="Fotnotstext"/>
        <w:rPr>
          <w:lang w:val="sv-FI"/>
        </w:rPr>
      </w:pPr>
      <w:r>
        <w:rPr>
          <w:rStyle w:val="Fotnotsreferens"/>
        </w:rPr>
        <w:footnoteRef/>
      </w:r>
      <w:r>
        <w:t xml:space="preserve"> HFD 2016:187</w:t>
      </w:r>
    </w:p>
  </w:footnote>
  <w:footnote w:id="7">
    <w:p w14:paraId="5A8142CE" w14:textId="24136B7F" w:rsidR="000D3EFB" w:rsidRPr="000D3EFB" w:rsidRDefault="000D3EFB">
      <w:pPr>
        <w:pStyle w:val="Fotnotstext"/>
        <w:rPr>
          <w:lang w:val="sv-FI"/>
        </w:rPr>
      </w:pPr>
      <w:r>
        <w:rPr>
          <w:rStyle w:val="Fotnotsreferens"/>
        </w:rPr>
        <w:footnoteRef/>
      </w:r>
      <w:r>
        <w:t xml:space="preserve"> </w:t>
      </w:r>
      <w:bookmarkStart w:id="33" w:name="_Hlk126230602"/>
      <w:r>
        <w:t xml:space="preserve">Definition och nyckeltal för kommuner i svår ekonomisk ställning – en jämförelse av den svenska och finländska lagstiftningen samt förslag till system för Åland, </w:t>
      </w:r>
      <w:r w:rsidR="001F5B60">
        <w:t xml:space="preserve">Ålands statistik- och utredningsbyrå, </w:t>
      </w:r>
      <w:r>
        <w:t>Översikter och indikatorer 2020:2</w:t>
      </w:r>
    </w:p>
    <w:bookmarkEnd w:id="33"/>
  </w:footnote>
  <w:footnote w:id="8">
    <w:p w14:paraId="589FDD0A" w14:textId="10F0F4CC" w:rsidR="002A2316" w:rsidRPr="002A2316" w:rsidRDefault="002A2316">
      <w:pPr>
        <w:pStyle w:val="Fotnotstext"/>
        <w:rPr>
          <w:lang w:val="sv-FI"/>
        </w:rPr>
      </w:pPr>
      <w:r>
        <w:rPr>
          <w:rStyle w:val="Fotnotsreferens"/>
        </w:rPr>
        <w:footnoteRef/>
      </w:r>
      <w:r>
        <w:t xml:space="preserve"> GrUU 37/2006</w:t>
      </w:r>
    </w:p>
  </w:footnote>
  <w:footnote w:id="9">
    <w:p w14:paraId="1C4D2280" w14:textId="4621465E" w:rsidR="002A2316" w:rsidRPr="002A2316" w:rsidRDefault="002A2316">
      <w:pPr>
        <w:pStyle w:val="Fotnotstext"/>
        <w:rPr>
          <w:lang w:val="sv-FI"/>
        </w:rPr>
      </w:pPr>
      <w:r>
        <w:rPr>
          <w:rStyle w:val="Fotnotsreferens"/>
        </w:rPr>
        <w:footnoteRef/>
      </w:r>
      <w:r>
        <w:t xml:space="preserve"> GrUU 30/2016</w:t>
      </w:r>
    </w:p>
  </w:footnote>
  <w:footnote w:id="10">
    <w:p w14:paraId="5009B026" w14:textId="22A2E69E" w:rsidR="002A2316" w:rsidRPr="002A2316" w:rsidRDefault="002A2316">
      <w:pPr>
        <w:pStyle w:val="Fotnotstext"/>
        <w:rPr>
          <w:lang w:val="sv-FI"/>
        </w:rPr>
      </w:pPr>
      <w:r>
        <w:rPr>
          <w:rStyle w:val="Fotnotsreferens"/>
        </w:rPr>
        <w:footnoteRef/>
      </w:r>
      <w:r>
        <w:t xml:space="preserve"> GrUU 5/2019</w:t>
      </w:r>
    </w:p>
  </w:footnote>
  <w:footnote w:id="11">
    <w:p w14:paraId="70031A65" w14:textId="6BBB747C" w:rsidR="002A2316" w:rsidRPr="002A2316" w:rsidRDefault="002A2316">
      <w:pPr>
        <w:pStyle w:val="Fotnotstext"/>
        <w:rPr>
          <w:lang w:val="sv-FI"/>
        </w:rPr>
      </w:pPr>
      <w:r>
        <w:rPr>
          <w:rStyle w:val="Fotnotsreferens"/>
        </w:rPr>
        <w:footnoteRef/>
      </w:r>
      <w:r>
        <w:t xml:space="preserve"> GrUU 20/2013</w:t>
      </w:r>
    </w:p>
  </w:footnote>
  <w:footnote w:id="12">
    <w:p w14:paraId="47E58361" w14:textId="1C592C17" w:rsidR="000D3EFB" w:rsidRPr="000D3EFB" w:rsidRDefault="000D3EFB">
      <w:pPr>
        <w:pStyle w:val="Fotnotstext"/>
        <w:rPr>
          <w:lang w:val="sv-FI"/>
        </w:rPr>
      </w:pPr>
      <w:r>
        <w:rPr>
          <w:rStyle w:val="Fotnotsreferens"/>
        </w:rPr>
        <w:footnoteRef/>
      </w:r>
      <w:r>
        <w:t xml:space="preserve"> Definition och nyckeltal för kommuner i svår ekonomisk ställning – en jämförelse av den svenska och finländska lagstiftningen samt förslag till system för Åland, Översikter och indikatorer 2020:2</w:t>
      </w:r>
    </w:p>
  </w:footnote>
  <w:footnote w:id="13">
    <w:p w14:paraId="78AFA4DD" w14:textId="0865197C" w:rsidR="00312506" w:rsidRPr="00312506" w:rsidRDefault="00312506">
      <w:pPr>
        <w:pStyle w:val="Fotnotstext"/>
        <w:rPr>
          <w:lang w:val="sv-FI"/>
        </w:rPr>
      </w:pPr>
      <w:r>
        <w:rPr>
          <w:rStyle w:val="Fotnotsreferens"/>
        </w:rPr>
        <w:footnoteRef/>
      </w:r>
      <w:r>
        <w:t xml:space="preserve"> Förslag till lagstiftning om kommuner med synnerligen ansträngs ekonomi,</w:t>
      </w:r>
      <w:r w:rsidR="00A004C8">
        <w:t xml:space="preserve"> lagstiftningspromemoria</w:t>
      </w:r>
      <w:r w:rsidR="00AC4A55">
        <w:t>,</w:t>
      </w:r>
      <w:r w:rsidR="00A004C8">
        <w:t xml:space="preserve"> Dnr 2021/5639</w:t>
      </w:r>
    </w:p>
  </w:footnote>
  <w:footnote w:id="14">
    <w:p w14:paraId="7D37D767" w14:textId="77777777" w:rsidR="0011320A" w:rsidRPr="0008627D" w:rsidRDefault="0011320A" w:rsidP="0011320A">
      <w:pPr>
        <w:pStyle w:val="Fotnotstext"/>
        <w:rPr>
          <w:lang w:val="sv-FI"/>
        </w:rPr>
      </w:pPr>
      <w:r>
        <w:rPr>
          <w:rStyle w:val="Fotnotsreferens"/>
        </w:rPr>
        <w:footnoteRef/>
      </w:r>
      <w:r>
        <w:t xml:space="preserve"> </w:t>
      </w:r>
      <w:r>
        <w:rPr>
          <w:lang w:val="sv-FI"/>
        </w:rPr>
        <w:t>Allmän anvisning om upprättande av bokslut och verksamhetsberättelse för kommuner och samkommuner, Bokföringsnämndens kommunsektion, Arbets- och näringsministeriet,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9724A" w14:textId="77777777" w:rsidR="00AF3004" w:rsidRDefault="00AF3004">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4</w:t>
    </w:r>
    <w:r>
      <w:rPr>
        <w:rStyle w:val="Sidnummer"/>
      </w:rPr>
      <w:fldChar w:fldCharType="end"/>
    </w:r>
  </w:p>
  <w:p w14:paraId="6C92716C" w14:textId="77777777" w:rsidR="00AF3004" w:rsidRDefault="00AF300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6B212" w14:textId="77777777" w:rsidR="00AF3004" w:rsidRDefault="00AF3004">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1" w15:restartNumberingAfterBreak="0">
    <w:nsid w:val="04322933"/>
    <w:multiLevelType w:val="hybridMultilevel"/>
    <w:tmpl w:val="AD7AD04A"/>
    <w:lvl w:ilvl="0" w:tplc="081D000F">
      <w:start w:val="1"/>
      <w:numFmt w:val="decimal"/>
      <w:lvlText w:val="%1."/>
      <w:lvlJc w:val="left"/>
      <w:pPr>
        <w:ind w:left="720" w:hanging="360"/>
      </w:pPr>
    </w:lvl>
    <w:lvl w:ilvl="1" w:tplc="081D0019">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2" w15:restartNumberingAfterBreak="0">
    <w:nsid w:val="08BF39AC"/>
    <w:multiLevelType w:val="hybridMultilevel"/>
    <w:tmpl w:val="798C6CB6"/>
    <w:lvl w:ilvl="0" w:tplc="081D000F">
      <w:start w:val="1"/>
      <w:numFmt w:val="decimal"/>
      <w:lvlText w:val="%1."/>
      <w:lvlJc w:val="left"/>
      <w:pPr>
        <w:ind w:left="720" w:hanging="360"/>
      </w:p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3" w15:restartNumberingAfterBreak="0">
    <w:nsid w:val="0DD96E2C"/>
    <w:multiLevelType w:val="hybridMultilevel"/>
    <w:tmpl w:val="C75A3B2C"/>
    <w:lvl w:ilvl="0" w:tplc="081D000F">
      <w:start w:val="1"/>
      <w:numFmt w:val="decimal"/>
      <w:lvlText w:val="%1."/>
      <w:lvlJc w:val="left"/>
      <w:pPr>
        <w:ind w:left="720" w:hanging="360"/>
      </w:p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4" w15:restartNumberingAfterBreak="0">
    <w:nsid w:val="0FA56E64"/>
    <w:multiLevelType w:val="hybridMultilevel"/>
    <w:tmpl w:val="646ABCEC"/>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5" w15:restartNumberingAfterBreak="0">
    <w:nsid w:val="14594574"/>
    <w:multiLevelType w:val="hybridMultilevel"/>
    <w:tmpl w:val="E15AEBCE"/>
    <w:lvl w:ilvl="0" w:tplc="081D000F">
      <w:start w:val="1"/>
      <w:numFmt w:val="decimal"/>
      <w:lvlText w:val="%1."/>
      <w:lvlJc w:val="left"/>
      <w:pPr>
        <w:ind w:left="720" w:hanging="360"/>
      </w:pPr>
      <w:rPr>
        <w:rFonts w:hint="default"/>
      </w:rPr>
    </w:lvl>
    <w:lvl w:ilvl="1" w:tplc="F2C62522">
      <w:start w:val="4"/>
      <w:numFmt w:val="bullet"/>
      <w:lvlText w:val="•"/>
      <w:lvlJc w:val="left"/>
      <w:pPr>
        <w:ind w:left="1440" w:hanging="360"/>
      </w:pPr>
      <w:rPr>
        <w:rFonts w:ascii="Times New Roman" w:eastAsia="Times New Roman" w:hAnsi="Times New Roman" w:cs="Times New Roman" w:hint="default"/>
      </w:r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6" w15:restartNumberingAfterBreak="0">
    <w:nsid w:val="17FA0F33"/>
    <w:multiLevelType w:val="hybridMultilevel"/>
    <w:tmpl w:val="7FA453E0"/>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7" w15:restartNumberingAfterBreak="0">
    <w:nsid w:val="1F221A4F"/>
    <w:multiLevelType w:val="hybridMultilevel"/>
    <w:tmpl w:val="1E5E4A04"/>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8" w15:restartNumberingAfterBreak="0">
    <w:nsid w:val="22A54BC4"/>
    <w:multiLevelType w:val="hybridMultilevel"/>
    <w:tmpl w:val="94CA8232"/>
    <w:lvl w:ilvl="0" w:tplc="081D0011">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9" w15:restartNumberingAfterBreak="0">
    <w:nsid w:val="2593200A"/>
    <w:multiLevelType w:val="hybridMultilevel"/>
    <w:tmpl w:val="8A02D420"/>
    <w:lvl w:ilvl="0" w:tplc="081D000F">
      <w:start w:val="1"/>
      <w:numFmt w:val="decimal"/>
      <w:lvlText w:val="%1."/>
      <w:lvlJc w:val="left"/>
      <w:pPr>
        <w:ind w:left="1080" w:hanging="360"/>
      </w:pPr>
    </w:lvl>
    <w:lvl w:ilvl="1" w:tplc="081D0019" w:tentative="1">
      <w:start w:val="1"/>
      <w:numFmt w:val="lowerLetter"/>
      <w:lvlText w:val="%2."/>
      <w:lvlJc w:val="left"/>
      <w:pPr>
        <w:ind w:left="1800" w:hanging="360"/>
      </w:pPr>
    </w:lvl>
    <w:lvl w:ilvl="2" w:tplc="081D001B" w:tentative="1">
      <w:start w:val="1"/>
      <w:numFmt w:val="lowerRoman"/>
      <w:lvlText w:val="%3."/>
      <w:lvlJc w:val="right"/>
      <w:pPr>
        <w:ind w:left="2520" w:hanging="180"/>
      </w:pPr>
    </w:lvl>
    <w:lvl w:ilvl="3" w:tplc="081D000F" w:tentative="1">
      <w:start w:val="1"/>
      <w:numFmt w:val="decimal"/>
      <w:lvlText w:val="%4."/>
      <w:lvlJc w:val="left"/>
      <w:pPr>
        <w:ind w:left="3240" w:hanging="360"/>
      </w:pPr>
    </w:lvl>
    <w:lvl w:ilvl="4" w:tplc="081D0019" w:tentative="1">
      <w:start w:val="1"/>
      <w:numFmt w:val="lowerLetter"/>
      <w:lvlText w:val="%5."/>
      <w:lvlJc w:val="left"/>
      <w:pPr>
        <w:ind w:left="3960" w:hanging="360"/>
      </w:pPr>
    </w:lvl>
    <w:lvl w:ilvl="5" w:tplc="081D001B" w:tentative="1">
      <w:start w:val="1"/>
      <w:numFmt w:val="lowerRoman"/>
      <w:lvlText w:val="%6."/>
      <w:lvlJc w:val="right"/>
      <w:pPr>
        <w:ind w:left="4680" w:hanging="180"/>
      </w:pPr>
    </w:lvl>
    <w:lvl w:ilvl="6" w:tplc="081D000F" w:tentative="1">
      <w:start w:val="1"/>
      <w:numFmt w:val="decimal"/>
      <w:lvlText w:val="%7."/>
      <w:lvlJc w:val="left"/>
      <w:pPr>
        <w:ind w:left="5400" w:hanging="360"/>
      </w:pPr>
    </w:lvl>
    <w:lvl w:ilvl="7" w:tplc="081D0019" w:tentative="1">
      <w:start w:val="1"/>
      <w:numFmt w:val="lowerLetter"/>
      <w:lvlText w:val="%8."/>
      <w:lvlJc w:val="left"/>
      <w:pPr>
        <w:ind w:left="6120" w:hanging="360"/>
      </w:pPr>
    </w:lvl>
    <w:lvl w:ilvl="8" w:tplc="081D001B" w:tentative="1">
      <w:start w:val="1"/>
      <w:numFmt w:val="lowerRoman"/>
      <w:lvlText w:val="%9."/>
      <w:lvlJc w:val="right"/>
      <w:pPr>
        <w:ind w:left="6840" w:hanging="180"/>
      </w:pPr>
    </w:lvl>
  </w:abstractNum>
  <w:abstractNum w:abstractNumId="10" w15:restartNumberingAfterBreak="0">
    <w:nsid w:val="28306C22"/>
    <w:multiLevelType w:val="hybridMultilevel"/>
    <w:tmpl w:val="2356E340"/>
    <w:lvl w:ilvl="0" w:tplc="081D000F">
      <w:start w:val="1"/>
      <w:numFmt w:val="decimal"/>
      <w:lvlText w:val="%1."/>
      <w:lvlJc w:val="left"/>
      <w:pPr>
        <w:ind w:left="720" w:hanging="360"/>
      </w:p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1" w15:restartNumberingAfterBreak="0">
    <w:nsid w:val="2E6F2632"/>
    <w:multiLevelType w:val="hybridMultilevel"/>
    <w:tmpl w:val="F000D892"/>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2" w15:restartNumberingAfterBreak="0">
    <w:nsid w:val="3454308A"/>
    <w:multiLevelType w:val="hybridMultilevel"/>
    <w:tmpl w:val="69881CFC"/>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3" w15:restartNumberingAfterBreak="0">
    <w:nsid w:val="36E82124"/>
    <w:multiLevelType w:val="hybridMultilevel"/>
    <w:tmpl w:val="E9445A22"/>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4" w15:restartNumberingAfterBreak="0">
    <w:nsid w:val="40216C4E"/>
    <w:multiLevelType w:val="hybridMultilevel"/>
    <w:tmpl w:val="8F088AE2"/>
    <w:lvl w:ilvl="0" w:tplc="081D000F">
      <w:start w:val="1"/>
      <w:numFmt w:val="decimal"/>
      <w:lvlText w:val="%1."/>
      <w:lvlJc w:val="left"/>
      <w:pPr>
        <w:ind w:left="720" w:hanging="360"/>
      </w:p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6177F11"/>
    <w:multiLevelType w:val="hybridMultilevel"/>
    <w:tmpl w:val="E5DA71B4"/>
    <w:lvl w:ilvl="0" w:tplc="081D000F">
      <w:start w:val="1"/>
      <w:numFmt w:val="decimal"/>
      <w:lvlText w:val="%1."/>
      <w:lvlJc w:val="left"/>
      <w:pPr>
        <w:ind w:left="1080" w:hanging="360"/>
      </w:pPr>
    </w:lvl>
    <w:lvl w:ilvl="1" w:tplc="081D0019" w:tentative="1">
      <w:start w:val="1"/>
      <w:numFmt w:val="lowerLetter"/>
      <w:lvlText w:val="%2."/>
      <w:lvlJc w:val="left"/>
      <w:pPr>
        <w:ind w:left="1800" w:hanging="360"/>
      </w:pPr>
    </w:lvl>
    <w:lvl w:ilvl="2" w:tplc="081D001B" w:tentative="1">
      <w:start w:val="1"/>
      <w:numFmt w:val="lowerRoman"/>
      <w:lvlText w:val="%3."/>
      <w:lvlJc w:val="right"/>
      <w:pPr>
        <w:ind w:left="2520" w:hanging="180"/>
      </w:pPr>
    </w:lvl>
    <w:lvl w:ilvl="3" w:tplc="081D000F" w:tentative="1">
      <w:start w:val="1"/>
      <w:numFmt w:val="decimal"/>
      <w:lvlText w:val="%4."/>
      <w:lvlJc w:val="left"/>
      <w:pPr>
        <w:ind w:left="3240" w:hanging="360"/>
      </w:pPr>
    </w:lvl>
    <w:lvl w:ilvl="4" w:tplc="081D0019" w:tentative="1">
      <w:start w:val="1"/>
      <w:numFmt w:val="lowerLetter"/>
      <w:lvlText w:val="%5."/>
      <w:lvlJc w:val="left"/>
      <w:pPr>
        <w:ind w:left="3960" w:hanging="360"/>
      </w:pPr>
    </w:lvl>
    <w:lvl w:ilvl="5" w:tplc="081D001B" w:tentative="1">
      <w:start w:val="1"/>
      <w:numFmt w:val="lowerRoman"/>
      <w:lvlText w:val="%6."/>
      <w:lvlJc w:val="right"/>
      <w:pPr>
        <w:ind w:left="4680" w:hanging="180"/>
      </w:pPr>
    </w:lvl>
    <w:lvl w:ilvl="6" w:tplc="081D000F" w:tentative="1">
      <w:start w:val="1"/>
      <w:numFmt w:val="decimal"/>
      <w:lvlText w:val="%7."/>
      <w:lvlJc w:val="left"/>
      <w:pPr>
        <w:ind w:left="5400" w:hanging="360"/>
      </w:pPr>
    </w:lvl>
    <w:lvl w:ilvl="7" w:tplc="081D0019" w:tentative="1">
      <w:start w:val="1"/>
      <w:numFmt w:val="lowerLetter"/>
      <w:lvlText w:val="%8."/>
      <w:lvlJc w:val="left"/>
      <w:pPr>
        <w:ind w:left="6120" w:hanging="360"/>
      </w:pPr>
    </w:lvl>
    <w:lvl w:ilvl="8" w:tplc="081D001B" w:tentative="1">
      <w:start w:val="1"/>
      <w:numFmt w:val="lowerRoman"/>
      <w:lvlText w:val="%9."/>
      <w:lvlJc w:val="right"/>
      <w:pPr>
        <w:ind w:left="6840" w:hanging="180"/>
      </w:pPr>
    </w:lvl>
  </w:abstractNum>
  <w:abstractNum w:abstractNumId="17" w15:restartNumberingAfterBreak="0">
    <w:nsid w:val="57A81F5C"/>
    <w:multiLevelType w:val="hybridMultilevel"/>
    <w:tmpl w:val="1C10FA30"/>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8"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37435D4"/>
    <w:multiLevelType w:val="hybridMultilevel"/>
    <w:tmpl w:val="8668C5DA"/>
    <w:lvl w:ilvl="0" w:tplc="081D0011">
      <w:start w:val="1"/>
      <w:numFmt w:val="decimal"/>
      <w:lvlText w:val="%1)"/>
      <w:lvlJc w:val="left"/>
      <w:pPr>
        <w:ind w:left="720" w:hanging="360"/>
      </w:p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21" w15:restartNumberingAfterBreak="0">
    <w:nsid w:val="653E4F55"/>
    <w:multiLevelType w:val="hybridMultilevel"/>
    <w:tmpl w:val="774E7E2A"/>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2" w15:restartNumberingAfterBreak="0">
    <w:nsid w:val="6A365D3A"/>
    <w:multiLevelType w:val="hybridMultilevel"/>
    <w:tmpl w:val="6B52ACB6"/>
    <w:lvl w:ilvl="0" w:tplc="081D000F">
      <w:start w:val="1"/>
      <w:numFmt w:val="decimal"/>
      <w:lvlText w:val="%1."/>
      <w:lvlJc w:val="left"/>
      <w:pPr>
        <w:ind w:left="720" w:hanging="360"/>
      </w:p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23" w15:restartNumberingAfterBreak="0">
    <w:nsid w:val="6CA83AAC"/>
    <w:multiLevelType w:val="hybridMultilevel"/>
    <w:tmpl w:val="4B487938"/>
    <w:lvl w:ilvl="0" w:tplc="081D0011">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24" w15:restartNumberingAfterBreak="0">
    <w:nsid w:val="6D3E43DB"/>
    <w:multiLevelType w:val="hybridMultilevel"/>
    <w:tmpl w:val="E15AEBCE"/>
    <w:lvl w:ilvl="0" w:tplc="081D000F">
      <w:start w:val="1"/>
      <w:numFmt w:val="decimal"/>
      <w:lvlText w:val="%1."/>
      <w:lvlJc w:val="left"/>
      <w:pPr>
        <w:ind w:left="720" w:hanging="360"/>
      </w:pPr>
      <w:rPr>
        <w:rFonts w:hint="default"/>
      </w:rPr>
    </w:lvl>
    <w:lvl w:ilvl="1" w:tplc="F2C62522">
      <w:start w:val="4"/>
      <w:numFmt w:val="bullet"/>
      <w:lvlText w:val="•"/>
      <w:lvlJc w:val="left"/>
      <w:pPr>
        <w:ind w:left="1440" w:hanging="360"/>
      </w:pPr>
      <w:rPr>
        <w:rFonts w:ascii="Times New Roman" w:eastAsia="Times New Roman" w:hAnsi="Times New Roman" w:cs="Times New Roman" w:hint="default"/>
      </w:r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25" w15:restartNumberingAfterBreak="0">
    <w:nsid w:val="6E4D4C34"/>
    <w:multiLevelType w:val="hybridMultilevel"/>
    <w:tmpl w:val="437C40F0"/>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6" w15:restartNumberingAfterBreak="0">
    <w:nsid w:val="700D7490"/>
    <w:multiLevelType w:val="hybridMultilevel"/>
    <w:tmpl w:val="224E854A"/>
    <w:lvl w:ilvl="0" w:tplc="081D000F">
      <w:start w:val="1"/>
      <w:numFmt w:val="decimal"/>
      <w:lvlText w:val="%1."/>
      <w:lvlJc w:val="left"/>
      <w:pPr>
        <w:ind w:left="720" w:hanging="360"/>
      </w:p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num w:numId="1" w16cid:durableId="1973560710">
    <w:abstractNumId w:val="0"/>
  </w:num>
  <w:num w:numId="2" w16cid:durableId="1480996493">
    <w:abstractNumId w:val="18"/>
  </w:num>
  <w:num w:numId="3" w16cid:durableId="919829103">
    <w:abstractNumId w:val="19"/>
  </w:num>
  <w:num w:numId="4" w16cid:durableId="372778254">
    <w:abstractNumId w:val="15"/>
  </w:num>
  <w:num w:numId="5" w16cid:durableId="1841314201">
    <w:abstractNumId w:val="15"/>
  </w:num>
  <w:num w:numId="6" w16cid:durableId="488133002">
    <w:abstractNumId w:val="15"/>
  </w:num>
  <w:num w:numId="7" w16cid:durableId="388187561">
    <w:abstractNumId w:val="15"/>
  </w:num>
  <w:num w:numId="8" w16cid:durableId="1143817568">
    <w:abstractNumId w:val="15"/>
  </w:num>
  <w:num w:numId="9" w16cid:durableId="811101524">
    <w:abstractNumId w:val="15"/>
  </w:num>
  <w:num w:numId="10" w16cid:durableId="900017053">
    <w:abstractNumId w:val="15"/>
  </w:num>
  <w:num w:numId="11" w16cid:durableId="285235653">
    <w:abstractNumId w:val="15"/>
  </w:num>
  <w:num w:numId="12" w16cid:durableId="576326328">
    <w:abstractNumId w:val="15"/>
  </w:num>
  <w:num w:numId="13" w16cid:durableId="751048763">
    <w:abstractNumId w:val="25"/>
  </w:num>
  <w:num w:numId="14" w16cid:durableId="1827672337">
    <w:abstractNumId w:val="6"/>
  </w:num>
  <w:num w:numId="15" w16cid:durableId="952593777">
    <w:abstractNumId w:val="7"/>
  </w:num>
  <w:num w:numId="16" w16cid:durableId="1599555519">
    <w:abstractNumId w:val="24"/>
  </w:num>
  <w:num w:numId="17" w16cid:durableId="2025744510">
    <w:abstractNumId w:val="12"/>
  </w:num>
  <w:num w:numId="18" w16cid:durableId="1826243914">
    <w:abstractNumId w:val="26"/>
  </w:num>
  <w:num w:numId="19" w16cid:durableId="61031996">
    <w:abstractNumId w:val="23"/>
  </w:num>
  <w:num w:numId="20" w16cid:durableId="482770640">
    <w:abstractNumId w:val="22"/>
  </w:num>
  <w:num w:numId="21" w16cid:durableId="535318224">
    <w:abstractNumId w:val="8"/>
  </w:num>
  <w:num w:numId="22" w16cid:durableId="1853564121">
    <w:abstractNumId w:val="20"/>
  </w:num>
  <w:num w:numId="23" w16cid:durableId="2029015477">
    <w:abstractNumId w:val="13"/>
  </w:num>
  <w:num w:numId="24" w16cid:durableId="619146860">
    <w:abstractNumId w:val="2"/>
  </w:num>
  <w:num w:numId="25" w16cid:durableId="797993414">
    <w:abstractNumId w:val="17"/>
  </w:num>
  <w:num w:numId="26" w16cid:durableId="1260799518">
    <w:abstractNumId w:val="21"/>
  </w:num>
  <w:num w:numId="27" w16cid:durableId="1445464292">
    <w:abstractNumId w:val="4"/>
  </w:num>
  <w:num w:numId="28" w16cid:durableId="1154905850">
    <w:abstractNumId w:val="16"/>
  </w:num>
  <w:num w:numId="29" w16cid:durableId="1063718444">
    <w:abstractNumId w:val="14"/>
  </w:num>
  <w:num w:numId="30" w16cid:durableId="1288856280">
    <w:abstractNumId w:val="3"/>
  </w:num>
  <w:num w:numId="31" w16cid:durableId="1933852668">
    <w:abstractNumId w:val="5"/>
  </w:num>
  <w:num w:numId="32" w16cid:durableId="646125399">
    <w:abstractNumId w:val="9"/>
  </w:num>
  <w:num w:numId="33" w16cid:durableId="1531259841">
    <w:abstractNumId w:val="10"/>
  </w:num>
  <w:num w:numId="34" w16cid:durableId="1922332061">
    <w:abstractNumId w:val="11"/>
  </w:num>
  <w:num w:numId="35" w16cid:durableId="1138885829">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1304"/>
  <w:autoHyphenation/>
  <w:hyphenationZone w:val="142"/>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921"/>
    <w:rsid w:val="00000056"/>
    <w:rsid w:val="000011CD"/>
    <w:rsid w:val="00003C40"/>
    <w:rsid w:val="00004B5F"/>
    <w:rsid w:val="0001184B"/>
    <w:rsid w:val="00011C23"/>
    <w:rsid w:val="00012C36"/>
    <w:rsid w:val="000146BD"/>
    <w:rsid w:val="00014848"/>
    <w:rsid w:val="00014A5E"/>
    <w:rsid w:val="00014BEE"/>
    <w:rsid w:val="00015A68"/>
    <w:rsid w:val="000255C5"/>
    <w:rsid w:val="00026536"/>
    <w:rsid w:val="00030301"/>
    <w:rsid w:val="00030FAB"/>
    <w:rsid w:val="00033964"/>
    <w:rsid w:val="000377AA"/>
    <w:rsid w:val="0004011E"/>
    <w:rsid w:val="00044574"/>
    <w:rsid w:val="00044AE6"/>
    <w:rsid w:val="00074B9D"/>
    <w:rsid w:val="00077F98"/>
    <w:rsid w:val="0008230A"/>
    <w:rsid w:val="00082834"/>
    <w:rsid w:val="00082877"/>
    <w:rsid w:val="0008297D"/>
    <w:rsid w:val="00083983"/>
    <w:rsid w:val="000844AA"/>
    <w:rsid w:val="00084D4B"/>
    <w:rsid w:val="0008627D"/>
    <w:rsid w:val="00090367"/>
    <w:rsid w:val="0009110B"/>
    <w:rsid w:val="00091890"/>
    <w:rsid w:val="00092271"/>
    <w:rsid w:val="00094358"/>
    <w:rsid w:val="00094F74"/>
    <w:rsid w:val="00094FFD"/>
    <w:rsid w:val="000A0D46"/>
    <w:rsid w:val="000A34B3"/>
    <w:rsid w:val="000A36BA"/>
    <w:rsid w:val="000A41C3"/>
    <w:rsid w:val="000A78A6"/>
    <w:rsid w:val="000A7E29"/>
    <w:rsid w:val="000B0425"/>
    <w:rsid w:val="000B0731"/>
    <w:rsid w:val="000B07E4"/>
    <w:rsid w:val="000B764F"/>
    <w:rsid w:val="000C43E4"/>
    <w:rsid w:val="000C5CCB"/>
    <w:rsid w:val="000C6D08"/>
    <w:rsid w:val="000C7404"/>
    <w:rsid w:val="000C7BE8"/>
    <w:rsid w:val="000D0CBD"/>
    <w:rsid w:val="000D20DF"/>
    <w:rsid w:val="000D3EFB"/>
    <w:rsid w:val="000D4572"/>
    <w:rsid w:val="000D74FD"/>
    <w:rsid w:val="000D78AD"/>
    <w:rsid w:val="000E22E0"/>
    <w:rsid w:val="000E4FB3"/>
    <w:rsid w:val="000F0A8E"/>
    <w:rsid w:val="000F483B"/>
    <w:rsid w:val="000F5DFA"/>
    <w:rsid w:val="000F5DFF"/>
    <w:rsid w:val="000F5E33"/>
    <w:rsid w:val="001000AE"/>
    <w:rsid w:val="00100618"/>
    <w:rsid w:val="00102D8A"/>
    <w:rsid w:val="001030F9"/>
    <w:rsid w:val="00104A37"/>
    <w:rsid w:val="001059E4"/>
    <w:rsid w:val="001102D9"/>
    <w:rsid w:val="0011320A"/>
    <w:rsid w:val="00130D25"/>
    <w:rsid w:val="00141BE0"/>
    <w:rsid w:val="0014377D"/>
    <w:rsid w:val="00144B9F"/>
    <w:rsid w:val="00145C28"/>
    <w:rsid w:val="00150FD3"/>
    <w:rsid w:val="00152638"/>
    <w:rsid w:val="001575C6"/>
    <w:rsid w:val="00160B49"/>
    <w:rsid w:val="001639E0"/>
    <w:rsid w:val="0016414A"/>
    <w:rsid w:val="0016599C"/>
    <w:rsid w:val="00165C2E"/>
    <w:rsid w:val="00166512"/>
    <w:rsid w:val="0016661E"/>
    <w:rsid w:val="00167F54"/>
    <w:rsid w:val="001722E9"/>
    <w:rsid w:val="001737F3"/>
    <w:rsid w:val="0017385B"/>
    <w:rsid w:val="001774AE"/>
    <w:rsid w:val="001805E1"/>
    <w:rsid w:val="0018060C"/>
    <w:rsid w:val="001816CE"/>
    <w:rsid w:val="0018522D"/>
    <w:rsid w:val="0018646B"/>
    <w:rsid w:val="001868FA"/>
    <w:rsid w:val="001870E5"/>
    <w:rsid w:val="001917C2"/>
    <w:rsid w:val="001926B7"/>
    <w:rsid w:val="001A1594"/>
    <w:rsid w:val="001A39BC"/>
    <w:rsid w:val="001A4341"/>
    <w:rsid w:val="001B00C0"/>
    <w:rsid w:val="001B2A3D"/>
    <w:rsid w:val="001B2DE5"/>
    <w:rsid w:val="001B2E84"/>
    <w:rsid w:val="001B507F"/>
    <w:rsid w:val="001B746D"/>
    <w:rsid w:val="001B79E9"/>
    <w:rsid w:val="001C59A8"/>
    <w:rsid w:val="001C640D"/>
    <w:rsid w:val="001C643F"/>
    <w:rsid w:val="001C7A7B"/>
    <w:rsid w:val="001C7CC6"/>
    <w:rsid w:val="001D17C5"/>
    <w:rsid w:val="001D3709"/>
    <w:rsid w:val="001D3D01"/>
    <w:rsid w:val="001D49A1"/>
    <w:rsid w:val="001D5265"/>
    <w:rsid w:val="001D709E"/>
    <w:rsid w:val="001E0767"/>
    <w:rsid w:val="001E25CC"/>
    <w:rsid w:val="001E45A8"/>
    <w:rsid w:val="001E4C79"/>
    <w:rsid w:val="001F43DD"/>
    <w:rsid w:val="001F4B0A"/>
    <w:rsid w:val="001F5B60"/>
    <w:rsid w:val="00202894"/>
    <w:rsid w:val="00202FCA"/>
    <w:rsid w:val="00203320"/>
    <w:rsid w:val="0020472D"/>
    <w:rsid w:val="002113D4"/>
    <w:rsid w:val="00211E21"/>
    <w:rsid w:val="00211EA7"/>
    <w:rsid w:val="002165B5"/>
    <w:rsid w:val="00221500"/>
    <w:rsid w:val="002225BC"/>
    <w:rsid w:val="00223D0A"/>
    <w:rsid w:val="00224220"/>
    <w:rsid w:val="00225BE4"/>
    <w:rsid w:val="00225F4C"/>
    <w:rsid w:val="00226534"/>
    <w:rsid w:val="002276E4"/>
    <w:rsid w:val="00227E74"/>
    <w:rsid w:val="00231A42"/>
    <w:rsid w:val="00232175"/>
    <w:rsid w:val="002326FD"/>
    <w:rsid w:val="0023271F"/>
    <w:rsid w:val="002355F1"/>
    <w:rsid w:val="00235757"/>
    <w:rsid w:val="00235891"/>
    <w:rsid w:val="00237B6E"/>
    <w:rsid w:val="0024162D"/>
    <w:rsid w:val="002443D0"/>
    <w:rsid w:val="00244D24"/>
    <w:rsid w:val="0024559D"/>
    <w:rsid w:val="002539FA"/>
    <w:rsid w:val="00256A41"/>
    <w:rsid w:val="00257229"/>
    <w:rsid w:val="00257494"/>
    <w:rsid w:val="002575CC"/>
    <w:rsid w:val="00260453"/>
    <w:rsid w:val="0026199C"/>
    <w:rsid w:val="00262871"/>
    <w:rsid w:val="0026556F"/>
    <w:rsid w:val="00267973"/>
    <w:rsid w:val="0027118D"/>
    <w:rsid w:val="002741A2"/>
    <w:rsid w:val="00280A97"/>
    <w:rsid w:val="0028266B"/>
    <w:rsid w:val="00282E64"/>
    <w:rsid w:val="00285455"/>
    <w:rsid w:val="00287167"/>
    <w:rsid w:val="00291ACC"/>
    <w:rsid w:val="0029204E"/>
    <w:rsid w:val="002938E9"/>
    <w:rsid w:val="00295002"/>
    <w:rsid w:val="0029783E"/>
    <w:rsid w:val="002A0FD7"/>
    <w:rsid w:val="002A15F1"/>
    <w:rsid w:val="002A2316"/>
    <w:rsid w:val="002A4129"/>
    <w:rsid w:val="002A42E8"/>
    <w:rsid w:val="002A5FAF"/>
    <w:rsid w:val="002A757A"/>
    <w:rsid w:val="002B260A"/>
    <w:rsid w:val="002B7BB4"/>
    <w:rsid w:val="002C1F2D"/>
    <w:rsid w:val="002C2EC4"/>
    <w:rsid w:val="002C3FE0"/>
    <w:rsid w:val="002D2A80"/>
    <w:rsid w:val="002D33F5"/>
    <w:rsid w:val="002D59BA"/>
    <w:rsid w:val="002E1686"/>
    <w:rsid w:val="002E1C8B"/>
    <w:rsid w:val="002E235B"/>
    <w:rsid w:val="002E24B9"/>
    <w:rsid w:val="002E6964"/>
    <w:rsid w:val="002E759A"/>
    <w:rsid w:val="002E7F45"/>
    <w:rsid w:val="002F499A"/>
    <w:rsid w:val="002F5DA6"/>
    <w:rsid w:val="0030269B"/>
    <w:rsid w:val="00307CFD"/>
    <w:rsid w:val="00310AD9"/>
    <w:rsid w:val="00312506"/>
    <w:rsid w:val="00312B6A"/>
    <w:rsid w:val="00312BFF"/>
    <w:rsid w:val="003145E1"/>
    <w:rsid w:val="003178DF"/>
    <w:rsid w:val="00323CEB"/>
    <w:rsid w:val="00326A86"/>
    <w:rsid w:val="00327B29"/>
    <w:rsid w:val="00327D23"/>
    <w:rsid w:val="00334FCF"/>
    <w:rsid w:val="003361BE"/>
    <w:rsid w:val="00337707"/>
    <w:rsid w:val="00337718"/>
    <w:rsid w:val="00340901"/>
    <w:rsid w:val="00341828"/>
    <w:rsid w:val="00342FC4"/>
    <w:rsid w:val="003443DD"/>
    <w:rsid w:val="003478C5"/>
    <w:rsid w:val="0035006E"/>
    <w:rsid w:val="00356FB7"/>
    <w:rsid w:val="00360B60"/>
    <w:rsid w:val="00363167"/>
    <w:rsid w:val="003648FF"/>
    <w:rsid w:val="00367500"/>
    <w:rsid w:val="003703F3"/>
    <w:rsid w:val="00372B5E"/>
    <w:rsid w:val="00372F77"/>
    <w:rsid w:val="003827A7"/>
    <w:rsid w:val="00385985"/>
    <w:rsid w:val="00392CFC"/>
    <w:rsid w:val="00392E63"/>
    <w:rsid w:val="003934EF"/>
    <w:rsid w:val="0039387D"/>
    <w:rsid w:val="00396341"/>
    <w:rsid w:val="003A2392"/>
    <w:rsid w:val="003A719D"/>
    <w:rsid w:val="003A792B"/>
    <w:rsid w:val="003B1698"/>
    <w:rsid w:val="003B3A56"/>
    <w:rsid w:val="003B6D74"/>
    <w:rsid w:val="003B790F"/>
    <w:rsid w:val="003B7FEC"/>
    <w:rsid w:val="003C5808"/>
    <w:rsid w:val="003D11AB"/>
    <w:rsid w:val="003D255A"/>
    <w:rsid w:val="003D3129"/>
    <w:rsid w:val="003D343A"/>
    <w:rsid w:val="003D3CED"/>
    <w:rsid w:val="003D7171"/>
    <w:rsid w:val="003E1BCC"/>
    <w:rsid w:val="003E1F03"/>
    <w:rsid w:val="003E23B1"/>
    <w:rsid w:val="003E2EC1"/>
    <w:rsid w:val="003E5242"/>
    <w:rsid w:val="003E7E6A"/>
    <w:rsid w:val="003F0771"/>
    <w:rsid w:val="003F530E"/>
    <w:rsid w:val="003F7BD1"/>
    <w:rsid w:val="00402BBD"/>
    <w:rsid w:val="004077BF"/>
    <w:rsid w:val="004120FC"/>
    <w:rsid w:val="0041218A"/>
    <w:rsid w:val="00412CCE"/>
    <w:rsid w:val="00416858"/>
    <w:rsid w:val="0041740D"/>
    <w:rsid w:val="004216E7"/>
    <w:rsid w:val="004250DD"/>
    <w:rsid w:val="004308AD"/>
    <w:rsid w:val="0043106B"/>
    <w:rsid w:val="004319BC"/>
    <w:rsid w:val="00432652"/>
    <w:rsid w:val="0043311F"/>
    <w:rsid w:val="004336EB"/>
    <w:rsid w:val="0043595B"/>
    <w:rsid w:val="004408DC"/>
    <w:rsid w:val="00440F7A"/>
    <w:rsid w:val="00441B14"/>
    <w:rsid w:val="00443741"/>
    <w:rsid w:val="004541C7"/>
    <w:rsid w:val="004555EE"/>
    <w:rsid w:val="00457108"/>
    <w:rsid w:val="004572A6"/>
    <w:rsid w:val="00457E7F"/>
    <w:rsid w:val="00464929"/>
    <w:rsid w:val="00464E03"/>
    <w:rsid w:val="00465119"/>
    <w:rsid w:val="004657CE"/>
    <w:rsid w:val="0047337D"/>
    <w:rsid w:val="0047743A"/>
    <w:rsid w:val="00480C34"/>
    <w:rsid w:val="00481433"/>
    <w:rsid w:val="004826A8"/>
    <w:rsid w:val="004829E9"/>
    <w:rsid w:val="00482E3D"/>
    <w:rsid w:val="0048403F"/>
    <w:rsid w:val="00493E5A"/>
    <w:rsid w:val="004A19E1"/>
    <w:rsid w:val="004A5121"/>
    <w:rsid w:val="004A5909"/>
    <w:rsid w:val="004A6BA1"/>
    <w:rsid w:val="004B504F"/>
    <w:rsid w:val="004B512F"/>
    <w:rsid w:val="004B593F"/>
    <w:rsid w:val="004B6D33"/>
    <w:rsid w:val="004B746A"/>
    <w:rsid w:val="004C049C"/>
    <w:rsid w:val="004C27AD"/>
    <w:rsid w:val="004C58F8"/>
    <w:rsid w:val="004D17D8"/>
    <w:rsid w:val="004D2615"/>
    <w:rsid w:val="004D45C4"/>
    <w:rsid w:val="004D63AC"/>
    <w:rsid w:val="004E0522"/>
    <w:rsid w:val="004E0A10"/>
    <w:rsid w:val="004E0BCB"/>
    <w:rsid w:val="004E3574"/>
    <w:rsid w:val="004F0466"/>
    <w:rsid w:val="004F0B82"/>
    <w:rsid w:val="004F0BB7"/>
    <w:rsid w:val="004F30A7"/>
    <w:rsid w:val="00500752"/>
    <w:rsid w:val="00503392"/>
    <w:rsid w:val="005049FD"/>
    <w:rsid w:val="00504D83"/>
    <w:rsid w:val="005065D3"/>
    <w:rsid w:val="00510367"/>
    <w:rsid w:val="005104BF"/>
    <w:rsid w:val="00511A33"/>
    <w:rsid w:val="00514764"/>
    <w:rsid w:val="00515BEE"/>
    <w:rsid w:val="00516FE0"/>
    <w:rsid w:val="00520FF1"/>
    <w:rsid w:val="005218D8"/>
    <w:rsid w:val="00522416"/>
    <w:rsid w:val="0052432C"/>
    <w:rsid w:val="00524A82"/>
    <w:rsid w:val="00524EE9"/>
    <w:rsid w:val="0052731E"/>
    <w:rsid w:val="005319DE"/>
    <w:rsid w:val="00532C8D"/>
    <w:rsid w:val="00533CB8"/>
    <w:rsid w:val="00533EEF"/>
    <w:rsid w:val="00534321"/>
    <w:rsid w:val="00536056"/>
    <w:rsid w:val="00542D2B"/>
    <w:rsid w:val="00544CC0"/>
    <w:rsid w:val="005460BD"/>
    <w:rsid w:val="00546DB3"/>
    <w:rsid w:val="00547B8B"/>
    <w:rsid w:val="005506A3"/>
    <w:rsid w:val="00551D2B"/>
    <w:rsid w:val="00561571"/>
    <w:rsid w:val="0057718F"/>
    <w:rsid w:val="005834B6"/>
    <w:rsid w:val="005864C1"/>
    <w:rsid w:val="005924E2"/>
    <w:rsid w:val="00592873"/>
    <w:rsid w:val="00593785"/>
    <w:rsid w:val="00593CCF"/>
    <w:rsid w:val="00597E43"/>
    <w:rsid w:val="005A20EC"/>
    <w:rsid w:val="005A4C8D"/>
    <w:rsid w:val="005A5080"/>
    <w:rsid w:val="005A65E0"/>
    <w:rsid w:val="005A6B91"/>
    <w:rsid w:val="005B002E"/>
    <w:rsid w:val="005B1564"/>
    <w:rsid w:val="005C08E2"/>
    <w:rsid w:val="005C4ABC"/>
    <w:rsid w:val="005C6C76"/>
    <w:rsid w:val="005E01A4"/>
    <w:rsid w:val="005E7BEC"/>
    <w:rsid w:val="005E7D73"/>
    <w:rsid w:val="005F1DF9"/>
    <w:rsid w:val="005F2794"/>
    <w:rsid w:val="005F4C26"/>
    <w:rsid w:val="005F4C2A"/>
    <w:rsid w:val="005F4FCF"/>
    <w:rsid w:val="005F5346"/>
    <w:rsid w:val="00600CE2"/>
    <w:rsid w:val="00601408"/>
    <w:rsid w:val="00611BE8"/>
    <w:rsid w:val="00615172"/>
    <w:rsid w:val="00621CD2"/>
    <w:rsid w:val="00622636"/>
    <w:rsid w:val="0062523D"/>
    <w:rsid w:val="00625FAB"/>
    <w:rsid w:val="00627530"/>
    <w:rsid w:val="006310E2"/>
    <w:rsid w:val="006330F2"/>
    <w:rsid w:val="0063472D"/>
    <w:rsid w:val="00634A6C"/>
    <w:rsid w:val="00635405"/>
    <w:rsid w:val="00636EF7"/>
    <w:rsid w:val="006377A2"/>
    <w:rsid w:val="00637F23"/>
    <w:rsid w:val="00642C9A"/>
    <w:rsid w:val="00645FA5"/>
    <w:rsid w:val="00647D5A"/>
    <w:rsid w:val="00647DFE"/>
    <w:rsid w:val="00650CD0"/>
    <w:rsid w:val="00651F19"/>
    <w:rsid w:val="006537DD"/>
    <w:rsid w:val="00654584"/>
    <w:rsid w:val="00654C3B"/>
    <w:rsid w:val="00656186"/>
    <w:rsid w:val="006568F0"/>
    <w:rsid w:val="0065786A"/>
    <w:rsid w:val="0066077E"/>
    <w:rsid w:val="00662788"/>
    <w:rsid w:val="00663425"/>
    <w:rsid w:val="00663D1D"/>
    <w:rsid w:val="00664AC6"/>
    <w:rsid w:val="00667E83"/>
    <w:rsid w:val="006723CA"/>
    <w:rsid w:val="00673227"/>
    <w:rsid w:val="006763E2"/>
    <w:rsid w:val="00684A01"/>
    <w:rsid w:val="00685827"/>
    <w:rsid w:val="0069219D"/>
    <w:rsid w:val="0069671A"/>
    <w:rsid w:val="00696754"/>
    <w:rsid w:val="006A2277"/>
    <w:rsid w:val="006A359D"/>
    <w:rsid w:val="006A615B"/>
    <w:rsid w:val="006B0625"/>
    <w:rsid w:val="006B6216"/>
    <w:rsid w:val="006B633C"/>
    <w:rsid w:val="006B7EA7"/>
    <w:rsid w:val="006C17F3"/>
    <w:rsid w:val="006C5D0B"/>
    <w:rsid w:val="006C6106"/>
    <w:rsid w:val="006D1306"/>
    <w:rsid w:val="006D348F"/>
    <w:rsid w:val="006D41A2"/>
    <w:rsid w:val="006D4356"/>
    <w:rsid w:val="006D6BAB"/>
    <w:rsid w:val="006D7416"/>
    <w:rsid w:val="006D7A37"/>
    <w:rsid w:val="006E065F"/>
    <w:rsid w:val="006E2C35"/>
    <w:rsid w:val="006E4DAF"/>
    <w:rsid w:val="006E5340"/>
    <w:rsid w:val="006E6089"/>
    <w:rsid w:val="006E7EE9"/>
    <w:rsid w:val="006F053F"/>
    <w:rsid w:val="006F1E2C"/>
    <w:rsid w:val="006F20AF"/>
    <w:rsid w:val="006F5565"/>
    <w:rsid w:val="006F7570"/>
    <w:rsid w:val="00704AE7"/>
    <w:rsid w:val="00705091"/>
    <w:rsid w:val="0071027C"/>
    <w:rsid w:val="0071075B"/>
    <w:rsid w:val="0071540E"/>
    <w:rsid w:val="00720B33"/>
    <w:rsid w:val="00722128"/>
    <w:rsid w:val="00722B08"/>
    <w:rsid w:val="007255A7"/>
    <w:rsid w:val="00726D16"/>
    <w:rsid w:val="00730AC7"/>
    <w:rsid w:val="00731AB7"/>
    <w:rsid w:val="00731D1A"/>
    <w:rsid w:val="0073283A"/>
    <w:rsid w:val="00732D44"/>
    <w:rsid w:val="00733759"/>
    <w:rsid w:val="00740B83"/>
    <w:rsid w:val="007416C2"/>
    <w:rsid w:val="007456D4"/>
    <w:rsid w:val="00745B53"/>
    <w:rsid w:val="007464D9"/>
    <w:rsid w:val="00751028"/>
    <w:rsid w:val="00751DA7"/>
    <w:rsid w:val="00752B61"/>
    <w:rsid w:val="007534A8"/>
    <w:rsid w:val="00753F34"/>
    <w:rsid w:val="00756474"/>
    <w:rsid w:val="00761B43"/>
    <w:rsid w:val="00762A96"/>
    <w:rsid w:val="007638E1"/>
    <w:rsid w:val="00764331"/>
    <w:rsid w:val="00764961"/>
    <w:rsid w:val="00770D95"/>
    <w:rsid w:val="007750E4"/>
    <w:rsid w:val="0077673A"/>
    <w:rsid w:val="007769A1"/>
    <w:rsid w:val="00777623"/>
    <w:rsid w:val="007776A9"/>
    <w:rsid w:val="00777BF0"/>
    <w:rsid w:val="0078058F"/>
    <w:rsid w:val="007805B3"/>
    <w:rsid w:val="007815D6"/>
    <w:rsid w:val="00783E5A"/>
    <w:rsid w:val="00785249"/>
    <w:rsid w:val="007853E3"/>
    <w:rsid w:val="00785BD4"/>
    <w:rsid w:val="0078702C"/>
    <w:rsid w:val="00787E26"/>
    <w:rsid w:val="00797013"/>
    <w:rsid w:val="0079716B"/>
    <w:rsid w:val="00797873"/>
    <w:rsid w:val="00797E36"/>
    <w:rsid w:val="007A0BCB"/>
    <w:rsid w:val="007A1E3D"/>
    <w:rsid w:val="007A274E"/>
    <w:rsid w:val="007A2D95"/>
    <w:rsid w:val="007A3677"/>
    <w:rsid w:val="007A44A8"/>
    <w:rsid w:val="007A5FB2"/>
    <w:rsid w:val="007B1ED9"/>
    <w:rsid w:val="007B2C92"/>
    <w:rsid w:val="007B35AA"/>
    <w:rsid w:val="007B4383"/>
    <w:rsid w:val="007B56D3"/>
    <w:rsid w:val="007B5EEA"/>
    <w:rsid w:val="007B68BF"/>
    <w:rsid w:val="007B7454"/>
    <w:rsid w:val="007B76E7"/>
    <w:rsid w:val="007C0534"/>
    <w:rsid w:val="007C1D11"/>
    <w:rsid w:val="007C23E5"/>
    <w:rsid w:val="007C2489"/>
    <w:rsid w:val="007C27A2"/>
    <w:rsid w:val="007C3289"/>
    <w:rsid w:val="007C3C8A"/>
    <w:rsid w:val="007C4DC3"/>
    <w:rsid w:val="007C64F8"/>
    <w:rsid w:val="007D78F7"/>
    <w:rsid w:val="007E0C96"/>
    <w:rsid w:val="007E1893"/>
    <w:rsid w:val="007E2232"/>
    <w:rsid w:val="007E3597"/>
    <w:rsid w:val="007F346F"/>
    <w:rsid w:val="007F3EEE"/>
    <w:rsid w:val="007F4549"/>
    <w:rsid w:val="007F7257"/>
    <w:rsid w:val="007F78B3"/>
    <w:rsid w:val="00800EA6"/>
    <w:rsid w:val="00802764"/>
    <w:rsid w:val="008038A9"/>
    <w:rsid w:val="008038EE"/>
    <w:rsid w:val="00803E6D"/>
    <w:rsid w:val="008045EC"/>
    <w:rsid w:val="00804701"/>
    <w:rsid w:val="00804B7D"/>
    <w:rsid w:val="00810EF8"/>
    <w:rsid w:val="00811625"/>
    <w:rsid w:val="00812A8C"/>
    <w:rsid w:val="00816B91"/>
    <w:rsid w:val="0081780F"/>
    <w:rsid w:val="00817D14"/>
    <w:rsid w:val="00821A4C"/>
    <w:rsid w:val="00826CC6"/>
    <w:rsid w:val="008270B9"/>
    <w:rsid w:val="008303D6"/>
    <w:rsid w:val="00830518"/>
    <w:rsid w:val="008314C4"/>
    <w:rsid w:val="00831D82"/>
    <w:rsid w:val="00832C9B"/>
    <w:rsid w:val="008346F7"/>
    <w:rsid w:val="00834DB3"/>
    <w:rsid w:val="00836E03"/>
    <w:rsid w:val="0083783B"/>
    <w:rsid w:val="00841F02"/>
    <w:rsid w:val="00842463"/>
    <w:rsid w:val="00843207"/>
    <w:rsid w:val="008450DA"/>
    <w:rsid w:val="008455D3"/>
    <w:rsid w:val="008478CC"/>
    <w:rsid w:val="00852AB4"/>
    <w:rsid w:val="00856DD2"/>
    <w:rsid w:val="00862FE6"/>
    <w:rsid w:val="0086304C"/>
    <w:rsid w:val="00863397"/>
    <w:rsid w:val="00863B73"/>
    <w:rsid w:val="00865217"/>
    <w:rsid w:val="0086527B"/>
    <w:rsid w:val="00865793"/>
    <w:rsid w:val="0087382E"/>
    <w:rsid w:val="008749EA"/>
    <w:rsid w:val="00876481"/>
    <w:rsid w:val="0087652B"/>
    <w:rsid w:val="00876AC1"/>
    <w:rsid w:val="008811DE"/>
    <w:rsid w:val="00883980"/>
    <w:rsid w:val="00883D43"/>
    <w:rsid w:val="0088412C"/>
    <w:rsid w:val="00887343"/>
    <w:rsid w:val="0089457E"/>
    <w:rsid w:val="008A11AB"/>
    <w:rsid w:val="008A2D3A"/>
    <w:rsid w:val="008A386D"/>
    <w:rsid w:val="008A47F5"/>
    <w:rsid w:val="008A4C56"/>
    <w:rsid w:val="008A4F2A"/>
    <w:rsid w:val="008A764D"/>
    <w:rsid w:val="008B18CF"/>
    <w:rsid w:val="008B35FE"/>
    <w:rsid w:val="008B6AB8"/>
    <w:rsid w:val="008B7AC1"/>
    <w:rsid w:val="008C07ED"/>
    <w:rsid w:val="008C12CE"/>
    <w:rsid w:val="008C2CD5"/>
    <w:rsid w:val="008C649F"/>
    <w:rsid w:val="008C7046"/>
    <w:rsid w:val="008C76B4"/>
    <w:rsid w:val="008D49FC"/>
    <w:rsid w:val="008E14DB"/>
    <w:rsid w:val="008E6905"/>
    <w:rsid w:val="008F031F"/>
    <w:rsid w:val="008F2201"/>
    <w:rsid w:val="008F28D0"/>
    <w:rsid w:val="008F2AE1"/>
    <w:rsid w:val="008F492B"/>
    <w:rsid w:val="008F7804"/>
    <w:rsid w:val="0090098B"/>
    <w:rsid w:val="00900C31"/>
    <w:rsid w:val="00901F45"/>
    <w:rsid w:val="00903059"/>
    <w:rsid w:val="0090583B"/>
    <w:rsid w:val="00913433"/>
    <w:rsid w:val="009155C9"/>
    <w:rsid w:val="00917A37"/>
    <w:rsid w:val="009207B6"/>
    <w:rsid w:val="00920B1B"/>
    <w:rsid w:val="00925A55"/>
    <w:rsid w:val="00932A5B"/>
    <w:rsid w:val="00933132"/>
    <w:rsid w:val="00935DC5"/>
    <w:rsid w:val="0093627C"/>
    <w:rsid w:val="00941DF7"/>
    <w:rsid w:val="00942F33"/>
    <w:rsid w:val="0094413F"/>
    <w:rsid w:val="009451C3"/>
    <w:rsid w:val="009461DB"/>
    <w:rsid w:val="009465A3"/>
    <w:rsid w:val="0095173B"/>
    <w:rsid w:val="00951C56"/>
    <w:rsid w:val="00952BEB"/>
    <w:rsid w:val="00953401"/>
    <w:rsid w:val="00955469"/>
    <w:rsid w:val="009568CB"/>
    <w:rsid w:val="00956AEE"/>
    <w:rsid w:val="009572CC"/>
    <w:rsid w:val="009604AD"/>
    <w:rsid w:val="009613E1"/>
    <w:rsid w:val="0096496F"/>
    <w:rsid w:val="00966B3C"/>
    <w:rsid w:val="0097088E"/>
    <w:rsid w:val="00974786"/>
    <w:rsid w:val="009751AE"/>
    <w:rsid w:val="00976FF3"/>
    <w:rsid w:val="00980723"/>
    <w:rsid w:val="00983545"/>
    <w:rsid w:val="009848BC"/>
    <w:rsid w:val="00984F63"/>
    <w:rsid w:val="009850AC"/>
    <w:rsid w:val="00990363"/>
    <w:rsid w:val="00994C75"/>
    <w:rsid w:val="0099716D"/>
    <w:rsid w:val="009A2CA2"/>
    <w:rsid w:val="009A3C61"/>
    <w:rsid w:val="009A3D59"/>
    <w:rsid w:val="009B0488"/>
    <w:rsid w:val="009B24CA"/>
    <w:rsid w:val="009C1D9F"/>
    <w:rsid w:val="009C2E72"/>
    <w:rsid w:val="009C564E"/>
    <w:rsid w:val="009C5D0E"/>
    <w:rsid w:val="009C6526"/>
    <w:rsid w:val="009C776C"/>
    <w:rsid w:val="009D231C"/>
    <w:rsid w:val="009D5FDC"/>
    <w:rsid w:val="009E1B4E"/>
    <w:rsid w:val="009E1ED2"/>
    <w:rsid w:val="009E3220"/>
    <w:rsid w:val="009E35CD"/>
    <w:rsid w:val="009E5F70"/>
    <w:rsid w:val="009E5FF5"/>
    <w:rsid w:val="009E61BB"/>
    <w:rsid w:val="009E6CF2"/>
    <w:rsid w:val="009E7A64"/>
    <w:rsid w:val="009F0FCB"/>
    <w:rsid w:val="009F32BE"/>
    <w:rsid w:val="009F3470"/>
    <w:rsid w:val="009F3A71"/>
    <w:rsid w:val="009F6694"/>
    <w:rsid w:val="00A004C8"/>
    <w:rsid w:val="00A00ECA"/>
    <w:rsid w:val="00A033C8"/>
    <w:rsid w:val="00A039C0"/>
    <w:rsid w:val="00A03F94"/>
    <w:rsid w:val="00A06823"/>
    <w:rsid w:val="00A121C0"/>
    <w:rsid w:val="00A12303"/>
    <w:rsid w:val="00A13CA7"/>
    <w:rsid w:val="00A14A9D"/>
    <w:rsid w:val="00A1543B"/>
    <w:rsid w:val="00A159CC"/>
    <w:rsid w:val="00A15FB7"/>
    <w:rsid w:val="00A17586"/>
    <w:rsid w:val="00A21F28"/>
    <w:rsid w:val="00A22255"/>
    <w:rsid w:val="00A2393F"/>
    <w:rsid w:val="00A255FB"/>
    <w:rsid w:val="00A25F3F"/>
    <w:rsid w:val="00A2646E"/>
    <w:rsid w:val="00A26671"/>
    <w:rsid w:val="00A316C5"/>
    <w:rsid w:val="00A32351"/>
    <w:rsid w:val="00A32C29"/>
    <w:rsid w:val="00A3638B"/>
    <w:rsid w:val="00A377D1"/>
    <w:rsid w:val="00A4191D"/>
    <w:rsid w:val="00A446C2"/>
    <w:rsid w:val="00A47ABA"/>
    <w:rsid w:val="00A50DAB"/>
    <w:rsid w:val="00A56472"/>
    <w:rsid w:val="00A617E1"/>
    <w:rsid w:val="00A63448"/>
    <w:rsid w:val="00A655B6"/>
    <w:rsid w:val="00A703B2"/>
    <w:rsid w:val="00A71D72"/>
    <w:rsid w:val="00A73949"/>
    <w:rsid w:val="00A75E9B"/>
    <w:rsid w:val="00A76590"/>
    <w:rsid w:val="00A84DD4"/>
    <w:rsid w:val="00A915F3"/>
    <w:rsid w:val="00A91641"/>
    <w:rsid w:val="00A9196A"/>
    <w:rsid w:val="00A91B8F"/>
    <w:rsid w:val="00A9200B"/>
    <w:rsid w:val="00A92421"/>
    <w:rsid w:val="00A93206"/>
    <w:rsid w:val="00A965D3"/>
    <w:rsid w:val="00A96ED9"/>
    <w:rsid w:val="00A97CA3"/>
    <w:rsid w:val="00AA3322"/>
    <w:rsid w:val="00AA38D2"/>
    <w:rsid w:val="00AA3F84"/>
    <w:rsid w:val="00AA47AB"/>
    <w:rsid w:val="00AA65BF"/>
    <w:rsid w:val="00AA6718"/>
    <w:rsid w:val="00AA7457"/>
    <w:rsid w:val="00AB3C2C"/>
    <w:rsid w:val="00AC3993"/>
    <w:rsid w:val="00AC3FD8"/>
    <w:rsid w:val="00AC44A2"/>
    <w:rsid w:val="00AC4A55"/>
    <w:rsid w:val="00AC6787"/>
    <w:rsid w:val="00AD3230"/>
    <w:rsid w:val="00AD3C83"/>
    <w:rsid w:val="00AD542F"/>
    <w:rsid w:val="00AD6A2A"/>
    <w:rsid w:val="00AD6B31"/>
    <w:rsid w:val="00AE2ADC"/>
    <w:rsid w:val="00AE2F3D"/>
    <w:rsid w:val="00AE534D"/>
    <w:rsid w:val="00AE6F3A"/>
    <w:rsid w:val="00AE7A0E"/>
    <w:rsid w:val="00AE7ABA"/>
    <w:rsid w:val="00AF0782"/>
    <w:rsid w:val="00AF22C0"/>
    <w:rsid w:val="00AF22FA"/>
    <w:rsid w:val="00AF3004"/>
    <w:rsid w:val="00AF4812"/>
    <w:rsid w:val="00AF63DC"/>
    <w:rsid w:val="00B0048F"/>
    <w:rsid w:val="00B0241C"/>
    <w:rsid w:val="00B030D5"/>
    <w:rsid w:val="00B04603"/>
    <w:rsid w:val="00B0735D"/>
    <w:rsid w:val="00B10BB7"/>
    <w:rsid w:val="00B1383C"/>
    <w:rsid w:val="00B14C13"/>
    <w:rsid w:val="00B16E09"/>
    <w:rsid w:val="00B20EE1"/>
    <w:rsid w:val="00B26BF1"/>
    <w:rsid w:val="00B2700D"/>
    <w:rsid w:val="00B3080D"/>
    <w:rsid w:val="00B33977"/>
    <w:rsid w:val="00B35014"/>
    <w:rsid w:val="00B35A08"/>
    <w:rsid w:val="00B4034B"/>
    <w:rsid w:val="00B40C6C"/>
    <w:rsid w:val="00B44A6F"/>
    <w:rsid w:val="00B46B28"/>
    <w:rsid w:val="00B46E26"/>
    <w:rsid w:val="00B52DB4"/>
    <w:rsid w:val="00B55FC7"/>
    <w:rsid w:val="00B613B9"/>
    <w:rsid w:val="00B64A60"/>
    <w:rsid w:val="00B64C08"/>
    <w:rsid w:val="00B70D1D"/>
    <w:rsid w:val="00B7209B"/>
    <w:rsid w:val="00B76008"/>
    <w:rsid w:val="00B8454D"/>
    <w:rsid w:val="00B84675"/>
    <w:rsid w:val="00B8610D"/>
    <w:rsid w:val="00B86DA9"/>
    <w:rsid w:val="00B90324"/>
    <w:rsid w:val="00B90859"/>
    <w:rsid w:val="00B90A6A"/>
    <w:rsid w:val="00B91609"/>
    <w:rsid w:val="00B91806"/>
    <w:rsid w:val="00B92610"/>
    <w:rsid w:val="00B92CFF"/>
    <w:rsid w:val="00B93B6F"/>
    <w:rsid w:val="00B964AA"/>
    <w:rsid w:val="00BA01E0"/>
    <w:rsid w:val="00BA0274"/>
    <w:rsid w:val="00BA0ADE"/>
    <w:rsid w:val="00BA21E9"/>
    <w:rsid w:val="00BA6BD5"/>
    <w:rsid w:val="00BB1CBE"/>
    <w:rsid w:val="00BB387F"/>
    <w:rsid w:val="00BB5C53"/>
    <w:rsid w:val="00BB6B0B"/>
    <w:rsid w:val="00BB742F"/>
    <w:rsid w:val="00BC16EC"/>
    <w:rsid w:val="00BC321B"/>
    <w:rsid w:val="00BC45EA"/>
    <w:rsid w:val="00BC5709"/>
    <w:rsid w:val="00BD0651"/>
    <w:rsid w:val="00BD153C"/>
    <w:rsid w:val="00BD4073"/>
    <w:rsid w:val="00BE1F95"/>
    <w:rsid w:val="00BE2921"/>
    <w:rsid w:val="00BF09B6"/>
    <w:rsid w:val="00BF26C4"/>
    <w:rsid w:val="00BF7709"/>
    <w:rsid w:val="00C000D9"/>
    <w:rsid w:val="00C02CD9"/>
    <w:rsid w:val="00C06067"/>
    <w:rsid w:val="00C11F91"/>
    <w:rsid w:val="00C12091"/>
    <w:rsid w:val="00C1379F"/>
    <w:rsid w:val="00C15ECF"/>
    <w:rsid w:val="00C208A3"/>
    <w:rsid w:val="00C2241D"/>
    <w:rsid w:val="00C23088"/>
    <w:rsid w:val="00C23CFA"/>
    <w:rsid w:val="00C26C91"/>
    <w:rsid w:val="00C30FEA"/>
    <w:rsid w:val="00C33508"/>
    <w:rsid w:val="00C357EE"/>
    <w:rsid w:val="00C35D7A"/>
    <w:rsid w:val="00C43A94"/>
    <w:rsid w:val="00C44B63"/>
    <w:rsid w:val="00C44DE1"/>
    <w:rsid w:val="00C45C1C"/>
    <w:rsid w:val="00C465FC"/>
    <w:rsid w:val="00C4750F"/>
    <w:rsid w:val="00C62148"/>
    <w:rsid w:val="00C64A95"/>
    <w:rsid w:val="00C65086"/>
    <w:rsid w:val="00C65D29"/>
    <w:rsid w:val="00C7246E"/>
    <w:rsid w:val="00C734C8"/>
    <w:rsid w:val="00C7467B"/>
    <w:rsid w:val="00C748B5"/>
    <w:rsid w:val="00C76280"/>
    <w:rsid w:val="00C7781C"/>
    <w:rsid w:val="00C80D0C"/>
    <w:rsid w:val="00C8140C"/>
    <w:rsid w:val="00C8581A"/>
    <w:rsid w:val="00C9171B"/>
    <w:rsid w:val="00CA09E3"/>
    <w:rsid w:val="00CA1549"/>
    <w:rsid w:val="00CA275E"/>
    <w:rsid w:val="00CA2A3F"/>
    <w:rsid w:val="00CA42E0"/>
    <w:rsid w:val="00CA6B5B"/>
    <w:rsid w:val="00CB1567"/>
    <w:rsid w:val="00CB2BEC"/>
    <w:rsid w:val="00CB36B1"/>
    <w:rsid w:val="00CC58EA"/>
    <w:rsid w:val="00CC6122"/>
    <w:rsid w:val="00CC62A4"/>
    <w:rsid w:val="00CC7A5C"/>
    <w:rsid w:val="00CD175F"/>
    <w:rsid w:val="00CD485E"/>
    <w:rsid w:val="00CD4C7B"/>
    <w:rsid w:val="00CE412E"/>
    <w:rsid w:val="00CE4D4F"/>
    <w:rsid w:val="00CE5D13"/>
    <w:rsid w:val="00CE6257"/>
    <w:rsid w:val="00CE7234"/>
    <w:rsid w:val="00CF3D61"/>
    <w:rsid w:val="00CF6F16"/>
    <w:rsid w:val="00CF73F2"/>
    <w:rsid w:val="00D02440"/>
    <w:rsid w:val="00D03F5F"/>
    <w:rsid w:val="00D05AD0"/>
    <w:rsid w:val="00D063C0"/>
    <w:rsid w:val="00D06B96"/>
    <w:rsid w:val="00D0734F"/>
    <w:rsid w:val="00D07ACF"/>
    <w:rsid w:val="00D10A91"/>
    <w:rsid w:val="00D140CA"/>
    <w:rsid w:val="00D14AC1"/>
    <w:rsid w:val="00D171BF"/>
    <w:rsid w:val="00D17882"/>
    <w:rsid w:val="00D2080B"/>
    <w:rsid w:val="00D22970"/>
    <w:rsid w:val="00D22E6F"/>
    <w:rsid w:val="00D237AE"/>
    <w:rsid w:val="00D26304"/>
    <w:rsid w:val="00D2664C"/>
    <w:rsid w:val="00D26A9E"/>
    <w:rsid w:val="00D33399"/>
    <w:rsid w:val="00D40CDF"/>
    <w:rsid w:val="00D410C0"/>
    <w:rsid w:val="00D4189F"/>
    <w:rsid w:val="00D4406C"/>
    <w:rsid w:val="00D4667B"/>
    <w:rsid w:val="00D51E0A"/>
    <w:rsid w:val="00D52919"/>
    <w:rsid w:val="00D55409"/>
    <w:rsid w:val="00D5611A"/>
    <w:rsid w:val="00D56AAE"/>
    <w:rsid w:val="00D601A4"/>
    <w:rsid w:val="00D60297"/>
    <w:rsid w:val="00D6330D"/>
    <w:rsid w:val="00D658B9"/>
    <w:rsid w:val="00D70D2A"/>
    <w:rsid w:val="00D71B41"/>
    <w:rsid w:val="00D73D9A"/>
    <w:rsid w:val="00D74580"/>
    <w:rsid w:val="00D75A3A"/>
    <w:rsid w:val="00D76E39"/>
    <w:rsid w:val="00D77010"/>
    <w:rsid w:val="00D77100"/>
    <w:rsid w:val="00D80D94"/>
    <w:rsid w:val="00D81C8A"/>
    <w:rsid w:val="00D84BD6"/>
    <w:rsid w:val="00D84ED0"/>
    <w:rsid w:val="00D858F4"/>
    <w:rsid w:val="00D92EC1"/>
    <w:rsid w:val="00D93CC7"/>
    <w:rsid w:val="00D93EF3"/>
    <w:rsid w:val="00D95609"/>
    <w:rsid w:val="00D97899"/>
    <w:rsid w:val="00DA06CA"/>
    <w:rsid w:val="00DA1B68"/>
    <w:rsid w:val="00DA2F19"/>
    <w:rsid w:val="00DA3854"/>
    <w:rsid w:val="00DA39A5"/>
    <w:rsid w:val="00DA5772"/>
    <w:rsid w:val="00DB042A"/>
    <w:rsid w:val="00DB1FAA"/>
    <w:rsid w:val="00DB370F"/>
    <w:rsid w:val="00DB558B"/>
    <w:rsid w:val="00DB6651"/>
    <w:rsid w:val="00DB7F6B"/>
    <w:rsid w:val="00DC035C"/>
    <w:rsid w:val="00DC1F01"/>
    <w:rsid w:val="00DC2287"/>
    <w:rsid w:val="00DC63F6"/>
    <w:rsid w:val="00DD0014"/>
    <w:rsid w:val="00DD0455"/>
    <w:rsid w:val="00DD0FB9"/>
    <w:rsid w:val="00DD1D8A"/>
    <w:rsid w:val="00DD2530"/>
    <w:rsid w:val="00DD4F08"/>
    <w:rsid w:val="00DD5C11"/>
    <w:rsid w:val="00DD5E39"/>
    <w:rsid w:val="00DD636A"/>
    <w:rsid w:val="00DD6721"/>
    <w:rsid w:val="00DD7FD2"/>
    <w:rsid w:val="00DE1047"/>
    <w:rsid w:val="00DE2FC5"/>
    <w:rsid w:val="00DF20B4"/>
    <w:rsid w:val="00DF2C53"/>
    <w:rsid w:val="00DF31D0"/>
    <w:rsid w:val="00DF32D5"/>
    <w:rsid w:val="00DF3834"/>
    <w:rsid w:val="00DF3FB0"/>
    <w:rsid w:val="00DF772C"/>
    <w:rsid w:val="00E01972"/>
    <w:rsid w:val="00E03DD3"/>
    <w:rsid w:val="00E07C08"/>
    <w:rsid w:val="00E10221"/>
    <w:rsid w:val="00E114C6"/>
    <w:rsid w:val="00E11F71"/>
    <w:rsid w:val="00E12C97"/>
    <w:rsid w:val="00E151F9"/>
    <w:rsid w:val="00E15584"/>
    <w:rsid w:val="00E15FC0"/>
    <w:rsid w:val="00E24D0E"/>
    <w:rsid w:val="00E27D1B"/>
    <w:rsid w:val="00E30305"/>
    <w:rsid w:val="00E30747"/>
    <w:rsid w:val="00E31791"/>
    <w:rsid w:val="00E33098"/>
    <w:rsid w:val="00E35073"/>
    <w:rsid w:val="00E369E9"/>
    <w:rsid w:val="00E40E2D"/>
    <w:rsid w:val="00E43B7D"/>
    <w:rsid w:val="00E43BFE"/>
    <w:rsid w:val="00E52F09"/>
    <w:rsid w:val="00E5335A"/>
    <w:rsid w:val="00E534FD"/>
    <w:rsid w:val="00E55007"/>
    <w:rsid w:val="00E55109"/>
    <w:rsid w:val="00E57A44"/>
    <w:rsid w:val="00E60160"/>
    <w:rsid w:val="00E60BDC"/>
    <w:rsid w:val="00E6217B"/>
    <w:rsid w:val="00E6226F"/>
    <w:rsid w:val="00E6325A"/>
    <w:rsid w:val="00E63DE0"/>
    <w:rsid w:val="00E70103"/>
    <w:rsid w:val="00E7020C"/>
    <w:rsid w:val="00E709ED"/>
    <w:rsid w:val="00E7160F"/>
    <w:rsid w:val="00E72F82"/>
    <w:rsid w:val="00E734CF"/>
    <w:rsid w:val="00E77E9C"/>
    <w:rsid w:val="00E81291"/>
    <w:rsid w:val="00E8169A"/>
    <w:rsid w:val="00E85102"/>
    <w:rsid w:val="00E852E4"/>
    <w:rsid w:val="00E86779"/>
    <w:rsid w:val="00E86807"/>
    <w:rsid w:val="00E879C2"/>
    <w:rsid w:val="00E90556"/>
    <w:rsid w:val="00E91F75"/>
    <w:rsid w:val="00E94697"/>
    <w:rsid w:val="00E95B86"/>
    <w:rsid w:val="00E9600B"/>
    <w:rsid w:val="00E96413"/>
    <w:rsid w:val="00EA4C80"/>
    <w:rsid w:val="00EA4CEC"/>
    <w:rsid w:val="00EB02F9"/>
    <w:rsid w:val="00EB235C"/>
    <w:rsid w:val="00EB4660"/>
    <w:rsid w:val="00EB6D86"/>
    <w:rsid w:val="00EC26AA"/>
    <w:rsid w:val="00EC274F"/>
    <w:rsid w:val="00EC4C1E"/>
    <w:rsid w:val="00ED27C4"/>
    <w:rsid w:val="00ED49FD"/>
    <w:rsid w:val="00EE0F10"/>
    <w:rsid w:val="00EE1173"/>
    <w:rsid w:val="00EE1AA9"/>
    <w:rsid w:val="00EE2DC7"/>
    <w:rsid w:val="00EE2DD8"/>
    <w:rsid w:val="00EE45DD"/>
    <w:rsid w:val="00EE6702"/>
    <w:rsid w:val="00EE69C0"/>
    <w:rsid w:val="00EF390A"/>
    <w:rsid w:val="00EF6E14"/>
    <w:rsid w:val="00EF7217"/>
    <w:rsid w:val="00F0103C"/>
    <w:rsid w:val="00F016FE"/>
    <w:rsid w:val="00F04962"/>
    <w:rsid w:val="00F119C6"/>
    <w:rsid w:val="00F11E1A"/>
    <w:rsid w:val="00F12BFE"/>
    <w:rsid w:val="00F15B75"/>
    <w:rsid w:val="00F167EC"/>
    <w:rsid w:val="00F200D3"/>
    <w:rsid w:val="00F20293"/>
    <w:rsid w:val="00F20493"/>
    <w:rsid w:val="00F25A40"/>
    <w:rsid w:val="00F3022C"/>
    <w:rsid w:val="00F32B9A"/>
    <w:rsid w:val="00F33141"/>
    <w:rsid w:val="00F34077"/>
    <w:rsid w:val="00F344FD"/>
    <w:rsid w:val="00F35961"/>
    <w:rsid w:val="00F4414B"/>
    <w:rsid w:val="00F51677"/>
    <w:rsid w:val="00F52A50"/>
    <w:rsid w:val="00F537F0"/>
    <w:rsid w:val="00F538FC"/>
    <w:rsid w:val="00F54AAE"/>
    <w:rsid w:val="00F61259"/>
    <w:rsid w:val="00F61C81"/>
    <w:rsid w:val="00F65466"/>
    <w:rsid w:val="00F65C62"/>
    <w:rsid w:val="00F66EF0"/>
    <w:rsid w:val="00F66FB0"/>
    <w:rsid w:val="00F70882"/>
    <w:rsid w:val="00F713E0"/>
    <w:rsid w:val="00F743E9"/>
    <w:rsid w:val="00F75DC3"/>
    <w:rsid w:val="00F77448"/>
    <w:rsid w:val="00F80CA7"/>
    <w:rsid w:val="00F81E5C"/>
    <w:rsid w:val="00F820FC"/>
    <w:rsid w:val="00F83EE3"/>
    <w:rsid w:val="00F8521C"/>
    <w:rsid w:val="00F92AE0"/>
    <w:rsid w:val="00F95562"/>
    <w:rsid w:val="00F96F76"/>
    <w:rsid w:val="00FA0A69"/>
    <w:rsid w:val="00FA5F38"/>
    <w:rsid w:val="00FA6A68"/>
    <w:rsid w:val="00FB44E4"/>
    <w:rsid w:val="00FC2331"/>
    <w:rsid w:val="00FC26B3"/>
    <w:rsid w:val="00FC48B9"/>
    <w:rsid w:val="00FD1A7C"/>
    <w:rsid w:val="00FD40AF"/>
    <w:rsid w:val="00FD6449"/>
    <w:rsid w:val="00FE035F"/>
    <w:rsid w:val="00FE077A"/>
    <w:rsid w:val="00FE130C"/>
    <w:rsid w:val="00FE4ED8"/>
    <w:rsid w:val="00FE5F37"/>
    <w:rsid w:val="00FE62BA"/>
    <w:rsid w:val="00FF15EE"/>
    <w:rsid w:val="00FF29BE"/>
    <w:rsid w:val="00FF3386"/>
    <w:rsid w:val="00FF35AB"/>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87B99"/>
  <w15:docId w15:val="{3FBBAA76-A929-48A7-A537-18199E534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FI" w:eastAsia="sv-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sv-SE" w:eastAsia="sv-SE"/>
    </w:rPr>
  </w:style>
  <w:style w:type="paragraph" w:styleId="Rubrik1">
    <w:name w:val="heading 1"/>
    <w:basedOn w:val="Normal"/>
    <w:next w:val="Normal"/>
    <w:qFormat/>
    <w:pPr>
      <w:keepNext/>
      <w:numPr>
        <w:numId w:val="4"/>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5"/>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6"/>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7"/>
      </w:numPr>
      <w:spacing w:before="240" w:after="60"/>
      <w:outlineLvl w:val="3"/>
    </w:pPr>
    <w:rPr>
      <w:b/>
      <w:bCs/>
      <w:sz w:val="28"/>
      <w:szCs w:val="28"/>
    </w:rPr>
  </w:style>
  <w:style w:type="paragraph" w:styleId="Rubrik5">
    <w:name w:val="heading 5"/>
    <w:basedOn w:val="Normal"/>
    <w:next w:val="Normal"/>
    <w:qFormat/>
    <w:pPr>
      <w:numPr>
        <w:ilvl w:val="4"/>
        <w:numId w:val="8"/>
      </w:numPr>
      <w:spacing w:before="240" w:after="60"/>
      <w:outlineLvl w:val="4"/>
    </w:pPr>
    <w:rPr>
      <w:b/>
      <w:bCs/>
      <w:i/>
      <w:iCs/>
      <w:sz w:val="26"/>
      <w:szCs w:val="26"/>
    </w:rPr>
  </w:style>
  <w:style w:type="paragraph" w:styleId="Rubrik6">
    <w:name w:val="heading 6"/>
    <w:basedOn w:val="Normal"/>
    <w:next w:val="Normal"/>
    <w:qFormat/>
    <w:pPr>
      <w:numPr>
        <w:ilvl w:val="5"/>
        <w:numId w:val="9"/>
      </w:numPr>
      <w:spacing w:before="240" w:after="60"/>
      <w:outlineLvl w:val="5"/>
    </w:pPr>
    <w:rPr>
      <w:b/>
      <w:bCs/>
      <w:sz w:val="22"/>
      <w:szCs w:val="22"/>
    </w:rPr>
  </w:style>
  <w:style w:type="paragraph" w:styleId="Rubrik7">
    <w:name w:val="heading 7"/>
    <w:basedOn w:val="Normal"/>
    <w:next w:val="Normal"/>
    <w:qFormat/>
    <w:pPr>
      <w:numPr>
        <w:ilvl w:val="6"/>
        <w:numId w:val="10"/>
      </w:numPr>
      <w:spacing w:before="240" w:after="60"/>
      <w:outlineLvl w:val="6"/>
    </w:pPr>
  </w:style>
  <w:style w:type="paragraph" w:styleId="Rubrik8">
    <w:name w:val="heading 8"/>
    <w:basedOn w:val="Normal"/>
    <w:next w:val="Normal"/>
    <w:qFormat/>
    <w:pPr>
      <w:numPr>
        <w:ilvl w:val="7"/>
        <w:numId w:val="11"/>
      </w:numPr>
      <w:spacing w:before="240" w:after="60"/>
      <w:outlineLvl w:val="7"/>
    </w:pPr>
    <w:rPr>
      <w:i/>
      <w:iCs/>
    </w:rPr>
  </w:style>
  <w:style w:type="paragraph" w:styleId="Rubrik9">
    <w:name w:val="heading 9"/>
    <w:basedOn w:val="Normal"/>
    <w:next w:val="Normal"/>
    <w:qFormat/>
    <w:pPr>
      <w:numPr>
        <w:ilvl w:val="8"/>
        <w:numId w:val="12"/>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semiHidden/>
    <w:pPr>
      <w:numPr>
        <w:numId w:val="1"/>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2"/>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pPr>
      <w:numPr>
        <w:numId w:val="3"/>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uiPriority w:val="39"/>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9"/>
    </w:pPr>
    <w:rPr>
      <w:bCs w:val="0"/>
      <w:sz w:val="22"/>
    </w:rPr>
  </w:style>
  <w:style w:type="paragraph" w:customStyle="1" w:styleId="LagParagraf">
    <w:name w:val="LagParagraf"/>
    <w:basedOn w:val="LagKapitel"/>
    <w:next w:val="LagPararubrik"/>
    <w:rPr>
      <w:b w:val="0"/>
    </w:rPr>
  </w:style>
  <w:style w:type="paragraph" w:customStyle="1" w:styleId="LagPararubrik">
    <w:name w:val="LagPararubrik"/>
    <w:basedOn w:val="LagKapitel"/>
    <w:next w:val="ANormal"/>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paragraph" w:styleId="Fotnotstext">
    <w:name w:val="footnote text"/>
    <w:basedOn w:val="Normal"/>
    <w:link w:val="FotnotstextChar"/>
    <w:uiPriority w:val="99"/>
    <w:semiHidden/>
    <w:unhideWhenUsed/>
    <w:rsid w:val="000D3EFB"/>
    <w:rPr>
      <w:sz w:val="20"/>
      <w:szCs w:val="20"/>
    </w:rPr>
  </w:style>
  <w:style w:type="character" w:customStyle="1" w:styleId="FotnotstextChar">
    <w:name w:val="Fotnotstext Char"/>
    <w:basedOn w:val="Standardstycketeckensnitt"/>
    <w:link w:val="Fotnotstext"/>
    <w:uiPriority w:val="99"/>
    <w:semiHidden/>
    <w:rsid w:val="000D3EFB"/>
    <w:rPr>
      <w:lang w:val="sv-SE" w:eastAsia="sv-SE"/>
    </w:rPr>
  </w:style>
  <w:style w:type="character" w:styleId="Fotnotsreferens">
    <w:name w:val="footnote reference"/>
    <w:basedOn w:val="Standardstycketeckensnitt"/>
    <w:uiPriority w:val="99"/>
    <w:semiHidden/>
    <w:unhideWhenUsed/>
    <w:rsid w:val="000D3EFB"/>
    <w:rPr>
      <w:vertAlign w:val="superscript"/>
    </w:rPr>
  </w:style>
  <w:style w:type="character" w:customStyle="1" w:styleId="normaltextrun">
    <w:name w:val="normaltextrun"/>
    <w:basedOn w:val="Standardstycketeckensnitt"/>
    <w:rsid w:val="002A5FAF"/>
  </w:style>
  <w:style w:type="table" w:styleId="Tabellrutnt">
    <w:name w:val="Table Grid"/>
    <w:basedOn w:val="Normaltabell"/>
    <w:uiPriority w:val="59"/>
    <w:rsid w:val="00764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963606">
      <w:bodyDiv w:val="1"/>
      <w:marLeft w:val="0"/>
      <w:marRight w:val="0"/>
      <w:marTop w:val="0"/>
      <w:marBottom w:val="0"/>
      <w:divBdr>
        <w:top w:val="none" w:sz="0" w:space="0" w:color="auto"/>
        <w:left w:val="none" w:sz="0" w:space="0" w:color="auto"/>
        <w:bottom w:val="none" w:sz="0" w:space="0" w:color="auto"/>
        <w:right w:val="none" w:sz="0" w:space="0" w:color="auto"/>
      </w:divBdr>
    </w:div>
    <w:div w:id="568661136">
      <w:bodyDiv w:val="1"/>
      <w:marLeft w:val="0"/>
      <w:marRight w:val="0"/>
      <w:marTop w:val="0"/>
      <w:marBottom w:val="0"/>
      <w:divBdr>
        <w:top w:val="none" w:sz="0" w:space="0" w:color="auto"/>
        <w:left w:val="none" w:sz="0" w:space="0" w:color="auto"/>
        <w:bottom w:val="none" w:sz="0" w:space="0" w:color="auto"/>
        <w:right w:val="none" w:sz="0" w:space="0" w:color="auto"/>
      </w:divBdr>
    </w:div>
    <w:div w:id="642731948">
      <w:bodyDiv w:val="1"/>
      <w:marLeft w:val="0"/>
      <w:marRight w:val="0"/>
      <w:marTop w:val="0"/>
      <w:marBottom w:val="0"/>
      <w:divBdr>
        <w:top w:val="none" w:sz="0" w:space="0" w:color="auto"/>
        <w:left w:val="none" w:sz="0" w:space="0" w:color="auto"/>
        <w:bottom w:val="none" w:sz="0" w:space="0" w:color="auto"/>
        <w:right w:val="none" w:sz="0" w:space="0" w:color="auto"/>
      </w:divBdr>
    </w:div>
    <w:div w:id="1184130536">
      <w:bodyDiv w:val="1"/>
      <w:marLeft w:val="0"/>
      <w:marRight w:val="0"/>
      <w:marTop w:val="0"/>
      <w:marBottom w:val="0"/>
      <w:divBdr>
        <w:top w:val="none" w:sz="0" w:space="0" w:color="auto"/>
        <w:left w:val="none" w:sz="0" w:space="0" w:color="auto"/>
        <w:bottom w:val="none" w:sz="0" w:space="0" w:color="auto"/>
        <w:right w:val="none" w:sz="0" w:space="0" w:color="auto"/>
      </w:divBdr>
      <w:divsChild>
        <w:div w:id="868370816">
          <w:marLeft w:val="0"/>
          <w:marRight w:val="0"/>
          <w:marTop w:val="0"/>
          <w:marBottom w:val="0"/>
          <w:divBdr>
            <w:top w:val="none" w:sz="0" w:space="0" w:color="auto"/>
            <w:left w:val="none" w:sz="0" w:space="0" w:color="auto"/>
            <w:bottom w:val="none" w:sz="0" w:space="0" w:color="auto"/>
            <w:right w:val="none" w:sz="0" w:space="0" w:color="auto"/>
          </w:divBdr>
        </w:div>
      </w:divsChild>
    </w:div>
    <w:div w:id="1216434130">
      <w:bodyDiv w:val="1"/>
      <w:marLeft w:val="0"/>
      <w:marRight w:val="0"/>
      <w:marTop w:val="0"/>
      <w:marBottom w:val="0"/>
      <w:divBdr>
        <w:top w:val="none" w:sz="0" w:space="0" w:color="auto"/>
        <w:left w:val="none" w:sz="0" w:space="0" w:color="auto"/>
        <w:bottom w:val="none" w:sz="0" w:space="0" w:color="auto"/>
        <w:right w:val="none" w:sz="0" w:space="0" w:color="auto"/>
      </w:divBdr>
      <w:divsChild>
        <w:div w:id="1475172710">
          <w:marLeft w:val="0"/>
          <w:marRight w:val="0"/>
          <w:marTop w:val="0"/>
          <w:marBottom w:val="0"/>
          <w:divBdr>
            <w:top w:val="none" w:sz="0" w:space="0" w:color="auto"/>
            <w:left w:val="none" w:sz="0" w:space="0" w:color="auto"/>
            <w:bottom w:val="none" w:sz="0" w:space="0" w:color="auto"/>
            <w:right w:val="none" w:sz="0" w:space="0" w:color="auto"/>
          </w:divBdr>
        </w:div>
      </w:divsChild>
    </w:div>
    <w:div w:id="1240941195">
      <w:bodyDiv w:val="1"/>
      <w:marLeft w:val="0"/>
      <w:marRight w:val="0"/>
      <w:marTop w:val="0"/>
      <w:marBottom w:val="0"/>
      <w:divBdr>
        <w:top w:val="none" w:sz="0" w:space="0" w:color="auto"/>
        <w:left w:val="none" w:sz="0" w:space="0" w:color="auto"/>
        <w:bottom w:val="none" w:sz="0" w:space="0" w:color="auto"/>
        <w:right w:val="none" w:sz="0" w:space="0" w:color="auto"/>
      </w:divBdr>
      <w:divsChild>
        <w:div w:id="670186295">
          <w:marLeft w:val="0"/>
          <w:marRight w:val="0"/>
          <w:marTop w:val="0"/>
          <w:marBottom w:val="0"/>
          <w:divBdr>
            <w:top w:val="none" w:sz="0" w:space="0" w:color="auto"/>
            <w:left w:val="none" w:sz="0" w:space="0" w:color="auto"/>
            <w:bottom w:val="none" w:sz="0" w:space="0" w:color="auto"/>
            <w:right w:val="none" w:sz="0" w:space="0" w:color="auto"/>
          </w:divBdr>
        </w:div>
      </w:divsChild>
    </w:div>
    <w:div w:id="1326326366">
      <w:bodyDiv w:val="1"/>
      <w:marLeft w:val="0"/>
      <w:marRight w:val="0"/>
      <w:marTop w:val="0"/>
      <w:marBottom w:val="0"/>
      <w:divBdr>
        <w:top w:val="none" w:sz="0" w:space="0" w:color="auto"/>
        <w:left w:val="none" w:sz="0" w:space="0" w:color="auto"/>
        <w:bottom w:val="none" w:sz="0" w:space="0" w:color="auto"/>
        <w:right w:val="none" w:sz="0" w:space="0" w:color="auto"/>
      </w:divBdr>
      <w:divsChild>
        <w:div w:id="209222206">
          <w:marLeft w:val="0"/>
          <w:marRight w:val="0"/>
          <w:marTop w:val="0"/>
          <w:marBottom w:val="0"/>
          <w:divBdr>
            <w:top w:val="none" w:sz="0" w:space="0" w:color="auto"/>
            <w:left w:val="none" w:sz="0" w:space="0" w:color="auto"/>
            <w:bottom w:val="none" w:sz="0" w:space="0" w:color="auto"/>
            <w:right w:val="none" w:sz="0" w:space="0" w:color="auto"/>
          </w:divBdr>
        </w:div>
        <w:div w:id="1213034619">
          <w:marLeft w:val="0"/>
          <w:marRight w:val="0"/>
          <w:marTop w:val="0"/>
          <w:marBottom w:val="0"/>
          <w:divBdr>
            <w:top w:val="none" w:sz="0" w:space="0" w:color="auto"/>
            <w:left w:val="none" w:sz="0" w:space="0" w:color="auto"/>
            <w:bottom w:val="none" w:sz="0" w:space="0" w:color="auto"/>
            <w:right w:val="none" w:sz="0" w:space="0" w:color="auto"/>
          </w:divBdr>
        </w:div>
        <w:div w:id="1856843960">
          <w:marLeft w:val="0"/>
          <w:marRight w:val="0"/>
          <w:marTop w:val="0"/>
          <w:marBottom w:val="0"/>
          <w:divBdr>
            <w:top w:val="none" w:sz="0" w:space="0" w:color="auto"/>
            <w:left w:val="none" w:sz="0" w:space="0" w:color="auto"/>
            <w:bottom w:val="none" w:sz="0" w:space="0" w:color="auto"/>
            <w:right w:val="none" w:sz="0" w:space="0" w:color="auto"/>
          </w:divBdr>
        </w:div>
      </w:divsChild>
    </w:div>
    <w:div w:id="1921478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A3B65-813E-4C11-AE88-931EE4EF2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20881</Words>
  <Characters>110672</Characters>
  <Application>Microsoft Office Word</Application>
  <DocSecurity>0</DocSecurity>
  <Lines>922</Lines>
  <Paragraphs>262</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NyLS-Framställning</vt:lpstr>
      <vt:lpstr>NyLS-Framställning</vt:lpstr>
    </vt:vector>
  </TitlesOfParts>
  <Company>Ålands landskapsstyrelse</Company>
  <LinksUpToDate>false</LinksUpToDate>
  <CharactersWithSpaces>131291</CharactersWithSpaces>
  <SharedDoc>false</SharedDoc>
  <HLinks>
    <vt:vector size="60" baseType="variant">
      <vt:variant>
        <vt:i4>262192</vt:i4>
      </vt:variant>
      <vt:variant>
        <vt:i4>54</vt:i4>
      </vt:variant>
      <vt:variant>
        <vt:i4>0</vt:i4>
      </vt:variant>
      <vt:variant>
        <vt:i4>5</vt:i4>
      </vt:variant>
      <vt:variant>
        <vt:lpwstr/>
      </vt:variant>
      <vt:variant>
        <vt:lpwstr>_top</vt:lpwstr>
      </vt:variant>
      <vt:variant>
        <vt:i4>2031669</vt:i4>
      </vt:variant>
      <vt:variant>
        <vt:i4>47</vt:i4>
      </vt:variant>
      <vt:variant>
        <vt:i4>0</vt:i4>
      </vt:variant>
      <vt:variant>
        <vt:i4>5</vt:i4>
      </vt:variant>
      <vt:variant>
        <vt:lpwstr/>
      </vt:variant>
      <vt:variant>
        <vt:lpwstr>_Toc530915178</vt:lpwstr>
      </vt:variant>
      <vt:variant>
        <vt:i4>2031669</vt:i4>
      </vt:variant>
      <vt:variant>
        <vt:i4>41</vt:i4>
      </vt:variant>
      <vt:variant>
        <vt:i4>0</vt:i4>
      </vt:variant>
      <vt:variant>
        <vt:i4>5</vt:i4>
      </vt:variant>
      <vt:variant>
        <vt:lpwstr/>
      </vt:variant>
      <vt:variant>
        <vt:lpwstr>_Toc530915177</vt:lpwstr>
      </vt:variant>
      <vt:variant>
        <vt:i4>2031669</vt:i4>
      </vt:variant>
      <vt:variant>
        <vt:i4>35</vt:i4>
      </vt:variant>
      <vt:variant>
        <vt:i4>0</vt:i4>
      </vt:variant>
      <vt:variant>
        <vt:i4>5</vt:i4>
      </vt:variant>
      <vt:variant>
        <vt:lpwstr/>
      </vt:variant>
      <vt:variant>
        <vt:lpwstr>_Toc530915176</vt:lpwstr>
      </vt:variant>
      <vt:variant>
        <vt:i4>2031669</vt:i4>
      </vt:variant>
      <vt:variant>
        <vt:i4>29</vt:i4>
      </vt:variant>
      <vt:variant>
        <vt:i4>0</vt:i4>
      </vt:variant>
      <vt:variant>
        <vt:i4>5</vt:i4>
      </vt:variant>
      <vt:variant>
        <vt:lpwstr/>
      </vt:variant>
      <vt:variant>
        <vt:lpwstr>_Toc530915175</vt:lpwstr>
      </vt:variant>
      <vt:variant>
        <vt:i4>2031669</vt:i4>
      </vt:variant>
      <vt:variant>
        <vt:i4>23</vt:i4>
      </vt:variant>
      <vt:variant>
        <vt:i4>0</vt:i4>
      </vt:variant>
      <vt:variant>
        <vt:i4>5</vt:i4>
      </vt:variant>
      <vt:variant>
        <vt:lpwstr/>
      </vt:variant>
      <vt:variant>
        <vt:lpwstr>_Toc530915174</vt:lpwstr>
      </vt:variant>
      <vt:variant>
        <vt:i4>2031669</vt:i4>
      </vt:variant>
      <vt:variant>
        <vt:i4>17</vt:i4>
      </vt:variant>
      <vt:variant>
        <vt:i4>0</vt:i4>
      </vt:variant>
      <vt:variant>
        <vt:i4>5</vt:i4>
      </vt:variant>
      <vt:variant>
        <vt:lpwstr/>
      </vt:variant>
      <vt:variant>
        <vt:lpwstr>_Toc530915173</vt:lpwstr>
      </vt:variant>
      <vt:variant>
        <vt:i4>2031669</vt:i4>
      </vt:variant>
      <vt:variant>
        <vt:i4>11</vt:i4>
      </vt:variant>
      <vt:variant>
        <vt:i4>0</vt:i4>
      </vt:variant>
      <vt:variant>
        <vt:i4>5</vt:i4>
      </vt:variant>
      <vt:variant>
        <vt:lpwstr/>
      </vt:variant>
      <vt:variant>
        <vt:lpwstr>_Toc530915172</vt:lpwstr>
      </vt:variant>
      <vt:variant>
        <vt:i4>2031669</vt:i4>
      </vt:variant>
      <vt:variant>
        <vt:i4>5</vt:i4>
      </vt:variant>
      <vt:variant>
        <vt:i4>0</vt:i4>
      </vt:variant>
      <vt:variant>
        <vt:i4>5</vt:i4>
      </vt:variant>
      <vt:variant>
        <vt:lpwstr/>
      </vt:variant>
      <vt:variant>
        <vt:lpwstr>_Toc530915171</vt:lpwstr>
      </vt:variant>
      <vt:variant>
        <vt:i4>262192</vt:i4>
      </vt:variant>
      <vt:variant>
        <vt:i4>0</vt:i4>
      </vt:variant>
      <vt:variant>
        <vt:i4>0</vt:i4>
      </vt:variant>
      <vt:variant>
        <vt:i4>5</vt:i4>
      </vt:variant>
      <vt:variant>
        <vt:lpwstr/>
      </vt:variant>
      <vt:variant>
        <vt:lpwstr>_top</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NyLS-Framställning</dc:title>
  <dc:subject>Framställningsmall</dc:subject>
  <dc:creator>Diana Lönngren</dc:creator>
  <cp:keywords/>
  <dc:description/>
  <cp:lastModifiedBy>Jessica Laaksonen</cp:lastModifiedBy>
  <cp:revision>2</cp:revision>
  <cp:lastPrinted>2025-03-25T13:53:00Z</cp:lastPrinted>
  <dcterms:created xsi:type="dcterms:W3CDTF">2025-04-03T09:43:00Z</dcterms:created>
  <dcterms:modified xsi:type="dcterms:W3CDTF">2025-04-03T09:43:00Z</dcterms:modified>
</cp:coreProperties>
</file>