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75F21392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A87D413" w14:textId="40456FD9" w:rsidR="00E023D9" w:rsidRDefault="005F5899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11851F5" wp14:editId="112B2C0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7DF8B5C" w14:textId="055A51D9" w:rsidR="00E023D9" w:rsidRDefault="005F5899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2D0D1466" wp14:editId="0FA9EF9F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52132BDB" w14:textId="77777777">
        <w:trPr>
          <w:cantSplit/>
          <w:trHeight w:val="299"/>
        </w:trPr>
        <w:tc>
          <w:tcPr>
            <w:tcW w:w="861" w:type="dxa"/>
            <w:vMerge/>
          </w:tcPr>
          <w:p w14:paraId="62E5CF5C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550D810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297D96E9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41AE63CC" w14:textId="77777777">
        <w:trPr>
          <w:cantSplit/>
          <w:trHeight w:val="238"/>
        </w:trPr>
        <w:tc>
          <w:tcPr>
            <w:tcW w:w="861" w:type="dxa"/>
            <w:vMerge/>
          </w:tcPr>
          <w:p w14:paraId="448647C6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7C6140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4ABCACA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D8F68A5" w14:textId="77777777" w:rsidR="00E023D9" w:rsidRDefault="00E023D9">
            <w:pPr>
              <w:pStyle w:val="xLedtext"/>
            </w:pPr>
          </w:p>
        </w:tc>
      </w:tr>
      <w:tr w:rsidR="00E023D9" w14:paraId="23DBC427" w14:textId="77777777">
        <w:trPr>
          <w:cantSplit/>
          <w:trHeight w:val="238"/>
        </w:trPr>
        <w:tc>
          <w:tcPr>
            <w:tcW w:w="861" w:type="dxa"/>
            <w:vMerge/>
          </w:tcPr>
          <w:p w14:paraId="5A376B7D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B238735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D06CC34" w14:textId="70D41692" w:rsidR="00E023D9" w:rsidRDefault="00E023D9">
            <w:pPr>
              <w:pStyle w:val="xDatum1"/>
            </w:pPr>
            <w:r>
              <w:t>20</w:t>
            </w:r>
            <w:r w:rsidR="00871705">
              <w:t>2</w:t>
            </w:r>
            <w:r w:rsidR="00F31005">
              <w:t>5</w:t>
            </w:r>
            <w:r>
              <w:t>-</w:t>
            </w:r>
            <w:r w:rsidR="00621B10">
              <w:t>04</w:t>
            </w:r>
            <w:r>
              <w:t>-</w:t>
            </w:r>
            <w:r w:rsidR="00621B10">
              <w:t>03</w:t>
            </w:r>
          </w:p>
        </w:tc>
        <w:tc>
          <w:tcPr>
            <w:tcW w:w="2563" w:type="dxa"/>
            <w:vAlign w:val="center"/>
          </w:tcPr>
          <w:p w14:paraId="48D4B976" w14:textId="77777777" w:rsidR="00E023D9" w:rsidRDefault="00E023D9">
            <w:pPr>
              <w:pStyle w:val="xBeteckning1"/>
            </w:pPr>
          </w:p>
        </w:tc>
      </w:tr>
      <w:tr w:rsidR="00E023D9" w14:paraId="277BFB87" w14:textId="77777777">
        <w:trPr>
          <w:cantSplit/>
          <w:trHeight w:val="238"/>
        </w:trPr>
        <w:tc>
          <w:tcPr>
            <w:tcW w:w="861" w:type="dxa"/>
            <w:vMerge/>
          </w:tcPr>
          <w:p w14:paraId="4100CF4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1DB395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97F4993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13365C34" w14:textId="77777777" w:rsidR="00E023D9" w:rsidRDefault="00E023D9">
            <w:pPr>
              <w:pStyle w:val="xLedtext"/>
            </w:pPr>
          </w:p>
        </w:tc>
      </w:tr>
      <w:tr w:rsidR="00E023D9" w14:paraId="588ECF9A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A6D2C34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945AFA4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16FFDDE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06B1EF0" w14:textId="77777777" w:rsidR="00E023D9" w:rsidRDefault="00E023D9">
            <w:pPr>
              <w:pStyle w:val="xBeteckning2"/>
            </w:pPr>
          </w:p>
        </w:tc>
      </w:tr>
      <w:tr w:rsidR="00E023D9" w14:paraId="66418D63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9BF2ED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675F861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6C67348" w14:textId="77777777" w:rsidR="00E023D9" w:rsidRDefault="00E023D9">
            <w:pPr>
              <w:pStyle w:val="xLedtext"/>
            </w:pPr>
          </w:p>
        </w:tc>
      </w:tr>
    </w:tbl>
    <w:p w14:paraId="7BD9EEF2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72B0ADE6" w14:textId="11D93D34" w:rsidR="00E023D9" w:rsidRDefault="00E023D9">
      <w:pPr>
        <w:pStyle w:val="ArendeOverRubrik"/>
      </w:pPr>
      <w:r>
        <w:t xml:space="preserve">Parallelltexter till landskapsregeringens </w:t>
      </w:r>
      <w:r w:rsidR="00BB0EB6">
        <w:t>lagförslag</w:t>
      </w:r>
    </w:p>
    <w:p w14:paraId="7F0C57A6" w14:textId="4610E7CB" w:rsidR="00E023D9" w:rsidRDefault="00674C7E">
      <w:pPr>
        <w:pStyle w:val="ArendeRubrik"/>
      </w:pPr>
      <w:r>
        <w:t>Tryggande av kommunal service</w:t>
      </w:r>
    </w:p>
    <w:p w14:paraId="178B6854" w14:textId="0B8C10F9" w:rsidR="00E023D9" w:rsidRDefault="00E023D9">
      <w:pPr>
        <w:pStyle w:val="ArendeUnderRubrik"/>
      </w:pPr>
      <w:r>
        <w:t xml:space="preserve">Landskapsregeringens </w:t>
      </w:r>
      <w:r w:rsidR="00BB0EB6">
        <w:t>lagförslag</w:t>
      </w:r>
      <w:r>
        <w:t xml:space="preserve"> nr </w:t>
      </w:r>
      <w:r w:rsidR="00621B10">
        <w:t>20</w:t>
      </w:r>
      <w:r>
        <w:t>/20</w:t>
      </w:r>
      <w:r w:rsidR="00416C94">
        <w:t>2</w:t>
      </w:r>
      <w:r w:rsidR="00871705">
        <w:t>4</w:t>
      </w:r>
      <w:r w:rsidR="00674C7E">
        <w:t>–</w:t>
      </w:r>
      <w:r>
        <w:t>20</w:t>
      </w:r>
      <w:r w:rsidR="00416C94">
        <w:t>2</w:t>
      </w:r>
      <w:r w:rsidR="00871705">
        <w:t>5</w:t>
      </w:r>
    </w:p>
    <w:p w14:paraId="5A2E1D14" w14:textId="77777777" w:rsidR="00E023D9" w:rsidRDefault="00E023D9">
      <w:pPr>
        <w:pStyle w:val="ANormal"/>
      </w:pPr>
    </w:p>
    <w:p w14:paraId="361E7BCE" w14:textId="77777777" w:rsidR="00E023D9" w:rsidRDefault="00E023D9">
      <w:pPr>
        <w:pStyle w:val="Innehll1"/>
      </w:pPr>
      <w:r>
        <w:t>INNEHÅLL</w:t>
      </w:r>
    </w:p>
    <w:p w14:paraId="7F6A25DF" w14:textId="6418F786" w:rsidR="00656C7E" w:rsidRDefault="00E023D9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"LagHuvRubr;1" </w:instrText>
      </w:r>
      <w:r>
        <w:fldChar w:fldCharType="separate"/>
      </w:r>
      <w:hyperlink w:anchor="_Toc93052511" w:history="1">
        <w:r w:rsidR="00656C7E" w:rsidRPr="00B14F71">
          <w:rPr>
            <w:rStyle w:val="Hyperlnk"/>
            <w:lang w:val="en-GB"/>
          </w:rPr>
          <w:t>L A N D S K A P S L A G om ändring av kommunstrukturlagen för Åland</w:t>
        </w:r>
        <w:r w:rsidR="00656C7E">
          <w:rPr>
            <w:webHidden/>
          </w:rPr>
          <w:tab/>
        </w:r>
        <w:r w:rsidR="00656C7E">
          <w:rPr>
            <w:webHidden/>
          </w:rPr>
          <w:fldChar w:fldCharType="begin"/>
        </w:r>
        <w:r w:rsidR="00656C7E">
          <w:rPr>
            <w:webHidden/>
          </w:rPr>
          <w:instrText xml:space="preserve"> PAGEREF _Toc93052511 \h </w:instrText>
        </w:r>
        <w:r w:rsidR="00656C7E">
          <w:rPr>
            <w:webHidden/>
          </w:rPr>
        </w:r>
        <w:r w:rsidR="00656C7E">
          <w:rPr>
            <w:webHidden/>
          </w:rPr>
          <w:fldChar w:fldCharType="separate"/>
        </w:r>
        <w:r w:rsidR="00CE5F62">
          <w:rPr>
            <w:webHidden/>
          </w:rPr>
          <w:t>1</w:t>
        </w:r>
        <w:r w:rsidR="00656C7E">
          <w:rPr>
            <w:webHidden/>
          </w:rPr>
          <w:fldChar w:fldCharType="end"/>
        </w:r>
      </w:hyperlink>
    </w:p>
    <w:p w14:paraId="2CEAB3AE" w14:textId="263BD2ED"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42FBD34E" w14:textId="77777777" w:rsidR="00E023D9" w:rsidRDefault="00E023D9">
      <w:pPr>
        <w:pStyle w:val="ANormal"/>
        <w:rPr>
          <w:noProof/>
        </w:rPr>
      </w:pPr>
    </w:p>
    <w:p w14:paraId="51E640E9" w14:textId="0C364777" w:rsidR="00E023D9" w:rsidRPr="00D13B66" w:rsidRDefault="00A16561">
      <w:pPr>
        <w:pStyle w:val="ANormal"/>
        <w:rPr>
          <w:lang w:val="en-GB"/>
        </w:rPr>
      </w:pPr>
      <w:r>
        <w:rPr>
          <w:lang w:val="en-GB"/>
        </w:rPr>
        <w:t>2</w:t>
      </w:r>
      <w:r w:rsidR="00262245">
        <w:rPr>
          <w:lang w:val="en-GB"/>
        </w:rPr>
        <w:t>.</w:t>
      </w:r>
    </w:p>
    <w:p w14:paraId="663BCCAB" w14:textId="2784DA5E" w:rsidR="00A16561" w:rsidRDefault="00E023D9" w:rsidP="00A16561">
      <w:pPr>
        <w:pStyle w:val="LagHuvRubr"/>
        <w:rPr>
          <w:lang w:val="en-GB"/>
        </w:rPr>
      </w:pPr>
      <w:bookmarkStart w:id="0" w:name="_Toc500921111"/>
      <w:bookmarkStart w:id="1" w:name="_Toc528640435"/>
      <w:bookmarkStart w:id="2" w:name="_Toc93052511"/>
      <w:r w:rsidRPr="00D13B66">
        <w:rPr>
          <w:lang w:val="en-GB"/>
        </w:rPr>
        <w:t>L A N D S K A P S L A G</w:t>
      </w:r>
      <w:r w:rsidRPr="00D13B66">
        <w:rPr>
          <w:lang w:val="en-GB"/>
        </w:rPr>
        <w:br/>
        <w:t>om</w:t>
      </w:r>
      <w:bookmarkEnd w:id="0"/>
      <w:bookmarkEnd w:id="1"/>
      <w:r w:rsidR="00A16561" w:rsidRPr="00A16561">
        <w:rPr>
          <w:lang w:val="en-GB"/>
        </w:rPr>
        <w:t xml:space="preserve"> </w:t>
      </w:r>
      <w:r w:rsidR="00A16561">
        <w:rPr>
          <w:lang w:val="en-GB"/>
        </w:rPr>
        <w:t>ändring av kommunstrukturlagen för Åland</w:t>
      </w:r>
      <w:bookmarkEnd w:id="2"/>
    </w:p>
    <w:p w14:paraId="1F27AFD0" w14:textId="77777777" w:rsidR="00A16561" w:rsidRDefault="00A16561" w:rsidP="00A16561">
      <w:pPr>
        <w:pStyle w:val="ANormal"/>
        <w:rPr>
          <w:lang w:val="en-GB"/>
        </w:rPr>
      </w:pPr>
    </w:p>
    <w:p w14:paraId="45AA5555" w14:textId="5CA67CE2" w:rsidR="00F31005" w:rsidRDefault="00F31005" w:rsidP="00F31005">
      <w:pPr>
        <w:pStyle w:val="ANormal"/>
      </w:pPr>
      <w:r>
        <w:tab/>
        <w:t xml:space="preserve">I enlighet med lagtingets beslut </w:t>
      </w:r>
      <w:r w:rsidRPr="00DF3834">
        <w:rPr>
          <w:b/>
          <w:bCs/>
        </w:rPr>
        <w:t>fogas</w:t>
      </w:r>
      <w:r>
        <w:t xml:space="preserve"> till 15</w:t>
      </w:r>
      <w:r w:rsidR="00CE5F62">
        <w:t> §</w:t>
      </w:r>
      <w:r>
        <w:t xml:space="preserve"> kommunstrukturlagen (2019:29) för Åland ett nytt 3</w:t>
      </w:r>
      <w:r w:rsidR="00CE5F62">
        <w:t> mom.</w:t>
      </w:r>
      <w:r>
        <w:t xml:space="preserve"> varvid det nuvarande 3</w:t>
      </w:r>
      <w:r w:rsidR="00CE5F62">
        <w:t> mom.</w:t>
      </w:r>
      <w:r>
        <w:t xml:space="preserve"> blir 4</w:t>
      </w:r>
      <w:r w:rsidR="00CE5F62">
        <w:t> mom.</w:t>
      </w:r>
      <w:r>
        <w:t>, till lagen en ny 16a</w:t>
      </w:r>
      <w:r w:rsidR="00CE5F62">
        <w:t> §</w:t>
      </w:r>
      <w:r>
        <w:t>, till lagens 18</w:t>
      </w:r>
      <w:r w:rsidR="00CE5F62">
        <w:t> §</w:t>
      </w:r>
      <w:r>
        <w:t xml:space="preserve"> ett nytt 2</w:t>
      </w:r>
      <w:r w:rsidR="00CE5F62">
        <w:t> mom.</w:t>
      </w:r>
      <w:r>
        <w:t xml:space="preserve"> samt till lagen nya 46a–46c</w:t>
      </w:r>
      <w:r w:rsidR="00CE5F62">
        <w:t> §</w:t>
      </w:r>
      <w:r>
        <w:t>§ som följer:</w:t>
      </w:r>
    </w:p>
    <w:p w14:paraId="1EC82410" w14:textId="77777777"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14:paraId="795AF305" w14:textId="77777777" w:rsidTr="00CE5F62">
        <w:tc>
          <w:tcPr>
            <w:tcW w:w="2427" w:type="pct"/>
          </w:tcPr>
          <w:p w14:paraId="7F1C3AEC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790D6A04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7" w:type="pct"/>
          </w:tcPr>
          <w:p w14:paraId="12A90614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052D7D8A" w14:textId="77777777" w:rsidTr="00CE5F62">
        <w:tc>
          <w:tcPr>
            <w:tcW w:w="2427" w:type="pct"/>
          </w:tcPr>
          <w:p w14:paraId="30C2FFEF" w14:textId="77777777" w:rsidR="00E023D9" w:rsidRDefault="00E023D9">
            <w:pPr>
              <w:pStyle w:val="ANormal"/>
            </w:pPr>
          </w:p>
          <w:p w14:paraId="78B38EE3" w14:textId="33EA4B51" w:rsidR="00E023D9" w:rsidRDefault="00076DAD">
            <w:pPr>
              <w:pStyle w:val="LagParagraf"/>
            </w:pPr>
            <w:r>
              <w:t>15</w:t>
            </w:r>
            <w:r w:rsidR="00CE5F62">
              <w:t> §</w:t>
            </w:r>
          </w:p>
          <w:p w14:paraId="301889E1" w14:textId="77777777" w:rsidR="00076DAD" w:rsidRDefault="00076DAD" w:rsidP="00076DAD">
            <w:pPr>
              <w:pStyle w:val="LagPararubrik"/>
            </w:pPr>
            <w:r>
              <w:t>Beslut om en särskild kommunindelningsutredning</w:t>
            </w:r>
          </w:p>
          <w:p w14:paraId="650A440C" w14:textId="77777777" w:rsidR="00A16561" w:rsidRDefault="00A16561">
            <w:pPr>
              <w:pStyle w:val="ANormal"/>
            </w:pPr>
            <w:r>
              <w:t>- - - - - - - - - - - - - - - - - - - - - - - - - - - - - -</w:t>
            </w:r>
          </w:p>
          <w:p w14:paraId="439E2261" w14:textId="77777777" w:rsidR="00A16561" w:rsidRPr="00CE5F62" w:rsidRDefault="00A16561" w:rsidP="00CE5F62">
            <w:pPr>
              <w:pStyle w:val="ANormal"/>
            </w:pPr>
          </w:p>
          <w:p w14:paraId="4641CF2B" w14:textId="5774C42F" w:rsidR="00A16561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tab/>
            </w:r>
            <w:r w:rsidR="00A16561" w:rsidRPr="00CE5F62">
              <w:rPr>
                <w:i/>
                <w:iCs/>
              </w:rPr>
              <w:t>Momentet är nytt</w:t>
            </w:r>
          </w:p>
          <w:p w14:paraId="328309B6" w14:textId="77777777" w:rsidR="00A16561" w:rsidRDefault="00A16561">
            <w:pPr>
              <w:pStyle w:val="ANormal"/>
            </w:pPr>
          </w:p>
          <w:p w14:paraId="08A136CE" w14:textId="77777777" w:rsidR="00A16561" w:rsidRDefault="00A16561">
            <w:pPr>
              <w:pStyle w:val="ANormal"/>
            </w:pPr>
          </w:p>
          <w:p w14:paraId="053E536E" w14:textId="77777777" w:rsidR="00A16561" w:rsidRDefault="00A16561">
            <w:pPr>
              <w:pStyle w:val="ANormal"/>
            </w:pPr>
          </w:p>
          <w:p w14:paraId="58EA8CB8" w14:textId="77777777" w:rsidR="00A16561" w:rsidRDefault="00A16561">
            <w:pPr>
              <w:pStyle w:val="ANormal"/>
            </w:pPr>
          </w:p>
          <w:p w14:paraId="68399E09" w14:textId="345C4530" w:rsidR="00A16561" w:rsidRDefault="00A16561">
            <w:pPr>
              <w:pStyle w:val="ANormal"/>
            </w:pPr>
          </w:p>
          <w:p w14:paraId="52D70918" w14:textId="77777777" w:rsidR="00A16561" w:rsidRDefault="00A16561">
            <w:pPr>
              <w:pStyle w:val="ANormal"/>
            </w:pPr>
          </w:p>
          <w:p w14:paraId="4DD0C045" w14:textId="77777777" w:rsidR="00A16561" w:rsidRDefault="00A16561">
            <w:pPr>
              <w:pStyle w:val="ANormal"/>
            </w:pPr>
          </w:p>
          <w:p w14:paraId="027098F7" w14:textId="77777777" w:rsidR="00076DAD" w:rsidRDefault="00A16561" w:rsidP="00076DAD">
            <w:pPr>
              <w:pStyle w:val="ANormal"/>
            </w:pPr>
            <w:r>
              <w:t>- - - - - - - - - - - - - - - - - - - - - - - - - - - - - -</w:t>
            </w:r>
          </w:p>
          <w:p w14:paraId="43E14319" w14:textId="1E84C293" w:rsidR="00CE5F62" w:rsidRPr="00076DAD" w:rsidRDefault="00CE5F62" w:rsidP="00076DAD">
            <w:pPr>
              <w:pStyle w:val="ANormal"/>
            </w:pPr>
          </w:p>
        </w:tc>
        <w:tc>
          <w:tcPr>
            <w:tcW w:w="146" w:type="pct"/>
          </w:tcPr>
          <w:p w14:paraId="33D7F6AA" w14:textId="77777777" w:rsidR="00E023D9" w:rsidRDefault="00E023D9">
            <w:pPr>
              <w:pStyle w:val="ANormal"/>
            </w:pPr>
          </w:p>
        </w:tc>
        <w:tc>
          <w:tcPr>
            <w:tcW w:w="2427" w:type="pct"/>
          </w:tcPr>
          <w:p w14:paraId="7F1EB6C3" w14:textId="77777777" w:rsidR="00E023D9" w:rsidRDefault="00E023D9">
            <w:pPr>
              <w:pStyle w:val="ANormal"/>
            </w:pPr>
          </w:p>
          <w:p w14:paraId="63D1ACC7" w14:textId="57272FBD" w:rsidR="00E023D9" w:rsidRDefault="00A16561">
            <w:pPr>
              <w:pStyle w:val="LagParagraf"/>
            </w:pPr>
            <w:r>
              <w:t>15</w:t>
            </w:r>
            <w:r w:rsidR="00CE5F62">
              <w:t> §</w:t>
            </w:r>
          </w:p>
          <w:p w14:paraId="03A12DC2" w14:textId="59651A9B" w:rsidR="00A16561" w:rsidRDefault="00A16561" w:rsidP="00A16561">
            <w:pPr>
              <w:pStyle w:val="LagPararubrik"/>
            </w:pPr>
            <w:r>
              <w:t>Beslut om en särskild kommunindelningsutredning</w:t>
            </w:r>
          </w:p>
          <w:p w14:paraId="287FD790" w14:textId="77777777" w:rsidR="00A16561" w:rsidRDefault="00A16561">
            <w:pPr>
              <w:pStyle w:val="ANormal"/>
            </w:pPr>
            <w:r>
              <w:t>- - - - - - - - - - - - - - - - - - - - - - - - - - - - - -</w:t>
            </w:r>
          </w:p>
          <w:p w14:paraId="7D0DBA8B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>
              <w:tab/>
            </w:r>
            <w:r w:rsidRPr="00A16561">
              <w:rPr>
                <w:b/>
                <w:bCs/>
              </w:rPr>
              <w:t>En särskild kommunindelningsutredning för en kommun med synnerligen ansträngd ekonomi som omfattas av ett utvärderingsförfarande enligt landskapslagen (</w:t>
            </w:r>
            <w:proofErr w:type="gramStart"/>
            <w:r w:rsidRPr="00A16561">
              <w:rPr>
                <w:b/>
                <w:bCs/>
              </w:rPr>
              <w:t>…:…</w:t>
            </w:r>
            <w:proofErr w:type="gramEnd"/>
            <w:r w:rsidRPr="00A16561">
              <w:rPr>
                <w:b/>
                <w:bCs/>
              </w:rPr>
              <w:t>) om ett utvärderingsförfarande för kommuner med synnerligen ansträngd ekonomi kan även inledas på förslag av den utvärderingsgrupp som avses i den lagen.</w:t>
            </w:r>
          </w:p>
          <w:p w14:paraId="4DE26D77" w14:textId="77777777" w:rsidR="00A16561" w:rsidRDefault="00A16561" w:rsidP="00A16561">
            <w:pPr>
              <w:pStyle w:val="ANormal"/>
            </w:pPr>
            <w:r>
              <w:t>- - - - - - - - - - - - - - - - - - - - - - - - - - - - - -</w:t>
            </w:r>
          </w:p>
          <w:p w14:paraId="58566354" w14:textId="6629479C" w:rsidR="00CE5F62" w:rsidRPr="00A16561" w:rsidRDefault="00CE5F62" w:rsidP="00A16561">
            <w:pPr>
              <w:pStyle w:val="ANormal"/>
            </w:pPr>
          </w:p>
        </w:tc>
      </w:tr>
      <w:tr w:rsidR="005F5899" w14:paraId="7E5E9DF1" w14:textId="77777777" w:rsidTr="00CE5F62">
        <w:tc>
          <w:tcPr>
            <w:tcW w:w="2427" w:type="pct"/>
          </w:tcPr>
          <w:p w14:paraId="24483987" w14:textId="77777777" w:rsidR="005F5899" w:rsidRDefault="005F5899" w:rsidP="0017458C">
            <w:pPr>
              <w:pStyle w:val="ANormal"/>
            </w:pPr>
          </w:p>
          <w:p w14:paraId="385DE47D" w14:textId="77777777" w:rsidR="00C70221" w:rsidRDefault="00C70221" w:rsidP="00C70221">
            <w:pPr>
              <w:pStyle w:val="ANormal"/>
            </w:pPr>
          </w:p>
          <w:p w14:paraId="5F6121F9" w14:textId="2C613203" w:rsidR="00A16561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tab/>
            </w:r>
            <w:r w:rsidR="00A16561" w:rsidRPr="00CE5F62">
              <w:rPr>
                <w:i/>
                <w:iCs/>
              </w:rPr>
              <w:t>Paragrafen är ny</w:t>
            </w:r>
          </w:p>
          <w:p w14:paraId="01D3B7E7" w14:textId="14523074" w:rsidR="00CE5F62" w:rsidRPr="00CE5F62" w:rsidRDefault="00CE5F62" w:rsidP="00CE5F62">
            <w:pPr>
              <w:pStyle w:val="ANormal"/>
            </w:pPr>
          </w:p>
        </w:tc>
        <w:tc>
          <w:tcPr>
            <w:tcW w:w="146" w:type="pct"/>
          </w:tcPr>
          <w:p w14:paraId="3242D3D0" w14:textId="77777777" w:rsidR="005F5899" w:rsidRDefault="005F5899" w:rsidP="0017458C">
            <w:pPr>
              <w:pStyle w:val="ANormal"/>
            </w:pPr>
          </w:p>
        </w:tc>
        <w:tc>
          <w:tcPr>
            <w:tcW w:w="2427" w:type="pct"/>
          </w:tcPr>
          <w:p w14:paraId="48C4A390" w14:textId="77777777" w:rsidR="005F5899" w:rsidRDefault="005F5899" w:rsidP="0017458C">
            <w:pPr>
              <w:pStyle w:val="ANormal"/>
            </w:pPr>
          </w:p>
          <w:p w14:paraId="1B6B2122" w14:textId="061EB49E" w:rsidR="005F5899" w:rsidRPr="00A16561" w:rsidRDefault="00A16561" w:rsidP="0017458C">
            <w:pPr>
              <w:pStyle w:val="LagParagraf"/>
              <w:rPr>
                <w:b/>
                <w:bCs/>
              </w:rPr>
            </w:pPr>
            <w:r w:rsidRPr="00A16561">
              <w:rPr>
                <w:b/>
                <w:bCs/>
              </w:rPr>
              <w:t>16a</w:t>
            </w:r>
            <w:r w:rsidR="00CE5F62">
              <w:rPr>
                <w:b/>
                <w:bCs/>
              </w:rPr>
              <w:t> §</w:t>
            </w:r>
          </w:p>
          <w:p w14:paraId="243AC612" w14:textId="77777777" w:rsidR="00A16561" w:rsidRPr="00A16561" w:rsidRDefault="00A16561" w:rsidP="00A16561">
            <w:pPr>
              <w:pStyle w:val="LagPararubrik"/>
              <w:rPr>
                <w:b/>
                <w:bCs/>
              </w:rPr>
            </w:pPr>
            <w:r w:rsidRPr="00A16561">
              <w:rPr>
                <w:b/>
                <w:bCs/>
              </w:rPr>
              <w:t>Utredning för en kommun med synnerligen ansträngd ekonomi</w:t>
            </w:r>
          </w:p>
          <w:p w14:paraId="17E386DC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tab/>
              <w:t>Vid en särskild kommunindelningsutredning som gäller en kommun med synnerligen ansträngd ekonomi ska kommunindelningsutredaren för fullmäktige i de kommuner som deltar lägga fram förslag till ändrad kommunindelning samt till ett samgångsavtal.</w:t>
            </w:r>
          </w:p>
          <w:p w14:paraId="0EB973A0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tab/>
              <w:t>Kommunindelningsutredarens förslag kan gälla</w:t>
            </w:r>
          </w:p>
          <w:p w14:paraId="7B958276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tab/>
              <w:t>1) att kommunen med synnerligen ansträngd ekonomi går samman med en befintlig kommun,</w:t>
            </w:r>
          </w:p>
          <w:p w14:paraId="31BAD1B1" w14:textId="6F808AA2" w:rsidR="00A16561" w:rsidRPr="00A16561" w:rsidRDefault="00A16561" w:rsidP="00A16561">
            <w:pPr>
              <w:pStyle w:val="ANormal"/>
              <w:rPr>
                <w:b/>
                <w:bCs/>
              </w:rPr>
            </w:pPr>
            <w:bookmarkStart w:id="3" w:name="_Hlk90639668"/>
            <w:r w:rsidRPr="00A16561">
              <w:rPr>
                <w:b/>
                <w:bCs/>
              </w:rPr>
              <w:tab/>
              <w:t>2) att området för kommunen med synnerligen ansträngd ekonomi delas mellan två eller flera kommuner,</w:t>
            </w:r>
          </w:p>
          <w:p w14:paraId="670B51A2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lastRenderedPageBreak/>
              <w:tab/>
              <w:t>3) att fler än två kommuner går samman eller</w:t>
            </w:r>
          </w:p>
          <w:p w14:paraId="3847A7FE" w14:textId="77777777" w:rsidR="00A16561" w:rsidRP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tab/>
              <w:t>4) överföring av en del av kommunen med synnerligen ansträngd ekonomi till en annan kommun.</w:t>
            </w:r>
          </w:p>
          <w:bookmarkEnd w:id="3"/>
          <w:p w14:paraId="4F28A9E9" w14:textId="77777777" w:rsid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</w:rPr>
              <w:tab/>
              <w:t>Om fullmäktige i samtliga kommuner som berörs av ändringen godkänner utredarens förslag, ska kommunerna göra en gemensam framställning till landskapsregeringen om en ändring i kommunindelningen i enlighet med utredarens förslag. I annat fall ska utredaren lämna sin framställning om ändring i kommunindelningen till landskapsregeringen.</w:t>
            </w:r>
          </w:p>
          <w:p w14:paraId="3AC3A35B" w14:textId="57BE4F0F" w:rsidR="00CE5F62" w:rsidRPr="00CE5F62" w:rsidRDefault="00CE5F62" w:rsidP="00A16561">
            <w:pPr>
              <w:pStyle w:val="ANormal"/>
            </w:pPr>
          </w:p>
        </w:tc>
      </w:tr>
      <w:tr w:rsidR="00F17D8E" w14:paraId="4D68BA3A" w14:textId="77777777" w:rsidTr="00CE5F62">
        <w:tc>
          <w:tcPr>
            <w:tcW w:w="2427" w:type="pct"/>
          </w:tcPr>
          <w:p w14:paraId="59184474" w14:textId="77777777" w:rsidR="00F17D8E" w:rsidRDefault="00F17D8E" w:rsidP="00FE02F5">
            <w:pPr>
              <w:pStyle w:val="ANormal"/>
            </w:pPr>
          </w:p>
          <w:p w14:paraId="434EAA03" w14:textId="24764219" w:rsidR="00F17D8E" w:rsidRDefault="00F17D8E" w:rsidP="00FE02F5">
            <w:pPr>
              <w:pStyle w:val="LagParagraf"/>
            </w:pPr>
            <w:r>
              <w:t>18</w:t>
            </w:r>
            <w:r w:rsidR="00CE5F62">
              <w:t> §</w:t>
            </w:r>
          </w:p>
          <w:p w14:paraId="48D55A92" w14:textId="77777777" w:rsidR="00F17D8E" w:rsidRDefault="00F17D8E" w:rsidP="00F17D8E">
            <w:pPr>
              <w:pStyle w:val="LagPararubrik"/>
            </w:pPr>
            <w:r>
              <w:t>Förutsättningar för beslutsfattande när kommuner går samman</w:t>
            </w:r>
          </w:p>
          <w:p w14:paraId="13314826" w14:textId="77777777" w:rsidR="00A16561" w:rsidRDefault="00A16561">
            <w:pPr>
              <w:pStyle w:val="ANormal"/>
            </w:pPr>
            <w:r>
              <w:t>- - - - - - - - - - - - - - - - - - - - - - - - - - - - - -</w:t>
            </w:r>
          </w:p>
          <w:p w14:paraId="5ABA1101" w14:textId="77777777" w:rsidR="00F17D8E" w:rsidRDefault="00F17D8E" w:rsidP="00F17D8E">
            <w:pPr>
              <w:pStyle w:val="ANormal"/>
            </w:pPr>
          </w:p>
          <w:p w14:paraId="43851BF5" w14:textId="77777777" w:rsidR="00A16561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tab/>
            </w:r>
            <w:r w:rsidR="00A16561" w:rsidRPr="00CE5F62">
              <w:rPr>
                <w:i/>
                <w:iCs/>
              </w:rPr>
              <w:t>Momentet är nytt</w:t>
            </w:r>
          </w:p>
          <w:p w14:paraId="1306FB12" w14:textId="27C09161" w:rsidR="00CE5F62" w:rsidRPr="00CE5F62" w:rsidRDefault="00CE5F62" w:rsidP="00CE5F62">
            <w:pPr>
              <w:pStyle w:val="ANormal"/>
            </w:pPr>
          </w:p>
        </w:tc>
        <w:tc>
          <w:tcPr>
            <w:tcW w:w="146" w:type="pct"/>
          </w:tcPr>
          <w:p w14:paraId="0DDAAEB8" w14:textId="77777777" w:rsidR="00F17D8E" w:rsidRDefault="00F17D8E" w:rsidP="00FE02F5">
            <w:pPr>
              <w:pStyle w:val="ANormal"/>
            </w:pPr>
          </w:p>
        </w:tc>
        <w:tc>
          <w:tcPr>
            <w:tcW w:w="2427" w:type="pct"/>
          </w:tcPr>
          <w:p w14:paraId="196D7FC5" w14:textId="77777777" w:rsidR="00F17D8E" w:rsidRDefault="00F17D8E" w:rsidP="00FE02F5">
            <w:pPr>
              <w:pStyle w:val="ANormal"/>
            </w:pPr>
          </w:p>
          <w:p w14:paraId="59D1B4C3" w14:textId="11F9D4D4" w:rsidR="00F17D8E" w:rsidRDefault="00A16561" w:rsidP="00FE02F5">
            <w:pPr>
              <w:pStyle w:val="LagParagraf"/>
            </w:pPr>
            <w:r>
              <w:t>18</w:t>
            </w:r>
            <w:r w:rsidR="00CE5F62">
              <w:t> §</w:t>
            </w:r>
          </w:p>
          <w:p w14:paraId="55A338C5" w14:textId="77777777" w:rsidR="00A16561" w:rsidRDefault="00A16561" w:rsidP="00A16561">
            <w:pPr>
              <w:pStyle w:val="LagPararubrik"/>
            </w:pPr>
            <w:r>
              <w:t>Förutsättningar för beslutsfattande när kommuner går samman</w:t>
            </w:r>
          </w:p>
          <w:p w14:paraId="71C5B514" w14:textId="77777777" w:rsidR="00A16561" w:rsidRDefault="00A16561">
            <w:pPr>
              <w:pStyle w:val="ANormal"/>
            </w:pPr>
            <w:r>
              <w:t>- - - - - - - - - - - - - - - - - - - - - - - - - - - - - -</w:t>
            </w:r>
          </w:p>
          <w:p w14:paraId="45502F85" w14:textId="303BDA68" w:rsidR="00A16561" w:rsidRDefault="00A16561" w:rsidP="00A16561">
            <w:pPr>
              <w:pStyle w:val="ANormal"/>
              <w:rPr>
                <w:b/>
                <w:bCs/>
              </w:rPr>
            </w:pPr>
            <w:r w:rsidRPr="00A16561">
              <w:rPr>
                <w:b/>
                <w:bCs/>
                <w:color w:val="7F7F7F"/>
              </w:rPr>
              <w:tab/>
            </w:r>
            <w:r w:rsidRPr="00A16561">
              <w:rPr>
                <w:b/>
                <w:bCs/>
              </w:rPr>
              <w:t>Landskapsregeringen kan på den framställning av kommunindelningsutredaren som avses i 16a</w:t>
            </w:r>
            <w:r w:rsidR="00CE5F62">
              <w:rPr>
                <w:b/>
                <w:bCs/>
              </w:rPr>
              <w:t> §</w:t>
            </w:r>
            <w:r w:rsidRPr="00A16561">
              <w:rPr>
                <w:b/>
                <w:bCs/>
              </w:rPr>
              <w:t xml:space="preserve"> besluta om en ändring i kommunindelningen för en kommun med synnerligen ansträngd ekonomi trots motstånd från fullmäktige i den eller de kommuner som berörs av ändringen, om ändringen är nödvändig för att trygga den lagstadgade servicen för invånarna i den kommun som har en synnerligen ansträngd ekonomi och förutsättningarna för en ändring i kommunindelningen enligt 4</w:t>
            </w:r>
            <w:r w:rsidR="00CE5F62">
              <w:rPr>
                <w:b/>
                <w:bCs/>
              </w:rPr>
              <w:t> §</w:t>
            </w:r>
            <w:r w:rsidRPr="00A16561">
              <w:rPr>
                <w:b/>
                <w:bCs/>
              </w:rPr>
              <w:t xml:space="preserve"> uppfylls.</w:t>
            </w:r>
          </w:p>
          <w:p w14:paraId="18CB6184" w14:textId="72EBE152" w:rsidR="00CE5F62" w:rsidRPr="00A16561" w:rsidRDefault="00CE5F62" w:rsidP="00A16561">
            <w:pPr>
              <w:pStyle w:val="ANormal"/>
              <w:rPr>
                <w:b/>
                <w:bCs/>
              </w:rPr>
            </w:pPr>
          </w:p>
        </w:tc>
      </w:tr>
      <w:tr w:rsidR="00BD45F0" w14:paraId="6B6F76D5" w14:textId="77777777" w:rsidTr="00CE5F62">
        <w:tc>
          <w:tcPr>
            <w:tcW w:w="2427" w:type="pct"/>
          </w:tcPr>
          <w:p w14:paraId="4E5F70AB" w14:textId="77777777" w:rsidR="00BD45F0" w:rsidRDefault="00BD45F0" w:rsidP="008E61F1">
            <w:pPr>
              <w:pStyle w:val="ANormal"/>
            </w:pPr>
            <w:bookmarkStart w:id="4" w:name="_Hlk191471583"/>
          </w:p>
          <w:p w14:paraId="4F127B6A" w14:textId="77777777" w:rsidR="00F31005" w:rsidRDefault="00F31005" w:rsidP="00F31005">
            <w:pPr>
              <w:pStyle w:val="ANormal"/>
            </w:pPr>
          </w:p>
          <w:p w14:paraId="7C476C1C" w14:textId="5B0B5FB0" w:rsidR="00BD45F0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tab/>
            </w:r>
            <w:r w:rsidR="00F31005" w:rsidRPr="00CE5F62">
              <w:rPr>
                <w:i/>
                <w:iCs/>
              </w:rPr>
              <w:t>Paragrafen är ny</w:t>
            </w:r>
          </w:p>
          <w:p w14:paraId="3E7235CD" w14:textId="13157371" w:rsidR="00CE5F62" w:rsidRPr="00CE5F62" w:rsidRDefault="00CE5F62" w:rsidP="00CE5F62">
            <w:pPr>
              <w:pStyle w:val="ANormal"/>
            </w:pPr>
          </w:p>
        </w:tc>
        <w:tc>
          <w:tcPr>
            <w:tcW w:w="146" w:type="pct"/>
          </w:tcPr>
          <w:p w14:paraId="3E86BF9B" w14:textId="77777777" w:rsidR="00BD45F0" w:rsidRDefault="00BD45F0" w:rsidP="008E61F1">
            <w:pPr>
              <w:pStyle w:val="ANormal"/>
            </w:pPr>
          </w:p>
        </w:tc>
        <w:tc>
          <w:tcPr>
            <w:tcW w:w="2427" w:type="pct"/>
          </w:tcPr>
          <w:p w14:paraId="527177BF" w14:textId="77777777" w:rsidR="00BD45F0" w:rsidRPr="00CD7E42" w:rsidRDefault="00BD45F0" w:rsidP="008E61F1">
            <w:pPr>
              <w:pStyle w:val="ANormal"/>
              <w:rPr>
                <w:b/>
                <w:bCs/>
              </w:rPr>
            </w:pPr>
          </w:p>
          <w:p w14:paraId="1C5DD96B" w14:textId="7291DB24" w:rsidR="00BD45F0" w:rsidRPr="00CD7E42" w:rsidRDefault="00BD45F0" w:rsidP="00BD45F0">
            <w:pPr>
              <w:pStyle w:val="LagParagraf"/>
              <w:rPr>
                <w:b/>
                <w:bCs/>
              </w:rPr>
            </w:pPr>
            <w:r w:rsidRPr="00CD7E42">
              <w:rPr>
                <w:b/>
                <w:bCs/>
              </w:rPr>
              <w:t>46a</w:t>
            </w:r>
            <w:r w:rsidR="00CE5F62">
              <w:rPr>
                <w:b/>
                <w:bCs/>
              </w:rPr>
              <w:t> §</w:t>
            </w:r>
          </w:p>
          <w:p w14:paraId="3468794B" w14:textId="77777777" w:rsidR="00BD45F0" w:rsidRPr="00CD7E42" w:rsidRDefault="00BD45F0" w:rsidP="00BD45F0">
            <w:pPr>
              <w:pStyle w:val="LagPararubrik"/>
              <w:rPr>
                <w:b/>
                <w:bCs/>
              </w:rPr>
            </w:pPr>
            <w:r w:rsidRPr="00CD7E42">
              <w:rPr>
                <w:b/>
                <w:bCs/>
              </w:rPr>
              <w:t>Förenhetligande av kommunindelningen och den kamerala indelningen vid fastighetsförrättning</w:t>
            </w:r>
          </w:p>
          <w:p w14:paraId="311496A3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Kommer kommunindelningen och den kamerala indelningen att avvika från varandra till följd av en fastighetsförrättning, beslutar förrättningsmännen att den administrativa kommunindelningen och den kamerala indelningen ska förenhetligas.</w:t>
            </w:r>
          </w:p>
          <w:p w14:paraId="7DE3B145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Den administrativa kommungränsen kan ändras vid en fastighetsförrättning, om</w:t>
            </w:r>
          </w:p>
          <w:p w14:paraId="23149DE7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1) arealen av de områden som överförs från en kommun till en annan kommun eller flera andra kommuner vid samma lantmäteriförrättning är högst 50 hektar, och</w:t>
            </w:r>
          </w:p>
          <w:p w14:paraId="68FA67E1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 xml:space="preserve">2) på det område som överförs finns inga andra byggnader som förutsätter </w:t>
            </w:r>
            <w:r w:rsidRPr="00CD7E42">
              <w:rPr>
                <w:b/>
                <w:bCs/>
              </w:rPr>
              <w:lastRenderedPageBreak/>
              <w:t>bygglov än enstaka semesterbostäder utanför detaljplaneområde eller ekonomibyggnader som behövs för bedrivande av jord- och skogsbruk.</w:t>
            </w:r>
          </w:p>
          <w:p w14:paraId="69700F15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Kommunen är sakägare vid en fastighetsförrättning där den administrativa kommungränsen ändras.</w:t>
            </w:r>
          </w:p>
          <w:p w14:paraId="0E04E38E" w14:textId="77777777" w:rsidR="00BD45F0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Ändring i förrättningsmännens beslut som gäller ändring av kommungränsen får sökas av ägaren till ett område som ingår i registerenheten och av en kommun som berörs av ändringen av den administrativa kommungränsen. Ändring söks hos jorddomstolen. Vid sökande av ändring iakttas vad som föreskrivs i fastighetsbildningslagen (FFS 554/1995).</w:t>
            </w:r>
          </w:p>
          <w:p w14:paraId="660BBD71" w14:textId="32212BED" w:rsidR="00CE5F62" w:rsidRPr="00CE5F62" w:rsidRDefault="00CE5F62" w:rsidP="00D83EFB">
            <w:pPr>
              <w:pStyle w:val="ANormal"/>
            </w:pPr>
          </w:p>
        </w:tc>
      </w:tr>
      <w:tr w:rsidR="00BD45F0" w14:paraId="4D0BF1B4" w14:textId="77777777" w:rsidTr="00CE5F62">
        <w:tc>
          <w:tcPr>
            <w:tcW w:w="2427" w:type="pct"/>
          </w:tcPr>
          <w:p w14:paraId="2E2EC0F7" w14:textId="77777777" w:rsidR="00BD45F0" w:rsidRDefault="00BD45F0" w:rsidP="008E61F1">
            <w:pPr>
              <w:pStyle w:val="ANormal"/>
            </w:pPr>
          </w:p>
          <w:p w14:paraId="1E64AD57" w14:textId="77777777" w:rsidR="00F31005" w:rsidRDefault="00F31005" w:rsidP="00F31005">
            <w:pPr>
              <w:pStyle w:val="ANormal"/>
            </w:pPr>
          </w:p>
          <w:p w14:paraId="34A26972" w14:textId="77777777" w:rsidR="00BD45F0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tab/>
            </w:r>
            <w:r w:rsidR="00F31005" w:rsidRPr="00CE5F62">
              <w:rPr>
                <w:i/>
                <w:iCs/>
              </w:rPr>
              <w:t>Paragrafen är ny</w:t>
            </w:r>
          </w:p>
          <w:p w14:paraId="52AD99AC" w14:textId="0031401C" w:rsidR="00CE5F62" w:rsidRPr="00CE5F62" w:rsidRDefault="00CE5F62" w:rsidP="00CE5F62">
            <w:pPr>
              <w:pStyle w:val="ANormal"/>
            </w:pPr>
          </w:p>
        </w:tc>
        <w:tc>
          <w:tcPr>
            <w:tcW w:w="146" w:type="pct"/>
          </w:tcPr>
          <w:p w14:paraId="68ED426F" w14:textId="77777777" w:rsidR="00BD45F0" w:rsidRDefault="00BD45F0" w:rsidP="008E61F1">
            <w:pPr>
              <w:pStyle w:val="ANormal"/>
            </w:pPr>
          </w:p>
        </w:tc>
        <w:tc>
          <w:tcPr>
            <w:tcW w:w="2427" w:type="pct"/>
          </w:tcPr>
          <w:p w14:paraId="711A8C31" w14:textId="77777777" w:rsidR="00BD45F0" w:rsidRPr="00CD7E42" w:rsidRDefault="00BD45F0" w:rsidP="008E61F1">
            <w:pPr>
              <w:pStyle w:val="ANormal"/>
              <w:rPr>
                <w:b/>
                <w:bCs/>
              </w:rPr>
            </w:pPr>
          </w:p>
          <w:p w14:paraId="395A9C44" w14:textId="30914704" w:rsidR="00BD45F0" w:rsidRPr="00CD7E42" w:rsidRDefault="00BD45F0" w:rsidP="00BD45F0">
            <w:pPr>
              <w:pStyle w:val="LagParagraf"/>
              <w:rPr>
                <w:b/>
                <w:bCs/>
              </w:rPr>
            </w:pPr>
            <w:r w:rsidRPr="00CD7E42">
              <w:rPr>
                <w:b/>
                <w:bCs/>
              </w:rPr>
              <w:t>46b</w:t>
            </w:r>
            <w:r w:rsidR="00CE5F62">
              <w:rPr>
                <w:b/>
                <w:bCs/>
              </w:rPr>
              <w:t> §</w:t>
            </w:r>
          </w:p>
          <w:p w14:paraId="24D857BC" w14:textId="77777777" w:rsidR="00BD45F0" w:rsidRPr="00CD7E42" w:rsidRDefault="00BD45F0" w:rsidP="00BD45F0">
            <w:pPr>
              <w:pStyle w:val="LagPararubrik"/>
              <w:rPr>
                <w:b/>
                <w:bCs/>
              </w:rPr>
            </w:pPr>
            <w:r w:rsidRPr="00CD7E42">
              <w:rPr>
                <w:b/>
                <w:bCs/>
              </w:rPr>
              <w:t>Förenhetligande av kommunindelningen och den kamerala indelningen i övriga fall</w:t>
            </w:r>
          </w:p>
          <w:p w14:paraId="072D8145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Har kommunindelningen och den kamerala indelningen till följd av en fastighetsförrättning eller annars till följd av något annat skäl än ett beslut om ändring i kommunindelningen eller gränsens sträckning kommit att avvika från varandra, får fastighetsregisterföraren</w:t>
            </w:r>
          </w:p>
          <w:p w14:paraId="77C4D914" w14:textId="7777777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1) besluta att den kamerala indelningen ändras i överensstämmelse med kommunindelningen,</w:t>
            </w:r>
          </w:p>
          <w:p w14:paraId="55C8CA20" w14:textId="16C7A407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2) besluta att kommungränsen ändras i överensstämmelse med den kamerala indelningen, om det inte är ändamålsenligt att ändra den kamerala indelningen och förutsättningarna enligt 46a</w:t>
            </w:r>
            <w:r w:rsidR="00CE5F62">
              <w:rPr>
                <w:b/>
                <w:bCs/>
              </w:rPr>
              <w:t> §</w:t>
            </w:r>
            <w:r w:rsidRPr="00CD7E42">
              <w:rPr>
                <w:b/>
                <w:bCs/>
              </w:rPr>
              <w:t xml:space="preserve"> 2</w:t>
            </w:r>
            <w:r w:rsidR="00CE5F62">
              <w:rPr>
                <w:b/>
                <w:bCs/>
              </w:rPr>
              <w:t> mom.</w:t>
            </w:r>
            <w:r w:rsidRPr="00CD7E42">
              <w:rPr>
                <w:b/>
                <w:bCs/>
              </w:rPr>
              <w:t xml:space="preserve"> 1 och 2</w:t>
            </w:r>
            <w:r w:rsidR="00CE5F62">
              <w:rPr>
                <w:b/>
                <w:bCs/>
              </w:rPr>
              <w:t> punkt</w:t>
            </w:r>
            <w:r w:rsidRPr="00CD7E42">
              <w:rPr>
                <w:b/>
                <w:bCs/>
              </w:rPr>
              <w:t>en föreligger, eller</w:t>
            </w:r>
          </w:p>
          <w:p w14:paraId="12FF2331" w14:textId="1D518AA1" w:rsidR="00D83EFB" w:rsidRPr="00CD7E42" w:rsidRDefault="00D83EFB" w:rsidP="00D83EFB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3) göra framställning till ministeriet om ändring i kommunindelningen, om det inte är ändamålsenligt att ändra den kamerala indelningen och förutsättningarna enligt 46a</w:t>
            </w:r>
            <w:r w:rsidR="00CE5F62">
              <w:rPr>
                <w:b/>
                <w:bCs/>
              </w:rPr>
              <w:t> §</w:t>
            </w:r>
            <w:r w:rsidRPr="00CD7E42">
              <w:rPr>
                <w:b/>
                <w:bCs/>
              </w:rPr>
              <w:t xml:space="preserve"> 2</w:t>
            </w:r>
            <w:r w:rsidR="00CE5F62">
              <w:rPr>
                <w:b/>
                <w:bCs/>
              </w:rPr>
              <w:t> mom.</w:t>
            </w:r>
            <w:r w:rsidRPr="00CD7E42">
              <w:rPr>
                <w:b/>
                <w:bCs/>
              </w:rPr>
              <w:t xml:space="preserve"> 1 och 2</w:t>
            </w:r>
            <w:r w:rsidR="00CE5F62">
              <w:rPr>
                <w:b/>
                <w:bCs/>
              </w:rPr>
              <w:t> punkt</w:t>
            </w:r>
            <w:r w:rsidRPr="00CD7E42">
              <w:rPr>
                <w:b/>
                <w:bCs/>
              </w:rPr>
              <w:t>en inte föreligger.</w:t>
            </w:r>
          </w:p>
          <w:p w14:paraId="76F2E4DF" w14:textId="77777777" w:rsidR="00BD45F0" w:rsidRDefault="00D83EFB" w:rsidP="00BD45F0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Ändring i fastighetsregisterförarens beslut får sökas av ägaren till ett område som ingår i registerenheten och av en kommun som berörs av ändringen av den administrativa kommungränsen. Ändring söks hos jorddomstolen. Vid sökande av ändring iakttas vad som föreskrivs i fastighetsbildningslagen.</w:t>
            </w:r>
          </w:p>
          <w:p w14:paraId="6465B8B3" w14:textId="77777777" w:rsidR="00CE5F62" w:rsidRDefault="00CE5F62" w:rsidP="00BD45F0">
            <w:pPr>
              <w:pStyle w:val="ANormal"/>
            </w:pPr>
          </w:p>
          <w:p w14:paraId="228114E9" w14:textId="69D88A44" w:rsidR="00CE5F62" w:rsidRPr="00CE5F62" w:rsidRDefault="00CE5F62" w:rsidP="00BD45F0">
            <w:pPr>
              <w:pStyle w:val="ANormal"/>
            </w:pPr>
          </w:p>
        </w:tc>
      </w:tr>
      <w:tr w:rsidR="00BD45F0" w14:paraId="38754ABC" w14:textId="77777777" w:rsidTr="00CE5F62">
        <w:tc>
          <w:tcPr>
            <w:tcW w:w="2427" w:type="pct"/>
          </w:tcPr>
          <w:p w14:paraId="3F4884FC" w14:textId="77777777" w:rsidR="00BD45F0" w:rsidRDefault="00BD45F0" w:rsidP="00821845">
            <w:pPr>
              <w:pStyle w:val="ANormal"/>
            </w:pPr>
          </w:p>
          <w:p w14:paraId="53F1D094" w14:textId="77777777" w:rsidR="00F31005" w:rsidRDefault="00F31005" w:rsidP="00F31005">
            <w:pPr>
              <w:pStyle w:val="ANormal"/>
            </w:pPr>
          </w:p>
          <w:p w14:paraId="67B9C241" w14:textId="77777777" w:rsidR="00F31005" w:rsidRPr="00CE5F62" w:rsidRDefault="00CE5F62" w:rsidP="00CE5F62">
            <w:pPr>
              <w:pStyle w:val="ANormal"/>
              <w:rPr>
                <w:i/>
                <w:iCs/>
              </w:rPr>
            </w:pPr>
            <w:r>
              <w:lastRenderedPageBreak/>
              <w:tab/>
            </w:r>
            <w:r w:rsidR="00F31005" w:rsidRPr="00CE5F62">
              <w:rPr>
                <w:i/>
                <w:iCs/>
              </w:rPr>
              <w:t>Paragrafen är ny</w:t>
            </w:r>
          </w:p>
          <w:p w14:paraId="5C22A0D2" w14:textId="0D7248F2" w:rsidR="00CE5F62" w:rsidRPr="00CE5F62" w:rsidRDefault="00CE5F62" w:rsidP="00CE5F62">
            <w:pPr>
              <w:pStyle w:val="ANormal"/>
            </w:pPr>
          </w:p>
        </w:tc>
        <w:tc>
          <w:tcPr>
            <w:tcW w:w="146" w:type="pct"/>
          </w:tcPr>
          <w:p w14:paraId="378079FF" w14:textId="77777777" w:rsidR="00BD45F0" w:rsidRDefault="00BD45F0" w:rsidP="00821845">
            <w:pPr>
              <w:pStyle w:val="ANormal"/>
            </w:pPr>
          </w:p>
        </w:tc>
        <w:tc>
          <w:tcPr>
            <w:tcW w:w="2427" w:type="pct"/>
          </w:tcPr>
          <w:p w14:paraId="56D50014" w14:textId="77777777" w:rsidR="00BD45F0" w:rsidRPr="00CD7E42" w:rsidRDefault="00BD45F0" w:rsidP="00821845">
            <w:pPr>
              <w:pStyle w:val="ANormal"/>
              <w:rPr>
                <w:b/>
                <w:bCs/>
              </w:rPr>
            </w:pPr>
          </w:p>
          <w:p w14:paraId="29CF21BF" w14:textId="55A8C39C" w:rsidR="00BD45F0" w:rsidRPr="00CD7E42" w:rsidRDefault="00BD45F0" w:rsidP="00BD45F0">
            <w:pPr>
              <w:pStyle w:val="LagParagraf"/>
              <w:rPr>
                <w:b/>
                <w:bCs/>
              </w:rPr>
            </w:pPr>
            <w:r w:rsidRPr="00CD7E42">
              <w:rPr>
                <w:b/>
                <w:bCs/>
              </w:rPr>
              <w:lastRenderedPageBreak/>
              <w:t>46c</w:t>
            </w:r>
            <w:r w:rsidR="00CE5F62">
              <w:rPr>
                <w:b/>
                <w:bCs/>
              </w:rPr>
              <w:t> §</w:t>
            </w:r>
          </w:p>
          <w:p w14:paraId="485F5C66" w14:textId="77777777" w:rsidR="00BD45F0" w:rsidRPr="00CD7E42" w:rsidRDefault="00BD45F0" w:rsidP="00BD45F0">
            <w:pPr>
              <w:pStyle w:val="LagPararubrik"/>
              <w:rPr>
                <w:b/>
                <w:bCs/>
              </w:rPr>
            </w:pPr>
            <w:r w:rsidRPr="00CD7E42">
              <w:rPr>
                <w:b/>
                <w:bCs/>
              </w:rPr>
              <w:t>Bildande av en egen fastighet av ett område som överförs</w:t>
            </w:r>
          </w:p>
          <w:p w14:paraId="2414AFAC" w14:textId="77777777" w:rsidR="00BD45F0" w:rsidRDefault="00D83EFB" w:rsidP="00BD45F0">
            <w:pPr>
              <w:pStyle w:val="ANormal"/>
              <w:rPr>
                <w:b/>
                <w:bCs/>
              </w:rPr>
            </w:pPr>
            <w:r w:rsidRPr="00CD7E42">
              <w:rPr>
                <w:b/>
                <w:bCs/>
              </w:rPr>
              <w:tab/>
              <w:t>Om en del av en fastighet ska överföras kameralt från en kommun till en annan, ombildas den genom styckning till en fastighet i den mottagande kommunen (kameral styckning). Ska en del av en annan registerenhet överföras kameralt från en kommun till en annan, ombildas den till en ny registerenhet.</w:t>
            </w:r>
          </w:p>
          <w:p w14:paraId="42B51862" w14:textId="0F74CDE3" w:rsidR="00CE5F62" w:rsidRPr="00CD7E42" w:rsidRDefault="00CE5F62" w:rsidP="00BD45F0">
            <w:pPr>
              <w:pStyle w:val="ANormal"/>
              <w:rPr>
                <w:b/>
                <w:bCs/>
              </w:rPr>
            </w:pPr>
          </w:p>
        </w:tc>
      </w:tr>
      <w:bookmarkEnd w:id="4"/>
      <w:tr w:rsidR="00BD45F0" w14:paraId="19644C24" w14:textId="77777777" w:rsidTr="00CE5F62">
        <w:tc>
          <w:tcPr>
            <w:tcW w:w="2427" w:type="pct"/>
          </w:tcPr>
          <w:p w14:paraId="14AC9A13" w14:textId="77777777" w:rsidR="00BD45F0" w:rsidRDefault="00BD45F0" w:rsidP="008E61F1">
            <w:pPr>
              <w:pStyle w:val="ANormal"/>
            </w:pPr>
          </w:p>
          <w:p w14:paraId="3C9F8C2A" w14:textId="77777777" w:rsidR="00BD45F0" w:rsidRDefault="00BD45F0" w:rsidP="008E61F1">
            <w:pPr>
              <w:pStyle w:val="LagParagraf"/>
            </w:pPr>
          </w:p>
        </w:tc>
        <w:tc>
          <w:tcPr>
            <w:tcW w:w="146" w:type="pct"/>
          </w:tcPr>
          <w:p w14:paraId="4FD1091D" w14:textId="77777777" w:rsidR="00BD45F0" w:rsidRDefault="00BD45F0" w:rsidP="008E61F1">
            <w:pPr>
              <w:pStyle w:val="ANormal"/>
            </w:pPr>
          </w:p>
        </w:tc>
        <w:tc>
          <w:tcPr>
            <w:tcW w:w="2427" w:type="pct"/>
          </w:tcPr>
          <w:p w14:paraId="21577FEB" w14:textId="77777777" w:rsidR="00BD45F0" w:rsidRDefault="00BD45F0" w:rsidP="008E61F1">
            <w:pPr>
              <w:pStyle w:val="ANormal"/>
            </w:pPr>
          </w:p>
          <w:p w14:paraId="34D320CE" w14:textId="77777777" w:rsidR="00BD45F0" w:rsidRDefault="00BD45F0" w:rsidP="008E61F1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229E4EC9" w14:textId="77777777" w:rsidR="00BD45F0" w:rsidRDefault="00BD45F0" w:rsidP="008E61F1">
            <w:pPr>
              <w:pStyle w:val="ANormal"/>
            </w:pPr>
          </w:p>
          <w:p w14:paraId="59893FEA" w14:textId="77777777" w:rsidR="00BD45F0" w:rsidRDefault="00BD45F0" w:rsidP="008E61F1">
            <w:pPr>
              <w:pStyle w:val="ANormal"/>
            </w:pPr>
            <w:r>
              <w:tab/>
              <w:t xml:space="preserve">Denna lag träder i kraft den </w:t>
            </w:r>
            <w:r w:rsidR="00F31005">
              <w:t>1 januari 2026.</w:t>
            </w:r>
          </w:p>
          <w:p w14:paraId="2E414798" w14:textId="68E49CF2" w:rsidR="00CE5F62" w:rsidRPr="00A16561" w:rsidRDefault="00CE5F62" w:rsidP="008E61F1">
            <w:pPr>
              <w:pStyle w:val="ANormal"/>
            </w:pPr>
          </w:p>
        </w:tc>
      </w:tr>
    </w:tbl>
    <w:p w14:paraId="3D35B973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40D1" w14:textId="77777777" w:rsidR="005F5899" w:rsidRDefault="005F5899">
      <w:r>
        <w:separator/>
      </w:r>
    </w:p>
  </w:endnote>
  <w:endnote w:type="continuationSeparator" w:id="0">
    <w:p w14:paraId="53C4F9FA" w14:textId="77777777" w:rsidR="005F5899" w:rsidRDefault="005F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F23E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8E837" w14:textId="513C3E52" w:rsidR="00E023D9" w:rsidRDefault="00E023D9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CE5F62">
      <w:rPr>
        <w:noProof/>
        <w:lang w:val="fi-FI"/>
      </w:rPr>
      <w:t>LF</w:t>
    </w:r>
    <w:r w:rsidR="00621B10">
      <w:rPr>
        <w:noProof/>
        <w:lang w:val="fi-FI"/>
      </w:rPr>
      <w:t>20</w:t>
    </w:r>
    <w:r w:rsidR="00CE5F62">
      <w:rPr>
        <w:noProof/>
        <w:lang w:val="fi-FI"/>
      </w:rPr>
      <w:t>20242025-P.docx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4481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5236" w14:textId="77777777" w:rsidR="005F5899" w:rsidRDefault="005F5899">
      <w:r>
        <w:separator/>
      </w:r>
    </w:p>
  </w:footnote>
  <w:footnote w:type="continuationSeparator" w:id="0">
    <w:p w14:paraId="17813DDB" w14:textId="77777777" w:rsidR="005F5899" w:rsidRDefault="005F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4755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51F3104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C586B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5643855">
    <w:abstractNumId w:val="6"/>
  </w:num>
  <w:num w:numId="2" w16cid:durableId="969285225">
    <w:abstractNumId w:val="3"/>
  </w:num>
  <w:num w:numId="3" w16cid:durableId="1180195703">
    <w:abstractNumId w:val="2"/>
  </w:num>
  <w:num w:numId="4" w16cid:durableId="1344816461">
    <w:abstractNumId w:val="1"/>
  </w:num>
  <w:num w:numId="5" w16cid:durableId="1612282293">
    <w:abstractNumId w:val="0"/>
  </w:num>
  <w:num w:numId="6" w16cid:durableId="1943489680">
    <w:abstractNumId w:val="7"/>
  </w:num>
  <w:num w:numId="7" w16cid:durableId="284889661">
    <w:abstractNumId w:val="5"/>
  </w:num>
  <w:num w:numId="8" w16cid:durableId="1521966760">
    <w:abstractNumId w:val="4"/>
  </w:num>
  <w:num w:numId="9" w16cid:durableId="1685404174">
    <w:abstractNumId w:val="10"/>
  </w:num>
  <w:num w:numId="10" w16cid:durableId="1103575959">
    <w:abstractNumId w:val="13"/>
  </w:num>
  <w:num w:numId="11" w16cid:durableId="526019853">
    <w:abstractNumId w:val="12"/>
  </w:num>
  <w:num w:numId="12" w16cid:durableId="1852716004">
    <w:abstractNumId w:val="16"/>
  </w:num>
  <w:num w:numId="13" w16cid:durableId="1787583366">
    <w:abstractNumId w:val="11"/>
  </w:num>
  <w:num w:numId="14" w16cid:durableId="305091984">
    <w:abstractNumId w:val="15"/>
  </w:num>
  <w:num w:numId="15" w16cid:durableId="958221058">
    <w:abstractNumId w:val="9"/>
  </w:num>
  <w:num w:numId="16" w16cid:durableId="335152975">
    <w:abstractNumId w:val="21"/>
  </w:num>
  <w:num w:numId="17" w16cid:durableId="181094761">
    <w:abstractNumId w:val="8"/>
  </w:num>
  <w:num w:numId="18" w16cid:durableId="934098151">
    <w:abstractNumId w:val="17"/>
  </w:num>
  <w:num w:numId="19" w16cid:durableId="471096352">
    <w:abstractNumId w:val="20"/>
  </w:num>
  <w:num w:numId="20" w16cid:durableId="1974947612">
    <w:abstractNumId w:val="23"/>
  </w:num>
  <w:num w:numId="21" w16cid:durableId="1501311252">
    <w:abstractNumId w:val="22"/>
  </w:num>
  <w:num w:numId="22" w16cid:durableId="214239307">
    <w:abstractNumId w:val="14"/>
  </w:num>
  <w:num w:numId="23" w16cid:durableId="749961179">
    <w:abstractNumId w:val="18"/>
  </w:num>
  <w:num w:numId="24" w16cid:durableId="1845237914">
    <w:abstractNumId w:val="18"/>
  </w:num>
  <w:num w:numId="25" w16cid:durableId="26563657">
    <w:abstractNumId w:val="19"/>
  </w:num>
  <w:num w:numId="26" w16cid:durableId="1271812060">
    <w:abstractNumId w:val="14"/>
  </w:num>
  <w:num w:numId="27" w16cid:durableId="1243180109">
    <w:abstractNumId w:val="14"/>
  </w:num>
  <w:num w:numId="28" w16cid:durableId="557669275">
    <w:abstractNumId w:val="14"/>
  </w:num>
  <w:num w:numId="29" w16cid:durableId="77756804">
    <w:abstractNumId w:val="14"/>
  </w:num>
  <w:num w:numId="30" w16cid:durableId="1280990129">
    <w:abstractNumId w:val="14"/>
  </w:num>
  <w:num w:numId="31" w16cid:durableId="2018849754">
    <w:abstractNumId w:val="14"/>
  </w:num>
  <w:num w:numId="32" w16cid:durableId="881213418">
    <w:abstractNumId w:val="14"/>
  </w:num>
  <w:num w:numId="33" w16cid:durableId="1445151781">
    <w:abstractNumId w:val="14"/>
  </w:num>
  <w:num w:numId="34" w16cid:durableId="604576683">
    <w:abstractNumId w:val="14"/>
  </w:num>
  <w:num w:numId="35" w16cid:durableId="355741317">
    <w:abstractNumId w:val="18"/>
  </w:num>
  <w:num w:numId="36" w16cid:durableId="1650865461">
    <w:abstractNumId w:val="19"/>
  </w:num>
  <w:num w:numId="37" w16cid:durableId="1918052266">
    <w:abstractNumId w:val="14"/>
  </w:num>
  <w:num w:numId="38" w16cid:durableId="71007032">
    <w:abstractNumId w:val="14"/>
  </w:num>
  <w:num w:numId="39" w16cid:durableId="1569992781">
    <w:abstractNumId w:val="14"/>
  </w:num>
  <w:num w:numId="40" w16cid:durableId="87435133">
    <w:abstractNumId w:val="14"/>
  </w:num>
  <w:num w:numId="41" w16cid:durableId="1420449138">
    <w:abstractNumId w:val="14"/>
  </w:num>
  <w:num w:numId="42" w16cid:durableId="1323238324">
    <w:abstractNumId w:val="14"/>
  </w:num>
  <w:num w:numId="43" w16cid:durableId="1702507862">
    <w:abstractNumId w:val="14"/>
  </w:num>
  <w:num w:numId="44" w16cid:durableId="830414873">
    <w:abstractNumId w:val="14"/>
  </w:num>
  <w:num w:numId="45" w16cid:durableId="1724479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99"/>
    <w:rsid w:val="00076170"/>
    <w:rsid w:val="00076DAD"/>
    <w:rsid w:val="000940D7"/>
    <w:rsid w:val="001610EB"/>
    <w:rsid w:val="0017385B"/>
    <w:rsid w:val="00262245"/>
    <w:rsid w:val="00285A07"/>
    <w:rsid w:val="00407EFE"/>
    <w:rsid w:val="00411F65"/>
    <w:rsid w:val="00412464"/>
    <w:rsid w:val="00416C94"/>
    <w:rsid w:val="00430B48"/>
    <w:rsid w:val="004B3388"/>
    <w:rsid w:val="00505C57"/>
    <w:rsid w:val="005065D3"/>
    <w:rsid w:val="005F5899"/>
    <w:rsid w:val="006148D3"/>
    <w:rsid w:val="00621B10"/>
    <w:rsid w:val="00656C7E"/>
    <w:rsid w:val="00674C7E"/>
    <w:rsid w:val="006A31DF"/>
    <w:rsid w:val="00700BAE"/>
    <w:rsid w:val="00871705"/>
    <w:rsid w:val="00A16561"/>
    <w:rsid w:val="00A6020E"/>
    <w:rsid w:val="00AB1B68"/>
    <w:rsid w:val="00BB0EB6"/>
    <w:rsid w:val="00BD45F0"/>
    <w:rsid w:val="00C23088"/>
    <w:rsid w:val="00C70221"/>
    <w:rsid w:val="00CA2078"/>
    <w:rsid w:val="00CD7E42"/>
    <w:rsid w:val="00CE5F62"/>
    <w:rsid w:val="00D13B66"/>
    <w:rsid w:val="00D83EFB"/>
    <w:rsid w:val="00E023D9"/>
    <w:rsid w:val="00E11F71"/>
    <w:rsid w:val="00F17D8E"/>
    <w:rsid w:val="00F31005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56FF9"/>
  <w15:chartTrackingRefBased/>
  <w15:docId w15:val="{91BB3012-EE6C-447F-9838-392F40A8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BD4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0</TotalTime>
  <Pages>4</Pages>
  <Words>985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6191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Diana Lönngren</dc:creator>
  <cp:keywords/>
  <dc:description/>
  <cp:lastModifiedBy>Jessica Laaksonen</cp:lastModifiedBy>
  <cp:revision>2</cp:revision>
  <cp:lastPrinted>2025-04-01T07:30:00Z</cp:lastPrinted>
  <dcterms:created xsi:type="dcterms:W3CDTF">2025-04-03T09:44:00Z</dcterms:created>
  <dcterms:modified xsi:type="dcterms:W3CDTF">2025-04-03T09:44:00Z</dcterms:modified>
</cp:coreProperties>
</file>