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F4853" w14:paraId="7A7EFB55" w14:textId="77777777">
        <w:trPr>
          <w:cantSplit/>
          <w:trHeight w:val="20"/>
        </w:trPr>
        <w:tc>
          <w:tcPr>
            <w:tcW w:w="861" w:type="dxa"/>
            <w:vMerge w:val="restart"/>
          </w:tcPr>
          <w:p w14:paraId="655E9DF7" w14:textId="06D64D9B" w:rsidR="002F4853" w:rsidRDefault="002F4853">
            <w:pPr>
              <w:pStyle w:val="xLedtext"/>
              <w:rPr>
                <w:noProof/>
              </w:rPr>
            </w:pPr>
            <w:bookmarkStart w:id="0" w:name="_top"/>
            <w:bookmarkEnd w:id="0"/>
            <w:r>
              <w:t xml:space="preserve">  </w:t>
            </w:r>
            <w:r w:rsidR="000A4E9F">
              <w:rPr>
                <w:noProof/>
              </w:rPr>
              <w:drawing>
                <wp:inline distT="0" distB="0" distL="0" distR="0" wp14:anchorId="0DD5B2F2" wp14:editId="666BD699">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79DEFC38" w14:textId="028C2489" w:rsidR="002F4853" w:rsidRDefault="000A4E9F">
            <w:pPr>
              <w:pStyle w:val="xMellanrum"/>
            </w:pPr>
            <w:r>
              <w:rPr>
                <w:noProof/>
              </w:rPr>
              <w:drawing>
                <wp:inline distT="0" distB="0" distL="0" distR="0" wp14:anchorId="5A3E97B9" wp14:editId="0CAA7661">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2F4853" w14:paraId="584DC42B" w14:textId="77777777">
        <w:trPr>
          <w:cantSplit/>
          <w:trHeight w:val="299"/>
        </w:trPr>
        <w:tc>
          <w:tcPr>
            <w:tcW w:w="861" w:type="dxa"/>
            <w:vMerge/>
          </w:tcPr>
          <w:p w14:paraId="747CE9FB" w14:textId="77777777" w:rsidR="002F4853" w:rsidRDefault="002F4853">
            <w:pPr>
              <w:pStyle w:val="xLedtext"/>
            </w:pPr>
          </w:p>
        </w:tc>
        <w:tc>
          <w:tcPr>
            <w:tcW w:w="4448" w:type="dxa"/>
            <w:vAlign w:val="bottom"/>
          </w:tcPr>
          <w:p w14:paraId="772936FE" w14:textId="77777777" w:rsidR="002F4853" w:rsidRDefault="002F4853">
            <w:pPr>
              <w:pStyle w:val="xAvsandare1"/>
            </w:pPr>
            <w:r>
              <w:t>Ålands lagting</w:t>
            </w:r>
          </w:p>
        </w:tc>
        <w:tc>
          <w:tcPr>
            <w:tcW w:w="4288" w:type="dxa"/>
            <w:gridSpan w:val="2"/>
            <w:vAlign w:val="bottom"/>
          </w:tcPr>
          <w:p w14:paraId="032FB560" w14:textId="6DB164AF" w:rsidR="002F4853" w:rsidRDefault="00BF7E86" w:rsidP="004F0E8D">
            <w:pPr>
              <w:pStyle w:val="xDokTypNr"/>
            </w:pPr>
            <w:r>
              <w:t xml:space="preserve">UTLÅTANDE </w:t>
            </w:r>
            <w:r w:rsidR="00900C16">
              <w:t>1/</w:t>
            </w:r>
            <w:r>
              <w:t>20</w:t>
            </w:r>
            <w:r w:rsidR="00B72F30">
              <w:t>2</w:t>
            </w:r>
            <w:r w:rsidR="005D0873">
              <w:t>4</w:t>
            </w:r>
            <w:r w:rsidR="00B72F30">
              <w:t>-202</w:t>
            </w:r>
            <w:r w:rsidR="005D0873">
              <w:t>5</w:t>
            </w:r>
          </w:p>
        </w:tc>
      </w:tr>
      <w:tr w:rsidR="002F4853" w14:paraId="0EFFB187" w14:textId="77777777">
        <w:trPr>
          <w:cantSplit/>
          <w:trHeight w:val="238"/>
        </w:trPr>
        <w:tc>
          <w:tcPr>
            <w:tcW w:w="861" w:type="dxa"/>
            <w:vMerge/>
          </w:tcPr>
          <w:p w14:paraId="3A6B8A7A" w14:textId="77777777" w:rsidR="002F4853" w:rsidRDefault="002F4853">
            <w:pPr>
              <w:pStyle w:val="xLedtext"/>
            </w:pPr>
          </w:p>
        </w:tc>
        <w:tc>
          <w:tcPr>
            <w:tcW w:w="4448" w:type="dxa"/>
            <w:vAlign w:val="bottom"/>
          </w:tcPr>
          <w:p w14:paraId="4AAC4788" w14:textId="77777777" w:rsidR="002F4853" w:rsidRDefault="002F4853">
            <w:pPr>
              <w:pStyle w:val="xLedtext"/>
            </w:pPr>
          </w:p>
        </w:tc>
        <w:tc>
          <w:tcPr>
            <w:tcW w:w="1725" w:type="dxa"/>
            <w:vAlign w:val="bottom"/>
          </w:tcPr>
          <w:p w14:paraId="4E4104BF" w14:textId="77777777" w:rsidR="002F4853" w:rsidRDefault="002F4853">
            <w:pPr>
              <w:pStyle w:val="xLedtext"/>
            </w:pPr>
            <w:r>
              <w:t>Datum</w:t>
            </w:r>
          </w:p>
        </w:tc>
        <w:tc>
          <w:tcPr>
            <w:tcW w:w="2563" w:type="dxa"/>
            <w:vAlign w:val="bottom"/>
          </w:tcPr>
          <w:p w14:paraId="2F5FF325" w14:textId="77777777" w:rsidR="002F4853" w:rsidRDefault="002F4853">
            <w:pPr>
              <w:pStyle w:val="xLedtext"/>
            </w:pPr>
          </w:p>
        </w:tc>
      </w:tr>
      <w:tr w:rsidR="002F4853" w14:paraId="32EEF748" w14:textId="77777777">
        <w:trPr>
          <w:cantSplit/>
          <w:trHeight w:val="238"/>
        </w:trPr>
        <w:tc>
          <w:tcPr>
            <w:tcW w:w="861" w:type="dxa"/>
            <w:vMerge/>
          </w:tcPr>
          <w:p w14:paraId="024A4EC8" w14:textId="77777777" w:rsidR="002F4853" w:rsidRDefault="002F4853">
            <w:pPr>
              <w:pStyle w:val="xAvsandare2"/>
            </w:pPr>
          </w:p>
        </w:tc>
        <w:tc>
          <w:tcPr>
            <w:tcW w:w="4448" w:type="dxa"/>
            <w:vAlign w:val="center"/>
          </w:tcPr>
          <w:p w14:paraId="77BCEDC0" w14:textId="16E886B2" w:rsidR="002F4853" w:rsidRDefault="000519D2">
            <w:pPr>
              <w:pStyle w:val="xAvsandare2"/>
            </w:pPr>
            <w:r>
              <w:t>Finans</w:t>
            </w:r>
            <w:r w:rsidR="00C516DE">
              <w:t xml:space="preserve">- och </w:t>
            </w:r>
            <w:r>
              <w:t>närings</w:t>
            </w:r>
            <w:r w:rsidR="002F4853">
              <w:t>utskottet</w:t>
            </w:r>
          </w:p>
        </w:tc>
        <w:tc>
          <w:tcPr>
            <w:tcW w:w="1725" w:type="dxa"/>
            <w:vAlign w:val="center"/>
          </w:tcPr>
          <w:p w14:paraId="25F9C734" w14:textId="12F8B5AD" w:rsidR="002F4853" w:rsidRDefault="00BF7E86" w:rsidP="004F0E8D">
            <w:pPr>
              <w:pStyle w:val="xDatum1"/>
            </w:pPr>
            <w:r>
              <w:t>20</w:t>
            </w:r>
            <w:r w:rsidR="001754DD">
              <w:t>2</w:t>
            </w:r>
            <w:r w:rsidR="005D0873">
              <w:t>5</w:t>
            </w:r>
            <w:r w:rsidR="001754DD">
              <w:t>-</w:t>
            </w:r>
            <w:r w:rsidR="00D54ADF">
              <w:t>06</w:t>
            </w:r>
            <w:r w:rsidR="00B72F30">
              <w:t>-</w:t>
            </w:r>
            <w:r w:rsidR="00D54ADF">
              <w:t>10</w:t>
            </w:r>
          </w:p>
        </w:tc>
        <w:tc>
          <w:tcPr>
            <w:tcW w:w="2563" w:type="dxa"/>
            <w:vAlign w:val="center"/>
          </w:tcPr>
          <w:p w14:paraId="7A5BE862" w14:textId="77777777" w:rsidR="002F4853" w:rsidRDefault="002F4853">
            <w:pPr>
              <w:pStyle w:val="xBeteckning1"/>
            </w:pPr>
          </w:p>
        </w:tc>
      </w:tr>
      <w:tr w:rsidR="002F4853" w14:paraId="43CAD25F" w14:textId="77777777">
        <w:trPr>
          <w:cantSplit/>
          <w:trHeight w:val="238"/>
        </w:trPr>
        <w:tc>
          <w:tcPr>
            <w:tcW w:w="861" w:type="dxa"/>
            <w:vMerge/>
          </w:tcPr>
          <w:p w14:paraId="14914C6B" w14:textId="77777777" w:rsidR="002F4853" w:rsidRDefault="002F4853">
            <w:pPr>
              <w:pStyle w:val="xLedtext"/>
            </w:pPr>
          </w:p>
        </w:tc>
        <w:tc>
          <w:tcPr>
            <w:tcW w:w="4448" w:type="dxa"/>
            <w:vAlign w:val="bottom"/>
          </w:tcPr>
          <w:p w14:paraId="252D4E62" w14:textId="77777777" w:rsidR="002F4853" w:rsidRDefault="002F4853">
            <w:pPr>
              <w:pStyle w:val="xLedtext"/>
            </w:pPr>
          </w:p>
        </w:tc>
        <w:tc>
          <w:tcPr>
            <w:tcW w:w="1725" w:type="dxa"/>
            <w:vAlign w:val="bottom"/>
          </w:tcPr>
          <w:p w14:paraId="5624D134" w14:textId="77777777" w:rsidR="002F4853" w:rsidRDefault="002F4853">
            <w:pPr>
              <w:pStyle w:val="xLedtext"/>
            </w:pPr>
          </w:p>
        </w:tc>
        <w:tc>
          <w:tcPr>
            <w:tcW w:w="2563" w:type="dxa"/>
            <w:vAlign w:val="bottom"/>
          </w:tcPr>
          <w:p w14:paraId="5D7A9C4B" w14:textId="77777777" w:rsidR="002F4853" w:rsidRDefault="002F4853">
            <w:pPr>
              <w:pStyle w:val="xLedtext"/>
            </w:pPr>
          </w:p>
        </w:tc>
      </w:tr>
      <w:tr w:rsidR="002F4853" w14:paraId="67C80949" w14:textId="77777777">
        <w:trPr>
          <w:cantSplit/>
          <w:trHeight w:val="238"/>
        </w:trPr>
        <w:tc>
          <w:tcPr>
            <w:tcW w:w="861" w:type="dxa"/>
            <w:vMerge/>
            <w:tcBorders>
              <w:bottom w:val="single" w:sz="4" w:space="0" w:color="auto"/>
            </w:tcBorders>
          </w:tcPr>
          <w:p w14:paraId="56F55A48" w14:textId="77777777" w:rsidR="002F4853" w:rsidRDefault="002F4853">
            <w:pPr>
              <w:pStyle w:val="xAvsandare3"/>
            </w:pPr>
          </w:p>
        </w:tc>
        <w:tc>
          <w:tcPr>
            <w:tcW w:w="4448" w:type="dxa"/>
            <w:tcBorders>
              <w:bottom w:val="single" w:sz="4" w:space="0" w:color="auto"/>
            </w:tcBorders>
            <w:vAlign w:val="center"/>
          </w:tcPr>
          <w:p w14:paraId="1D9558D8" w14:textId="77777777" w:rsidR="002F4853" w:rsidRDefault="002F4853">
            <w:pPr>
              <w:pStyle w:val="xAvsandare3"/>
            </w:pPr>
          </w:p>
        </w:tc>
        <w:tc>
          <w:tcPr>
            <w:tcW w:w="1725" w:type="dxa"/>
            <w:tcBorders>
              <w:bottom w:val="single" w:sz="4" w:space="0" w:color="auto"/>
            </w:tcBorders>
            <w:vAlign w:val="center"/>
          </w:tcPr>
          <w:p w14:paraId="057E2466" w14:textId="77777777" w:rsidR="002F4853" w:rsidRDefault="002F4853">
            <w:pPr>
              <w:pStyle w:val="xDatum2"/>
            </w:pPr>
          </w:p>
        </w:tc>
        <w:tc>
          <w:tcPr>
            <w:tcW w:w="2563" w:type="dxa"/>
            <w:tcBorders>
              <w:bottom w:val="single" w:sz="4" w:space="0" w:color="auto"/>
            </w:tcBorders>
            <w:vAlign w:val="center"/>
          </w:tcPr>
          <w:p w14:paraId="53470CEF" w14:textId="77777777" w:rsidR="002F4853" w:rsidRDefault="002F4853">
            <w:pPr>
              <w:pStyle w:val="xBeteckning2"/>
            </w:pPr>
          </w:p>
        </w:tc>
      </w:tr>
      <w:tr w:rsidR="002F4853" w14:paraId="578DA50A" w14:textId="77777777">
        <w:trPr>
          <w:cantSplit/>
          <w:trHeight w:val="238"/>
        </w:trPr>
        <w:tc>
          <w:tcPr>
            <w:tcW w:w="861" w:type="dxa"/>
            <w:tcBorders>
              <w:top w:val="single" w:sz="4" w:space="0" w:color="auto"/>
            </w:tcBorders>
            <w:vAlign w:val="bottom"/>
          </w:tcPr>
          <w:p w14:paraId="001914E8" w14:textId="77777777" w:rsidR="002F4853" w:rsidRDefault="002F4853">
            <w:pPr>
              <w:pStyle w:val="xLedtext"/>
            </w:pPr>
          </w:p>
        </w:tc>
        <w:tc>
          <w:tcPr>
            <w:tcW w:w="4448" w:type="dxa"/>
            <w:tcBorders>
              <w:top w:val="single" w:sz="4" w:space="0" w:color="auto"/>
            </w:tcBorders>
            <w:vAlign w:val="bottom"/>
          </w:tcPr>
          <w:p w14:paraId="5D43C486" w14:textId="77777777" w:rsidR="002F4853" w:rsidRDefault="002F4853">
            <w:pPr>
              <w:pStyle w:val="xLedtext"/>
            </w:pPr>
          </w:p>
        </w:tc>
        <w:tc>
          <w:tcPr>
            <w:tcW w:w="4288" w:type="dxa"/>
            <w:gridSpan w:val="2"/>
            <w:tcBorders>
              <w:top w:val="single" w:sz="4" w:space="0" w:color="auto"/>
            </w:tcBorders>
            <w:vAlign w:val="bottom"/>
          </w:tcPr>
          <w:p w14:paraId="0BD72406" w14:textId="77777777" w:rsidR="002F4853" w:rsidRDefault="002F4853">
            <w:pPr>
              <w:pStyle w:val="xLedtext"/>
            </w:pPr>
          </w:p>
        </w:tc>
      </w:tr>
      <w:tr w:rsidR="002F4853" w14:paraId="6AA2AD3C" w14:textId="77777777">
        <w:trPr>
          <w:cantSplit/>
          <w:trHeight w:val="238"/>
        </w:trPr>
        <w:tc>
          <w:tcPr>
            <w:tcW w:w="861" w:type="dxa"/>
          </w:tcPr>
          <w:p w14:paraId="70014693" w14:textId="77777777" w:rsidR="002F4853" w:rsidRDefault="002F4853">
            <w:pPr>
              <w:pStyle w:val="xCelltext"/>
            </w:pPr>
          </w:p>
        </w:tc>
        <w:tc>
          <w:tcPr>
            <w:tcW w:w="4448" w:type="dxa"/>
            <w:vMerge w:val="restart"/>
          </w:tcPr>
          <w:p w14:paraId="7BFD5C5A" w14:textId="5115E85C" w:rsidR="002F4853" w:rsidRDefault="002F4853" w:rsidP="004F0E8D">
            <w:pPr>
              <w:pStyle w:val="xMottagare1"/>
            </w:pPr>
            <w:r>
              <w:t>Til</w:t>
            </w:r>
            <w:r w:rsidR="00F97197">
              <w:t xml:space="preserve">l </w:t>
            </w:r>
            <w:r w:rsidR="005F19B0">
              <w:t>Lag- och kulturutskottet</w:t>
            </w:r>
          </w:p>
        </w:tc>
        <w:tc>
          <w:tcPr>
            <w:tcW w:w="4288" w:type="dxa"/>
            <w:gridSpan w:val="2"/>
            <w:vMerge w:val="restart"/>
          </w:tcPr>
          <w:p w14:paraId="41CCD8B7" w14:textId="77777777" w:rsidR="002F4853" w:rsidRDefault="002F4853">
            <w:pPr>
              <w:pStyle w:val="xMottagare1"/>
              <w:tabs>
                <w:tab w:val="left" w:pos="2349"/>
              </w:tabs>
            </w:pPr>
          </w:p>
        </w:tc>
      </w:tr>
      <w:tr w:rsidR="002F4853" w14:paraId="65C7BD61" w14:textId="77777777">
        <w:trPr>
          <w:cantSplit/>
          <w:trHeight w:val="238"/>
        </w:trPr>
        <w:tc>
          <w:tcPr>
            <w:tcW w:w="861" w:type="dxa"/>
          </w:tcPr>
          <w:p w14:paraId="7DDCBEF2" w14:textId="77777777" w:rsidR="002F4853" w:rsidRDefault="002F4853">
            <w:pPr>
              <w:pStyle w:val="xCelltext"/>
            </w:pPr>
          </w:p>
        </w:tc>
        <w:tc>
          <w:tcPr>
            <w:tcW w:w="4448" w:type="dxa"/>
            <w:vMerge/>
            <w:vAlign w:val="center"/>
          </w:tcPr>
          <w:p w14:paraId="18963630" w14:textId="77777777" w:rsidR="002F4853" w:rsidRDefault="002F4853">
            <w:pPr>
              <w:pStyle w:val="xCelltext"/>
            </w:pPr>
          </w:p>
        </w:tc>
        <w:tc>
          <w:tcPr>
            <w:tcW w:w="4288" w:type="dxa"/>
            <w:gridSpan w:val="2"/>
            <w:vMerge/>
            <w:vAlign w:val="center"/>
          </w:tcPr>
          <w:p w14:paraId="55A9950B" w14:textId="77777777" w:rsidR="002F4853" w:rsidRDefault="002F4853">
            <w:pPr>
              <w:pStyle w:val="xCelltext"/>
            </w:pPr>
          </w:p>
        </w:tc>
      </w:tr>
      <w:tr w:rsidR="002F4853" w14:paraId="7D253F11" w14:textId="77777777">
        <w:trPr>
          <w:cantSplit/>
          <w:trHeight w:val="238"/>
        </w:trPr>
        <w:tc>
          <w:tcPr>
            <w:tcW w:w="861" w:type="dxa"/>
          </w:tcPr>
          <w:p w14:paraId="3AB93224" w14:textId="77777777" w:rsidR="002F4853" w:rsidRDefault="002F4853">
            <w:pPr>
              <w:pStyle w:val="xCelltext"/>
            </w:pPr>
          </w:p>
        </w:tc>
        <w:tc>
          <w:tcPr>
            <w:tcW w:w="4448" w:type="dxa"/>
            <w:vMerge/>
            <w:vAlign w:val="center"/>
          </w:tcPr>
          <w:p w14:paraId="6DC56B3D" w14:textId="77777777" w:rsidR="002F4853" w:rsidRDefault="002F4853">
            <w:pPr>
              <w:pStyle w:val="xCelltext"/>
            </w:pPr>
          </w:p>
        </w:tc>
        <w:tc>
          <w:tcPr>
            <w:tcW w:w="4288" w:type="dxa"/>
            <w:gridSpan w:val="2"/>
            <w:vMerge/>
            <w:vAlign w:val="center"/>
          </w:tcPr>
          <w:p w14:paraId="49AFED09" w14:textId="77777777" w:rsidR="002F4853" w:rsidRDefault="002F4853">
            <w:pPr>
              <w:pStyle w:val="xCelltext"/>
            </w:pPr>
          </w:p>
        </w:tc>
      </w:tr>
      <w:tr w:rsidR="002F4853" w14:paraId="7D94535A" w14:textId="77777777">
        <w:trPr>
          <w:cantSplit/>
          <w:trHeight w:val="238"/>
        </w:trPr>
        <w:tc>
          <w:tcPr>
            <w:tcW w:w="861" w:type="dxa"/>
          </w:tcPr>
          <w:p w14:paraId="18F17659" w14:textId="77777777" w:rsidR="002F4853" w:rsidRDefault="002F4853">
            <w:pPr>
              <w:pStyle w:val="xCelltext"/>
            </w:pPr>
          </w:p>
        </w:tc>
        <w:tc>
          <w:tcPr>
            <w:tcW w:w="4448" w:type="dxa"/>
            <w:vMerge/>
            <w:vAlign w:val="center"/>
          </w:tcPr>
          <w:p w14:paraId="025601E3" w14:textId="77777777" w:rsidR="002F4853" w:rsidRDefault="002F4853">
            <w:pPr>
              <w:pStyle w:val="xCelltext"/>
            </w:pPr>
          </w:p>
        </w:tc>
        <w:tc>
          <w:tcPr>
            <w:tcW w:w="4288" w:type="dxa"/>
            <w:gridSpan w:val="2"/>
            <w:vMerge/>
            <w:vAlign w:val="center"/>
          </w:tcPr>
          <w:p w14:paraId="389314DE" w14:textId="77777777" w:rsidR="002F4853" w:rsidRDefault="002F4853">
            <w:pPr>
              <w:pStyle w:val="xCelltext"/>
            </w:pPr>
          </w:p>
        </w:tc>
      </w:tr>
      <w:tr w:rsidR="002F4853" w14:paraId="4819A95A" w14:textId="77777777">
        <w:trPr>
          <w:cantSplit/>
          <w:trHeight w:val="238"/>
        </w:trPr>
        <w:tc>
          <w:tcPr>
            <w:tcW w:w="861" w:type="dxa"/>
          </w:tcPr>
          <w:p w14:paraId="3E4E9836" w14:textId="77777777" w:rsidR="002F4853" w:rsidRDefault="002F4853">
            <w:pPr>
              <w:pStyle w:val="xCelltext"/>
            </w:pPr>
          </w:p>
        </w:tc>
        <w:tc>
          <w:tcPr>
            <w:tcW w:w="4448" w:type="dxa"/>
            <w:vMerge/>
            <w:vAlign w:val="center"/>
          </w:tcPr>
          <w:p w14:paraId="68321479" w14:textId="77777777" w:rsidR="002F4853" w:rsidRDefault="002F4853">
            <w:pPr>
              <w:pStyle w:val="xCelltext"/>
            </w:pPr>
          </w:p>
        </w:tc>
        <w:tc>
          <w:tcPr>
            <w:tcW w:w="4288" w:type="dxa"/>
            <w:gridSpan w:val="2"/>
            <w:vMerge/>
            <w:vAlign w:val="center"/>
          </w:tcPr>
          <w:p w14:paraId="64486363" w14:textId="77777777" w:rsidR="002F4853" w:rsidRDefault="002F4853">
            <w:pPr>
              <w:pStyle w:val="xCelltext"/>
            </w:pPr>
          </w:p>
        </w:tc>
      </w:tr>
    </w:tbl>
    <w:p w14:paraId="1B82BA1D" w14:textId="77777777" w:rsidR="002F4853" w:rsidRDefault="002F4853">
      <w:pPr>
        <w:rPr>
          <w:b/>
          <w:bCs/>
        </w:rPr>
        <w:sectPr w:rsidR="002F4853" w:rsidSect="00CA0E65">
          <w:footerReference w:type="even" r:id="rId9"/>
          <w:pgSz w:w="11906" w:h="16838" w:code="9"/>
          <w:pgMar w:top="567" w:right="1134" w:bottom="1134" w:left="1191" w:header="624" w:footer="737" w:gutter="0"/>
          <w:cols w:space="708"/>
          <w:docGrid w:linePitch="360"/>
        </w:sectPr>
      </w:pPr>
    </w:p>
    <w:p w14:paraId="012AAAE7" w14:textId="09A2D9FB" w:rsidR="002F4853" w:rsidRDefault="000519D2">
      <w:pPr>
        <w:pStyle w:val="ArendeOverRubrik"/>
      </w:pPr>
      <w:r>
        <w:t>Finans</w:t>
      </w:r>
      <w:r w:rsidR="004F0E8D">
        <w:t xml:space="preserve">- och </w:t>
      </w:r>
      <w:r>
        <w:t>närings</w:t>
      </w:r>
      <w:r w:rsidR="004F0E8D">
        <w:t xml:space="preserve">utskottets </w:t>
      </w:r>
      <w:r w:rsidR="002F4853">
        <w:t>utlåtande</w:t>
      </w:r>
    </w:p>
    <w:p w14:paraId="24C8907E" w14:textId="77777777" w:rsidR="005D0873" w:rsidRDefault="005D0873" w:rsidP="005D0873">
      <w:pPr>
        <w:rPr>
          <w:rFonts w:ascii="Arial" w:hAnsi="Arial" w:cs="Arial"/>
          <w:b/>
          <w:bCs/>
          <w:sz w:val="26"/>
          <w:szCs w:val="26"/>
        </w:rPr>
      </w:pPr>
      <w:r w:rsidRPr="005D0873">
        <w:rPr>
          <w:rFonts w:ascii="Arial" w:hAnsi="Arial" w:cs="Arial"/>
          <w:b/>
          <w:bCs/>
          <w:sz w:val="26"/>
          <w:szCs w:val="26"/>
        </w:rPr>
        <w:t>Tryggande av kommunal service</w:t>
      </w:r>
    </w:p>
    <w:p w14:paraId="38CA9E8F" w14:textId="503C2B33" w:rsidR="0099230F" w:rsidRPr="0099230F" w:rsidRDefault="001754DD" w:rsidP="005D0873">
      <w:r>
        <w:t>La</w:t>
      </w:r>
      <w:r w:rsidR="005D0873">
        <w:t>gförslag nr 20/2024-2025</w:t>
      </w:r>
    </w:p>
    <w:p w14:paraId="2F690BCA" w14:textId="77777777" w:rsidR="0099230F" w:rsidRDefault="0099230F" w:rsidP="0099230F">
      <w:pPr>
        <w:pStyle w:val="ArendeUnderRubrik"/>
        <w:numPr>
          <w:ilvl w:val="0"/>
          <w:numId w:val="0"/>
        </w:numPr>
        <w:ind w:left="283"/>
      </w:pPr>
    </w:p>
    <w:p w14:paraId="3F339800" w14:textId="77777777" w:rsidR="002F4853" w:rsidRDefault="002F4853">
      <w:pPr>
        <w:pStyle w:val="ANormal"/>
      </w:pPr>
    </w:p>
    <w:p w14:paraId="395B03D4" w14:textId="77777777" w:rsidR="002F4853" w:rsidRDefault="002F4853">
      <w:pPr>
        <w:pStyle w:val="Innehll1"/>
      </w:pPr>
      <w:r>
        <w:t>INNEHÅLL</w:t>
      </w:r>
    </w:p>
    <w:p w14:paraId="68300180" w14:textId="09CB37D0" w:rsidR="00341C21" w:rsidRDefault="002F4853">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99080569" w:history="1">
        <w:r w:rsidR="00341C21" w:rsidRPr="00E57D3B">
          <w:rPr>
            <w:rStyle w:val="Hyperlnk"/>
          </w:rPr>
          <w:t>Allmänt</w:t>
        </w:r>
        <w:r w:rsidR="00341C21">
          <w:rPr>
            <w:webHidden/>
          </w:rPr>
          <w:tab/>
        </w:r>
        <w:r w:rsidR="00341C21">
          <w:rPr>
            <w:webHidden/>
          </w:rPr>
          <w:fldChar w:fldCharType="begin"/>
        </w:r>
        <w:r w:rsidR="00341C21">
          <w:rPr>
            <w:webHidden/>
          </w:rPr>
          <w:instrText xml:space="preserve"> PAGEREF _Toc199080569 \h </w:instrText>
        </w:r>
        <w:r w:rsidR="00341C21">
          <w:rPr>
            <w:webHidden/>
          </w:rPr>
        </w:r>
        <w:r w:rsidR="00341C21">
          <w:rPr>
            <w:webHidden/>
          </w:rPr>
          <w:fldChar w:fldCharType="separate"/>
        </w:r>
        <w:r w:rsidR="002516BA">
          <w:rPr>
            <w:webHidden/>
          </w:rPr>
          <w:t>1</w:t>
        </w:r>
        <w:r w:rsidR="00341C21">
          <w:rPr>
            <w:webHidden/>
          </w:rPr>
          <w:fldChar w:fldCharType="end"/>
        </w:r>
      </w:hyperlink>
    </w:p>
    <w:p w14:paraId="14B6869C" w14:textId="28DFCD43" w:rsidR="00341C21" w:rsidRDefault="00341C21">
      <w:pPr>
        <w:pStyle w:val="Innehll1"/>
        <w:rPr>
          <w:rFonts w:asciiTheme="minorHAnsi" w:eastAsiaTheme="minorEastAsia" w:hAnsiTheme="minorHAnsi" w:cstheme="minorBidi"/>
          <w:kern w:val="2"/>
          <w:sz w:val="24"/>
          <w:szCs w:val="24"/>
          <w:lang w:val="sv-FI" w:eastAsia="sv-FI"/>
          <w14:ligatures w14:val="standardContextual"/>
        </w:rPr>
      </w:pPr>
      <w:hyperlink w:anchor="_Toc199080570" w:history="1">
        <w:r w:rsidRPr="00E57D3B">
          <w:rPr>
            <w:rStyle w:val="Hyperlnk"/>
          </w:rPr>
          <w:t>Kommuner och utvärderingsförfarandet</w:t>
        </w:r>
        <w:r>
          <w:rPr>
            <w:webHidden/>
          </w:rPr>
          <w:tab/>
        </w:r>
        <w:r>
          <w:rPr>
            <w:webHidden/>
          </w:rPr>
          <w:fldChar w:fldCharType="begin"/>
        </w:r>
        <w:r>
          <w:rPr>
            <w:webHidden/>
          </w:rPr>
          <w:instrText xml:space="preserve"> PAGEREF _Toc199080570 \h </w:instrText>
        </w:r>
        <w:r>
          <w:rPr>
            <w:webHidden/>
          </w:rPr>
        </w:r>
        <w:r>
          <w:rPr>
            <w:webHidden/>
          </w:rPr>
          <w:fldChar w:fldCharType="separate"/>
        </w:r>
        <w:r w:rsidR="002516BA">
          <w:rPr>
            <w:webHidden/>
          </w:rPr>
          <w:t>1</w:t>
        </w:r>
        <w:r>
          <w:rPr>
            <w:webHidden/>
          </w:rPr>
          <w:fldChar w:fldCharType="end"/>
        </w:r>
      </w:hyperlink>
    </w:p>
    <w:p w14:paraId="3956D2DB" w14:textId="19AD0928" w:rsidR="00341C21" w:rsidRDefault="00341C21">
      <w:pPr>
        <w:pStyle w:val="Innehll1"/>
        <w:rPr>
          <w:rFonts w:asciiTheme="minorHAnsi" w:eastAsiaTheme="minorEastAsia" w:hAnsiTheme="minorHAnsi" w:cstheme="minorBidi"/>
          <w:kern w:val="2"/>
          <w:sz w:val="24"/>
          <w:szCs w:val="24"/>
          <w:lang w:val="sv-FI" w:eastAsia="sv-FI"/>
          <w14:ligatures w14:val="standardContextual"/>
        </w:rPr>
      </w:pPr>
      <w:hyperlink w:anchor="_Toc199080571" w:history="1">
        <w:r w:rsidRPr="00E57D3B">
          <w:rPr>
            <w:rStyle w:val="Hyperlnk"/>
          </w:rPr>
          <w:t>Kommunernas demografi</w:t>
        </w:r>
        <w:r>
          <w:rPr>
            <w:webHidden/>
          </w:rPr>
          <w:tab/>
        </w:r>
        <w:r>
          <w:rPr>
            <w:webHidden/>
          </w:rPr>
          <w:fldChar w:fldCharType="begin"/>
        </w:r>
        <w:r>
          <w:rPr>
            <w:webHidden/>
          </w:rPr>
          <w:instrText xml:space="preserve"> PAGEREF _Toc199080571 \h </w:instrText>
        </w:r>
        <w:r>
          <w:rPr>
            <w:webHidden/>
          </w:rPr>
        </w:r>
        <w:r>
          <w:rPr>
            <w:webHidden/>
          </w:rPr>
          <w:fldChar w:fldCharType="separate"/>
        </w:r>
        <w:r w:rsidR="002516BA">
          <w:rPr>
            <w:webHidden/>
          </w:rPr>
          <w:t>3</w:t>
        </w:r>
        <w:r>
          <w:rPr>
            <w:webHidden/>
          </w:rPr>
          <w:fldChar w:fldCharType="end"/>
        </w:r>
      </w:hyperlink>
    </w:p>
    <w:p w14:paraId="52E400A3" w14:textId="5AB5CC01" w:rsidR="00341C21" w:rsidRDefault="00341C21">
      <w:pPr>
        <w:pStyle w:val="Innehll1"/>
        <w:rPr>
          <w:rFonts w:asciiTheme="minorHAnsi" w:eastAsiaTheme="minorEastAsia" w:hAnsiTheme="minorHAnsi" w:cstheme="minorBidi"/>
          <w:kern w:val="2"/>
          <w:sz w:val="24"/>
          <w:szCs w:val="24"/>
          <w:lang w:val="sv-FI" w:eastAsia="sv-FI"/>
          <w14:ligatures w14:val="standardContextual"/>
        </w:rPr>
      </w:pPr>
      <w:hyperlink w:anchor="_Toc199080572" w:history="1">
        <w:r w:rsidRPr="00E57D3B">
          <w:rPr>
            <w:rStyle w:val="Hyperlnk"/>
          </w:rPr>
          <w:t>Kommuner och stöd</w:t>
        </w:r>
        <w:r>
          <w:rPr>
            <w:webHidden/>
          </w:rPr>
          <w:tab/>
        </w:r>
        <w:r>
          <w:rPr>
            <w:webHidden/>
          </w:rPr>
          <w:fldChar w:fldCharType="begin"/>
        </w:r>
        <w:r>
          <w:rPr>
            <w:webHidden/>
          </w:rPr>
          <w:instrText xml:space="preserve"> PAGEREF _Toc199080572 \h </w:instrText>
        </w:r>
        <w:r>
          <w:rPr>
            <w:webHidden/>
          </w:rPr>
        </w:r>
        <w:r>
          <w:rPr>
            <w:webHidden/>
          </w:rPr>
          <w:fldChar w:fldCharType="separate"/>
        </w:r>
        <w:r w:rsidR="002516BA">
          <w:rPr>
            <w:webHidden/>
          </w:rPr>
          <w:t>5</w:t>
        </w:r>
        <w:r>
          <w:rPr>
            <w:webHidden/>
          </w:rPr>
          <w:fldChar w:fldCharType="end"/>
        </w:r>
      </w:hyperlink>
    </w:p>
    <w:p w14:paraId="0FF94855" w14:textId="02C795D0" w:rsidR="00341C21" w:rsidRDefault="00341C21">
      <w:pPr>
        <w:pStyle w:val="Innehll1"/>
        <w:rPr>
          <w:rFonts w:asciiTheme="minorHAnsi" w:eastAsiaTheme="minorEastAsia" w:hAnsiTheme="minorHAnsi" w:cstheme="minorBidi"/>
          <w:kern w:val="2"/>
          <w:sz w:val="24"/>
          <w:szCs w:val="24"/>
          <w:lang w:val="sv-FI" w:eastAsia="sv-FI"/>
          <w14:ligatures w14:val="standardContextual"/>
        </w:rPr>
      </w:pPr>
      <w:hyperlink w:anchor="_Toc199080573" w:history="1">
        <w:r w:rsidRPr="00E57D3B">
          <w:rPr>
            <w:rStyle w:val="Hyperlnk"/>
          </w:rPr>
          <w:t>Indikatorer som visar på att kommunen är i en speciellt svår ekonomisk ställning</w:t>
        </w:r>
        <w:r>
          <w:rPr>
            <w:webHidden/>
          </w:rPr>
          <w:tab/>
        </w:r>
        <w:r>
          <w:rPr>
            <w:webHidden/>
          </w:rPr>
          <w:fldChar w:fldCharType="begin"/>
        </w:r>
        <w:r>
          <w:rPr>
            <w:webHidden/>
          </w:rPr>
          <w:instrText xml:space="preserve"> PAGEREF _Toc199080573 \h </w:instrText>
        </w:r>
        <w:r>
          <w:rPr>
            <w:webHidden/>
          </w:rPr>
        </w:r>
        <w:r>
          <w:rPr>
            <w:webHidden/>
          </w:rPr>
          <w:fldChar w:fldCharType="separate"/>
        </w:r>
        <w:r w:rsidR="002516BA">
          <w:rPr>
            <w:webHidden/>
          </w:rPr>
          <w:t>5</w:t>
        </w:r>
        <w:r>
          <w:rPr>
            <w:webHidden/>
          </w:rPr>
          <w:fldChar w:fldCharType="end"/>
        </w:r>
      </w:hyperlink>
    </w:p>
    <w:p w14:paraId="6958938F" w14:textId="322BD605" w:rsidR="00341C21" w:rsidRDefault="00341C21">
      <w:pPr>
        <w:pStyle w:val="Innehll1"/>
        <w:rPr>
          <w:rFonts w:asciiTheme="minorHAnsi" w:eastAsiaTheme="minorEastAsia" w:hAnsiTheme="minorHAnsi" w:cstheme="minorBidi"/>
          <w:kern w:val="2"/>
          <w:sz w:val="24"/>
          <w:szCs w:val="24"/>
          <w:lang w:val="sv-FI" w:eastAsia="sv-FI"/>
          <w14:ligatures w14:val="standardContextual"/>
        </w:rPr>
      </w:pPr>
      <w:hyperlink w:anchor="_Toc199080574" w:history="1">
        <w:r w:rsidRPr="00E57D3B">
          <w:rPr>
            <w:rStyle w:val="Hyperlnk"/>
          </w:rPr>
          <w:t>Övrigt</w:t>
        </w:r>
        <w:r>
          <w:rPr>
            <w:webHidden/>
          </w:rPr>
          <w:tab/>
        </w:r>
        <w:r>
          <w:rPr>
            <w:webHidden/>
          </w:rPr>
          <w:fldChar w:fldCharType="begin"/>
        </w:r>
        <w:r>
          <w:rPr>
            <w:webHidden/>
          </w:rPr>
          <w:instrText xml:space="preserve"> PAGEREF _Toc199080574 \h </w:instrText>
        </w:r>
        <w:r>
          <w:rPr>
            <w:webHidden/>
          </w:rPr>
        </w:r>
        <w:r>
          <w:rPr>
            <w:webHidden/>
          </w:rPr>
          <w:fldChar w:fldCharType="separate"/>
        </w:r>
        <w:r w:rsidR="002516BA">
          <w:rPr>
            <w:webHidden/>
          </w:rPr>
          <w:t>5</w:t>
        </w:r>
        <w:r>
          <w:rPr>
            <w:webHidden/>
          </w:rPr>
          <w:fldChar w:fldCharType="end"/>
        </w:r>
      </w:hyperlink>
    </w:p>
    <w:p w14:paraId="0621B503" w14:textId="5EC29EE0" w:rsidR="00341C21" w:rsidRDefault="00341C21">
      <w:pPr>
        <w:pStyle w:val="Innehll1"/>
        <w:rPr>
          <w:rFonts w:asciiTheme="minorHAnsi" w:eastAsiaTheme="minorEastAsia" w:hAnsiTheme="minorHAnsi" w:cstheme="minorBidi"/>
          <w:kern w:val="2"/>
          <w:sz w:val="24"/>
          <w:szCs w:val="24"/>
          <w:lang w:val="sv-FI" w:eastAsia="sv-FI"/>
          <w14:ligatures w14:val="standardContextual"/>
        </w:rPr>
      </w:pPr>
      <w:hyperlink w:anchor="_Toc199080575" w:history="1">
        <w:r w:rsidRPr="00E57D3B">
          <w:rPr>
            <w:rStyle w:val="Hyperlnk"/>
          </w:rPr>
          <w:t>Ärendets behandling</w:t>
        </w:r>
        <w:r>
          <w:rPr>
            <w:webHidden/>
          </w:rPr>
          <w:tab/>
        </w:r>
        <w:r>
          <w:rPr>
            <w:webHidden/>
          </w:rPr>
          <w:fldChar w:fldCharType="begin"/>
        </w:r>
        <w:r>
          <w:rPr>
            <w:webHidden/>
          </w:rPr>
          <w:instrText xml:space="preserve"> PAGEREF _Toc199080575 \h </w:instrText>
        </w:r>
        <w:r>
          <w:rPr>
            <w:webHidden/>
          </w:rPr>
        </w:r>
        <w:r>
          <w:rPr>
            <w:webHidden/>
          </w:rPr>
          <w:fldChar w:fldCharType="separate"/>
        </w:r>
        <w:r w:rsidR="002516BA">
          <w:rPr>
            <w:webHidden/>
          </w:rPr>
          <w:t>6</w:t>
        </w:r>
        <w:r>
          <w:rPr>
            <w:webHidden/>
          </w:rPr>
          <w:fldChar w:fldCharType="end"/>
        </w:r>
      </w:hyperlink>
    </w:p>
    <w:p w14:paraId="5629E252" w14:textId="57EBA9C5" w:rsidR="00341C21" w:rsidRDefault="00341C21">
      <w:pPr>
        <w:pStyle w:val="Innehll1"/>
        <w:rPr>
          <w:rFonts w:asciiTheme="minorHAnsi" w:eastAsiaTheme="minorEastAsia" w:hAnsiTheme="minorHAnsi" w:cstheme="minorBidi"/>
          <w:kern w:val="2"/>
          <w:sz w:val="24"/>
          <w:szCs w:val="24"/>
          <w:lang w:val="sv-FI" w:eastAsia="sv-FI"/>
          <w14:ligatures w14:val="standardContextual"/>
        </w:rPr>
      </w:pPr>
      <w:hyperlink w:anchor="_Toc199080576" w:history="1">
        <w:r w:rsidRPr="00E57D3B">
          <w:rPr>
            <w:rStyle w:val="Hyperlnk"/>
          </w:rPr>
          <w:t>Utskottets förslag</w:t>
        </w:r>
        <w:r>
          <w:rPr>
            <w:webHidden/>
          </w:rPr>
          <w:tab/>
        </w:r>
        <w:r>
          <w:rPr>
            <w:webHidden/>
          </w:rPr>
          <w:fldChar w:fldCharType="begin"/>
        </w:r>
        <w:r>
          <w:rPr>
            <w:webHidden/>
          </w:rPr>
          <w:instrText xml:space="preserve"> PAGEREF _Toc199080576 \h </w:instrText>
        </w:r>
        <w:r>
          <w:rPr>
            <w:webHidden/>
          </w:rPr>
        </w:r>
        <w:r>
          <w:rPr>
            <w:webHidden/>
          </w:rPr>
          <w:fldChar w:fldCharType="separate"/>
        </w:r>
        <w:r w:rsidR="002516BA">
          <w:rPr>
            <w:webHidden/>
          </w:rPr>
          <w:t>7</w:t>
        </w:r>
        <w:r>
          <w:rPr>
            <w:webHidden/>
          </w:rPr>
          <w:fldChar w:fldCharType="end"/>
        </w:r>
      </w:hyperlink>
    </w:p>
    <w:p w14:paraId="08C1517A" w14:textId="1FDC4067" w:rsidR="002F4853" w:rsidRDefault="002F4853">
      <w:pPr>
        <w:pStyle w:val="ANormal"/>
        <w:rPr>
          <w:rFonts w:ascii="Verdana" w:hAnsi="Verdana"/>
          <w:noProof/>
          <w:sz w:val="16"/>
          <w:szCs w:val="36"/>
        </w:rPr>
      </w:pPr>
      <w:r>
        <w:rPr>
          <w:rFonts w:ascii="Verdana" w:hAnsi="Verdana"/>
          <w:noProof/>
          <w:sz w:val="16"/>
          <w:szCs w:val="36"/>
        </w:rPr>
        <w:fldChar w:fldCharType="end"/>
      </w:r>
    </w:p>
    <w:p w14:paraId="67093073" w14:textId="77777777" w:rsidR="00341C21" w:rsidRDefault="00341C21" w:rsidP="00FC059F">
      <w:pPr>
        <w:pStyle w:val="ANormal"/>
      </w:pPr>
    </w:p>
    <w:p w14:paraId="53E98178" w14:textId="21D44288" w:rsidR="00C349BC" w:rsidRDefault="00F01D61" w:rsidP="00FC059F">
      <w:pPr>
        <w:pStyle w:val="ANormal"/>
      </w:pPr>
      <w:r>
        <w:t xml:space="preserve">Lagtinget </w:t>
      </w:r>
      <w:r w:rsidR="00F30280" w:rsidRPr="004A0606">
        <w:t>har</w:t>
      </w:r>
      <w:r w:rsidR="00F30280">
        <w:t xml:space="preserve"> den</w:t>
      </w:r>
      <w:r>
        <w:t xml:space="preserve"> 28</w:t>
      </w:r>
      <w:r w:rsidR="00F30280">
        <w:t xml:space="preserve"> </w:t>
      </w:r>
      <w:r>
        <w:t>april</w:t>
      </w:r>
      <w:r w:rsidR="00F30280">
        <w:t xml:space="preserve"> 202</w:t>
      </w:r>
      <w:r>
        <w:t>5</w:t>
      </w:r>
      <w:r w:rsidR="00F30280" w:rsidRPr="004A0606">
        <w:t xml:space="preserve"> med hänvisning till </w:t>
      </w:r>
      <w:r>
        <w:t>48</w:t>
      </w:r>
      <w:r w:rsidR="00F30280" w:rsidRPr="004A0606">
        <w:t xml:space="preserve"> §</w:t>
      </w:r>
      <w:r>
        <w:t xml:space="preserve"> a</w:t>
      </w:r>
      <w:r w:rsidRPr="00F01D61">
        <w:t>rbetsordning (2015:87) för Ålands lagting</w:t>
      </w:r>
      <w:r w:rsidR="00F30280" w:rsidRPr="004A0606">
        <w:t xml:space="preserve"> </w:t>
      </w:r>
      <w:r w:rsidR="00F30280">
        <w:t>inbegärt</w:t>
      </w:r>
      <w:r w:rsidR="00F30280" w:rsidRPr="004A0606">
        <w:t xml:space="preserve"> finans- och näringsutskottets utlåtande över</w:t>
      </w:r>
      <w:r>
        <w:t xml:space="preserve"> lagförslaget</w:t>
      </w:r>
      <w:r w:rsidR="00F30280">
        <w:t>.</w:t>
      </w:r>
    </w:p>
    <w:p w14:paraId="7C466183" w14:textId="77777777" w:rsidR="00063689" w:rsidRDefault="00FC059F" w:rsidP="00FC059F">
      <w:pPr>
        <w:pStyle w:val="ANormal"/>
      </w:pPr>
      <w:r>
        <w:tab/>
      </w:r>
      <w:r w:rsidR="00C349BC">
        <w:t>Utskottet har valt att koncentrera sitt utlåtande på</w:t>
      </w:r>
      <w:r w:rsidR="005D0873">
        <w:t xml:space="preserve"> den föreslagna landskapslagen om ett utvärderingsförfarande för kommuner med synnerligen ansträngd ekonomi</w:t>
      </w:r>
      <w:r w:rsidR="00C349BC">
        <w:t>.</w:t>
      </w:r>
    </w:p>
    <w:p w14:paraId="33E19AE2" w14:textId="3A877FDC" w:rsidR="00BA714E" w:rsidRDefault="00DC6641" w:rsidP="00BA714E">
      <w:pPr>
        <w:pStyle w:val="RubrikA"/>
      </w:pPr>
      <w:r>
        <w:br/>
      </w:r>
      <w:r w:rsidRPr="00DC6641">
        <w:rPr>
          <w:sz w:val="20"/>
          <w:szCs w:val="18"/>
        </w:rPr>
        <w:br/>
      </w:r>
      <w:bookmarkStart w:id="1" w:name="_Toc164330814"/>
      <w:bookmarkStart w:id="2" w:name="_Toc199080569"/>
      <w:r w:rsidR="00BA714E">
        <w:t>Allmänt</w:t>
      </w:r>
      <w:bookmarkEnd w:id="1"/>
      <w:bookmarkEnd w:id="2"/>
    </w:p>
    <w:p w14:paraId="590C43C6" w14:textId="77777777" w:rsidR="00257790" w:rsidRDefault="00257790" w:rsidP="00FC059F">
      <w:pPr>
        <w:pStyle w:val="ANormal"/>
        <w:rPr>
          <w:sz w:val="28"/>
          <w:szCs w:val="24"/>
        </w:rPr>
      </w:pPr>
    </w:p>
    <w:p w14:paraId="42159956" w14:textId="46D117C5" w:rsidR="00257790" w:rsidRPr="00257790" w:rsidRDefault="00257790" w:rsidP="00FC059F">
      <w:pPr>
        <w:pStyle w:val="ANormal"/>
        <w:rPr>
          <w:sz w:val="24"/>
          <w:szCs w:val="24"/>
        </w:rPr>
      </w:pPr>
      <w:r w:rsidRPr="00257790">
        <w:rPr>
          <w:szCs w:val="22"/>
        </w:rPr>
        <w:t>Utskottet</w:t>
      </w:r>
      <w:r>
        <w:rPr>
          <w:szCs w:val="22"/>
        </w:rPr>
        <w:t xml:space="preserve"> konstaterar att Lagförslaget om tryggande av kommunal service innehåller </w:t>
      </w:r>
      <w:r w:rsidR="003502D8">
        <w:rPr>
          <w:szCs w:val="22"/>
        </w:rPr>
        <w:t xml:space="preserve">två lagförslag, varav ena lagen består av en ny </w:t>
      </w:r>
      <w:r w:rsidRPr="00257790">
        <w:rPr>
          <w:szCs w:val="22"/>
        </w:rPr>
        <w:t>Landskapslag om ett utvärderingsförfarande för kommuner med synnerligen ansträngd ekonomi</w:t>
      </w:r>
      <w:r w:rsidR="003502D8">
        <w:rPr>
          <w:szCs w:val="22"/>
        </w:rPr>
        <w:t xml:space="preserve"> (</w:t>
      </w:r>
      <w:r w:rsidR="00C621C1">
        <w:rPr>
          <w:szCs w:val="22"/>
        </w:rPr>
        <w:t>kommun</w:t>
      </w:r>
      <w:r w:rsidR="003502D8">
        <w:rPr>
          <w:szCs w:val="22"/>
        </w:rPr>
        <w:t>utvärderingslagen) och ett lagförslag om ändringar i k</w:t>
      </w:r>
      <w:r w:rsidR="003502D8" w:rsidRPr="003502D8">
        <w:rPr>
          <w:szCs w:val="22"/>
        </w:rPr>
        <w:t>ommunstrukturlag</w:t>
      </w:r>
      <w:r w:rsidR="003502D8">
        <w:rPr>
          <w:szCs w:val="22"/>
        </w:rPr>
        <w:t>en</w:t>
      </w:r>
      <w:r w:rsidR="003502D8" w:rsidRPr="003502D8">
        <w:rPr>
          <w:szCs w:val="22"/>
        </w:rPr>
        <w:t xml:space="preserve"> (2019:29) för Åland</w:t>
      </w:r>
      <w:r w:rsidR="003502D8">
        <w:rPr>
          <w:szCs w:val="22"/>
        </w:rPr>
        <w:t xml:space="preserve">. </w:t>
      </w:r>
      <w:r w:rsidR="00720D47">
        <w:rPr>
          <w:szCs w:val="22"/>
        </w:rPr>
        <w:t xml:space="preserve">Utskottet har valt att i huvudsak fokusera på </w:t>
      </w:r>
      <w:r w:rsidR="002C4B6C">
        <w:rPr>
          <w:szCs w:val="22"/>
        </w:rPr>
        <w:t>kommun</w:t>
      </w:r>
      <w:r w:rsidR="00720D47">
        <w:rPr>
          <w:szCs w:val="22"/>
        </w:rPr>
        <w:t>utvärderingslagen i samband med detta utlåtande.</w:t>
      </w:r>
    </w:p>
    <w:p w14:paraId="118A67D1" w14:textId="77777777" w:rsidR="00257790" w:rsidRDefault="00257790" w:rsidP="00FC059F">
      <w:pPr>
        <w:pStyle w:val="ANormal"/>
        <w:rPr>
          <w:sz w:val="28"/>
          <w:szCs w:val="24"/>
        </w:rPr>
      </w:pPr>
    </w:p>
    <w:p w14:paraId="454CB051" w14:textId="77777777" w:rsidR="0023276D" w:rsidRDefault="0023276D" w:rsidP="00FC059F">
      <w:pPr>
        <w:pStyle w:val="ANormal"/>
        <w:rPr>
          <w:sz w:val="28"/>
          <w:szCs w:val="24"/>
        </w:rPr>
      </w:pPr>
    </w:p>
    <w:p w14:paraId="0279FD60" w14:textId="77777777" w:rsidR="0023276D" w:rsidRDefault="0023276D" w:rsidP="00FC059F">
      <w:pPr>
        <w:pStyle w:val="ANormal"/>
        <w:rPr>
          <w:sz w:val="28"/>
          <w:szCs w:val="24"/>
        </w:rPr>
      </w:pPr>
    </w:p>
    <w:p w14:paraId="01A24005" w14:textId="0623F01D" w:rsidR="00890E39" w:rsidRDefault="00890E39" w:rsidP="00BA714E">
      <w:pPr>
        <w:pStyle w:val="RubrikA"/>
      </w:pPr>
      <w:bookmarkStart w:id="3" w:name="_Toc199080570"/>
      <w:r w:rsidRPr="00890E39">
        <w:t xml:space="preserve">Kommuner och </w:t>
      </w:r>
      <w:r w:rsidRPr="00BA714E">
        <w:t>utvärderingsförfarandet</w:t>
      </w:r>
      <w:bookmarkEnd w:id="3"/>
    </w:p>
    <w:p w14:paraId="23169DA7" w14:textId="77777777" w:rsidR="006A3705" w:rsidRDefault="006A3705" w:rsidP="00FC059F">
      <w:pPr>
        <w:pStyle w:val="ANormal"/>
        <w:rPr>
          <w:sz w:val="30"/>
          <w:szCs w:val="30"/>
        </w:rPr>
      </w:pPr>
    </w:p>
    <w:p w14:paraId="740748DC" w14:textId="665DFB5D" w:rsidR="006A3705" w:rsidRDefault="006A3705" w:rsidP="00FC059F">
      <w:pPr>
        <w:pStyle w:val="ANormal"/>
        <w:rPr>
          <w:szCs w:val="22"/>
        </w:rPr>
      </w:pPr>
      <w:r>
        <w:rPr>
          <w:szCs w:val="22"/>
        </w:rPr>
        <w:t>Utskottet konstaterar att</w:t>
      </w:r>
      <w:r w:rsidR="00257790">
        <w:rPr>
          <w:szCs w:val="22"/>
        </w:rPr>
        <w:t xml:space="preserve"> </w:t>
      </w:r>
      <w:r w:rsidR="00C621C1">
        <w:rPr>
          <w:szCs w:val="22"/>
        </w:rPr>
        <w:t>kommun</w:t>
      </w:r>
      <w:r w:rsidR="00720D47">
        <w:rPr>
          <w:szCs w:val="22"/>
        </w:rPr>
        <w:t>utvärderingslagens syfte är att trygga den lagstadgade servicen för kommuninvånarna och säkerställa förutsättningarna för kommunerna att ge servicen i en sådan situation då ekonomin är synnerligen ansträngd.</w:t>
      </w:r>
      <w:r w:rsidR="008008F1">
        <w:rPr>
          <w:szCs w:val="22"/>
        </w:rPr>
        <w:t xml:space="preserve"> Utskottet ser detta som ett gott syfte.</w:t>
      </w:r>
      <w:r w:rsidR="00720D47">
        <w:rPr>
          <w:szCs w:val="22"/>
        </w:rPr>
        <w:t xml:space="preserve"> </w:t>
      </w:r>
      <w:r w:rsidR="00DF604C">
        <w:rPr>
          <w:szCs w:val="22"/>
        </w:rPr>
        <w:t>Utskottet konstaterar att Åland, och därmed flertal kommuner står inför ekonomiska utmaningar. Kommunens roll att trygga den grundläggande servicen för kommuninvånarna, så som barnomsorg, grundskola och äldreomsorg är avgörande, samtidigt som de lagstadgade kraven för servicen ökat. Utskottet erfar att en delorsak till att</w:t>
      </w:r>
      <w:r w:rsidR="002C4B6C">
        <w:rPr>
          <w:szCs w:val="22"/>
        </w:rPr>
        <w:t xml:space="preserve"> vissa </w:t>
      </w:r>
      <w:r w:rsidR="00DF604C">
        <w:rPr>
          <w:szCs w:val="22"/>
        </w:rPr>
        <w:t>kommuner kan bli aktuella inför ett utvärderingsförfarande i det fall lagförslaget träder i kraft.</w:t>
      </w:r>
    </w:p>
    <w:p w14:paraId="4F2D48C1" w14:textId="0D7B96DB" w:rsidR="000049C5" w:rsidRDefault="00720D47" w:rsidP="00720D47">
      <w:pPr>
        <w:pStyle w:val="ANormal"/>
        <w:rPr>
          <w:szCs w:val="22"/>
        </w:rPr>
      </w:pPr>
      <w:r>
        <w:rPr>
          <w:szCs w:val="22"/>
        </w:rPr>
        <w:lastRenderedPageBreak/>
        <w:tab/>
      </w:r>
      <w:r w:rsidR="00C621C1">
        <w:rPr>
          <w:szCs w:val="22"/>
        </w:rPr>
        <w:t>Kommunu</w:t>
      </w:r>
      <w:r w:rsidR="004024C2">
        <w:rPr>
          <w:szCs w:val="22"/>
        </w:rPr>
        <w:t xml:space="preserve">tvärderingslagen innehåller </w:t>
      </w:r>
      <w:r w:rsidR="00056FEC">
        <w:rPr>
          <w:szCs w:val="22"/>
        </w:rPr>
        <w:t>två</w:t>
      </w:r>
      <w:r>
        <w:rPr>
          <w:szCs w:val="22"/>
        </w:rPr>
        <w:t xml:space="preserve"> olika kriterier för att en kommuns ekonomi</w:t>
      </w:r>
      <w:r w:rsidR="000049C5">
        <w:rPr>
          <w:szCs w:val="22"/>
        </w:rPr>
        <w:t xml:space="preserve"> kan</w:t>
      </w:r>
      <w:r>
        <w:rPr>
          <w:szCs w:val="22"/>
        </w:rPr>
        <w:t xml:space="preserve"> anses vara synnerligen ansträngd</w:t>
      </w:r>
      <w:r w:rsidR="000049C5">
        <w:rPr>
          <w:szCs w:val="22"/>
        </w:rPr>
        <w:t xml:space="preserve"> enligt lagförslaget</w:t>
      </w:r>
      <w:r>
        <w:rPr>
          <w:szCs w:val="22"/>
        </w:rPr>
        <w:t>. Dessa kriterier är följande:</w:t>
      </w:r>
    </w:p>
    <w:p w14:paraId="7CA22333" w14:textId="77777777" w:rsidR="000049C5" w:rsidRDefault="000049C5" w:rsidP="00720D47">
      <w:pPr>
        <w:pStyle w:val="ANormal"/>
        <w:rPr>
          <w:szCs w:val="22"/>
        </w:rPr>
      </w:pPr>
    </w:p>
    <w:p w14:paraId="7AEEFE61" w14:textId="45C2F981" w:rsidR="00720D47" w:rsidRDefault="00720D47" w:rsidP="00720D47">
      <w:pPr>
        <w:pStyle w:val="ANormal"/>
        <w:rPr>
          <w:szCs w:val="22"/>
        </w:rPr>
      </w:pPr>
      <w:r>
        <w:rPr>
          <w:szCs w:val="22"/>
        </w:rPr>
        <w:t xml:space="preserve">1. </w:t>
      </w:r>
      <w:r w:rsidRPr="00720D47">
        <w:rPr>
          <w:szCs w:val="22"/>
        </w:rPr>
        <w:t xml:space="preserve">Om kommunen inte har täckt ett underskott </w:t>
      </w:r>
      <w:r w:rsidR="00574F69" w:rsidRPr="00574F69">
        <w:rPr>
          <w:szCs w:val="22"/>
        </w:rPr>
        <w:t>inom tre år från ingången av det år som följer efter det år då bokslutet fastställdes</w:t>
      </w:r>
    </w:p>
    <w:p w14:paraId="5DD05E79" w14:textId="77777777" w:rsidR="000049C5" w:rsidRDefault="000049C5" w:rsidP="00720D47">
      <w:pPr>
        <w:pStyle w:val="ANormal"/>
        <w:rPr>
          <w:szCs w:val="22"/>
        </w:rPr>
      </w:pPr>
    </w:p>
    <w:p w14:paraId="1A35A701" w14:textId="2916C169" w:rsidR="00056FEC" w:rsidRDefault="00720D47" w:rsidP="00FC059F">
      <w:pPr>
        <w:pStyle w:val="ANormal"/>
        <w:rPr>
          <w:szCs w:val="22"/>
        </w:rPr>
      </w:pPr>
      <w:r>
        <w:rPr>
          <w:szCs w:val="22"/>
        </w:rPr>
        <w:t>2</w:t>
      </w:r>
      <w:r w:rsidR="00705806">
        <w:rPr>
          <w:szCs w:val="22"/>
        </w:rPr>
        <w:t>.</w:t>
      </w:r>
      <w:r>
        <w:rPr>
          <w:szCs w:val="22"/>
        </w:rPr>
        <w:t xml:space="preserve"> </w:t>
      </w:r>
      <w:r w:rsidRPr="00720D47">
        <w:rPr>
          <w:szCs w:val="22"/>
        </w:rPr>
        <w:t>Årsbidrag</w:t>
      </w:r>
      <w:r w:rsidR="000049C5">
        <w:rPr>
          <w:szCs w:val="22"/>
        </w:rPr>
        <w:t>et</w:t>
      </w:r>
      <w:r w:rsidRPr="00720D47">
        <w:rPr>
          <w:szCs w:val="22"/>
        </w:rPr>
        <w:t xml:space="preserve"> i förhållande till avskrivningar/nedskrivningar är i genomsnitt under 80 % de tre senaste åren</w:t>
      </w:r>
      <w:r w:rsidR="000049C5">
        <w:rPr>
          <w:szCs w:val="22"/>
        </w:rPr>
        <w:t xml:space="preserve"> i kommunens bokslut eller koncernbokslut</w:t>
      </w:r>
      <w:r>
        <w:rPr>
          <w:szCs w:val="22"/>
        </w:rPr>
        <w:t>, två år i följd</w:t>
      </w:r>
      <w:r w:rsidR="004024C2">
        <w:rPr>
          <w:szCs w:val="22"/>
        </w:rPr>
        <w:t xml:space="preserve">, </w:t>
      </w:r>
      <w:r w:rsidR="00056FEC">
        <w:rPr>
          <w:szCs w:val="22"/>
        </w:rPr>
        <w:t>samt att s</w:t>
      </w:r>
      <w:r w:rsidRPr="00720D47">
        <w:rPr>
          <w:szCs w:val="22"/>
        </w:rPr>
        <w:t>oliditetsgraden är under 50 %</w:t>
      </w:r>
      <w:r>
        <w:rPr>
          <w:szCs w:val="22"/>
        </w:rPr>
        <w:t>, två år i följd</w:t>
      </w:r>
      <w:r w:rsidRPr="00720D47">
        <w:rPr>
          <w:szCs w:val="22"/>
        </w:rPr>
        <w:t>.</w:t>
      </w:r>
    </w:p>
    <w:p w14:paraId="05BC9464" w14:textId="77777777" w:rsidR="00056FEC" w:rsidRDefault="00056FEC" w:rsidP="00FC059F">
      <w:pPr>
        <w:pStyle w:val="ANormal"/>
        <w:rPr>
          <w:szCs w:val="22"/>
        </w:rPr>
      </w:pPr>
    </w:p>
    <w:p w14:paraId="53BFCC28" w14:textId="77777777" w:rsidR="00341C21" w:rsidRDefault="00705806" w:rsidP="00FC059F">
      <w:pPr>
        <w:pStyle w:val="ANormal"/>
        <w:rPr>
          <w:szCs w:val="22"/>
        </w:rPr>
      </w:pPr>
      <w:r>
        <w:rPr>
          <w:szCs w:val="22"/>
        </w:rPr>
        <w:t>Utskottet önskar förtydliga vilken tidsram som avses med kriterium nummer 1.</w:t>
      </w:r>
      <w:r w:rsidR="00874D29">
        <w:rPr>
          <w:szCs w:val="22"/>
        </w:rPr>
        <w:t xml:space="preserve"> med följande exempel:</w:t>
      </w:r>
    </w:p>
    <w:p w14:paraId="62D01686" w14:textId="35CA20E0" w:rsidR="00341C21" w:rsidRPr="00341C21" w:rsidRDefault="00341C21" w:rsidP="00FC059F">
      <w:pPr>
        <w:pStyle w:val="ANormal"/>
        <w:rPr>
          <w:szCs w:val="22"/>
          <w:lang w:val="sv-FI"/>
        </w:rPr>
      </w:pPr>
      <w:r>
        <w:rPr>
          <w:szCs w:val="22"/>
        </w:rPr>
        <w:tab/>
      </w:r>
      <w:r w:rsidR="00665E0B">
        <w:rPr>
          <w:szCs w:val="22"/>
          <w:lang w:val="sv-FI"/>
        </w:rPr>
        <w:t>I</w:t>
      </w:r>
      <w:r w:rsidR="00665E0B" w:rsidRPr="00665E0B">
        <w:rPr>
          <w:szCs w:val="22"/>
          <w:lang w:val="sv-FI"/>
        </w:rPr>
        <w:t xml:space="preserve"> bokslut</w:t>
      </w:r>
      <w:r w:rsidR="00665E0B">
        <w:rPr>
          <w:szCs w:val="22"/>
          <w:lang w:val="sv-FI"/>
        </w:rPr>
        <w:t>et</w:t>
      </w:r>
      <w:r w:rsidR="00665E0B" w:rsidRPr="00665E0B">
        <w:rPr>
          <w:szCs w:val="22"/>
          <w:lang w:val="sv-FI"/>
        </w:rPr>
        <w:t xml:space="preserve"> för räkenskapsåret 2024 konstateras att kommunen uppfyller kriterium 1 </w:t>
      </w:r>
      <w:r w:rsidR="00665E0B">
        <w:rPr>
          <w:szCs w:val="22"/>
          <w:lang w:val="sv-FI"/>
        </w:rPr>
        <w:t>vad beträffar underskott</w:t>
      </w:r>
      <w:r w:rsidR="00665E0B" w:rsidRPr="00665E0B">
        <w:rPr>
          <w:szCs w:val="22"/>
          <w:lang w:val="sv-FI"/>
        </w:rPr>
        <w:t>. Med anledning av detta erhåller kommunen, i enlighet med gällande regelverk, en tidsfrist om tre år från och med år 2026 för att avhjälpa det identifierade underskottet.</w:t>
      </w:r>
      <w:r w:rsidR="00665E0B">
        <w:rPr>
          <w:szCs w:val="22"/>
          <w:lang w:val="sv-FI"/>
        </w:rPr>
        <w:t xml:space="preserve"> </w:t>
      </w:r>
      <w:r w:rsidR="00665E0B" w:rsidRPr="00665E0B">
        <w:rPr>
          <w:szCs w:val="22"/>
          <w:lang w:val="sv-FI"/>
        </w:rPr>
        <w:t>För att kriteriet ska anses vara uppfyllt, krävs att detta bekräftas i samtliga bokslut för åren 2024 till och med 2028. Det innebär att kommunen tidigast under år 2029</w:t>
      </w:r>
      <w:r w:rsidR="00665E0B">
        <w:rPr>
          <w:szCs w:val="22"/>
          <w:lang w:val="sv-FI"/>
        </w:rPr>
        <w:t xml:space="preserve"> </w:t>
      </w:r>
      <w:r w:rsidR="00665E0B" w:rsidRPr="00665E0B">
        <w:rPr>
          <w:szCs w:val="22"/>
          <w:lang w:val="sv-FI"/>
        </w:rPr>
        <w:t>med säkerhet</w:t>
      </w:r>
      <w:r w:rsidR="00665E0B">
        <w:rPr>
          <w:szCs w:val="22"/>
          <w:lang w:val="sv-FI"/>
        </w:rPr>
        <w:t xml:space="preserve"> kan</w:t>
      </w:r>
      <w:r w:rsidR="00665E0B" w:rsidRPr="00665E0B">
        <w:rPr>
          <w:szCs w:val="22"/>
          <w:lang w:val="sv-FI"/>
        </w:rPr>
        <w:t xml:space="preserve"> fastställa att kriterium 1 har uppfyllts</w:t>
      </w:r>
      <w:r>
        <w:rPr>
          <w:szCs w:val="22"/>
          <w:lang w:val="sv-FI"/>
        </w:rPr>
        <w:t xml:space="preserve"> i det fall bokslutet för räkenskapsåret 2024 visar på ett underskott</w:t>
      </w:r>
      <w:r w:rsidR="00665E0B">
        <w:rPr>
          <w:szCs w:val="22"/>
          <w:lang w:val="sv-FI"/>
        </w:rPr>
        <w:t>.</w:t>
      </w:r>
    </w:p>
    <w:p w14:paraId="1D347642" w14:textId="6A6DA0EB" w:rsidR="00056FEC" w:rsidRPr="00665E0B" w:rsidRDefault="00665E0B" w:rsidP="00FC059F">
      <w:pPr>
        <w:pStyle w:val="ANormal"/>
        <w:rPr>
          <w:szCs w:val="22"/>
          <w:lang w:val="sv-FI"/>
        </w:rPr>
      </w:pPr>
      <w:r>
        <w:rPr>
          <w:szCs w:val="22"/>
          <w:lang w:val="sv-FI"/>
        </w:rPr>
        <w:tab/>
      </w:r>
      <w:r w:rsidR="000049C5">
        <w:t>Utskottet erfar att nyckeltal</w:t>
      </w:r>
      <w:r w:rsidR="00056FEC">
        <w:t xml:space="preserve">en inte med exakt rättvisa är lämpliga för varje enskild </w:t>
      </w:r>
      <w:r w:rsidR="000049C5">
        <w:t>kommun</w:t>
      </w:r>
      <w:r w:rsidR="00056FEC">
        <w:t xml:space="preserve"> </w:t>
      </w:r>
      <w:r w:rsidR="00081381">
        <w:t xml:space="preserve">i syfte </w:t>
      </w:r>
      <w:r w:rsidR="00056FEC">
        <w:t>att</w:t>
      </w:r>
      <w:r w:rsidR="000049C5">
        <w:t xml:space="preserve"> spegla en kommuns ekonomiska situation.</w:t>
      </w:r>
      <w:r w:rsidR="00056FEC">
        <w:t xml:space="preserve"> Utskottet konstaterar samtidigt att det inte</w:t>
      </w:r>
      <w:r>
        <w:t xml:space="preserve"> finns</w:t>
      </w:r>
      <w:r w:rsidR="00056FEC">
        <w:t xml:space="preserve"> möjlig</w:t>
      </w:r>
      <w:r>
        <w:t>he</w:t>
      </w:r>
      <w:r w:rsidR="00056FEC">
        <w:t xml:space="preserve">t att lagstifta om </w:t>
      </w:r>
      <w:r>
        <w:t>vilka nyckeltal som ska gälla och</w:t>
      </w:r>
      <w:r w:rsidR="00056FEC">
        <w:t xml:space="preserve"> </w:t>
      </w:r>
      <w:r w:rsidR="00081381">
        <w:t xml:space="preserve">dess tolkning </w:t>
      </w:r>
      <w:r w:rsidR="00056FEC">
        <w:t>på ett sådant sätt att alla kommuner</w:t>
      </w:r>
      <w:r w:rsidR="004024C2">
        <w:t>s ekonomiska</w:t>
      </w:r>
      <w:r w:rsidR="00081381">
        <w:t xml:space="preserve"> situation</w:t>
      </w:r>
      <w:r w:rsidR="004024C2">
        <w:t xml:space="preserve"> skulle speglas med en exakt precision</w:t>
      </w:r>
      <w:r w:rsidR="00056FEC">
        <w:t>.</w:t>
      </w:r>
      <w:r w:rsidR="00FE4B98">
        <w:t xml:space="preserve"> </w:t>
      </w:r>
    </w:p>
    <w:p w14:paraId="67964DDC" w14:textId="0180C81E" w:rsidR="00056FEC" w:rsidRDefault="00056FEC" w:rsidP="00FC059F">
      <w:pPr>
        <w:pStyle w:val="ANormal"/>
      </w:pPr>
      <w:r>
        <w:tab/>
      </w:r>
      <w:r w:rsidR="00FE4B98">
        <w:t xml:space="preserve">Utskottet konstaterar att det är ändamålsenligt att fastställda nyckeltal finns för att ett utredningsförfarande ska inledas. Ett alternativ om att utredningsförfarande ska inledas efter exempelvis en politisk bedömning </w:t>
      </w:r>
      <w:r>
        <w:t xml:space="preserve">riskerar att beslutet om att inleda ett utredningsförfarande </w:t>
      </w:r>
      <w:r w:rsidR="002C4B6C">
        <w:t xml:space="preserve">uppfattas </w:t>
      </w:r>
      <w:r>
        <w:t>som godtyckligt</w:t>
      </w:r>
      <w:r w:rsidR="00446926">
        <w:t>.</w:t>
      </w:r>
    </w:p>
    <w:p w14:paraId="24774B4C" w14:textId="11EFEE5E" w:rsidR="00DF604C" w:rsidRDefault="00DF604C" w:rsidP="00DF604C">
      <w:pPr>
        <w:pStyle w:val="ANormal"/>
        <w:jc w:val="left"/>
        <w:rPr>
          <w:szCs w:val="22"/>
        </w:rPr>
      </w:pPr>
      <w:r>
        <w:rPr>
          <w:szCs w:val="22"/>
        </w:rPr>
        <w:tab/>
        <w:t xml:space="preserve">I lagförslaget framkommer en tabell över nyckeltalens inverkan på kommunerna år 2014 – 2023. I tabellerna framkommer bland annat att kriterium nummer 1: </w:t>
      </w:r>
      <w:r w:rsidRPr="00081381">
        <w:rPr>
          <w:i/>
          <w:iCs/>
          <w:szCs w:val="22"/>
        </w:rPr>
        <w:t>ackumulerat överskott/underskott</w:t>
      </w:r>
      <w:r w:rsidRPr="00081381">
        <w:rPr>
          <w:szCs w:val="22"/>
        </w:rPr>
        <w:t xml:space="preserve"> är ett nyckeltal</w:t>
      </w:r>
      <w:r>
        <w:rPr>
          <w:szCs w:val="22"/>
        </w:rPr>
        <w:t xml:space="preserve"> som två kommuner skulle ha berörts av under tidsperioden. Dock hade ingen kommun ett ackumulerat underskott</w:t>
      </w:r>
      <w:r w:rsidR="00665E0B">
        <w:rPr>
          <w:szCs w:val="22"/>
        </w:rPr>
        <w:t xml:space="preserve"> under hela den tidsfristen som föreslås i nuvarande lagförslag</w:t>
      </w:r>
      <w:r>
        <w:rPr>
          <w:szCs w:val="22"/>
        </w:rPr>
        <w:t xml:space="preserve">, vilket skulle </w:t>
      </w:r>
      <w:r w:rsidR="00665E0B">
        <w:rPr>
          <w:szCs w:val="22"/>
        </w:rPr>
        <w:t>föranleda</w:t>
      </w:r>
      <w:r>
        <w:rPr>
          <w:szCs w:val="22"/>
        </w:rPr>
        <w:t xml:space="preserve"> ett utredningsförfarande.</w:t>
      </w:r>
    </w:p>
    <w:p w14:paraId="0F9058A3" w14:textId="08E366B7" w:rsidR="00DF604C" w:rsidRDefault="00DF604C" w:rsidP="00DF604C">
      <w:pPr>
        <w:pStyle w:val="ANormal"/>
        <w:jc w:val="left"/>
        <w:rPr>
          <w:szCs w:val="22"/>
        </w:rPr>
      </w:pPr>
      <w:r>
        <w:rPr>
          <w:szCs w:val="22"/>
        </w:rPr>
        <w:tab/>
        <w:t xml:space="preserve">Vad beträffar kriterium nummer 2, årsbidrag i förhållande till avskrivningar med ett gränsvärde på 80 procent (tre års medeltal) och soliditetsgränsvärdet om 50 procent så är flera kommuner berörda. Majoriteten är landsbygdskommuner med ett invånarantal med </w:t>
      </w:r>
      <w:r w:rsidR="00081381">
        <w:rPr>
          <w:szCs w:val="22"/>
        </w:rPr>
        <w:t>f</w:t>
      </w:r>
      <w:r w:rsidR="002C4B6C">
        <w:rPr>
          <w:szCs w:val="22"/>
        </w:rPr>
        <w:t>ä</w:t>
      </w:r>
      <w:r w:rsidR="00081381">
        <w:rPr>
          <w:szCs w:val="22"/>
        </w:rPr>
        <w:t xml:space="preserve">rre än </w:t>
      </w:r>
      <w:r>
        <w:rPr>
          <w:szCs w:val="22"/>
        </w:rPr>
        <w:t>1000 invånare.</w:t>
      </w:r>
    </w:p>
    <w:p w14:paraId="4749CA53" w14:textId="77777777" w:rsidR="00665E0B" w:rsidRDefault="00DF604C" w:rsidP="004711F6">
      <w:pPr>
        <w:pStyle w:val="ANormal"/>
        <w:jc w:val="left"/>
        <w:rPr>
          <w:szCs w:val="22"/>
        </w:rPr>
      </w:pPr>
      <w:r>
        <w:rPr>
          <w:szCs w:val="22"/>
        </w:rPr>
        <w:tab/>
        <w:t>Utskottet betonar att årsbidrag i förhållande till avskrivningar eller soliditeten enskilt inte kan avgöra en kommuns ekonomiska situation</w:t>
      </w:r>
      <w:r w:rsidR="00665E0B">
        <w:rPr>
          <w:szCs w:val="22"/>
        </w:rPr>
        <w:t xml:space="preserve"> med rättvisa</w:t>
      </w:r>
      <w:r>
        <w:rPr>
          <w:szCs w:val="22"/>
        </w:rPr>
        <w:t>, utan måste ses</w:t>
      </w:r>
      <w:r w:rsidR="00665E0B">
        <w:rPr>
          <w:szCs w:val="22"/>
        </w:rPr>
        <w:t xml:space="preserve"> </w:t>
      </w:r>
      <w:r w:rsidR="00081381">
        <w:rPr>
          <w:szCs w:val="22"/>
        </w:rPr>
        <w:t>utifrån</w:t>
      </w:r>
      <w:r>
        <w:rPr>
          <w:szCs w:val="22"/>
        </w:rPr>
        <w:t xml:space="preserve"> ett helhetsperspektiv</w:t>
      </w:r>
      <w:r w:rsidR="00665E0B">
        <w:rPr>
          <w:szCs w:val="22"/>
        </w:rPr>
        <w:t xml:space="preserve"> vad beträffar kommunens situation</w:t>
      </w:r>
      <w:r>
        <w:rPr>
          <w:szCs w:val="22"/>
        </w:rPr>
        <w:t>. T</w:t>
      </w:r>
      <w:r w:rsidR="00081381">
        <w:rPr>
          <w:szCs w:val="22"/>
        </w:rPr>
        <w:t>ill exempel</w:t>
      </w:r>
      <w:r>
        <w:rPr>
          <w:szCs w:val="22"/>
        </w:rPr>
        <w:t xml:space="preserve"> kan en investering där lån har upptagits påverka soliditeten i kommunen, medan investeringen i sig på lång sikt minskar kommunens utgifter och påverkar</w:t>
      </w:r>
      <w:r w:rsidR="00081381">
        <w:rPr>
          <w:szCs w:val="22"/>
        </w:rPr>
        <w:t xml:space="preserve"> därmed framtida</w:t>
      </w:r>
      <w:r>
        <w:rPr>
          <w:szCs w:val="22"/>
        </w:rPr>
        <w:t xml:space="preserve"> årsbidrag. Likaså kan årsbidraget påverkas på grund av enskilda oförutsedda utgifter för kommunens löpande verksamhet, vilket i sin tur påverkar gränsvärdet i förhållande till </w:t>
      </w:r>
      <w:r w:rsidR="00665E0B">
        <w:rPr>
          <w:szCs w:val="22"/>
        </w:rPr>
        <w:t xml:space="preserve">kommunens </w:t>
      </w:r>
      <w:r>
        <w:rPr>
          <w:szCs w:val="22"/>
        </w:rPr>
        <w:t xml:space="preserve">avskrivningar. </w:t>
      </w:r>
    </w:p>
    <w:p w14:paraId="664BAB7D" w14:textId="4D059BE8" w:rsidR="004711F6" w:rsidRDefault="00665E0B" w:rsidP="004711F6">
      <w:pPr>
        <w:pStyle w:val="ANormal"/>
        <w:jc w:val="left"/>
        <w:rPr>
          <w:szCs w:val="22"/>
        </w:rPr>
      </w:pPr>
      <w:r>
        <w:rPr>
          <w:szCs w:val="22"/>
        </w:rPr>
        <w:tab/>
      </w:r>
      <w:r w:rsidR="00260B82">
        <w:rPr>
          <w:szCs w:val="22"/>
        </w:rPr>
        <w:t>Utskottet anser det som ändamålsenligt att ett utredningsförfarande kan avbrytas i ett tidigt skede ifall det konstateras att nyckeltalen påverkats av en temporär kostnadsdrivande händelse eller motsvarande, vilket har föranlett att nyckeltalen endast</w:t>
      </w:r>
      <w:r w:rsidR="002C4B6C">
        <w:rPr>
          <w:szCs w:val="22"/>
        </w:rPr>
        <w:t xml:space="preserve"> tillfälligt</w:t>
      </w:r>
      <w:r w:rsidR="00260B82">
        <w:rPr>
          <w:szCs w:val="22"/>
        </w:rPr>
        <w:t xml:space="preserve"> är under föreslagna gränsvärden</w:t>
      </w:r>
      <w:r>
        <w:rPr>
          <w:szCs w:val="22"/>
        </w:rPr>
        <w:t xml:space="preserve"> och kommunens ekonomi i övrigt kan anses vara stabil</w:t>
      </w:r>
      <w:r w:rsidR="00260B82">
        <w:rPr>
          <w:szCs w:val="22"/>
        </w:rPr>
        <w:t xml:space="preserve">. </w:t>
      </w:r>
      <w:r w:rsidR="00DF604C">
        <w:rPr>
          <w:szCs w:val="22"/>
        </w:rPr>
        <w:t>Utskottet stödjer</w:t>
      </w:r>
      <w:r w:rsidR="00260B82">
        <w:rPr>
          <w:szCs w:val="22"/>
        </w:rPr>
        <w:t xml:space="preserve"> </w:t>
      </w:r>
      <w:r w:rsidR="00DF604C">
        <w:rPr>
          <w:szCs w:val="22"/>
        </w:rPr>
        <w:t>lagförslagets stipulerade tidsfrister</w:t>
      </w:r>
      <w:r w:rsidR="00081381">
        <w:rPr>
          <w:szCs w:val="22"/>
        </w:rPr>
        <w:t xml:space="preserve"> vad beträffar den tidsperiod som aktuella nyckeltal ska utgå ifrån i samband med att bedömningen om</w:t>
      </w:r>
      <w:r w:rsidR="00DF604C">
        <w:rPr>
          <w:szCs w:val="22"/>
        </w:rPr>
        <w:t xml:space="preserve"> inledande av </w:t>
      </w:r>
      <w:r w:rsidR="00DF604C">
        <w:rPr>
          <w:szCs w:val="22"/>
        </w:rPr>
        <w:lastRenderedPageBreak/>
        <w:t>utredningsförfarande</w:t>
      </w:r>
      <w:r w:rsidR="00081381">
        <w:rPr>
          <w:szCs w:val="22"/>
        </w:rPr>
        <w:t xml:space="preserve"> ska äga ru</w:t>
      </w:r>
      <w:r>
        <w:rPr>
          <w:szCs w:val="22"/>
        </w:rPr>
        <w:t>m</w:t>
      </w:r>
      <w:r w:rsidR="00DF604C">
        <w:rPr>
          <w:szCs w:val="22"/>
        </w:rPr>
        <w:t>.</w:t>
      </w:r>
      <w:r w:rsidR="0046629E">
        <w:rPr>
          <w:szCs w:val="22"/>
        </w:rPr>
        <w:t xml:space="preserve"> Utskottet anser att tidsfristerna ger en större möjlighet till en rättvisare ekonomisk bedömning, där temporära händelser inom en kommun har en mindre påverkan på de angivna nyckeltalen och deras gränsvärden. </w:t>
      </w:r>
      <w:r w:rsidR="00DF604C">
        <w:rPr>
          <w:szCs w:val="22"/>
        </w:rPr>
        <w:t xml:space="preserve">  </w:t>
      </w:r>
    </w:p>
    <w:p w14:paraId="35C6C195" w14:textId="6C000F16" w:rsidR="000302A2" w:rsidRDefault="004711F6" w:rsidP="004711F6">
      <w:pPr>
        <w:pStyle w:val="ANormal"/>
        <w:jc w:val="left"/>
      </w:pPr>
      <w:r>
        <w:rPr>
          <w:szCs w:val="22"/>
        </w:rPr>
        <w:tab/>
      </w:r>
      <w:r w:rsidR="0023276D">
        <w:t>Utskottet konstaterar att det finns en risk att utvärderingsförfarandet i sig kommer att vara kostnadsdrivande i och med att</w:t>
      </w:r>
      <w:r>
        <w:t xml:space="preserve"> berörda</w:t>
      </w:r>
      <w:r w:rsidR="0023276D">
        <w:t xml:space="preserve"> kommun</w:t>
      </w:r>
      <w:r>
        <w:t xml:space="preserve">er behöver ålägga resurser </w:t>
      </w:r>
      <w:r w:rsidR="0046629E">
        <w:t>till</w:t>
      </w:r>
      <w:r>
        <w:t xml:space="preserve"> att medverka</w:t>
      </w:r>
      <w:r w:rsidR="0023276D">
        <w:t>. Utskottet erfar samtidigt att landskapsregeringen, som beslutar om inledande av utredningsförfarande, står för sina egna kostnader under processen.</w:t>
      </w:r>
      <w:r>
        <w:t xml:space="preserve"> Utskottet anser även att det bör vara i en kommuns intresse att medverka i utredningsförfarandet</w:t>
      </w:r>
      <w:r w:rsidR="000302A2">
        <w:t xml:space="preserve"> i och med att utfallet av utredningen kan ha stora konsekvenser för kommunen</w:t>
      </w:r>
      <w:r w:rsidR="00D33AA1">
        <w:t>.</w:t>
      </w:r>
      <w:r w:rsidR="001E539F">
        <w:t xml:space="preserve"> </w:t>
      </w:r>
      <w:r w:rsidR="0046629E">
        <w:t xml:space="preserve">Utskottet anser att </w:t>
      </w:r>
      <w:r w:rsidR="001E539F">
        <w:t>kostnadsmässig</w:t>
      </w:r>
      <w:r w:rsidR="00135EB8">
        <w:t>a</w:t>
      </w:r>
      <w:r w:rsidR="001E539F">
        <w:t xml:space="preserve"> uppskattnin</w:t>
      </w:r>
      <w:r w:rsidR="0046629E">
        <w:t>gar</w:t>
      </w:r>
      <w:r w:rsidR="00135EB8">
        <w:t xml:space="preserve"> i ett tidigt skede</w:t>
      </w:r>
      <w:r w:rsidR="0046629E">
        <w:t xml:space="preserve"> bör</w:t>
      </w:r>
      <w:r w:rsidR="001E539F">
        <w:t xml:space="preserve"> </w:t>
      </w:r>
      <w:r w:rsidR="0046629E">
        <w:t xml:space="preserve">finnas tillgängliga för övriga kommuner som kan beröras av att </w:t>
      </w:r>
      <w:r w:rsidR="001E539F">
        <w:t xml:space="preserve">kommunen </w:t>
      </w:r>
      <w:r w:rsidR="0046629E">
        <w:t xml:space="preserve">i </w:t>
      </w:r>
      <w:r w:rsidR="001E539F">
        <w:t>särskild</w:t>
      </w:r>
      <w:r w:rsidR="0046629E">
        <w:t xml:space="preserve"> svår</w:t>
      </w:r>
      <w:r w:rsidR="001E539F">
        <w:t xml:space="preserve"> ekonomisk</w:t>
      </w:r>
      <w:r w:rsidR="0046629E">
        <w:t xml:space="preserve"> ställning blir föremål för ett</w:t>
      </w:r>
      <w:r w:rsidR="00135EB8">
        <w:t xml:space="preserve"> samgångsförfarande</w:t>
      </w:r>
      <w:r w:rsidR="0046629E">
        <w:t>.</w:t>
      </w:r>
    </w:p>
    <w:p w14:paraId="71CA035F" w14:textId="4BC87E45" w:rsidR="00730241" w:rsidRDefault="000302A2" w:rsidP="008718A7">
      <w:pPr>
        <w:pStyle w:val="ANormal"/>
        <w:jc w:val="left"/>
      </w:pPr>
      <w:r>
        <w:tab/>
      </w:r>
      <w:r w:rsidR="008718A7">
        <w:t xml:space="preserve">I och med att en konsekvens i samband med utredningsförfarandet </w:t>
      </w:r>
      <w:r w:rsidR="00341C21">
        <w:t xml:space="preserve">kan vara </w:t>
      </w:r>
      <w:r w:rsidR="008718A7">
        <w:t>att en kommunindelningsutredning i enlighet med</w:t>
      </w:r>
      <w:r w:rsidR="008718A7">
        <w:rPr>
          <w:szCs w:val="22"/>
        </w:rPr>
        <w:t xml:space="preserve"> k</w:t>
      </w:r>
      <w:r w:rsidR="008718A7" w:rsidRPr="008718A7">
        <w:t>ommunstrukturlag (2019:29) för Åland</w:t>
      </w:r>
      <w:r w:rsidR="008718A7">
        <w:t xml:space="preserve"> </w:t>
      </w:r>
      <w:r w:rsidR="00341C21">
        <w:t xml:space="preserve">inleds, </w:t>
      </w:r>
      <w:r w:rsidR="008718A7">
        <w:t xml:space="preserve">erfar utskottet att det från ett kommunalt perspektiv finns ett intresse att involveras i utredningsförfarandet i rollen som närliggande kommun </w:t>
      </w:r>
      <w:r w:rsidR="00341C21">
        <w:t>vilken</w:t>
      </w:r>
      <w:r w:rsidR="008718A7">
        <w:t xml:space="preserve"> en eventuell sammanslagning kan beröra.</w:t>
      </w:r>
    </w:p>
    <w:p w14:paraId="74F29F25" w14:textId="3361043D" w:rsidR="00341C21" w:rsidRDefault="00341C21" w:rsidP="00341C21">
      <w:pPr>
        <w:pStyle w:val="ANormal"/>
        <w:rPr>
          <w:szCs w:val="22"/>
        </w:rPr>
      </w:pPr>
      <w:r>
        <w:tab/>
      </w:r>
      <w:r>
        <w:rPr>
          <w:szCs w:val="22"/>
        </w:rPr>
        <w:t>Utskottet erfar att det från ett kommunalt perspektiv upplevs att ett alternativt sätt att förebygga utredningsförfaranden är att avreglera kostnadsdrivande kommunal lagstiftning. Från kommunalt perspektiv kan det upplevas som missriktat att kostnadsdrivande lagstiftning genomförs samtidigt som det lagstiftas om förfaranden som kan resultera i samgång mellan kommuner.</w:t>
      </w:r>
    </w:p>
    <w:p w14:paraId="1AD04A73" w14:textId="77777777" w:rsidR="00341C21" w:rsidRPr="000049C5" w:rsidRDefault="00341C21" w:rsidP="00341C21">
      <w:pPr>
        <w:pStyle w:val="ANormal"/>
      </w:pPr>
      <w:r>
        <w:rPr>
          <w:szCs w:val="22"/>
        </w:rPr>
        <w:tab/>
        <w:t>Avreglering av kostnadsdrivande lagstiftning kan från ett kommunalt perspektiv vara ett sätt att förebygga att kommuner kan tvingas till sammanslagning. Utskottet erfar att nuvarande lagförslag samtidigt är välkomnat av majoritet av de berörda kommunerna.</w:t>
      </w:r>
      <w:r>
        <w:t xml:space="preserve"> </w:t>
      </w:r>
    </w:p>
    <w:p w14:paraId="21784BCB" w14:textId="77777777" w:rsidR="00730241" w:rsidRDefault="00730241" w:rsidP="00730241">
      <w:pPr>
        <w:pStyle w:val="ANormal"/>
        <w:rPr>
          <w:sz w:val="30"/>
          <w:szCs w:val="30"/>
        </w:rPr>
      </w:pPr>
    </w:p>
    <w:p w14:paraId="60742785" w14:textId="77777777" w:rsidR="00890E39" w:rsidRDefault="00890E39" w:rsidP="00FC059F">
      <w:pPr>
        <w:pStyle w:val="ANormal"/>
        <w:rPr>
          <w:sz w:val="30"/>
          <w:szCs w:val="30"/>
        </w:rPr>
      </w:pPr>
    </w:p>
    <w:p w14:paraId="6546CDD8" w14:textId="77777777" w:rsidR="00876452" w:rsidRDefault="0023276D" w:rsidP="00BA714E">
      <w:pPr>
        <w:pStyle w:val="RubrikA"/>
      </w:pPr>
      <w:bookmarkStart w:id="4" w:name="_Toc199080571"/>
      <w:r>
        <w:t xml:space="preserve">Kommunernas </w:t>
      </w:r>
      <w:r w:rsidR="00876452">
        <w:t>demografi</w:t>
      </w:r>
      <w:bookmarkEnd w:id="4"/>
    </w:p>
    <w:p w14:paraId="24854D72" w14:textId="511057D0" w:rsidR="0021023A" w:rsidRPr="00341C21" w:rsidRDefault="0023276D" w:rsidP="00FC059F">
      <w:pPr>
        <w:pStyle w:val="ANormal"/>
        <w:rPr>
          <w:sz w:val="30"/>
          <w:szCs w:val="30"/>
        </w:rPr>
      </w:pPr>
      <w:r>
        <w:rPr>
          <w:szCs w:val="22"/>
        </w:rPr>
        <w:br/>
      </w:r>
    </w:p>
    <w:p w14:paraId="79EFC699" w14:textId="6162B478" w:rsidR="00504B43" w:rsidRDefault="00504B43" w:rsidP="00FC059F">
      <w:pPr>
        <w:pStyle w:val="ANormal"/>
      </w:pPr>
      <w:r>
        <w:t xml:space="preserve">Utskottet konstaterar att befolkningen på Åland ökar i antal, vilket är mycket välkommet. </w:t>
      </w:r>
      <w:r w:rsidR="00F1703F">
        <w:t xml:space="preserve">Enligt </w:t>
      </w:r>
      <w:r w:rsidR="005F19B0">
        <w:t>Ålands statistik- och utredningsbyrå (ÅSUB)</w:t>
      </w:r>
      <w:r w:rsidR="00F1703F">
        <w:t xml:space="preserve"> var</w:t>
      </w:r>
      <w:r w:rsidR="005F19B0">
        <w:t xml:space="preserve"> invånarantalet</w:t>
      </w:r>
      <w:r w:rsidR="00F1703F">
        <w:t xml:space="preserve"> på Åland</w:t>
      </w:r>
      <w:r w:rsidR="005F19B0">
        <w:t xml:space="preserve"> per den 31.12.2024</w:t>
      </w:r>
      <w:r w:rsidR="00F1703F">
        <w:t xml:space="preserve">, </w:t>
      </w:r>
      <w:r w:rsidR="005F19B0">
        <w:t>30 </w:t>
      </w:r>
      <w:r w:rsidR="00F1703F">
        <w:t>654</w:t>
      </w:r>
      <w:r w:rsidR="005F19B0">
        <w:t xml:space="preserve"> personer. </w:t>
      </w:r>
    </w:p>
    <w:p w14:paraId="381B2AEC" w14:textId="73EC173C" w:rsidR="00504B43" w:rsidRDefault="00BB316D" w:rsidP="00CC6D7C">
      <w:pPr>
        <w:pStyle w:val="ANormal"/>
        <w:jc w:val="center"/>
      </w:pPr>
      <w:r w:rsidRPr="00BB316D">
        <w:object w:dxaOrig="6706" w:dyaOrig="4455" w14:anchorId="73F71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5.4pt;height:222.6pt" o:ole="">
            <v:imagedata r:id="rId10" o:title=""/>
            <o:lock v:ext="edit" aspectratio="f"/>
          </v:shape>
          <o:OLEObject Type="Embed" ProgID="Excel.Sheet.8" ShapeID="_x0000_i1027" DrawAspect="Content" ObjectID="_1818590641" r:id="rId11">
            <o:FieldCodes>\s</o:FieldCodes>
          </o:OLEObject>
        </w:object>
      </w:r>
      <w:r>
        <w:rPr>
          <w:i/>
          <w:iCs/>
        </w:rPr>
        <w:t>Källa:</w:t>
      </w:r>
      <w:r w:rsidRPr="00BB316D">
        <w:rPr>
          <w:i/>
          <w:iCs/>
        </w:rPr>
        <w:t xml:space="preserve"> Å</w:t>
      </w:r>
      <w:r w:rsidR="00540A89">
        <w:rPr>
          <w:i/>
          <w:iCs/>
        </w:rPr>
        <w:t>SUB</w:t>
      </w:r>
    </w:p>
    <w:p w14:paraId="33434FDF" w14:textId="77777777" w:rsidR="00876452" w:rsidRDefault="00876452" w:rsidP="00FC059F">
      <w:pPr>
        <w:pStyle w:val="ANormal"/>
      </w:pPr>
    </w:p>
    <w:p w14:paraId="5E8A09E3" w14:textId="2729FCAC" w:rsidR="00540A89" w:rsidRDefault="00540A89" w:rsidP="00FC059F">
      <w:pPr>
        <w:pStyle w:val="ANormal"/>
      </w:pPr>
      <w:r>
        <w:t>Samtidigt minskar befolkningen i fle</w:t>
      </w:r>
      <w:r w:rsidR="005F19B0">
        <w:t>ra</w:t>
      </w:r>
      <w:r>
        <w:t xml:space="preserve"> landsbygdskommuner, varav speciellt skärgården har påverkats. </w:t>
      </w:r>
      <w:r w:rsidR="005F19B0">
        <w:t>Det finns dock undantag, så som de större landsbygdskommunerna Finström och Jomala.</w:t>
      </w:r>
    </w:p>
    <w:p w14:paraId="5E25AED5" w14:textId="77777777" w:rsidR="00540A89" w:rsidRDefault="00540A89" w:rsidP="00FC059F">
      <w:pPr>
        <w:pStyle w:val="ANormal"/>
      </w:pPr>
    </w:p>
    <w:p w14:paraId="2FE45688" w14:textId="77777777" w:rsidR="00540A89" w:rsidRDefault="00540A89" w:rsidP="00FC059F">
      <w:pPr>
        <w:pStyle w:val="ANormal"/>
      </w:pPr>
    </w:p>
    <w:p w14:paraId="309E40BF" w14:textId="7E13A50B" w:rsidR="00540A89" w:rsidRDefault="000A4E9F" w:rsidP="00540A89">
      <w:pPr>
        <w:pStyle w:val="ANormal"/>
        <w:jc w:val="center"/>
      </w:pPr>
      <w:r>
        <w:rPr>
          <w:noProof/>
        </w:rPr>
        <w:drawing>
          <wp:inline distT="0" distB="0" distL="0" distR="0" wp14:anchorId="5CD6B4D4" wp14:editId="5A54B0E8">
            <wp:extent cx="3299460" cy="18288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9460" cy="1828800"/>
                    </a:xfrm>
                    <a:prstGeom prst="rect">
                      <a:avLst/>
                    </a:prstGeom>
                    <a:noFill/>
                    <a:ln>
                      <a:noFill/>
                    </a:ln>
                  </pic:spPr>
                </pic:pic>
              </a:graphicData>
            </a:graphic>
          </wp:inline>
        </w:drawing>
      </w:r>
    </w:p>
    <w:p w14:paraId="340CBA1A" w14:textId="170D0BAD" w:rsidR="00540A89" w:rsidRPr="00540A89" w:rsidRDefault="00540A89" w:rsidP="00540A89">
      <w:pPr>
        <w:pStyle w:val="ANormal"/>
        <w:jc w:val="center"/>
        <w:rPr>
          <w:i/>
          <w:iCs/>
        </w:rPr>
      </w:pPr>
      <w:r w:rsidRPr="00540A89">
        <w:rPr>
          <w:i/>
          <w:iCs/>
        </w:rPr>
        <w:t>Källa: ÅSUB</w:t>
      </w:r>
    </w:p>
    <w:p w14:paraId="746A1F9D" w14:textId="77777777" w:rsidR="00540A89" w:rsidRDefault="00540A89" w:rsidP="00FC059F">
      <w:pPr>
        <w:pStyle w:val="ANormal"/>
      </w:pPr>
    </w:p>
    <w:p w14:paraId="427B106D" w14:textId="77F5609A" w:rsidR="00540A89" w:rsidRDefault="005F19B0" w:rsidP="00FC059F">
      <w:pPr>
        <w:pStyle w:val="ANormal"/>
      </w:pPr>
      <w:r>
        <w:t>A</w:t>
      </w:r>
      <w:r w:rsidR="00540A89">
        <w:t>ndelen av befolkningen som är 65 eller äldre i kommuner vars population var under 2500 år 1980</w:t>
      </w:r>
      <w:r>
        <w:t xml:space="preserve"> (N-14) har ökat i andel fram till år 2024. Samtidigt har lagstadgade krav på att tillgodose service för personer som är i behov av olika insatser i samband med åldrande ökat.</w:t>
      </w:r>
    </w:p>
    <w:p w14:paraId="11CEA19E" w14:textId="77777777" w:rsidR="00540A89" w:rsidRDefault="00540A89" w:rsidP="00FC059F">
      <w:pPr>
        <w:pStyle w:val="ANormal"/>
      </w:pPr>
    </w:p>
    <w:p w14:paraId="041513AE" w14:textId="3C5D4424" w:rsidR="00540A89" w:rsidRDefault="00CF1122" w:rsidP="00141F6B">
      <w:pPr>
        <w:pStyle w:val="ANormal"/>
        <w:jc w:val="center"/>
      </w:pPr>
      <w:r w:rsidRPr="00CF1122">
        <w:object w:dxaOrig="6711" w:dyaOrig="4484" w14:anchorId="43CDD29D">
          <v:shape id="_x0000_i1029" type="#_x0000_t75" style="width:335.4pt;height:224.4pt;visibility:visible" o:ole="">
            <v:imagedata r:id="rId13" o:title=""/>
            <o:lock v:ext="edit" aspectratio="f"/>
          </v:shape>
          <o:OLEObject Type="Embed" ProgID="Excel.Sheet.8" ShapeID="_x0000_i1029" DrawAspect="Content" ObjectID="_1818590642" r:id="rId14">
            <o:FieldCodes>\s</o:FieldCodes>
          </o:OLEObject>
        </w:object>
      </w:r>
    </w:p>
    <w:p w14:paraId="45247440" w14:textId="60819651" w:rsidR="00540A89" w:rsidRPr="00540A89" w:rsidRDefault="00540A89" w:rsidP="00141F6B">
      <w:pPr>
        <w:pStyle w:val="ANormal"/>
        <w:jc w:val="center"/>
        <w:rPr>
          <w:i/>
          <w:iCs/>
        </w:rPr>
      </w:pPr>
      <w:r w:rsidRPr="00540A89">
        <w:rPr>
          <w:i/>
          <w:iCs/>
        </w:rPr>
        <w:t>Källa:</w:t>
      </w:r>
      <w:r w:rsidR="00F1703F">
        <w:rPr>
          <w:i/>
          <w:iCs/>
        </w:rPr>
        <w:t xml:space="preserve"> Data inhämtat från</w:t>
      </w:r>
      <w:r w:rsidRPr="00540A89">
        <w:rPr>
          <w:i/>
          <w:iCs/>
        </w:rPr>
        <w:t xml:space="preserve"> ÅSUB</w:t>
      </w:r>
    </w:p>
    <w:p w14:paraId="02EF5E80" w14:textId="0631F22E" w:rsidR="00540A89" w:rsidRDefault="00540A89" w:rsidP="00FC059F">
      <w:pPr>
        <w:pStyle w:val="ANormal"/>
      </w:pPr>
      <w:r>
        <w:t xml:space="preserve"> </w:t>
      </w:r>
    </w:p>
    <w:p w14:paraId="7E581F5E" w14:textId="07CDFAD6" w:rsidR="00876452" w:rsidRDefault="00876452" w:rsidP="00FC059F">
      <w:pPr>
        <w:pStyle w:val="ANormal"/>
      </w:pPr>
    </w:p>
    <w:p w14:paraId="57046523" w14:textId="337E3961" w:rsidR="005F19B0" w:rsidRDefault="00876452" w:rsidP="00FC059F">
      <w:pPr>
        <w:pStyle w:val="ANormal"/>
      </w:pPr>
      <w:r>
        <w:tab/>
      </w:r>
      <w:r w:rsidR="00BB316D">
        <w:t xml:space="preserve">Utskottet konstaterar att </w:t>
      </w:r>
      <w:r w:rsidR="00633F67">
        <w:t>kommuninvåna</w:t>
      </w:r>
      <w:r w:rsidR="00540A89">
        <w:t>rantalet</w:t>
      </w:r>
      <w:r w:rsidR="00CF1122">
        <w:t xml:space="preserve"> </w:t>
      </w:r>
      <w:r w:rsidR="005F19B0">
        <w:t xml:space="preserve">i framför allt mindre landsbygdskommuner i allmänhet minskar, </w:t>
      </w:r>
      <w:r w:rsidR="00CF1122">
        <w:t>trots en befolkningstillväxt</w:t>
      </w:r>
      <w:r w:rsidR="005F19B0">
        <w:t xml:space="preserve"> på Åland</w:t>
      </w:r>
      <w:r w:rsidR="00141F6B">
        <w:t xml:space="preserve"> som helhet</w:t>
      </w:r>
      <w:r w:rsidR="005F19B0">
        <w:t>.</w:t>
      </w:r>
      <w:r w:rsidR="00540A89">
        <w:t xml:space="preserve"> </w:t>
      </w:r>
      <w:r w:rsidR="005F19B0">
        <w:t>S</w:t>
      </w:r>
      <w:r w:rsidR="00540A89">
        <w:t>amtidigt</w:t>
      </w:r>
      <w:r w:rsidR="005F19B0">
        <w:t xml:space="preserve"> finns det en trend av att</w:t>
      </w:r>
      <w:r w:rsidR="00540A89">
        <w:t xml:space="preserve"> befolkningen som är 65</w:t>
      </w:r>
      <w:r w:rsidR="005F19B0">
        <w:t xml:space="preserve"> år</w:t>
      </w:r>
      <w:r w:rsidR="00540A89">
        <w:t xml:space="preserve"> eller äldre ökar</w:t>
      </w:r>
      <w:r w:rsidR="005F19B0">
        <w:t xml:space="preserve"> i mindre kommuner</w:t>
      </w:r>
      <w:r w:rsidR="00CF1122">
        <w:t>. Detta skapar olika utgångslägen för kommuner vad beträffar tillväxt</w:t>
      </w:r>
      <w:r w:rsidR="005F19B0">
        <w:t>, satsningar i kommuner</w:t>
      </w:r>
      <w:r w:rsidR="00CF1122">
        <w:t xml:space="preserve"> och tillgängliga resurser för att tillgodose den lagstadgade service som kommuninvånarna har rätt till. Detta</w:t>
      </w:r>
      <w:r w:rsidR="00CC356E">
        <w:t xml:space="preserve"> medför</w:t>
      </w:r>
      <w:r w:rsidR="00741E2C">
        <w:t xml:space="preserve"> att speciellt skärgårdskommuner och enstaka landsbygdskommuner troligtvis är de kommuner som primärt kommer att påverkas i samband med utredningsförfarandet. </w:t>
      </w:r>
    </w:p>
    <w:p w14:paraId="136F01DD" w14:textId="6C63E1F4" w:rsidR="00504B43" w:rsidRDefault="005F19B0" w:rsidP="00FC059F">
      <w:pPr>
        <w:pStyle w:val="ANormal"/>
      </w:pPr>
      <w:r>
        <w:tab/>
      </w:r>
      <w:r w:rsidR="00741E2C">
        <w:t xml:space="preserve">Utskottet understryker att samgång mellan kommuner vars ekonomiska situation är speciellt svår, och som har en demografisk </w:t>
      </w:r>
      <w:r>
        <w:t xml:space="preserve">trend av att </w:t>
      </w:r>
      <w:r w:rsidR="00741E2C">
        <w:t>invåna</w:t>
      </w:r>
      <w:r w:rsidR="00741E2C">
        <w:lastRenderedPageBreak/>
        <w:t>rantalet och andelen av den äldre befolkningen ökar</w:t>
      </w:r>
      <w:r w:rsidR="00705806">
        <w:t>,</w:t>
      </w:r>
      <w:r w:rsidR="00741E2C">
        <w:t xml:space="preserve"> inte per automatik kommer att gynnas av en samgång</w:t>
      </w:r>
      <w:r w:rsidR="00705806">
        <w:t>. Detta</w:t>
      </w:r>
      <w:r w:rsidR="008E48F5">
        <w:t xml:space="preserve"> kan skapa en ny kommun</w:t>
      </w:r>
      <w:r w:rsidR="00705806">
        <w:t>helhet</w:t>
      </w:r>
      <w:r w:rsidR="008E48F5">
        <w:t xml:space="preserve"> </w:t>
      </w:r>
      <w:r w:rsidR="00CC356E">
        <w:t>som kan bli föremål för ett</w:t>
      </w:r>
      <w:r w:rsidR="00705806">
        <w:t xml:space="preserve"> nytt</w:t>
      </w:r>
      <w:r w:rsidR="00CC356E">
        <w:t xml:space="preserve"> utredningsförfarande. Utskottet understryker därmed att utfallet av utredningsförfaranden och ett eventuell</w:t>
      </w:r>
      <w:r w:rsidR="00F1703F">
        <w:t>t</w:t>
      </w:r>
      <w:r w:rsidR="00CC356E">
        <w:t xml:space="preserve"> samgångsförfarande bör ske med grunden i att det ekonomiska tillståndet för den nya kommun</w:t>
      </w:r>
      <w:r>
        <w:t>helhet</w:t>
      </w:r>
      <w:r w:rsidR="00705806">
        <w:t>en</w:t>
      </w:r>
      <w:r w:rsidR="00CC356E">
        <w:t xml:space="preserve"> är stabil. </w:t>
      </w:r>
    </w:p>
    <w:p w14:paraId="77F61952" w14:textId="77777777" w:rsidR="00BB316D" w:rsidRDefault="00BB316D" w:rsidP="00FC059F">
      <w:pPr>
        <w:pStyle w:val="ANormal"/>
      </w:pPr>
    </w:p>
    <w:p w14:paraId="16F13486" w14:textId="77777777" w:rsidR="00DC6641" w:rsidRDefault="00DC6641" w:rsidP="00FC059F">
      <w:pPr>
        <w:pStyle w:val="ANormal"/>
        <w:rPr>
          <w:sz w:val="28"/>
          <w:szCs w:val="24"/>
        </w:rPr>
      </w:pPr>
    </w:p>
    <w:p w14:paraId="5F2DD9C4" w14:textId="2E5F2601" w:rsidR="00BD76C5" w:rsidRPr="00BD76C5" w:rsidRDefault="00BD76C5" w:rsidP="00BA714E">
      <w:pPr>
        <w:pStyle w:val="RubrikA"/>
      </w:pPr>
      <w:bookmarkStart w:id="5" w:name="_Toc199080572"/>
      <w:r w:rsidRPr="00BD76C5">
        <w:t>Kommuner och stöd</w:t>
      </w:r>
      <w:bookmarkEnd w:id="5"/>
    </w:p>
    <w:p w14:paraId="3A3A8038" w14:textId="77777777" w:rsidR="00BD76C5" w:rsidRDefault="00BD76C5" w:rsidP="00FC059F">
      <w:pPr>
        <w:pStyle w:val="ANormal"/>
        <w:rPr>
          <w:szCs w:val="22"/>
        </w:rPr>
      </w:pPr>
    </w:p>
    <w:p w14:paraId="0DB53A7A" w14:textId="462E72B4" w:rsidR="00705806" w:rsidRDefault="003B167D" w:rsidP="00FC059F">
      <w:pPr>
        <w:pStyle w:val="ANormal"/>
        <w:rPr>
          <w:szCs w:val="22"/>
        </w:rPr>
      </w:pPr>
      <w:r>
        <w:rPr>
          <w:szCs w:val="22"/>
        </w:rPr>
        <w:t xml:space="preserve">Utskottet konstaterar att samgångsunderstöd, samarbetsstöd samt likviditetsstöd är tre olika former av stöd </w:t>
      </w:r>
      <w:r w:rsidR="00BD76C5">
        <w:rPr>
          <w:szCs w:val="22"/>
        </w:rPr>
        <w:t xml:space="preserve">som </w:t>
      </w:r>
      <w:r>
        <w:rPr>
          <w:szCs w:val="22"/>
        </w:rPr>
        <w:t xml:space="preserve">kommunerna kan erhålla. Utskottet konstaterar att samarbetsstöd och likviditetsstöd </w:t>
      </w:r>
      <w:r w:rsidR="00AC77D6">
        <w:rPr>
          <w:szCs w:val="22"/>
        </w:rPr>
        <w:t>har reserverade medel från tidigare</w:t>
      </w:r>
      <w:r w:rsidR="00804F0A">
        <w:rPr>
          <w:szCs w:val="22"/>
        </w:rPr>
        <w:t>.</w:t>
      </w:r>
      <w:r w:rsidR="005B2AC4">
        <w:rPr>
          <w:szCs w:val="22"/>
        </w:rPr>
        <w:t xml:space="preserve"> Utskottet erfar att det från ett kommunalt perspektiv kan upplevas orättvist att samarbetsstöd samt likviditetsstöd budgeteras under ett och samma moment</w:t>
      </w:r>
      <w:r w:rsidR="00705806">
        <w:rPr>
          <w:szCs w:val="22"/>
        </w:rPr>
        <w:t xml:space="preserve"> i landskapets budget</w:t>
      </w:r>
      <w:r w:rsidR="005B2AC4">
        <w:rPr>
          <w:szCs w:val="22"/>
        </w:rPr>
        <w:t>.</w:t>
      </w:r>
      <w:r w:rsidR="00705806">
        <w:rPr>
          <w:szCs w:val="22"/>
        </w:rPr>
        <w:t xml:space="preserve"> Det finns en risk</w:t>
      </w:r>
      <w:r w:rsidR="005B2AC4">
        <w:rPr>
          <w:szCs w:val="22"/>
        </w:rPr>
        <w:t xml:space="preserve"> för att samtliga medel går till likviditetsstöd, vilket förorsakar att kommuner som erhåller om samarbetsstöd inte har möjlighet att tillgodoses medel.</w:t>
      </w:r>
      <w:r w:rsidR="00EA0F88">
        <w:rPr>
          <w:szCs w:val="22"/>
        </w:rPr>
        <w:t xml:space="preserve"> </w:t>
      </w:r>
    </w:p>
    <w:p w14:paraId="0FBD503C" w14:textId="656D5053" w:rsidR="00BD76C5" w:rsidRDefault="00705806" w:rsidP="00FC059F">
      <w:pPr>
        <w:pStyle w:val="ANormal"/>
        <w:rPr>
          <w:szCs w:val="22"/>
        </w:rPr>
      </w:pPr>
      <w:r>
        <w:rPr>
          <w:szCs w:val="22"/>
        </w:rPr>
        <w:tab/>
      </w:r>
      <w:r w:rsidR="00EA0F88">
        <w:rPr>
          <w:szCs w:val="22"/>
        </w:rPr>
        <w:t>Utskottet anser att tryggandet av samarbetsstöd främjar utveckling, medan likviditetsstöd kan ses som en akut insats för en kommun i</w:t>
      </w:r>
      <w:r>
        <w:rPr>
          <w:szCs w:val="22"/>
        </w:rPr>
        <w:t xml:space="preserve"> en speciellt svår ekonomisk ställning</w:t>
      </w:r>
      <w:r w:rsidR="00EA0F88">
        <w:rPr>
          <w:szCs w:val="22"/>
        </w:rPr>
        <w:t>. Utskottet rekommenderar</w:t>
      </w:r>
      <w:r>
        <w:rPr>
          <w:szCs w:val="22"/>
        </w:rPr>
        <w:t xml:space="preserve"> Lag och kulturutskottet</w:t>
      </w:r>
      <w:r w:rsidR="00EA0F88">
        <w:rPr>
          <w:szCs w:val="22"/>
        </w:rPr>
        <w:t xml:space="preserve"> att uppmana</w:t>
      </w:r>
      <w:r>
        <w:rPr>
          <w:szCs w:val="22"/>
        </w:rPr>
        <w:t xml:space="preserve"> landskapsregeringen till</w:t>
      </w:r>
      <w:r w:rsidR="00EA0F88">
        <w:rPr>
          <w:szCs w:val="22"/>
        </w:rPr>
        <w:t xml:space="preserve"> att se över ändamålsenligheten med att samarbetsstödet och likviditetsstödet är budgeterade under samma moment.</w:t>
      </w:r>
    </w:p>
    <w:p w14:paraId="3E2CF3A4" w14:textId="77777777" w:rsidR="000B442B" w:rsidRDefault="000B442B" w:rsidP="00FC059F">
      <w:pPr>
        <w:pStyle w:val="ANormal"/>
        <w:rPr>
          <w:szCs w:val="22"/>
        </w:rPr>
      </w:pPr>
    </w:p>
    <w:p w14:paraId="51A3F4EA" w14:textId="1E7987DC" w:rsidR="000B442B" w:rsidRPr="000B442B" w:rsidRDefault="000B442B" w:rsidP="00BA714E">
      <w:pPr>
        <w:pStyle w:val="RubrikA"/>
      </w:pPr>
      <w:bookmarkStart w:id="6" w:name="_Toc199080573"/>
      <w:r w:rsidRPr="000B442B">
        <w:t>Indikatorer som visar på att kommunen är i en speciellt svår ekonomisk ställning</w:t>
      </w:r>
      <w:bookmarkEnd w:id="6"/>
    </w:p>
    <w:p w14:paraId="54115A9F" w14:textId="7EF34BC3" w:rsidR="00BD76C5" w:rsidRPr="000B442B" w:rsidRDefault="00BD76C5" w:rsidP="00FC059F">
      <w:pPr>
        <w:pStyle w:val="ANormal"/>
      </w:pPr>
      <w:r>
        <w:rPr>
          <w:szCs w:val="22"/>
        </w:rPr>
        <w:tab/>
      </w:r>
      <w:r w:rsidR="005B2AC4">
        <w:rPr>
          <w:szCs w:val="22"/>
        </w:rPr>
        <w:t xml:space="preserve"> </w:t>
      </w:r>
      <w:r w:rsidR="008008F1">
        <w:rPr>
          <w:szCs w:val="22"/>
        </w:rPr>
        <w:br/>
        <w:t>Utskottet</w:t>
      </w:r>
      <w:r w:rsidR="000B442B">
        <w:rPr>
          <w:szCs w:val="22"/>
        </w:rPr>
        <w:t xml:space="preserve"> konstaterar</w:t>
      </w:r>
      <w:r w:rsidR="008008F1">
        <w:rPr>
          <w:szCs w:val="22"/>
        </w:rPr>
        <w:t xml:space="preserve"> att det i Finland finns ett</w:t>
      </w:r>
      <w:r w:rsidR="003D57FF">
        <w:rPr>
          <w:szCs w:val="22"/>
        </w:rPr>
        <w:t xml:space="preserve"> föreslaget</w:t>
      </w:r>
      <w:r w:rsidR="008008F1">
        <w:rPr>
          <w:szCs w:val="22"/>
        </w:rPr>
        <w:t xml:space="preserve"> system för kommuner att själva följa upp ifall de ligger i riskzonen för att klassas som en kommun i</w:t>
      </w:r>
      <w:r w:rsidR="00E53FC7">
        <w:rPr>
          <w:szCs w:val="22"/>
        </w:rPr>
        <w:t xml:space="preserve"> speciellt svår ekonomisk ställning</w:t>
      </w:r>
      <w:r w:rsidR="008008F1">
        <w:rPr>
          <w:szCs w:val="22"/>
        </w:rPr>
        <w:t xml:space="preserve">. </w:t>
      </w:r>
      <w:r w:rsidR="00E53FC7">
        <w:rPr>
          <w:szCs w:val="22"/>
        </w:rPr>
        <w:t xml:space="preserve">Detta system är inte lagstadgat, utan består av en tabell som framkommer i </w:t>
      </w:r>
      <w:r w:rsidR="000B442B" w:rsidRPr="000B442B">
        <w:rPr>
          <w:szCs w:val="22"/>
        </w:rPr>
        <w:t>Regeringens proposition till riksdagen med förslag till lag om ändring av kommunallagen</w:t>
      </w:r>
      <w:r w:rsidR="000B442B">
        <w:rPr>
          <w:szCs w:val="22"/>
        </w:rPr>
        <w:t xml:space="preserve">, </w:t>
      </w:r>
      <w:r w:rsidR="00E53FC7" w:rsidRPr="00E53FC7">
        <w:rPr>
          <w:szCs w:val="22"/>
        </w:rPr>
        <w:t>RP 280/2018</w:t>
      </w:r>
      <w:r w:rsidR="00E53FC7">
        <w:rPr>
          <w:szCs w:val="22"/>
        </w:rPr>
        <w:t>. Tabellen består av föreslagna nyckeltal och deras gränsvärden. Utskottet anser att dylika nyckeltal och gränsvärden kan vara</w:t>
      </w:r>
      <w:r w:rsidR="003D57FF">
        <w:rPr>
          <w:szCs w:val="22"/>
        </w:rPr>
        <w:t xml:space="preserve"> ändamålsenliga</w:t>
      </w:r>
      <w:r w:rsidR="00E53FC7">
        <w:rPr>
          <w:szCs w:val="22"/>
        </w:rPr>
        <w:t xml:space="preserve"> för kommunerna på Åland att</w:t>
      </w:r>
      <w:r w:rsidR="000B442B">
        <w:rPr>
          <w:szCs w:val="22"/>
        </w:rPr>
        <w:t xml:space="preserve"> förhålla sig till</w:t>
      </w:r>
      <w:r w:rsidR="00E53FC7">
        <w:rPr>
          <w:szCs w:val="22"/>
        </w:rPr>
        <w:t xml:space="preserve"> </w:t>
      </w:r>
      <w:r w:rsidR="003D57FF">
        <w:rPr>
          <w:szCs w:val="22"/>
        </w:rPr>
        <w:t xml:space="preserve">på </w:t>
      </w:r>
      <w:r w:rsidR="00E53FC7">
        <w:rPr>
          <w:szCs w:val="22"/>
        </w:rPr>
        <w:t>frivillig</w:t>
      </w:r>
      <w:r w:rsidR="003D57FF">
        <w:rPr>
          <w:szCs w:val="22"/>
        </w:rPr>
        <w:t xml:space="preserve"> väg</w:t>
      </w:r>
      <w:r w:rsidR="00E53FC7">
        <w:rPr>
          <w:szCs w:val="22"/>
        </w:rPr>
        <w:t>. Syftet skulle vara att i ett tidigt sked</w:t>
      </w:r>
      <w:r w:rsidR="003D57FF">
        <w:rPr>
          <w:szCs w:val="22"/>
        </w:rPr>
        <w:t>e</w:t>
      </w:r>
      <w:r w:rsidR="00E53FC7">
        <w:rPr>
          <w:szCs w:val="22"/>
        </w:rPr>
        <w:t xml:space="preserve"> uppmärksam</w:t>
      </w:r>
      <w:r w:rsidR="003D57FF">
        <w:rPr>
          <w:szCs w:val="22"/>
        </w:rPr>
        <w:t>mas</w:t>
      </w:r>
      <w:r w:rsidR="00E53FC7">
        <w:rPr>
          <w:szCs w:val="22"/>
        </w:rPr>
        <w:t xml:space="preserve"> på att den ekonomiska situationen är speciellt svår</w:t>
      </w:r>
      <w:r w:rsidR="003D57FF">
        <w:rPr>
          <w:szCs w:val="22"/>
        </w:rPr>
        <w:t xml:space="preserve"> i kommunen, vilket i sin tur</w:t>
      </w:r>
      <w:r w:rsidR="000B442B">
        <w:rPr>
          <w:szCs w:val="22"/>
        </w:rPr>
        <w:t xml:space="preserve"> kan</w:t>
      </w:r>
      <w:r w:rsidR="003D57FF">
        <w:rPr>
          <w:szCs w:val="22"/>
        </w:rPr>
        <w:t xml:space="preserve"> vara </w:t>
      </w:r>
      <w:r w:rsidR="00E53FC7">
        <w:rPr>
          <w:szCs w:val="22"/>
        </w:rPr>
        <w:t xml:space="preserve">ett underlag inför kommande ekonomiska prioriteringar i kommunen. </w:t>
      </w:r>
    </w:p>
    <w:p w14:paraId="563516EC" w14:textId="77777777" w:rsidR="000B442B" w:rsidRDefault="000B442B" w:rsidP="00FC059F">
      <w:pPr>
        <w:pStyle w:val="ANormal"/>
        <w:rPr>
          <w:szCs w:val="22"/>
        </w:rPr>
      </w:pPr>
    </w:p>
    <w:p w14:paraId="6E02427A" w14:textId="77777777" w:rsidR="000B442B" w:rsidRPr="000B442B" w:rsidRDefault="000B442B" w:rsidP="00FC059F">
      <w:pPr>
        <w:pStyle w:val="ANormal"/>
        <w:rPr>
          <w:sz w:val="28"/>
          <w:szCs w:val="28"/>
        </w:rPr>
      </w:pPr>
    </w:p>
    <w:p w14:paraId="6282C24A" w14:textId="316864FA" w:rsidR="000B442B" w:rsidRPr="000B442B" w:rsidRDefault="000B442B" w:rsidP="00BA714E">
      <w:pPr>
        <w:pStyle w:val="RubrikA"/>
      </w:pPr>
      <w:bookmarkStart w:id="7" w:name="_Toc199080574"/>
      <w:r w:rsidRPr="000B442B">
        <w:t>Övrigt</w:t>
      </w:r>
      <w:bookmarkEnd w:id="7"/>
    </w:p>
    <w:p w14:paraId="69CD7EF5" w14:textId="77777777" w:rsidR="000B442B" w:rsidRDefault="000B442B" w:rsidP="00FC059F">
      <w:pPr>
        <w:pStyle w:val="ANormal"/>
        <w:rPr>
          <w:szCs w:val="22"/>
        </w:rPr>
      </w:pPr>
    </w:p>
    <w:p w14:paraId="2495AF7E" w14:textId="033678AB" w:rsidR="000B442B" w:rsidRDefault="000B442B" w:rsidP="00FC059F">
      <w:pPr>
        <w:pStyle w:val="ANormal"/>
        <w:rPr>
          <w:szCs w:val="22"/>
        </w:rPr>
      </w:pPr>
      <w:r>
        <w:rPr>
          <w:szCs w:val="22"/>
        </w:rPr>
        <w:t xml:space="preserve">Utskottet föreslår att </w:t>
      </w:r>
      <w:r w:rsidR="00021271">
        <w:rPr>
          <w:szCs w:val="22"/>
        </w:rPr>
        <w:t>Lag och kulturutskottet beslutar om följande ändringar i lagförslagets lag nummer 1, Landskapslag om ett utvärderingsförfarande för kommuner med synnerligen ansträngd ekonomi:</w:t>
      </w:r>
    </w:p>
    <w:p w14:paraId="6F30C210" w14:textId="77777777" w:rsidR="00021271" w:rsidRDefault="00021271" w:rsidP="00FC059F">
      <w:pPr>
        <w:pStyle w:val="ANormal"/>
        <w:rPr>
          <w:szCs w:val="22"/>
        </w:rPr>
      </w:pPr>
    </w:p>
    <w:p w14:paraId="46CD66D6" w14:textId="77777777" w:rsidR="00D423AD" w:rsidRDefault="001F6981" w:rsidP="00FC059F">
      <w:pPr>
        <w:pStyle w:val="ANormal"/>
        <w:rPr>
          <w:szCs w:val="22"/>
        </w:rPr>
      </w:pPr>
      <w:r>
        <w:rPr>
          <w:szCs w:val="22"/>
        </w:rPr>
        <w:t>2 § 2 mom. punkt 2</w:t>
      </w:r>
      <w:r w:rsidR="00D423AD">
        <w:rPr>
          <w:szCs w:val="22"/>
        </w:rPr>
        <w:t xml:space="preserve">) </w:t>
      </w:r>
    </w:p>
    <w:p w14:paraId="5BC126F7" w14:textId="77777777" w:rsidR="00D423AD" w:rsidRDefault="00D423AD" w:rsidP="00FC059F">
      <w:pPr>
        <w:pStyle w:val="ANormal"/>
        <w:rPr>
          <w:szCs w:val="22"/>
        </w:rPr>
      </w:pPr>
      <w:r>
        <w:rPr>
          <w:szCs w:val="22"/>
        </w:rPr>
        <w:br/>
        <w:t>Nuvarande lydelse:</w:t>
      </w:r>
    </w:p>
    <w:p w14:paraId="7BC9D0B6" w14:textId="53AAD52E" w:rsidR="00D423AD" w:rsidRDefault="00D423AD" w:rsidP="00FC059F">
      <w:pPr>
        <w:pStyle w:val="ANormal"/>
        <w:rPr>
          <w:szCs w:val="22"/>
        </w:rPr>
      </w:pPr>
      <w:r>
        <w:rPr>
          <w:szCs w:val="22"/>
        </w:rPr>
        <w:t xml:space="preserve"> </w:t>
      </w:r>
    </w:p>
    <w:p w14:paraId="3E86223D" w14:textId="20352B2C" w:rsidR="00021271" w:rsidRDefault="00D423AD" w:rsidP="00FC059F">
      <w:pPr>
        <w:pStyle w:val="ANormal"/>
        <w:rPr>
          <w:szCs w:val="22"/>
        </w:rPr>
      </w:pPr>
      <w:r>
        <w:rPr>
          <w:szCs w:val="22"/>
        </w:rPr>
        <w:t>S</w:t>
      </w:r>
      <w:r w:rsidRPr="00D423AD">
        <w:rPr>
          <w:szCs w:val="22"/>
        </w:rPr>
        <w:t>oliditetsgraden är lägre än 50 procent.</w:t>
      </w:r>
    </w:p>
    <w:p w14:paraId="23D1852E" w14:textId="5709507D" w:rsidR="000B442B" w:rsidRDefault="00D423AD" w:rsidP="00FC059F">
      <w:pPr>
        <w:pStyle w:val="ANormal"/>
        <w:rPr>
          <w:szCs w:val="22"/>
        </w:rPr>
      </w:pPr>
      <w:r>
        <w:rPr>
          <w:szCs w:val="22"/>
        </w:rPr>
        <w:br/>
        <w:t>Föreslagen lydelse:</w:t>
      </w:r>
    </w:p>
    <w:p w14:paraId="50CA156D" w14:textId="4BDC03F8" w:rsidR="00D423AD" w:rsidRDefault="00D423AD" w:rsidP="00FC059F">
      <w:pPr>
        <w:pStyle w:val="ANormal"/>
        <w:rPr>
          <w:szCs w:val="22"/>
        </w:rPr>
      </w:pPr>
      <w:r>
        <w:rPr>
          <w:szCs w:val="22"/>
        </w:rPr>
        <w:lastRenderedPageBreak/>
        <w:br/>
      </w:r>
      <w:r w:rsidRPr="00D54ADF">
        <w:rPr>
          <w:szCs w:val="22"/>
        </w:rPr>
        <w:t>Soliditeten</w:t>
      </w:r>
      <w:r>
        <w:rPr>
          <w:szCs w:val="22"/>
        </w:rPr>
        <w:t xml:space="preserve"> är lägre än 50 procent. </w:t>
      </w:r>
    </w:p>
    <w:p w14:paraId="25B73DFF" w14:textId="7BAA84E6" w:rsidR="00D423AD" w:rsidRDefault="00D423AD" w:rsidP="00FC059F">
      <w:pPr>
        <w:pStyle w:val="ANormal"/>
        <w:rPr>
          <w:szCs w:val="22"/>
        </w:rPr>
      </w:pPr>
      <w:r>
        <w:rPr>
          <w:szCs w:val="22"/>
        </w:rPr>
        <w:br/>
        <w:t>Motivering:</w:t>
      </w:r>
    </w:p>
    <w:p w14:paraId="7EC9AA42" w14:textId="5F741104" w:rsidR="00D423AD" w:rsidRDefault="00D423AD" w:rsidP="00FC059F">
      <w:pPr>
        <w:pStyle w:val="ANormal"/>
        <w:rPr>
          <w:szCs w:val="22"/>
        </w:rPr>
      </w:pPr>
      <w:r>
        <w:rPr>
          <w:szCs w:val="22"/>
        </w:rPr>
        <w:br/>
        <w:t xml:space="preserve">Utskottet erfar att det finns olika uppfattningar angående om soliditet och soliditetsgrad är synonyma. Det kan anses att soliditet är det som mäts, och att soliditetsgraden är ett av flera sätt att mäta soliditeten. </w:t>
      </w:r>
    </w:p>
    <w:p w14:paraId="08F4027F" w14:textId="77777777" w:rsidR="00D423AD" w:rsidRDefault="00D423AD" w:rsidP="00FC059F">
      <w:pPr>
        <w:pStyle w:val="ANormal"/>
        <w:rPr>
          <w:szCs w:val="22"/>
        </w:rPr>
      </w:pPr>
    </w:p>
    <w:p w14:paraId="56155E5D" w14:textId="56894AF6" w:rsidR="00D423AD" w:rsidRDefault="00D423AD" w:rsidP="00FC059F">
      <w:pPr>
        <w:pStyle w:val="ANormal"/>
        <w:rPr>
          <w:szCs w:val="22"/>
        </w:rPr>
      </w:pPr>
      <w:r>
        <w:rPr>
          <w:szCs w:val="22"/>
        </w:rPr>
        <w:t xml:space="preserve">7 § 3 mom. </w:t>
      </w:r>
    </w:p>
    <w:p w14:paraId="60064012" w14:textId="77777777" w:rsidR="00D423AD" w:rsidRDefault="00D423AD" w:rsidP="00FC059F">
      <w:pPr>
        <w:pStyle w:val="ANormal"/>
        <w:rPr>
          <w:szCs w:val="22"/>
        </w:rPr>
      </w:pPr>
    </w:p>
    <w:p w14:paraId="050CC4BC" w14:textId="1CECD4DF" w:rsidR="00D423AD" w:rsidRDefault="00D423AD" w:rsidP="00FC059F">
      <w:pPr>
        <w:pStyle w:val="ANormal"/>
        <w:rPr>
          <w:szCs w:val="22"/>
        </w:rPr>
      </w:pPr>
      <w:r>
        <w:rPr>
          <w:szCs w:val="22"/>
        </w:rPr>
        <w:t>Nuvarande lydelse:</w:t>
      </w:r>
    </w:p>
    <w:p w14:paraId="11403F41" w14:textId="77777777" w:rsidR="00D423AD" w:rsidRDefault="00D423AD" w:rsidP="00FC059F">
      <w:pPr>
        <w:pStyle w:val="ANormal"/>
        <w:rPr>
          <w:szCs w:val="22"/>
        </w:rPr>
      </w:pPr>
    </w:p>
    <w:p w14:paraId="41620E7E" w14:textId="083621E9" w:rsidR="00D423AD" w:rsidRDefault="004E5581" w:rsidP="00FC059F">
      <w:pPr>
        <w:pStyle w:val="ANormal"/>
      </w:pPr>
      <w:r>
        <w:t xml:space="preserve">Fullmäktige ska behandla utvärderingsgruppens rapport och delge landskapsregeringen sitt beslut med anledning av den senast </w:t>
      </w:r>
      <w:r w:rsidRPr="005049FD">
        <w:t>tre</w:t>
      </w:r>
      <w:r>
        <w:t xml:space="preserve"> månader efter att rapporten delgavs kommunen.</w:t>
      </w:r>
    </w:p>
    <w:p w14:paraId="1DE45C0B" w14:textId="77777777" w:rsidR="004E5581" w:rsidRDefault="004E5581" w:rsidP="00FC059F">
      <w:pPr>
        <w:pStyle w:val="ANormal"/>
      </w:pPr>
    </w:p>
    <w:p w14:paraId="46A66EE7" w14:textId="3853E1C9" w:rsidR="004E5581" w:rsidRDefault="004E5581" w:rsidP="00FC059F">
      <w:pPr>
        <w:pStyle w:val="ANormal"/>
      </w:pPr>
      <w:r>
        <w:t>Föreslagen lydelse:</w:t>
      </w:r>
    </w:p>
    <w:p w14:paraId="617E3FFD" w14:textId="77777777" w:rsidR="004E5581" w:rsidRDefault="004E5581" w:rsidP="00FC059F">
      <w:pPr>
        <w:pStyle w:val="ANormal"/>
      </w:pPr>
    </w:p>
    <w:p w14:paraId="48375986" w14:textId="23DC04B3" w:rsidR="004E5581" w:rsidRDefault="004E5581" w:rsidP="00FC059F">
      <w:pPr>
        <w:pStyle w:val="ANormal"/>
        <w:rPr>
          <w:szCs w:val="22"/>
        </w:rPr>
      </w:pPr>
      <w:r>
        <w:t xml:space="preserve">Fullmäktige ska behandla utvärderingsgruppens rapport </w:t>
      </w:r>
      <w:r w:rsidRPr="00AC77D6">
        <w:t>om åtgärdsförslag</w:t>
      </w:r>
      <w:r>
        <w:t xml:space="preserve"> och delge landskapsregeringen sitt beslut med anledning av den senast </w:t>
      </w:r>
      <w:r w:rsidRPr="005049FD">
        <w:t>tre</w:t>
      </w:r>
      <w:r>
        <w:t xml:space="preserve"> månader efter att rapporten delgavs kommunen.</w:t>
      </w:r>
    </w:p>
    <w:p w14:paraId="74E8FD8C" w14:textId="77777777" w:rsidR="00D423AD" w:rsidRDefault="00D423AD" w:rsidP="00FC059F">
      <w:pPr>
        <w:pStyle w:val="ANormal"/>
        <w:rPr>
          <w:szCs w:val="22"/>
        </w:rPr>
      </w:pPr>
    </w:p>
    <w:p w14:paraId="6C06F685" w14:textId="048E9BD8" w:rsidR="004E5581" w:rsidRDefault="004E5581" w:rsidP="00FC059F">
      <w:pPr>
        <w:pStyle w:val="ANormal"/>
        <w:rPr>
          <w:szCs w:val="22"/>
        </w:rPr>
      </w:pPr>
      <w:r>
        <w:rPr>
          <w:szCs w:val="22"/>
        </w:rPr>
        <w:t>Motivering:</w:t>
      </w:r>
    </w:p>
    <w:p w14:paraId="2AAE2A69" w14:textId="4BC581FD" w:rsidR="004E5581" w:rsidRDefault="004E5581" w:rsidP="00FC059F">
      <w:pPr>
        <w:pStyle w:val="ANormal"/>
        <w:rPr>
          <w:szCs w:val="22"/>
        </w:rPr>
      </w:pPr>
      <w:r>
        <w:rPr>
          <w:szCs w:val="22"/>
        </w:rPr>
        <w:t xml:space="preserve">I 7 § 2 mom. nämns att utvärderingsgruppen ska överlämna </w:t>
      </w:r>
      <w:r w:rsidR="00FB6339">
        <w:rPr>
          <w:szCs w:val="22"/>
        </w:rPr>
        <w:t>ett</w:t>
      </w:r>
      <w:r>
        <w:rPr>
          <w:szCs w:val="22"/>
        </w:rPr>
        <w:t xml:space="preserve"> </w:t>
      </w:r>
      <w:r w:rsidRPr="00FB6339">
        <w:rPr>
          <w:i/>
          <w:iCs/>
          <w:szCs w:val="22"/>
        </w:rPr>
        <w:t>åtgärdsförslag</w:t>
      </w:r>
      <w:r>
        <w:rPr>
          <w:szCs w:val="22"/>
        </w:rPr>
        <w:t>.</w:t>
      </w:r>
      <w:r w:rsidR="00FB6339">
        <w:rPr>
          <w:szCs w:val="22"/>
        </w:rPr>
        <w:t xml:space="preserve"> I 7 § 3 mom. används termen </w:t>
      </w:r>
      <w:r w:rsidR="00FB6339" w:rsidRPr="00FB6339">
        <w:rPr>
          <w:i/>
          <w:iCs/>
          <w:szCs w:val="22"/>
        </w:rPr>
        <w:t>rapport</w:t>
      </w:r>
      <w:r w:rsidR="00FB6339">
        <w:rPr>
          <w:szCs w:val="22"/>
        </w:rPr>
        <w:t xml:space="preserve">, syftande på åtgärdsförslagen.  För att förebygga begreppsförvirring rekommenderar finans- och näringsutskottet att 7 § 3 mom. förtydligas. </w:t>
      </w:r>
    </w:p>
    <w:p w14:paraId="4370E1FD" w14:textId="4D6481B9" w:rsidR="00E53FC7" w:rsidRPr="00063689" w:rsidRDefault="003D57FF" w:rsidP="00FC059F">
      <w:pPr>
        <w:pStyle w:val="ANormal"/>
        <w:rPr>
          <w:szCs w:val="22"/>
        </w:rPr>
      </w:pPr>
      <w:r>
        <w:rPr>
          <w:szCs w:val="22"/>
        </w:rPr>
        <w:tab/>
      </w:r>
    </w:p>
    <w:p w14:paraId="279EC567" w14:textId="3B4613D8" w:rsidR="00FB6339" w:rsidRDefault="00FB6339" w:rsidP="00705806">
      <w:pPr>
        <w:pStyle w:val="ANormal"/>
      </w:pPr>
      <w:r>
        <w:tab/>
      </w:r>
      <w:r w:rsidR="00705806">
        <w:t xml:space="preserve">Utskottet </w:t>
      </w:r>
      <w:r>
        <w:t xml:space="preserve">önskar betona </w:t>
      </w:r>
      <w:r w:rsidR="00705806">
        <w:t xml:space="preserve">att </w:t>
      </w:r>
      <w:r w:rsidR="00AC77D6">
        <w:t>f</w:t>
      </w:r>
      <w:r>
        <w:t xml:space="preserve">lera faktorer, så som demografi, </w:t>
      </w:r>
      <w:r w:rsidR="002B6DDB">
        <w:t xml:space="preserve">beslut som fattas inom landskapet, </w:t>
      </w:r>
      <w:r>
        <w:t>beslut som fattas i Finland,</w:t>
      </w:r>
      <w:r w:rsidR="00141F6B">
        <w:t xml:space="preserve"> beslut som fattas i EU</w:t>
      </w:r>
      <w:r>
        <w:t xml:space="preserve"> samt oförutsedda händelser kan påverka en kommuns ekonomi. Utskottet understryker att det är viktigt att utredningsförfarandet </w:t>
      </w:r>
      <w:r w:rsidR="002B6DDB">
        <w:t>varken</w:t>
      </w:r>
      <w:r>
        <w:t xml:space="preserve"> direkt eller indirekt </w:t>
      </w:r>
      <w:r w:rsidR="002B6DDB">
        <w:t xml:space="preserve">föranleder att kommunen behandlas orättvist, eller att en oändamålsenlig process påbörjas i syfte att leta efter skyldiga till kommunens ekonomiska situation.  </w:t>
      </w:r>
    </w:p>
    <w:p w14:paraId="438F0C10" w14:textId="46D62FA5" w:rsidR="00DC6641" w:rsidRPr="00DC6641" w:rsidRDefault="00DC6641" w:rsidP="00FC059F">
      <w:pPr>
        <w:pStyle w:val="ANormal"/>
        <w:rPr>
          <w:sz w:val="24"/>
          <w:szCs w:val="24"/>
        </w:rPr>
      </w:pPr>
    </w:p>
    <w:p w14:paraId="4263F927" w14:textId="527908A7" w:rsidR="002B3B07" w:rsidRPr="005D0873" w:rsidRDefault="002B3B07" w:rsidP="001D0981">
      <w:pPr>
        <w:pStyle w:val="ANormal"/>
        <w:rPr>
          <w:highlight w:val="yellow"/>
        </w:rPr>
      </w:pPr>
    </w:p>
    <w:p w14:paraId="105A316D" w14:textId="77777777" w:rsidR="00E0081E" w:rsidRPr="002B6DDB" w:rsidRDefault="00E0081E" w:rsidP="00E0081E">
      <w:pPr>
        <w:pStyle w:val="RubrikA"/>
      </w:pPr>
      <w:bookmarkStart w:id="8" w:name="_Toc529800936"/>
      <w:bookmarkStart w:id="9" w:name="_Toc161143337"/>
      <w:bookmarkStart w:id="10" w:name="_Toc199080575"/>
      <w:r w:rsidRPr="002B6DDB">
        <w:t>Ärendets behandling</w:t>
      </w:r>
      <w:bookmarkEnd w:id="8"/>
      <w:bookmarkEnd w:id="9"/>
      <w:bookmarkEnd w:id="10"/>
    </w:p>
    <w:p w14:paraId="6F26D76B" w14:textId="77777777" w:rsidR="00E0081E" w:rsidRPr="005D0873" w:rsidRDefault="00E0081E" w:rsidP="00E0081E">
      <w:pPr>
        <w:pStyle w:val="Rubrikmellanrum"/>
        <w:rPr>
          <w:highlight w:val="yellow"/>
        </w:rPr>
      </w:pPr>
    </w:p>
    <w:p w14:paraId="1C20880A" w14:textId="0F1FA8DD" w:rsidR="00D773F7" w:rsidRPr="002B6DDB" w:rsidRDefault="00D773F7" w:rsidP="00E0081E">
      <w:pPr>
        <w:pStyle w:val="ANormal"/>
      </w:pPr>
      <w:r w:rsidRPr="002B6DDB">
        <w:t xml:space="preserve">Utskottet har den </w:t>
      </w:r>
      <w:r w:rsidR="00C4181D" w:rsidRPr="00C4181D">
        <w:t>28</w:t>
      </w:r>
      <w:r w:rsidRPr="00C4181D">
        <w:t xml:space="preserve"> </w:t>
      </w:r>
      <w:r w:rsidR="00C4181D" w:rsidRPr="00C4181D">
        <w:t>april</w:t>
      </w:r>
      <w:r w:rsidRPr="00C4181D">
        <w:t xml:space="preserve"> 202</w:t>
      </w:r>
      <w:r w:rsidR="002B6DDB" w:rsidRPr="00C4181D">
        <w:t>5</w:t>
      </w:r>
      <w:r w:rsidRPr="002B6DDB">
        <w:t xml:space="preserve"> beretts möjlighet att avge ett utlåtande över landskapsregeringens</w:t>
      </w:r>
      <w:r w:rsidR="00C4181D">
        <w:t xml:space="preserve"> lagförslag</w:t>
      </w:r>
      <w:r w:rsidRPr="002B6DDB">
        <w:t>.</w:t>
      </w:r>
    </w:p>
    <w:p w14:paraId="1D314DAC" w14:textId="563FD3FE" w:rsidR="00D773F7" w:rsidRDefault="00D773F7" w:rsidP="000E0C73">
      <w:pPr>
        <w:pStyle w:val="ANormal"/>
        <w:rPr>
          <w:highlight w:val="yellow"/>
        </w:rPr>
      </w:pPr>
      <w:r w:rsidRPr="002B6DDB">
        <w:tab/>
        <w:t>Utskottet har i ärendet hör</w:t>
      </w:r>
      <w:r w:rsidR="0065490C" w:rsidRPr="002B6DDB">
        <w:t>t minist</w:t>
      </w:r>
      <w:r w:rsidR="002B6DDB">
        <w:t>rarna Ingrid Zetterman och</w:t>
      </w:r>
      <w:r w:rsidR="0065490C" w:rsidRPr="002B6DDB">
        <w:t xml:space="preserve"> Mats Perämaa,</w:t>
      </w:r>
      <w:r w:rsidR="002B6DDB">
        <w:t xml:space="preserve"> </w:t>
      </w:r>
      <w:r w:rsidR="00C4181D">
        <w:t>l</w:t>
      </w:r>
      <w:r w:rsidR="002B6DDB">
        <w:t xml:space="preserve">agberedaren Diana Lönngren, </w:t>
      </w:r>
      <w:r w:rsidR="00C4181D">
        <w:t>k</w:t>
      </w:r>
      <w:r w:rsidR="002B6DDB">
        <w:t xml:space="preserve">ommundirektörerna Julia Lindfors från Lemlands kommun, Marika Blomqvist från Kumlinge kommun, Andreas Johansson från Sunds kommun, Petri Rautanen från Eckerö kommun och Christian Dreyer från Jomala kommun, </w:t>
      </w:r>
      <w:r w:rsidR="00C4181D">
        <w:t>f</w:t>
      </w:r>
      <w:r w:rsidR="002B6DDB">
        <w:t xml:space="preserve">örbundsdirektör Minna Hellström från </w:t>
      </w:r>
      <w:r w:rsidR="000E0C73">
        <w:t xml:space="preserve">Ålands kommunförbund och </w:t>
      </w:r>
      <w:r w:rsidR="00C4181D">
        <w:t>s</w:t>
      </w:r>
      <w:r w:rsidR="000E0C73">
        <w:t>tadsdirektör Arne Selander från Mariehamns stad.</w:t>
      </w:r>
    </w:p>
    <w:p w14:paraId="25AF72D0" w14:textId="77777777" w:rsidR="000E0C73" w:rsidRPr="000E0C73" w:rsidRDefault="000E0C73" w:rsidP="000E0C73">
      <w:pPr>
        <w:pStyle w:val="ANormal"/>
      </w:pPr>
    </w:p>
    <w:p w14:paraId="4023263F" w14:textId="2E206D22" w:rsidR="00E0081E" w:rsidRPr="000E0C73" w:rsidRDefault="00311117" w:rsidP="00E0081E">
      <w:pPr>
        <w:pStyle w:val="ANormal"/>
      </w:pPr>
      <w:r w:rsidRPr="000E0C73">
        <w:tab/>
      </w:r>
      <w:r w:rsidR="00E0081E" w:rsidRPr="000E0C73">
        <w:t xml:space="preserve">I ärendets avgörande behandling deltog </w:t>
      </w:r>
      <w:r w:rsidR="0099230F" w:rsidRPr="000E0C73">
        <w:t>ordföranden John Holmberg</w:t>
      </w:r>
      <w:r w:rsidR="00E0081E" w:rsidRPr="000E0C73">
        <w:t xml:space="preserve">, vice ordförande </w:t>
      </w:r>
      <w:r w:rsidR="0099230F" w:rsidRPr="000E0C73">
        <w:t>Nina Fellman</w:t>
      </w:r>
      <w:r w:rsidR="00E0081E" w:rsidRPr="000E0C73">
        <w:t xml:space="preserve">, ledamöterna Anders </w:t>
      </w:r>
      <w:r w:rsidR="0099230F" w:rsidRPr="000E0C73">
        <w:t>Ekström</w:t>
      </w:r>
      <w:r w:rsidR="00E0081E" w:rsidRPr="000E0C73">
        <w:t xml:space="preserve">, </w:t>
      </w:r>
      <w:r w:rsidR="0099230F" w:rsidRPr="000E0C73">
        <w:t>Jörgen Gustafsson, Roger Höglund, Andreas Kanborg och Wille Valve.</w:t>
      </w:r>
    </w:p>
    <w:p w14:paraId="1F7F1AD3" w14:textId="77777777" w:rsidR="00E0081E" w:rsidRPr="000E0C73" w:rsidRDefault="00E0081E" w:rsidP="00E0081E">
      <w:pPr>
        <w:pStyle w:val="Rubrikmellanrum"/>
      </w:pPr>
    </w:p>
    <w:p w14:paraId="6A34E59E" w14:textId="56D45001" w:rsidR="001754DD" w:rsidRPr="000E0C73" w:rsidRDefault="000E0C73" w:rsidP="001754DD">
      <w:pPr>
        <w:pStyle w:val="RubrikA"/>
      </w:pPr>
      <w:r w:rsidRPr="000E0C73">
        <w:br/>
      </w:r>
      <w:bookmarkStart w:id="11" w:name="_Toc199080576"/>
      <w:r w:rsidR="001754DD" w:rsidRPr="000E0C73">
        <w:t xml:space="preserve">Utskottets </w:t>
      </w:r>
      <w:r w:rsidR="00900C16" w:rsidRPr="000E0C73">
        <w:t>förslag</w:t>
      </w:r>
      <w:bookmarkEnd w:id="11"/>
    </w:p>
    <w:p w14:paraId="0A59DDDB" w14:textId="77777777" w:rsidR="00900C16" w:rsidRPr="000E0C73" w:rsidRDefault="00900C16" w:rsidP="00900C16">
      <w:pPr>
        <w:pStyle w:val="Rubrikmellanrum"/>
      </w:pPr>
    </w:p>
    <w:p w14:paraId="34A0CCE9" w14:textId="4A47684C" w:rsidR="00900C16" w:rsidRPr="000E0C73" w:rsidRDefault="001754DD" w:rsidP="00900C16">
      <w:pPr>
        <w:pStyle w:val="ANormal"/>
        <w:rPr>
          <w:lang w:val="sv-FI" w:eastAsia="sv-FI"/>
        </w:rPr>
      </w:pPr>
      <w:r w:rsidRPr="000E0C73">
        <w:rPr>
          <w:lang w:val="sv-FI" w:eastAsia="sv-FI"/>
        </w:rPr>
        <w:t xml:space="preserve">Utskottet </w:t>
      </w:r>
      <w:r w:rsidR="00900C16" w:rsidRPr="000E0C73">
        <w:rPr>
          <w:lang w:val="sv-FI" w:eastAsia="sv-FI"/>
        </w:rPr>
        <w:t>föreslår att</w:t>
      </w:r>
      <w:r w:rsidR="000E0C73" w:rsidRPr="000E0C73">
        <w:rPr>
          <w:lang w:val="sv-FI" w:eastAsia="sv-FI"/>
        </w:rPr>
        <w:t xml:space="preserve"> lag- och kulturutskottet</w:t>
      </w:r>
      <w:r w:rsidR="00900C16" w:rsidRPr="000E0C73">
        <w:rPr>
          <w:lang w:val="sv-FI" w:eastAsia="sv-FI"/>
        </w:rPr>
        <w:t xml:space="preserve"> i sitt utlåtande beaktar utskottets synpunkter. </w:t>
      </w:r>
    </w:p>
    <w:p w14:paraId="17E1E2E2" w14:textId="77777777" w:rsidR="00C024E5" w:rsidRPr="000E0C73" w:rsidRDefault="00DC2EF6" w:rsidP="00317244">
      <w:pPr>
        <w:pStyle w:val="anormal0"/>
      </w:pPr>
      <w:r w:rsidRPr="000E0C73">
        <w:t xml:space="preserve">  </w:t>
      </w:r>
    </w:p>
    <w:p w14:paraId="4FC9C294" w14:textId="77777777" w:rsidR="002F4853" w:rsidRPr="000E0C73" w:rsidRDefault="002F4853">
      <w:pPr>
        <w:pStyle w:val="ANormal"/>
      </w:pPr>
    </w:p>
    <w:p w14:paraId="0A3A96BD" w14:textId="77777777" w:rsidR="002F4853" w:rsidRPr="000E0C73" w:rsidRDefault="002F4853">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F4853" w14:paraId="46E039ED" w14:textId="77777777">
        <w:trPr>
          <w:cantSplit/>
        </w:trPr>
        <w:tc>
          <w:tcPr>
            <w:tcW w:w="7931" w:type="dxa"/>
            <w:gridSpan w:val="2"/>
          </w:tcPr>
          <w:tbl>
            <w:tblPr>
              <w:tblW w:w="7931" w:type="dxa"/>
              <w:tblCellMar>
                <w:left w:w="0" w:type="dxa"/>
                <w:right w:w="0" w:type="dxa"/>
              </w:tblCellMar>
              <w:tblLook w:val="0000" w:firstRow="0" w:lastRow="0" w:firstColumn="0" w:lastColumn="0" w:noHBand="0" w:noVBand="0"/>
            </w:tblPr>
            <w:tblGrid>
              <w:gridCol w:w="4454"/>
              <w:gridCol w:w="3477"/>
            </w:tblGrid>
            <w:tr w:rsidR="004F0E8D" w:rsidRPr="000E0C73" w14:paraId="42A963BD" w14:textId="77777777" w:rsidTr="00CD1AB4">
              <w:trPr>
                <w:cantSplit/>
              </w:trPr>
              <w:tc>
                <w:tcPr>
                  <w:tcW w:w="7931" w:type="dxa"/>
                  <w:gridSpan w:val="2"/>
                </w:tcPr>
                <w:p w14:paraId="04B58484" w14:textId="2B4B052A" w:rsidR="004F0E8D" w:rsidRPr="000E0C73" w:rsidRDefault="004F0E8D" w:rsidP="00CD1AB4">
                  <w:pPr>
                    <w:pStyle w:val="ANormal"/>
                    <w:keepNext/>
                  </w:pPr>
                  <w:r w:rsidRPr="000E0C73">
                    <w:t xml:space="preserve">Mariehamn den </w:t>
                  </w:r>
                  <w:r w:rsidR="00C4181D">
                    <w:t>10.06.</w:t>
                  </w:r>
                  <w:r w:rsidR="00484632" w:rsidRPr="000E0C73">
                    <w:t>202</w:t>
                  </w:r>
                  <w:r w:rsidR="000E0C73" w:rsidRPr="000E0C73">
                    <w:t>5</w:t>
                  </w:r>
                </w:p>
              </w:tc>
            </w:tr>
            <w:tr w:rsidR="004F0E8D" w:rsidRPr="000E0C73" w14:paraId="394CBAF2" w14:textId="77777777" w:rsidTr="00CD1AB4">
              <w:tc>
                <w:tcPr>
                  <w:tcW w:w="4454" w:type="dxa"/>
                  <w:vAlign w:val="bottom"/>
                </w:tcPr>
                <w:p w14:paraId="776434CE" w14:textId="77777777" w:rsidR="004F0E8D" w:rsidRPr="000E0C73" w:rsidRDefault="004F0E8D" w:rsidP="00CD1AB4">
                  <w:pPr>
                    <w:pStyle w:val="ANormal"/>
                    <w:keepNext/>
                  </w:pPr>
                </w:p>
                <w:p w14:paraId="5A4AB94C" w14:textId="77777777" w:rsidR="004F0E8D" w:rsidRPr="000E0C73" w:rsidRDefault="004F0E8D" w:rsidP="00CD1AB4">
                  <w:pPr>
                    <w:pStyle w:val="ANormal"/>
                    <w:keepNext/>
                  </w:pPr>
                </w:p>
                <w:p w14:paraId="7FB37930" w14:textId="6A43C4FB" w:rsidR="004F0E8D" w:rsidRPr="000E0C73" w:rsidRDefault="00CA4EEF" w:rsidP="00CD1AB4">
                  <w:pPr>
                    <w:pStyle w:val="ANormal"/>
                    <w:keepNext/>
                  </w:pPr>
                  <w:r w:rsidRPr="000E0C73">
                    <w:t>O</w:t>
                  </w:r>
                  <w:r w:rsidR="004F0E8D" w:rsidRPr="000E0C73">
                    <w:t>rdförande</w:t>
                  </w:r>
                </w:p>
              </w:tc>
              <w:tc>
                <w:tcPr>
                  <w:tcW w:w="3477" w:type="dxa"/>
                  <w:vAlign w:val="bottom"/>
                </w:tcPr>
                <w:p w14:paraId="233D2BD0" w14:textId="77777777" w:rsidR="004F0E8D" w:rsidRPr="000E0C73" w:rsidRDefault="004F0E8D" w:rsidP="00CD1AB4">
                  <w:pPr>
                    <w:pStyle w:val="ANormal"/>
                    <w:keepNext/>
                  </w:pPr>
                </w:p>
                <w:p w14:paraId="7CC68A53" w14:textId="77777777" w:rsidR="004F0E8D" w:rsidRPr="000E0C73" w:rsidRDefault="004F0E8D" w:rsidP="00CD1AB4">
                  <w:pPr>
                    <w:pStyle w:val="ANormal"/>
                    <w:keepNext/>
                  </w:pPr>
                </w:p>
                <w:p w14:paraId="67B58218" w14:textId="3A06DAF5" w:rsidR="004F0E8D" w:rsidRPr="000E0C73" w:rsidRDefault="00B05712" w:rsidP="00CD1AB4">
                  <w:pPr>
                    <w:pStyle w:val="ANormal"/>
                    <w:keepNext/>
                  </w:pPr>
                  <w:r w:rsidRPr="000E0C73">
                    <w:t>John Holmberg</w:t>
                  </w:r>
                </w:p>
              </w:tc>
            </w:tr>
            <w:tr w:rsidR="004F0E8D" w14:paraId="30C1E71D" w14:textId="77777777" w:rsidTr="000E0C73">
              <w:trPr>
                <w:trHeight w:val="70"/>
              </w:trPr>
              <w:tc>
                <w:tcPr>
                  <w:tcW w:w="4454" w:type="dxa"/>
                  <w:vAlign w:val="bottom"/>
                </w:tcPr>
                <w:p w14:paraId="4FACA2CA" w14:textId="77777777" w:rsidR="004F0E8D" w:rsidRPr="000E0C73" w:rsidRDefault="004F0E8D" w:rsidP="00CD1AB4">
                  <w:pPr>
                    <w:pStyle w:val="ANormal"/>
                    <w:keepNext/>
                  </w:pPr>
                </w:p>
                <w:p w14:paraId="2CEE0729" w14:textId="77777777" w:rsidR="004F0E8D" w:rsidRPr="000E0C73" w:rsidRDefault="004F0E8D" w:rsidP="00CD1AB4">
                  <w:pPr>
                    <w:pStyle w:val="ANormal"/>
                    <w:keepNext/>
                  </w:pPr>
                </w:p>
                <w:p w14:paraId="42957953" w14:textId="77777777" w:rsidR="004F0E8D" w:rsidRPr="000E0C73" w:rsidRDefault="004F0E8D" w:rsidP="00CD1AB4">
                  <w:pPr>
                    <w:pStyle w:val="ANormal"/>
                    <w:keepNext/>
                  </w:pPr>
                  <w:r w:rsidRPr="000E0C73">
                    <w:t>Sekreterare</w:t>
                  </w:r>
                </w:p>
              </w:tc>
              <w:tc>
                <w:tcPr>
                  <w:tcW w:w="3477" w:type="dxa"/>
                  <w:vAlign w:val="bottom"/>
                </w:tcPr>
                <w:p w14:paraId="7B5C3F4A" w14:textId="77777777" w:rsidR="004F0E8D" w:rsidRPr="000E0C73" w:rsidRDefault="004F0E8D" w:rsidP="00CD1AB4">
                  <w:pPr>
                    <w:pStyle w:val="ANormal"/>
                    <w:keepNext/>
                  </w:pPr>
                </w:p>
                <w:p w14:paraId="1CF4E76E" w14:textId="77777777" w:rsidR="004F0E8D" w:rsidRPr="000E0C73" w:rsidRDefault="004F0E8D" w:rsidP="00CD1AB4">
                  <w:pPr>
                    <w:pStyle w:val="ANormal"/>
                    <w:keepNext/>
                  </w:pPr>
                </w:p>
                <w:p w14:paraId="7A5F3003" w14:textId="5229DCF2" w:rsidR="004F0E8D" w:rsidRDefault="002516BA" w:rsidP="00CD1AB4">
                  <w:pPr>
                    <w:pStyle w:val="ANormal"/>
                    <w:keepNext/>
                  </w:pPr>
                  <w:r>
                    <w:t>Benjamin Sidorov</w:t>
                  </w:r>
                </w:p>
              </w:tc>
            </w:tr>
          </w:tbl>
          <w:p w14:paraId="19CC1F7A" w14:textId="77777777" w:rsidR="002F4853" w:rsidRDefault="002F4853">
            <w:pPr>
              <w:pStyle w:val="ANormal"/>
              <w:keepNext/>
            </w:pPr>
          </w:p>
        </w:tc>
      </w:tr>
      <w:tr w:rsidR="002F4853" w14:paraId="41C4EAF2" w14:textId="77777777">
        <w:tc>
          <w:tcPr>
            <w:tcW w:w="4454" w:type="dxa"/>
            <w:vAlign w:val="bottom"/>
          </w:tcPr>
          <w:p w14:paraId="231B1231" w14:textId="77777777" w:rsidR="002F4853" w:rsidRDefault="002F4853">
            <w:pPr>
              <w:pStyle w:val="ANormal"/>
              <w:keepNext/>
            </w:pPr>
          </w:p>
          <w:p w14:paraId="60959427" w14:textId="77777777" w:rsidR="002F4853" w:rsidRDefault="002F4853">
            <w:pPr>
              <w:pStyle w:val="ANormal"/>
              <w:keepNext/>
            </w:pPr>
          </w:p>
          <w:p w14:paraId="65617867" w14:textId="77777777" w:rsidR="002F4853" w:rsidRDefault="002F4853">
            <w:pPr>
              <w:pStyle w:val="ANormal"/>
              <w:keepNext/>
            </w:pPr>
          </w:p>
        </w:tc>
        <w:tc>
          <w:tcPr>
            <w:tcW w:w="3477" w:type="dxa"/>
            <w:vAlign w:val="bottom"/>
          </w:tcPr>
          <w:p w14:paraId="6754F842" w14:textId="77777777" w:rsidR="002F4853" w:rsidRDefault="002F4853">
            <w:pPr>
              <w:pStyle w:val="ANormal"/>
              <w:keepNext/>
              <w:rPr>
                <w:lang w:val="en-GB"/>
              </w:rPr>
            </w:pPr>
          </w:p>
        </w:tc>
      </w:tr>
      <w:tr w:rsidR="002F4853" w14:paraId="734F171B" w14:textId="77777777">
        <w:tc>
          <w:tcPr>
            <w:tcW w:w="4454" w:type="dxa"/>
            <w:vAlign w:val="bottom"/>
          </w:tcPr>
          <w:p w14:paraId="3A762021" w14:textId="77777777" w:rsidR="002F4853" w:rsidRDefault="002F4853">
            <w:pPr>
              <w:pStyle w:val="ANormal"/>
              <w:keepNext/>
              <w:rPr>
                <w:lang w:val="en-GB"/>
              </w:rPr>
            </w:pPr>
          </w:p>
          <w:p w14:paraId="60BB6023" w14:textId="77777777" w:rsidR="002F4853" w:rsidRDefault="002F4853">
            <w:pPr>
              <w:pStyle w:val="ANormal"/>
              <w:keepNext/>
              <w:rPr>
                <w:lang w:val="en-GB"/>
              </w:rPr>
            </w:pPr>
          </w:p>
          <w:p w14:paraId="0F6409DE" w14:textId="77777777" w:rsidR="002F4853" w:rsidRDefault="002F4853">
            <w:pPr>
              <w:pStyle w:val="ANormal"/>
              <w:keepNext/>
            </w:pPr>
          </w:p>
        </w:tc>
        <w:tc>
          <w:tcPr>
            <w:tcW w:w="3477" w:type="dxa"/>
            <w:vAlign w:val="bottom"/>
          </w:tcPr>
          <w:p w14:paraId="0BDB3363" w14:textId="77777777" w:rsidR="002F4853" w:rsidRDefault="002F4853">
            <w:pPr>
              <w:pStyle w:val="ANormal"/>
              <w:keepNext/>
            </w:pPr>
          </w:p>
        </w:tc>
      </w:tr>
    </w:tbl>
    <w:p w14:paraId="3C366537" w14:textId="77777777" w:rsidR="002F4853" w:rsidRDefault="002F4853">
      <w:pPr>
        <w:pStyle w:val="ANormal"/>
      </w:pPr>
    </w:p>
    <w:sectPr w:rsidR="002F4853" w:rsidSect="00CA0E65">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3716" w14:textId="77777777" w:rsidR="002F03C6" w:rsidRDefault="002F03C6">
      <w:r>
        <w:separator/>
      </w:r>
    </w:p>
  </w:endnote>
  <w:endnote w:type="continuationSeparator" w:id="0">
    <w:p w14:paraId="788EEF65" w14:textId="77777777" w:rsidR="002F03C6" w:rsidRDefault="002F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96B71" w14:textId="77777777" w:rsidR="00CD1AB4" w:rsidRDefault="00CD1AB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1577" w14:textId="77777777" w:rsidR="00CD1AB4" w:rsidRDefault="00CD1A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BC7F" w14:textId="77777777" w:rsidR="002F03C6" w:rsidRDefault="002F03C6">
      <w:r>
        <w:separator/>
      </w:r>
    </w:p>
  </w:footnote>
  <w:footnote w:type="continuationSeparator" w:id="0">
    <w:p w14:paraId="67D8C6BC" w14:textId="77777777" w:rsidR="002F03C6" w:rsidRDefault="002F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2F34" w14:textId="77777777" w:rsidR="00CD1AB4" w:rsidRDefault="00CD1AB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C81A2E">
      <w:rPr>
        <w:rStyle w:val="Sidnummer"/>
        <w:noProof/>
      </w:rPr>
      <w:t>4</w:t>
    </w:r>
    <w:r>
      <w:rPr>
        <w:rStyle w:val="Sidnummer"/>
      </w:rPr>
      <w:fldChar w:fldCharType="end"/>
    </w:r>
  </w:p>
  <w:p w14:paraId="6429B687" w14:textId="77777777" w:rsidR="00CD1AB4" w:rsidRDefault="00CD1A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3F73" w14:textId="77777777" w:rsidR="00CD1AB4" w:rsidRDefault="00CD1AB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C81A2E">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C94060"/>
    <w:multiLevelType w:val="hybridMultilevel"/>
    <w:tmpl w:val="E19EEB9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9" w15:restartNumberingAfterBreak="0">
    <w:nsid w:val="17776F40"/>
    <w:multiLevelType w:val="hybridMultilevel"/>
    <w:tmpl w:val="6A3E66E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F4443"/>
    <w:multiLevelType w:val="hybridMultilevel"/>
    <w:tmpl w:val="8760D61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F0A28"/>
    <w:multiLevelType w:val="hybridMultilevel"/>
    <w:tmpl w:val="74F8EAA0"/>
    <w:lvl w:ilvl="0" w:tplc="872E7C98">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9"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EA7EA9"/>
    <w:multiLevelType w:val="hybridMultilevel"/>
    <w:tmpl w:val="42F4119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7"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71603285">
    <w:abstractNumId w:val="6"/>
  </w:num>
  <w:num w:numId="2" w16cid:durableId="88475887">
    <w:abstractNumId w:val="3"/>
  </w:num>
  <w:num w:numId="3" w16cid:durableId="1929265259">
    <w:abstractNumId w:val="2"/>
  </w:num>
  <w:num w:numId="4" w16cid:durableId="265967903">
    <w:abstractNumId w:val="1"/>
  </w:num>
  <w:num w:numId="5" w16cid:durableId="1088230022">
    <w:abstractNumId w:val="0"/>
  </w:num>
  <w:num w:numId="6" w16cid:durableId="1359699171">
    <w:abstractNumId w:val="7"/>
  </w:num>
  <w:num w:numId="7" w16cid:durableId="685787104">
    <w:abstractNumId w:val="5"/>
  </w:num>
  <w:num w:numId="8" w16cid:durableId="439838098">
    <w:abstractNumId w:val="4"/>
  </w:num>
  <w:num w:numId="9" w16cid:durableId="1531605188">
    <w:abstractNumId w:val="12"/>
  </w:num>
  <w:num w:numId="10" w16cid:durableId="1586766205">
    <w:abstractNumId w:val="16"/>
  </w:num>
  <w:num w:numId="11" w16cid:durableId="1803113093">
    <w:abstractNumId w:val="15"/>
  </w:num>
  <w:num w:numId="12" w16cid:durableId="275721733">
    <w:abstractNumId w:val="20"/>
  </w:num>
  <w:num w:numId="13" w16cid:durableId="546382183">
    <w:abstractNumId w:val="14"/>
  </w:num>
  <w:num w:numId="14" w16cid:durableId="365105490">
    <w:abstractNumId w:val="19"/>
  </w:num>
  <w:num w:numId="15" w16cid:durableId="406727972">
    <w:abstractNumId w:val="11"/>
  </w:num>
  <w:num w:numId="16" w16cid:durableId="2142766845">
    <w:abstractNumId w:val="25"/>
  </w:num>
  <w:num w:numId="17" w16cid:durableId="1383555110">
    <w:abstractNumId w:val="10"/>
  </w:num>
  <w:num w:numId="18" w16cid:durableId="1561398725">
    <w:abstractNumId w:val="21"/>
  </w:num>
  <w:num w:numId="19" w16cid:durableId="1696227879">
    <w:abstractNumId w:val="24"/>
  </w:num>
  <w:num w:numId="20" w16cid:durableId="863708322">
    <w:abstractNumId w:val="28"/>
  </w:num>
  <w:num w:numId="21" w16cid:durableId="51656710">
    <w:abstractNumId w:val="27"/>
  </w:num>
  <w:num w:numId="22" w16cid:durableId="11687972">
    <w:abstractNumId w:val="18"/>
  </w:num>
  <w:num w:numId="23" w16cid:durableId="822310822">
    <w:abstractNumId w:val="22"/>
  </w:num>
  <w:num w:numId="24" w16cid:durableId="1913351611">
    <w:abstractNumId w:val="22"/>
  </w:num>
  <w:num w:numId="25" w16cid:durableId="2037534061">
    <w:abstractNumId w:val="23"/>
  </w:num>
  <w:num w:numId="26" w16cid:durableId="619457049">
    <w:abstractNumId w:val="18"/>
  </w:num>
  <w:num w:numId="27" w16cid:durableId="1302810643">
    <w:abstractNumId w:val="18"/>
  </w:num>
  <w:num w:numId="28" w16cid:durableId="561673488">
    <w:abstractNumId w:val="18"/>
  </w:num>
  <w:num w:numId="29" w16cid:durableId="905994529">
    <w:abstractNumId w:val="18"/>
  </w:num>
  <w:num w:numId="30" w16cid:durableId="28144679">
    <w:abstractNumId w:val="18"/>
  </w:num>
  <w:num w:numId="31" w16cid:durableId="1161894594">
    <w:abstractNumId w:val="18"/>
  </w:num>
  <w:num w:numId="32" w16cid:durableId="1181771507">
    <w:abstractNumId w:val="18"/>
  </w:num>
  <w:num w:numId="33" w16cid:durableId="1382290935">
    <w:abstractNumId w:val="18"/>
  </w:num>
  <w:num w:numId="34" w16cid:durableId="1812332865">
    <w:abstractNumId w:val="18"/>
  </w:num>
  <w:num w:numId="35" w16cid:durableId="935333161">
    <w:abstractNumId w:val="22"/>
  </w:num>
  <w:num w:numId="36" w16cid:durableId="178084249">
    <w:abstractNumId w:val="23"/>
  </w:num>
  <w:num w:numId="37" w16cid:durableId="287784077">
    <w:abstractNumId w:val="18"/>
  </w:num>
  <w:num w:numId="38" w16cid:durableId="982391124">
    <w:abstractNumId w:val="18"/>
  </w:num>
  <w:num w:numId="39" w16cid:durableId="1715033814">
    <w:abstractNumId w:val="18"/>
  </w:num>
  <w:num w:numId="40" w16cid:durableId="412318626">
    <w:abstractNumId w:val="18"/>
  </w:num>
  <w:num w:numId="41" w16cid:durableId="1461148728">
    <w:abstractNumId w:val="18"/>
  </w:num>
  <w:num w:numId="42" w16cid:durableId="119885500">
    <w:abstractNumId w:val="18"/>
  </w:num>
  <w:num w:numId="43" w16cid:durableId="1426416746">
    <w:abstractNumId w:val="18"/>
  </w:num>
  <w:num w:numId="44" w16cid:durableId="43523880">
    <w:abstractNumId w:val="18"/>
  </w:num>
  <w:num w:numId="45" w16cid:durableId="170798413">
    <w:abstractNumId w:val="18"/>
  </w:num>
  <w:num w:numId="46" w16cid:durableId="298386475">
    <w:abstractNumId w:val="17"/>
  </w:num>
  <w:num w:numId="47" w16cid:durableId="397049247">
    <w:abstractNumId w:val="26"/>
  </w:num>
  <w:num w:numId="48" w16cid:durableId="122357666">
    <w:abstractNumId w:val="8"/>
  </w:num>
  <w:num w:numId="49" w16cid:durableId="633407155">
    <w:abstractNumId w:val="9"/>
  </w:num>
  <w:num w:numId="50" w16cid:durableId="21114631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37"/>
    <w:rsid w:val="000049C5"/>
    <w:rsid w:val="00012904"/>
    <w:rsid w:val="000142E4"/>
    <w:rsid w:val="00014ADF"/>
    <w:rsid w:val="000177FC"/>
    <w:rsid w:val="00021271"/>
    <w:rsid w:val="000221E4"/>
    <w:rsid w:val="00026859"/>
    <w:rsid w:val="000302A2"/>
    <w:rsid w:val="000321BD"/>
    <w:rsid w:val="00032A0C"/>
    <w:rsid w:val="00034B29"/>
    <w:rsid w:val="000509F5"/>
    <w:rsid w:val="000519A5"/>
    <w:rsid w:val="000519D2"/>
    <w:rsid w:val="00052C1E"/>
    <w:rsid w:val="00056FEC"/>
    <w:rsid w:val="00060F02"/>
    <w:rsid w:val="0006133D"/>
    <w:rsid w:val="00063689"/>
    <w:rsid w:val="00075DDB"/>
    <w:rsid w:val="00081381"/>
    <w:rsid w:val="0009398E"/>
    <w:rsid w:val="000A3F2E"/>
    <w:rsid w:val="000A4E9F"/>
    <w:rsid w:val="000B442B"/>
    <w:rsid w:val="000C7008"/>
    <w:rsid w:val="000D405C"/>
    <w:rsid w:val="000E0C36"/>
    <w:rsid w:val="000E0C73"/>
    <w:rsid w:val="000E5E9A"/>
    <w:rsid w:val="000F14F1"/>
    <w:rsid w:val="001015E9"/>
    <w:rsid w:val="0010435C"/>
    <w:rsid w:val="001069C5"/>
    <w:rsid w:val="0010728F"/>
    <w:rsid w:val="0012228F"/>
    <w:rsid w:val="00125854"/>
    <w:rsid w:val="00126737"/>
    <w:rsid w:val="00133DC1"/>
    <w:rsid w:val="00135EB8"/>
    <w:rsid w:val="00141F6B"/>
    <w:rsid w:val="00145049"/>
    <w:rsid w:val="00145567"/>
    <w:rsid w:val="00145822"/>
    <w:rsid w:val="00154A0B"/>
    <w:rsid w:val="001735AF"/>
    <w:rsid w:val="001742D6"/>
    <w:rsid w:val="00174D4A"/>
    <w:rsid w:val="001754DD"/>
    <w:rsid w:val="00184AD6"/>
    <w:rsid w:val="00185E48"/>
    <w:rsid w:val="00196E41"/>
    <w:rsid w:val="001A2CCE"/>
    <w:rsid w:val="001A5D7E"/>
    <w:rsid w:val="001A5DE9"/>
    <w:rsid w:val="001A61DA"/>
    <w:rsid w:val="001B209F"/>
    <w:rsid w:val="001C1F10"/>
    <w:rsid w:val="001D0981"/>
    <w:rsid w:val="001E26D4"/>
    <w:rsid w:val="001E426D"/>
    <w:rsid w:val="001E539F"/>
    <w:rsid w:val="001E6EDE"/>
    <w:rsid w:val="001F0F70"/>
    <w:rsid w:val="001F5A05"/>
    <w:rsid w:val="001F6981"/>
    <w:rsid w:val="00201B43"/>
    <w:rsid w:val="0021023A"/>
    <w:rsid w:val="00227D7C"/>
    <w:rsid w:val="0023276D"/>
    <w:rsid w:val="002516BA"/>
    <w:rsid w:val="00257790"/>
    <w:rsid w:val="00257EFB"/>
    <w:rsid w:val="00260B82"/>
    <w:rsid w:val="00262D7E"/>
    <w:rsid w:val="00272379"/>
    <w:rsid w:val="002845F9"/>
    <w:rsid w:val="00285253"/>
    <w:rsid w:val="002926B2"/>
    <w:rsid w:val="00295727"/>
    <w:rsid w:val="002B3B07"/>
    <w:rsid w:val="002B6DDB"/>
    <w:rsid w:val="002C318D"/>
    <w:rsid w:val="002C37C7"/>
    <w:rsid w:val="002C4B6C"/>
    <w:rsid w:val="002D67D5"/>
    <w:rsid w:val="002E6B56"/>
    <w:rsid w:val="002F03C6"/>
    <w:rsid w:val="002F4853"/>
    <w:rsid w:val="00300AA0"/>
    <w:rsid w:val="00302422"/>
    <w:rsid w:val="00311117"/>
    <w:rsid w:val="00314564"/>
    <w:rsid w:val="00317244"/>
    <w:rsid w:val="00325D75"/>
    <w:rsid w:val="00333FCE"/>
    <w:rsid w:val="00341C21"/>
    <w:rsid w:val="00342D07"/>
    <w:rsid w:val="0034386F"/>
    <w:rsid w:val="00346447"/>
    <w:rsid w:val="00346C20"/>
    <w:rsid w:val="00347E08"/>
    <w:rsid w:val="003502D8"/>
    <w:rsid w:val="0035198D"/>
    <w:rsid w:val="003529F9"/>
    <w:rsid w:val="00355289"/>
    <w:rsid w:val="00357FBF"/>
    <w:rsid w:val="00364D9D"/>
    <w:rsid w:val="00381625"/>
    <w:rsid w:val="00384C15"/>
    <w:rsid w:val="003A1EF2"/>
    <w:rsid w:val="003B167D"/>
    <w:rsid w:val="003D57FF"/>
    <w:rsid w:val="003E3B51"/>
    <w:rsid w:val="004024C2"/>
    <w:rsid w:val="00404F8B"/>
    <w:rsid w:val="004167BE"/>
    <w:rsid w:val="004205CF"/>
    <w:rsid w:val="00446926"/>
    <w:rsid w:val="00446E7F"/>
    <w:rsid w:val="0046329D"/>
    <w:rsid w:val="0046629E"/>
    <w:rsid w:val="004711F6"/>
    <w:rsid w:val="00475E22"/>
    <w:rsid w:val="00484632"/>
    <w:rsid w:val="004919D0"/>
    <w:rsid w:val="004A35F3"/>
    <w:rsid w:val="004A4603"/>
    <w:rsid w:val="004B6D99"/>
    <w:rsid w:val="004C0890"/>
    <w:rsid w:val="004C1191"/>
    <w:rsid w:val="004C350F"/>
    <w:rsid w:val="004D4638"/>
    <w:rsid w:val="004E5581"/>
    <w:rsid w:val="004F0E8D"/>
    <w:rsid w:val="004F4DFC"/>
    <w:rsid w:val="00503597"/>
    <w:rsid w:val="00504B43"/>
    <w:rsid w:val="00511659"/>
    <w:rsid w:val="005117EC"/>
    <w:rsid w:val="00513C17"/>
    <w:rsid w:val="00520FDF"/>
    <w:rsid w:val="00531997"/>
    <w:rsid w:val="00540A89"/>
    <w:rsid w:val="00555520"/>
    <w:rsid w:val="0057037D"/>
    <w:rsid w:val="00573216"/>
    <w:rsid w:val="005734AA"/>
    <w:rsid w:val="005746D8"/>
    <w:rsid w:val="00574F69"/>
    <w:rsid w:val="00587A8A"/>
    <w:rsid w:val="00591C8F"/>
    <w:rsid w:val="005A0562"/>
    <w:rsid w:val="005A415D"/>
    <w:rsid w:val="005B2809"/>
    <w:rsid w:val="005B2AC4"/>
    <w:rsid w:val="005C6252"/>
    <w:rsid w:val="005D0873"/>
    <w:rsid w:val="005D0986"/>
    <w:rsid w:val="005D2477"/>
    <w:rsid w:val="005D72C7"/>
    <w:rsid w:val="005F0641"/>
    <w:rsid w:val="005F19B0"/>
    <w:rsid w:val="00601E12"/>
    <w:rsid w:val="0060388E"/>
    <w:rsid w:val="00615E5D"/>
    <w:rsid w:val="00625BF7"/>
    <w:rsid w:val="00630D77"/>
    <w:rsid w:val="00633F67"/>
    <w:rsid w:val="00642A32"/>
    <w:rsid w:val="00646674"/>
    <w:rsid w:val="0065321A"/>
    <w:rsid w:val="0065490C"/>
    <w:rsid w:val="00662B62"/>
    <w:rsid w:val="00665E0B"/>
    <w:rsid w:val="00673BFC"/>
    <w:rsid w:val="006835BC"/>
    <w:rsid w:val="0068594F"/>
    <w:rsid w:val="00690986"/>
    <w:rsid w:val="00693DD0"/>
    <w:rsid w:val="006A0128"/>
    <w:rsid w:val="006A3705"/>
    <w:rsid w:val="006B1133"/>
    <w:rsid w:val="006B177C"/>
    <w:rsid w:val="006C1120"/>
    <w:rsid w:val="006C7073"/>
    <w:rsid w:val="006D3932"/>
    <w:rsid w:val="006E1391"/>
    <w:rsid w:val="006E3739"/>
    <w:rsid w:val="006F279F"/>
    <w:rsid w:val="006F2F4B"/>
    <w:rsid w:val="006F5918"/>
    <w:rsid w:val="006F7A88"/>
    <w:rsid w:val="00705806"/>
    <w:rsid w:val="00707874"/>
    <w:rsid w:val="007101D2"/>
    <w:rsid w:val="0071390F"/>
    <w:rsid w:val="00717E49"/>
    <w:rsid w:val="00720531"/>
    <w:rsid w:val="00720D47"/>
    <w:rsid w:val="00730241"/>
    <w:rsid w:val="00735116"/>
    <w:rsid w:val="00741AA6"/>
    <w:rsid w:val="00741E2C"/>
    <w:rsid w:val="007619CD"/>
    <w:rsid w:val="00765212"/>
    <w:rsid w:val="007749E3"/>
    <w:rsid w:val="00786B3D"/>
    <w:rsid w:val="007B58C2"/>
    <w:rsid w:val="007D19EE"/>
    <w:rsid w:val="007D350A"/>
    <w:rsid w:val="007E3594"/>
    <w:rsid w:val="007F0AB9"/>
    <w:rsid w:val="007F1BC3"/>
    <w:rsid w:val="008008F1"/>
    <w:rsid w:val="0080318B"/>
    <w:rsid w:val="00804F0A"/>
    <w:rsid w:val="0080561F"/>
    <w:rsid w:val="00811402"/>
    <w:rsid w:val="00812A84"/>
    <w:rsid w:val="00815C13"/>
    <w:rsid w:val="00815DCB"/>
    <w:rsid w:val="008225E7"/>
    <w:rsid w:val="00832B07"/>
    <w:rsid w:val="00840003"/>
    <w:rsid w:val="00852012"/>
    <w:rsid w:val="008718A7"/>
    <w:rsid w:val="00874D29"/>
    <w:rsid w:val="0087552A"/>
    <w:rsid w:val="00876452"/>
    <w:rsid w:val="00882939"/>
    <w:rsid w:val="00890E39"/>
    <w:rsid w:val="008B67F6"/>
    <w:rsid w:val="008D3767"/>
    <w:rsid w:val="008E2904"/>
    <w:rsid w:val="008E48F5"/>
    <w:rsid w:val="008E6185"/>
    <w:rsid w:val="00900C16"/>
    <w:rsid w:val="00900CDF"/>
    <w:rsid w:val="00902AD1"/>
    <w:rsid w:val="00951E71"/>
    <w:rsid w:val="00972F2E"/>
    <w:rsid w:val="00974704"/>
    <w:rsid w:val="00986135"/>
    <w:rsid w:val="00987BB6"/>
    <w:rsid w:val="0099230F"/>
    <w:rsid w:val="009F44C0"/>
    <w:rsid w:val="00A02C3F"/>
    <w:rsid w:val="00A060BE"/>
    <w:rsid w:val="00A07D1C"/>
    <w:rsid w:val="00A1223D"/>
    <w:rsid w:val="00A13C91"/>
    <w:rsid w:val="00A21A6B"/>
    <w:rsid w:val="00A272E4"/>
    <w:rsid w:val="00A31BD2"/>
    <w:rsid w:val="00A3429C"/>
    <w:rsid w:val="00A36778"/>
    <w:rsid w:val="00A41CBD"/>
    <w:rsid w:val="00A53CB4"/>
    <w:rsid w:val="00A63D6E"/>
    <w:rsid w:val="00A765DA"/>
    <w:rsid w:val="00A869BC"/>
    <w:rsid w:val="00AA3B6E"/>
    <w:rsid w:val="00AB7AD7"/>
    <w:rsid w:val="00AC77C4"/>
    <w:rsid w:val="00AC77D6"/>
    <w:rsid w:val="00AD2708"/>
    <w:rsid w:val="00AE0942"/>
    <w:rsid w:val="00AE1F6E"/>
    <w:rsid w:val="00AF2D03"/>
    <w:rsid w:val="00B0041E"/>
    <w:rsid w:val="00B030FA"/>
    <w:rsid w:val="00B0453E"/>
    <w:rsid w:val="00B05712"/>
    <w:rsid w:val="00B146FA"/>
    <w:rsid w:val="00B14F6A"/>
    <w:rsid w:val="00B20885"/>
    <w:rsid w:val="00B25CD2"/>
    <w:rsid w:val="00B3634B"/>
    <w:rsid w:val="00B4385E"/>
    <w:rsid w:val="00B60852"/>
    <w:rsid w:val="00B61E91"/>
    <w:rsid w:val="00B6510E"/>
    <w:rsid w:val="00B66D60"/>
    <w:rsid w:val="00B72F30"/>
    <w:rsid w:val="00B735EE"/>
    <w:rsid w:val="00B86247"/>
    <w:rsid w:val="00BA714E"/>
    <w:rsid w:val="00BB3041"/>
    <w:rsid w:val="00BB316D"/>
    <w:rsid w:val="00BC30B9"/>
    <w:rsid w:val="00BD76C5"/>
    <w:rsid w:val="00BE58FE"/>
    <w:rsid w:val="00BF7A76"/>
    <w:rsid w:val="00BF7E86"/>
    <w:rsid w:val="00C024E5"/>
    <w:rsid w:val="00C16152"/>
    <w:rsid w:val="00C248B3"/>
    <w:rsid w:val="00C24D05"/>
    <w:rsid w:val="00C26F77"/>
    <w:rsid w:val="00C349BC"/>
    <w:rsid w:val="00C4181D"/>
    <w:rsid w:val="00C516DE"/>
    <w:rsid w:val="00C601EA"/>
    <w:rsid w:val="00C60F01"/>
    <w:rsid w:val="00C621C1"/>
    <w:rsid w:val="00C62507"/>
    <w:rsid w:val="00C64331"/>
    <w:rsid w:val="00C74A8C"/>
    <w:rsid w:val="00C767F1"/>
    <w:rsid w:val="00C81A2E"/>
    <w:rsid w:val="00C84417"/>
    <w:rsid w:val="00C869C9"/>
    <w:rsid w:val="00C940C9"/>
    <w:rsid w:val="00CA0E65"/>
    <w:rsid w:val="00CA4EEF"/>
    <w:rsid w:val="00CC3054"/>
    <w:rsid w:val="00CC356E"/>
    <w:rsid w:val="00CC45C2"/>
    <w:rsid w:val="00CC5EBA"/>
    <w:rsid w:val="00CC6D7C"/>
    <w:rsid w:val="00CD1AB4"/>
    <w:rsid w:val="00CD1FFB"/>
    <w:rsid w:val="00CD3357"/>
    <w:rsid w:val="00CE4EFB"/>
    <w:rsid w:val="00CF1122"/>
    <w:rsid w:val="00CF1E46"/>
    <w:rsid w:val="00D039F9"/>
    <w:rsid w:val="00D10258"/>
    <w:rsid w:val="00D210F8"/>
    <w:rsid w:val="00D33AA1"/>
    <w:rsid w:val="00D34A01"/>
    <w:rsid w:val="00D410AA"/>
    <w:rsid w:val="00D423AD"/>
    <w:rsid w:val="00D4349D"/>
    <w:rsid w:val="00D43C87"/>
    <w:rsid w:val="00D54ADF"/>
    <w:rsid w:val="00D56545"/>
    <w:rsid w:val="00D669F7"/>
    <w:rsid w:val="00D72E36"/>
    <w:rsid w:val="00D773F7"/>
    <w:rsid w:val="00D81DBD"/>
    <w:rsid w:val="00D84D25"/>
    <w:rsid w:val="00D85E89"/>
    <w:rsid w:val="00D875B6"/>
    <w:rsid w:val="00D90847"/>
    <w:rsid w:val="00D9242F"/>
    <w:rsid w:val="00DB4D36"/>
    <w:rsid w:val="00DC2EF6"/>
    <w:rsid w:val="00DC6641"/>
    <w:rsid w:val="00DE6B26"/>
    <w:rsid w:val="00DF5B2A"/>
    <w:rsid w:val="00DF604C"/>
    <w:rsid w:val="00E0081E"/>
    <w:rsid w:val="00E04FB9"/>
    <w:rsid w:val="00E07CD2"/>
    <w:rsid w:val="00E31B25"/>
    <w:rsid w:val="00E403EB"/>
    <w:rsid w:val="00E46440"/>
    <w:rsid w:val="00E53FC7"/>
    <w:rsid w:val="00E75F02"/>
    <w:rsid w:val="00E9711D"/>
    <w:rsid w:val="00E97905"/>
    <w:rsid w:val="00E97CF0"/>
    <w:rsid w:val="00EA0F88"/>
    <w:rsid w:val="00EA1109"/>
    <w:rsid w:val="00EA4255"/>
    <w:rsid w:val="00EC1B68"/>
    <w:rsid w:val="00EC242D"/>
    <w:rsid w:val="00EC58EF"/>
    <w:rsid w:val="00EE5F3D"/>
    <w:rsid w:val="00EF30EF"/>
    <w:rsid w:val="00F00255"/>
    <w:rsid w:val="00F01D61"/>
    <w:rsid w:val="00F02D8E"/>
    <w:rsid w:val="00F06CDF"/>
    <w:rsid w:val="00F1464E"/>
    <w:rsid w:val="00F1581F"/>
    <w:rsid w:val="00F1703F"/>
    <w:rsid w:val="00F214A6"/>
    <w:rsid w:val="00F259FB"/>
    <w:rsid w:val="00F30280"/>
    <w:rsid w:val="00F3402B"/>
    <w:rsid w:val="00F36CDB"/>
    <w:rsid w:val="00F50238"/>
    <w:rsid w:val="00F720FD"/>
    <w:rsid w:val="00F93EB4"/>
    <w:rsid w:val="00F94F26"/>
    <w:rsid w:val="00F97197"/>
    <w:rsid w:val="00FA3CB9"/>
    <w:rsid w:val="00FB5584"/>
    <w:rsid w:val="00FB622A"/>
    <w:rsid w:val="00FB6339"/>
    <w:rsid w:val="00FC059F"/>
    <w:rsid w:val="00FE29DD"/>
    <w:rsid w:val="00FE4B98"/>
    <w:rsid w:val="00FE58D6"/>
    <w:rsid w:val="00FF49C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E81BC44"/>
  <w15:chartTrackingRefBased/>
  <w15:docId w15:val="{3EE16DC5-BE24-470C-9F9F-FCB362FF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Ballongtext">
    <w:name w:val="Balloon Text"/>
    <w:basedOn w:val="Normal"/>
    <w:link w:val="BallongtextChar"/>
    <w:uiPriority w:val="99"/>
    <w:semiHidden/>
    <w:unhideWhenUsed/>
    <w:rsid w:val="00520FDF"/>
    <w:rPr>
      <w:rFonts w:ascii="Tahoma" w:hAnsi="Tahoma" w:cs="Tahoma"/>
      <w:sz w:val="16"/>
      <w:szCs w:val="16"/>
    </w:rPr>
  </w:style>
  <w:style w:type="character" w:customStyle="1" w:styleId="BallongtextChar">
    <w:name w:val="Ballongtext Char"/>
    <w:link w:val="Ballongtext"/>
    <w:uiPriority w:val="99"/>
    <w:semiHidden/>
    <w:rsid w:val="00520FDF"/>
    <w:rPr>
      <w:rFonts w:ascii="Tahoma" w:hAnsi="Tahoma" w:cs="Tahoma"/>
      <w:sz w:val="16"/>
      <w:szCs w:val="16"/>
    </w:rPr>
  </w:style>
  <w:style w:type="paragraph" w:customStyle="1" w:styleId="anormal0">
    <w:name w:val="anormal"/>
    <w:basedOn w:val="Normal"/>
    <w:rsid w:val="00DC2EF6"/>
    <w:pPr>
      <w:jc w:val="both"/>
    </w:pPr>
    <w:rPr>
      <w:sz w:val="22"/>
      <w:szCs w:val="22"/>
    </w:rPr>
  </w:style>
  <w:style w:type="character" w:customStyle="1" w:styleId="asiakirjaviitetunnus">
    <w:name w:val="asiakirjaviitetunnus"/>
    <w:basedOn w:val="Standardstycketeckensnitt"/>
    <w:rsid w:val="00381625"/>
  </w:style>
  <w:style w:type="paragraph" w:customStyle="1" w:styleId="kappalekooste">
    <w:name w:val="kappalekooste"/>
    <w:basedOn w:val="Normal"/>
    <w:rsid w:val="00381625"/>
    <w:pPr>
      <w:spacing w:before="100" w:beforeAutospacing="1" w:after="100" w:afterAutospacing="1"/>
    </w:pPr>
    <w:rPr>
      <w:lang w:val="sv-FI" w:eastAsia="sv-FI"/>
    </w:rPr>
  </w:style>
  <w:style w:type="character" w:customStyle="1" w:styleId="harvakursiiviteksti">
    <w:name w:val="harvakursiiviteksti"/>
    <w:basedOn w:val="Standardstycketeckensnitt"/>
    <w:rsid w:val="00381625"/>
  </w:style>
  <w:style w:type="character" w:customStyle="1" w:styleId="edk-asiakirjatyyppikoodi">
    <w:name w:val="edk-asiakirjatyyppikoodi"/>
    <w:basedOn w:val="Standardstycketeckensnitt"/>
    <w:rsid w:val="00FB5584"/>
  </w:style>
  <w:style w:type="character" w:customStyle="1" w:styleId="edk-asiakirjanroteksti">
    <w:name w:val="edk-asiakirjanroteksti"/>
    <w:basedOn w:val="Standardstycketeckensnitt"/>
    <w:rsid w:val="00FB5584"/>
  </w:style>
  <w:style w:type="character" w:customStyle="1" w:styleId="edk-valtiopaivavuositeksti">
    <w:name w:val="edk-valtiopaivavuositeksti"/>
    <w:basedOn w:val="Standardstycketeckensnitt"/>
    <w:rsid w:val="00FB5584"/>
  </w:style>
  <w:style w:type="character" w:customStyle="1" w:styleId="ANormalChar">
    <w:name w:val="ANormal Char"/>
    <w:link w:val="ANormal"/>
    <w:locked/>
    <w:rsid w:val="00E0081E"/>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6246">
      <w:bodyDiv w:val="1"/>
      <w:marLeft w:val="0"/>
      <w:marRight w:val="0"/>
      <w:marTop w:val="0"/>
      <w:marBottom w:val="0"/>
      <w:divBdr>
        <w:top w:val="none" w:sz="0" w:space="0" w:color="auto"/>
        <w:left w:val="none" w:sz="0" w:space="0" w:color="auto"/>
        <w:bottom w:val="none" w:sz="0" w:space="0" w:color="auto"/>
        <w:right w:val="none" w:sz="0" w:space="0" w:color="auto"/>
      </w:divBdr>
    </w:div>
    <w:div w:id="174270283">
      <w:bodyDiv w:val="1"/>
      <w:marLeft w:val="0"/>
      <w:marRight w:val="0"/>
      <w:marTop w:val="0"/>
      <w:marBottom w:val="0"/>
      <w:divBdr>
        <w:top w:val="none" w:sz="0" w:space="0" w:color="auto"/>
        <w:left w:val="none" w:sz="0" w:space="0" w:color="auto"/>
        <w:bottom w:val="none" w:sz="0" w:space="0" w:color="auto"/>
        <w:right w:val="none" w:sz="0" w:space="0" w:color="auto"/>
      </w:divBdr>
    </w:div>
    <w:div w:id="381054716">
      <w:bodyDiv w:val="1"/>
      <w:marLeft w:val="0"/>
      <w:marRight w:val="0"/>
      <w:marTop w:val="0"/>
      <w:marBottom w:val="0"/>
      <w:divBdr>
        <w:top w:val="none" w:sz="0" w:space="0" w:color="auto"/>
        <w:left w:val="none" w:sz="0" w:space="0" w:color="auto"/>
        <w:bottom w:val="none" w:sz="0" w:space="0" w:color="auto"/>
        <w:right w:val="none" w:sz="0" w:space="0" w:color="auto"/>
      </w:divBdr>
    </w:div>
    <w:div w:id="458034642">
      <w:bodyDiv w:val="1"/>
      <w:marLeft w:val="0"/>
      <w:marRight w:val="0"/>
      <w:marTop w:val="0"/>
      <w:marBottom w:val="0"/>
      <w:divBdr>
        <w:top w:val="none" w:sz="0" w:space="0" w:color="auto"/>
        <w:left w:val="none" w:sz="0" w:space="0" w:color="auto"/>
        <w:bottom w:val="none" w:sz="0" w:space="0" w:color="auto"/>
        <w:right w:val="none" w:sz="0" w:space="0" w:color="auto"/>
      </w:divBdr>
    </w:div>
    <w:div w:id="491945173">
      <w:bodyDiv w:val="1"/>
      <w:marLeft w:val="0"/>
      <w:marRight w:val="0"/>
      <w:marTop w:val="0"/>
      <w:marBottom w:val="0"/>
      <w:divBdr>
        <w:top w:val="none" w:sz="0" w:space="0" w:color="auto"/>
        <w:left w:val="none" w:sz="0" w:space="0" w:color="auto"/>
        <w:bottom w:val="none" w:sz="0" w:space="0" w:color="auto"/>
        <w:right w:val="none" w:sz="0" w:space="0" w:color="auto"/>
      </w:divBdr>
    </w:div>
    <w:div w:id="539784126">
      <w:bodyDiv w:val="1"/>
      <w:marLeft w:val="0"/>
      <w:marRight w:val="0"/>
      <w:marTop w:val="0"/>
      <w:marBottom w:val="0"/>
      <w:divBdr>
        <w:top w:val="none" w:sz="0" w:space="0" w:color="auto"/>
        <w:left w:val="none" w:sz="0" w:space="0" w:color="auto"/>
        <w:bottom w:val="none" w:sz="0" w:space="0" w:color="auto"/>
        <w:right w:val="none" w:sz="0" w:space="0" w:color="auto"/>
      </w:divBdr>
    </w:div>
    <w:div w:id="561674430">
      <w:bodyDiv w:val="1"/>
      <w:marLeft w:val="0"/>
      <w:marRight w:val="0"/>
      <w:marTop w:val="0"/>
      <w:marBottom w:val="0"/>
      <w:divBdr>
        <w:top w:val="none" w:sz="0" w:space="0" w:color="auto"/>
        <w:left w:val="none" w:sz="0" w:space="0" w:color="auto"/>
        <w:bottom w:val="none" w:sz="0" w:space="0" w:color="auto"/>
        <w:right w:val="none" w:sz="0" w:space="0" w:color="auto"/>
      </w:divBdr>
    </w:div>
    <w:div w:id="630087602">
      <w:bodyDiv w:val="1"/>
      <w:marLeft w:val="0"/>
      <w:marRight w:val="0"/>
      <w:marTop w:val="0"/>
      <w:marBottom w:val="0"/>
      <w:divBdr>
        <w:top w:val="none" w:sz="0" w:space="0" w:color="auto"/>
        <w:left w:val="none" w:sz="0" w:space="0" w:color="auto"/>
        <w:bottom w:val="none" w:sz="0" w:space="0" w:color="auto"/>
        <w:right w:val="none" w:sz="0" w:space="0" w:color="auto"/>
      </w:divBdr>
    </w:div>
    <w:div w:id="650250160">
      <w:bodyDiv w:val="1"/>
      <w:marLeft w:val="0"/>
      <w:marRight w:val="0"/>
      <w:marTop w:val="0"/>
      <w:marBottom w:val="0"/>
      <w:divBdr>
        <w:top w:val="none" w:sz="0" w:space="0" w:color="auto"/>
        <w:left w:val="none" w:sz="0" w:space="0" w:color="auto"/>
        <w:bottom w:val="none" w:sz="0" w:space="0" w:color="auto"/>
        <w:right w:val="none" w:sz="0" w:space="0" w:color="auto"/>
      </w:divBdr>
    </w:div>
    <w:div w:id="659818868">
      <w:bodyDiv w:val="1"/>
      <w:marLeft w:val="0"/>
      <w:marRight w:val="0"/>
      <w:marTop w:val="0"/>
      <w:marBottom w:val="0"/>
      <w:divBdr>
        <w:top w:val="none" w:sz="0" w:space="0" w:color="auto"/>
        <w:left w:val="none" w:sz="0" w:space="0" w:color="auto"/>
        <w:bottom w:val="none" w:sz="0" w:space="0" w:color="auto"/>
        <w:right w:val="none" w:sz="0" w:space="0" w:color="auto"/>
      </w:divBdr>
    </w:div>
    <w:div w:id="702635159">
      <w:bodyDiv w:val="1"/>
      <w:marLeft w:val="0"/>
      <w:marRight w:val="0"/>
      <w:marTop w:val="0"/>
      <w:marBottom w:val="0"/>
      <w:divBdr>
        <w:top w:val="none" w:sz="0" w:space="0" w:color="auto"/>
        <w:left w:val="none" w:sz="0" w:space="0" w:color="auto"/>
        <w:bottom w:val="none" w:sz="0" w:space="0" w:color="auto"/>
        <w:right w:val="none" w:sz="0" w:space="0" w:color="auto"/>
      </w:divBdr>
    </w:div>
    <w:div w:id="769468649">
      <w:bodyDiv w:val="1"/>
      <w:marLeft w:val="0"/>
      <w:marRight w:val="0"/>
      <w:marTop w:val="0"/>
      <w:marBottom w:val="0"/>
      <w:divBdr>
        <w:top w:val="none" w:sz="0" w:space="0" w:color="auto"/>
        <w:left w:val="none" w:sz="0" w:space="0" w:color="auto"/>
        <w:bottom w:val="none" w:sz="0" w:space="0" w:color="auto"/>
        <w:right w:val="none" w:sz="0" w:space="0" w:color="auto"/>
      </w:divBdr>
    </w:div>
    <w:div w:id="777720453">
      <w:bodyDiv w:val="1"/>
      <w:marLeft w:val="0"/>
      <w:marRight w:val="0"/>
      <w:marTop w:val="0"/>
      <w:marBottom w:val="0"/>
      <w:divBdr>
        <w:top w:val="none" w:sz="0" w:space="0" w:color="auto"/>
        <w:left w:val="none" w:sz="0" w:space="0" w:color="auto"/>
        <w:bottom w:val="none" w:sz="0" w:space="0" w:color="auto"/>
        <w:right w:val="none" w:sz="0" w:space="0" w:color="auto"/>
      </w:divBdr>
    </w:div>
    <w:div w:id="900867476">
      <w:bodyDiv w:val="1"/>
      <w:marLeft w:val="0"/>
      <w:marRight w:val="0"/>
      <w:marTop w:val="0"/>
      <w:marBottom w:val="0"/>
      <w:divBdr>
        <w:top w:val="none" w:sz="0" w:space="0" w:color="auto"/>
        <w:left w:val="none" w:sz="0" w:space="0" w:color="auto"/>
        <w:bottom w:val="none" w:sz="0" w:space="0" w:color="auto"/>
        <w:right w:val="none" w:sz="0" w:space="0" w:color="auto"/>
      </w:divBdr>
    </w:div>
    <w:div w:id="962005990">
      <w:bodyDiv w:val="1"/>
      <w:marLeft w:val="0"/>
      <w:marRight w:val="0"/>
      <w:marTop w:val="0"/>
      <w:marBottom w:val="0"/>
      <w:divBdr>
        <w:top w:val="none" w:sz="0" w:space="0" w:color="auto"/>
        <w:left w:val="none" w:sz="0" w:space="0" w:color="auto"/>
        <w:bottom w:val="none" w:sz="0" w:space="0" w:color="auto"/>
        <w:right w:val="none" w:sz="0" w:space="0" w:color="auto"/>
      </w:divBdr>
    </w:div>
    <w:div w:id="1018776217">
      <w:bodyDiv w:val="1"/>
      <w:marLeft w:val="0"/>
      <w:marRight w:val="0"/>
      <w:marTop w:val="0"/>
      <w:marBottom w:val="0"/>
      <w:divBdr>
        <w:top w:val="none" w:sz="0" w:space="0" w:color="auto"/>
        <w:left w:val="none" w:sz="0" w:space="0" w:color="auto"/>
        <w:bottom w:val="none" w:sz="0" w:space="0" w:color="auto"/>
        <w:right w:val="none" w:sz="0" w:space="0" w:color="auto"/>
      </w:divBdr>
    </w:div>
    <w:div w:id="1197617769">
      <w:bodyDiv w:val="1"/>
      <w:marLeft w:val="0"/>
      <w:marRight w:val="0"/>
      <w:marTop w:val="0"/>
      <w:marBottom w:val="0"/>
      <w:divBdr>
        <w:top w:val="none" w:sz="0" w:space="0" w:color="auto"/>
        <w:left w:val="none" w:sz="0" w:space="0" w:color="auto"/>
        <w:bottom w:val="none" w:sz="0" w:space="0" w:color="auto"/>
        <w:right w:val="none" w:sz="0" w:space="0" w:color="auto"/>
      </w:divBdr>
    </w:div>
    <w:div w:id="1390571662">
      <w:bodyDiv w:val="1"/>
      <w:marLeft w:val="0"/>
      <w:marRight w:val="0"/>
      <w:marTop w:val="0"/>
      <w:marBottom w:val="0"/>
      <w:divBdr>
        <w:top w:val="none" w:sz="0" w:space="0" w:color="auto"/>
        <w:left w:val="none" w:sz="0" w:space="0" w:color="auto"/>
        <w:bottom w:val="none" w:sz="0" w:space="0" w:color="auto"/>
        <w:right w:val="none" w:sz="0" w:space="0" w:color="auto"/>
      </w:divBdr>
    </w:div>
    <w:div w:id="1421415445">
      <w:bodyDiv w:val="1"/>
      <w:marLeft w:val="0"/>
      <w:marRight w:val="0"/>
      <w:marTop w:val="0"/>
      <w:marBottom w:val="0"/>
      <w:divBdr>
        <w:top w:val="none" w:sz="0" w:space="0" w:color="auto"/>
        <w:left w:val="none" w:sz="0" w:space="0" w:color="auto"/>
        <w:bottom w:val="none" w:sz="0" w:space="0" w:color="auto"/>
        <w:right w:val="none" w:sz="0" w:space="0" w:color="auto"/>
      </w:divBdr>
    </w:div>
    <w:div w:id="1580753755">
      <w:bodyDiv w:val="1"/>
      <w:marLeft w:val="0"/>
      <w:marRight w:val="0"/>
      <w:marTop w:val="0"/>
      <w:marBottom w:val="0"/>
      <w:divBdr>
        <w:top w:val="none" w:sz="0" w:space="0" w:color="auto"/>
        <w:left w:val="none" w:sz="0" w:space="0" w:color="auto"/>
        <w:bottom w:val="none" w:sz="0" w:space="0" w:color="auto"/>
        <w:right w:val="none" w:sz="0" w:space="0" w:color="auto"/>
      </w:divBdr>
    </w:div>
    <w:div w:id="1691030645">
      <w:bodyDiv w:val="1"/>
      <w:marLeft w:val="0"/>
      <w:marRight w:val="0"/>
      <w:marTop w:val="0"/>
      <w:marBottom w:val="0"/>
      <w:divBdr>
        <w:top w:val="none" w:sz="0" w:space="0" w:color="auto"/>
        <w:left w:val="none" w:sz="0" w:space="0" w:color="auto"/>
        <w:bottom w:val="none" w:sz="0" w:space="0" w:color="auto"/>
        <w:right w:val="none" w:sz="0" w:space="0" w:color="auto"/>
      </w:divBdr>
    </w:div>
    <w:div w:id="1702784029">
      <w:bodyDiv w:val="1"/>
      <w:marLeft w:val="0"/>
      <w:marRight w:val="0"/>
      <w:marTop w:val="0"/>
      <w:marBottom w:val="0"/>
      <w:divBdr>
        <w:top w:val="none" w:sz="0" w:space="0" w:color="auto"/>
        <w:left w:val="none" w:sz="0" w:space="0" w:color="auto"/>
        <w:bottom w:val="none" w:sz="0" w:space="0" w:color="auto"/>
        <w:right w:val="none" w:sz="0" w:space="0" w:color="auto"/>
      </w:divBdr>
    </w:div>
    <w:div w:id="1752045957">
      <w:bodyDiv w:val="1"/>
      <w:marLeft w:val="0"/>
      <w:marRight w:val="0"/>
      <w:marTop w:val="0"/>
      <w:marBottom w:val="0"/>
      <w:divBdr>
        <w:top w:val="none" w:sz="0" w:space="0" w:color="auto"/>
        <w:left w:val="none" w:sz="0" w:space="0" w:color="auto"/>
        <w:bottom w:val="none" w:sz="0" w:space="0" w:color="auto"/>
        <w:right w:val="none" w:sz="0" w:space="0" w:color="auto"/>
      </w:divBdr>
    </w:div>
    <w:div w:id="1841194245">
      <w:bodyDiv w:val="1"/>
      <w:marLeft w:val="0"/>
      <w:marRight w:val="0"/>
      <w:marTop w:val="0"/>
      <w:marBottom w:val="0"/>
      <w:divBdr>
        <w:top w:val="none" w:sz="0" w:space="0" w:color="auto"/>
        <w:left w:val="none" w:sz="0" w:space="0" w:color="auto"/>
        <w:bottom w:val="none" w:sz="0" w:space="0" w:color="auto"/>
        <w:right w:val="none" w:sz="0" w:space="0" w:color="auto"/>
      </w:divBdr>
    </w:div>
    <w:div w:id="20301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2352</Words>
  <Characters>12471</Characters>
  <Application>Microsoft Office Word</Application>
  <DocSecurity>0</DocSecurity>
  <Lines>103</Lines>
  <Paragraphs>29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Social- och miljöulturutskottets utlåtande</vt:lpstr>
      <vt:lpstr>Social- och miljöulturutskottets utlåtande</vt:lpstr>
    </vt:vector>
  </TitlesOfParts>
  <Company>Ålands lagting</Company>
  <LinksUpToDate>false</LinksUpToDate>
  <CharactersWithSpaces>14794</CharactersWithSpaces>
  <SharedDoc>false</SharedDoc>
  <HLinks>
    <vt:vector size="24" baseType="variant">
      <vt:variant>
        <vt:i4>1179709</vt:i4>
      </vt:variant>
      <vt:variant>
        <vt:i4>20</vt:i4>
      </vt:variant>
      <vt:variant>
        <vt:i4>0</vt:i4>
      </vt:variant>
      <vt:variant>
        <vt:i4>5</vt:i4>
      </vt:variant>
      <vt:variant>
        <vt:lpwstr/>
      </vt:variant>
      <vt:variant>
        <vt:lpwstr>_Toc161650850</vt:lpwstr>
      </vt:variant>
      <vt:variant>
        <vt:i4>1245245</vt:i4>
      </vt:variant>
      <vt:variant>
        <vt:i4>14</vt:i4>
      </vt:variant>
      <vt:variant>
        <vt:i4>0</vt:i4>
      </vt:variant>
      <vt:variant>
        <vt:i4>5</vt:i4>
      </vt:variant>
      <vt:variant>
        <vt:lpwstr/>
      </vt:variant>
      <vt:variant>
        <vt:lpwstr>_Toc161650849</vt:lpwstr>
      </vt:variant>
      <vt:variant>
        <vt:i4>1245245</vt:i4>
      </vt:variant>
      <vt:variant>
        <vt:i4>8</vt:i4>
      </vt:variant>
      <vt:variant>
        <vt:i4>0</vt:i4>
      </vt:variant>
      <vt:variant>
        <vt:i4>5</vt:i4>
      </vt:variant>
      <vt:variant>
        <vt:lpwstr/>
      </vt:variant>
      <vt:variant>
        <vt:lpwstr>_Toc161650848</vt:lpwstr>
      </vt:variant>
      <vt:variant>
        <vt:i4>1245245</vt:i4>
      </vt:variant>
      <vt:variant>
        <vt:i4>2</vt:i4>
      </vt:variant>
      <vt:variant>
        <vt:i4>0</vt:i4>
      </vt:variant>
      <vt:variant>
        <vt:i4>5</vt:i4>
      </vt:variant>
      <vt:variant>
        <vt:lpwstr/>
      </vt:variant>
      <vt:variant>
        <vt:lpwstr>_Toc161650847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miljöulturutskottets utlåtande</dc:title>
  <dc:subject/>
  <dc:creator>Ålands lagting</dc:creator>
  <cp:keywords/>
  <cp:lastModifiedBy>Jessica Laaksonen</cp:lastModifiedBy>
  <cp:revision>2</cp:revision>
  <cp:lastPrinted>2025-06-10T08:08:00Z</cp:lastPrinted>
  <dcterms:created xsi:type="dcterms:W3CDTF">2025-09-05T12:18:00Z</dcterms:created>
  <dcterms:modified xsi:type="dcterms:W3CDTF">2025-09-05T12:18:00Z</dcterms:modified>
</cp:coreProperties>
</file>