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556928B6" w14:textId="77777777">
        <w:trPr>
          <w:cantSplit/>
          <w:trHeight w:val="20"/>
        </w:trPr>
        <w:tc>
          <w:tcPr>
            <w:tcW w:w="861" w:type="dxa"/>
            <w:vMerge w:val="restart"/>
          </w:tcPr>
          <w:p w14:paraId="4B5B4584" w14:textId="72BD3024" w:rsidR="00AF3004" w:rsidRDefault="00675FF2">
            <w:pPr>
              <w:pStyle w:val="xLedtext"/>
              <w:keepNext/>
              <w:rPr>
                <w:noProof/>
              </w:rPr>
            </w:pPr>
            <w:r>
              <w:rPr>
                <w:noProof/>
                <w:sz w:val="20"/>
              </w:rPr>
              <w:drawing>
                <wp:anchor distT="0" distB="0" distL="114300" distR="114300" simplePos="0" relativeHeight="251657728" behindDoc="0" locked="0" layoutInCell="1" allowOverlap="1" wp14:anchorId="05A727BE" wp14:editId="5EECD308">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0786B20C" w14:textId="02EDB42A" w:rsidR="00AF3004" w:rsidRDefault="00675FF2">
            <w:pPr>
              <w:pStyle w:val="xMellanrum"/>
            </w:pPr>
            <w:r>
              <w:rPr>
                <w:noProof/>
              </w:rPr>
              <w:drawing>
                <wp:inline distT="0" distB="0" distL="0" distR="0" wp14:anchorId="78AC546D" wp14:editId="31897F84">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7D57F1F2" w14:textId="77777777">
        <w:trPr>
          <w:cantSplit/>
          <w:trHeight w:val="299"/>
        </w:trPr>
        <w:tc>
          <w:tcPr>
            <w:tcW w:w="861" w:type="dxa"/>
            <w:vMerge/>
          </w:tcPr>
          <w:p w14:paraId="3E4BAA5B" w14:textId="77777777" w:rsidR="00AF3004" w:rsidRDefault="00AF3004">
            <w:pPr>
              <w:pStyle w:val="xLedtext"/>
            </w:pPr>
          </w:p>
        </w:tc>
        <w:tc>
          <w:tcPr>
            <w:tcW w:w="4448" w:type="dxa"/>
            <w:vAlign w:val="bottom"/>
          </w:tcPr>
          <w:p w14:paraId="77D32F89" w14:textId="77777777" w:rsidR="00AF3004" w:rsidRDefault="00AF3004">
            <w:pPr>
              <w:pStyle w:val="xAvsandare1"/>
            </w:pPr>
          </w:p>
        </w:tc>
        <w:tc>
          <w:tcPr>
            <w:tcW w:w="4288" w:type="dxa"/>
            <w:gridSpan w:val="2"/>
            <w:vAlign w:val="bottom"/>
          </w:tcPr>
          <w:p w14:paraId="7BD389BC" w14:textId="34459957" w:rsidR="00AF3004" w:rsidRDefault="0018516A">
            <w:pPr>
              <w:pStyle w:val="xDokTypNr"/>
            </w:pPr>
            <w:r>
              <w:t>LAGFÖRSLAG</w:t>
            </w:r>
            <w:r w:rsidR="00AF3004">
              <w:t xml:space="preserve"> nr </w:t>
            </w:r>
            <w:r w:rsidR="001B6C6D">
              <w:t>18</w:t>
            </w:r>
            <w:r w:rsidR="00AF3004">
              <w:t>/20</w:t>
            </w:r>
            <w:r w:rsidR="00DF3925">
              <w:t>24</w:t>
            </w:r>
            <w:r w:rsidR="00AF3004">
              <w:t>-20</w:t>
            </w:r>
            <w:r w:rsidR="00DF3925">
              <w:t>25</w:t>
            </w:r>
          </w:p>
        </w:tc>
      </w:tr>
      <w:tr w:rsidR="00AF3004" w14:paraId="5E734183" w14:textId="77777777">
        <w:trPr>
          <w:cantSplit/>
          <w:trHeight w:val="238"/>
        </w:trPr>
        <w:tc>
          <w:tcPr>
            <w:tcW w:w="861" w:type="dxa"/>
            <w:vMerge/>
          </w:tcPr>
          <w:p w14:paraId="31E9CC79" w14:textId="77777777" w:rsidR="00AF3004" w:rsidRDefault="00AF3004">
            <w:pPr>
              <w:pStyle w:val="xLedtext"/>
            </w:pPr>
          </w:p>
        </w:tc>
        <w:tc>
          <w:tcPr>
            <w:tcW w:w="4448" w:type="dxa"/>
            <w:vAlign w:val="bottom"/>
          </w:tcPr>
          <w:p w14:paraId="715605A9" w14:textId="77777777" w:rsidR="00AF3004" w:rsidRDefault="00AF3004">
            <w:pPr>
              <w:pStyle w:val="xLedtext"/>
            </w:pPr>
          </w:p>
        </w:tc>
        <w:tc>
          <w:tcPr>
            <w:tcW w:w="1725" w:type="dxa"/>
            <w:vAlign w:val="bottom"/>
          </w:tcPr>
          <w:p w14:paraId="0C241E15" w14:textId="77777777" w:rsidR="00AF3004" w:rsidRDefault="00AF3004">
            <w:pPr>
              <w:pStyle w:val="xLedtext"/>
              <w:rPr>
                <w:lang w:val="de-DE"/>
              </w:rPr>
            </w:pPr>
            <w:r>
              <w:rPr>
                <w:lang w:val="de-DE"/>
              </w:rPr>
              <w:t>Datum</w:t>
            </w:r>
          </w:p>
        </w:tc>
        <w:tc>
          <w:tcPr>
            <w:tcW w:w="2563" w:type="dxa"/>
            <w:vAlign w:val="bottom"/>
          </w:tcPr>
          <w:p w14:paraId="60A2BE81" w14:textId="77777777" w:rsidR="00AF3004" w:rsidRDefault="00AF3004">
            <w:pPr>
              <w:pStyle w:val="xLedtext"/>
              <w:rPr>
                <w:lang w:val="de-DE"/>
              </w:rPr>
            </w:pPr>
          </w:p>
        </w:tc>
      </w:tr>
      <w:tr w:rsidR="00AF3004" w14:paraId="4B5EA0A5" w14:textId="77777777">
        <w:trPr>
          <w:cantSplit/>
          <w:trHeight w:val="238"/>
        </w:trPr>
        <w:tc>
          <w:tcPr>
            <w:tcW w:w="861" w:type="dxa"/>
            <w:vMerge/>
          </w:tcPr>
          <w:p w14:paraId="06A538F4" w14:textId="77777777" w:rsidR="00AF3004" w:rsidRDefault="00AF3004">
            <w:pPr>
              <w:pStyle w:val="xAvsandare2"/>
              <w:rPr>
                <w:lang w:val="de-DE"/>
              </w:rPr>
            </w:pPr>
          </w:p>
        </w:tc>
        <w:tc>
          <w:tcPr>
            <w:tcW w:w="4448" w:type="dxa"/>
            <w:vAlign w:val="center"/>
          </w:tcPr>
          <w:p w14:paraId="0B868D82" w14:textId="77777777" w:rsidR="00AF3004" w:rsidRDefault="00AF3004">
            <w:pPr>
              <w:pStyle w:val="xAvsandare2"/>
              <w:rPr>
                <w:lang w:val="de-DE"/>
              </w:rPr>
            </w:pPr>
          </w:p>
        </w:tc>
        <w:tc>
          <w:tcPr>
            <w:tcW w:w="1725" w:type="dxa"/>
            <w:vAlign w:val="center"/>
          </w:tcPr>
          <w:p w14:paraId="43EF75CA" w14:textId="68B2D1F5" w:rsidR="00AF3004" w:rsidRDefault="00AF3004">
            <w:pPr>
              <w:pStyle w:val="xDatum1"/>
              <w:rPr>
                <w:lang w:val="de-DE"/>
              </w:rPr>
            </w:pPr>
            <w:r>
              <w:rPr>
                <w:lang w:val="de-DE"/>
              </w:rPr>
              <w:t>20</w:t>
            </w:r>
            <w:r w:rsidR="0018516A">
              <w:rPr>
                <w:lang w:val="de-DE"/>
              </w:rPr>
              <w:t>25</w:t>
            </w:r>
            <w:r>
              <w:rPr>
                <w:lang w:val="de-DE"/>
              </w:rPr>
              <w:t>-</w:t>
            </w:r>
            <w:r w:rsidR="0089254E">
              <w:rPr>
                <w:lang w:val="de-DE"/>
              </w:rPr>
              <w:t>03</w:t>
            </w:r>
            <w:r>
              <w:rPr>
                <w:lang w:val="de-DE"/>
              </w:rPr>
              <w:t>-</w:t>
            </w:r>
            <w:r w:rsidR="00C9260B">
              <w:rPr>
                <w:lang w:val="de-DE"/>
              </w:rPr>
              <w:t>27</w:t>
            </w:r>
          </w:p>
        </w:tc>
        <w:tc>
          <w:tcPr>
            <w:tcW w:w="2563" w:type="dxa"/>
            <w:vAlign w:val="center"/>
          </w:tcPr>
          <w:p w14:paraId="54869DC0" w14:textId="77777777" w:rsidR="00AF3004" w:rsidRDefault="00AF3004">
            <w:pPr>
              <w:pStyle w:val="xBeteckning1"/>
              <w:rPr>
                <w:lang w:val="de-DE"/>
              </w:rPr>
            </w:pPr>
          </w:p>
        </w:tc>
      </w:tr>
      <w:tr w:rsidR="00AF3004" w14:paraId="1B1CF889" w14:textId="77777777">
        <w:trPr>
          <w:cantSplit/>
          <w:trHeight w:val="238"/>
        </w:trPr>
        <w:tc>
          <w:tcPr>
            <w:tcW w:w="861" w:type="dxa"/>
            <w:vMerge/>
          </w:tcPr>
          <w:p w14:paraId="0845C83D" w14:textId="77777777" w:rsidR="00AF3004" w:rsidRDefault="00AF3004">
            <w:pPr>
              <w:pStyle w:val="xLedtext"/>
              <w:rPr>
                <w:lang w:val="de-DE"/>
              </w:rPr>
            </w:pPr>
          </w:p>
        </w:tc>
        <w:tc>
          <w:tcPr>
            <w:tcW w:w="4448" w:type="dxa"/>
            <w:vAlign w:val="bottom"/>
          </w:tcPr>
          <w:p w14:paraId="781F8E05" w14:textId="77777777" w:rsidR="00AF3004" w:rsidRDefault="00AF3004">
            <w:pPr>
              <w:pStyle w:val="xLedtext"/>
              <w:rPr>
                <w:lang w:val="de-DE"/>
              </w:rPr>
            </w:pPr>
          </w:p>
        </w:tc>
        <w:tc>
          <w:tcPr>
            <w:tcW w:w="1725" w:type="dxa"/>
            <w:vAlign w:val="bottom"/>
          </w:tcPr>
          <w:p w14:paraId="6D98490E" w14:textId="77777777" w:rsidR="00AF3004" w:rsidRDefault="00AF3004">
            <w:pPr>
              <w:pStyle w:val="xLedtext"/>
              <w:rPr>
                <w:lang w:val="de-DE"/>
              </w:rPr>
            </w:pPr>
          </w:p>
        </w:tc>
        <w:tc>
          <w:tcPr>
            <w:tcW w:w="2563" w:type="dxa"/>
            <w:vAlign w:val="bottom"/>
          </w:tcPr>
          <w:p w14:paraId="06378604" w14:textId="77777777" w:rsidR="00AF3004" w:rsidRDefault="00AF3004">
            <w:pPr>
              <w:pStyle w:val="xLedtext"/>
              <w:rPr>
                <w:lang w:val="de-DE"/>
              </w:rPr>
            </w:pPr>
          </w:p>
        </w:tc>
      </w:tr>
      <w:tr w:rsidR="00AF3004" w14:paraId="2E72AE56" w14:textId="77777777">
        <w:trPr>
          <w:cantSplit/>
          <w:trHeight w:val="238"/>
        </w:trPr>
        <w:tc>
          <w:tcPr>
            <w:tcW w:w="861" w:type="dxa"/>
            <w:vMerge/>
            <w:tcBorders>
              <w:bottom w:val="single" w:sz="4" w:space="0" w:color="auto"/>
            </w:tcBorders>
          </w:tcPr>
          <w:p w14:paraId="41775245" w14:textId="77777777" w:rsidR="00AF3004" w:rsidRDefault="00AF3004">
            <w:pPr>
              <w:pStyle w:val="xAvsandare3"/>
              <w:rPr>
                <w:lang w:val="de-DE"/>
              </w:rPr>
            </w:pPr>
          </w:p>
        </w:tc>
        <w:tc>
          <w:tcPr>
            <w:tcW w:w="4448" w:type="dxa"/>
            <w:tcBorders>
              <w:bottom w:val="single" w:sz="4" w:space="0" w:color="auto"/>
            </w:tcBorders>
            <w:vAlign w:val="center"/>
          </w:tcPr>
          <w:p w14:paraId="199C0B3E" w14:textId="77777777" w:rsidR="00AF3004" w:rsidRDefault="00AF3004">
            <w:pPr>
              <w:pStyle w:val="xAvsandare3"/>
              <w:rPr>
                <w:lang w:val="de-DE"/>
              </w:rPr>
            </w:pPr>
          </w:p>
        </w:tc>
        <w:tc>
          <w:tcPr>
            <w:tcW w:w="1725" w:type="dxa"/>
            <w:tcBorders>
              <w:bottom w:val="single" w:sz="4" w:space="0" w:color="auto"/>
            </w:tcBorders>
            <w:vAlign w:val="center"/>
          </w:tcPr>
          <w:p w14:paraId="12680BC3" w14:textId="02686ECE" w:rsidR="00AF3004" w:rsidRPr="00DE62C2" w:rsidRDefault="00AF3004">
            <w:pPr>
              <w:pStyle w:val="xDatum2"/>
              <w:rPr>
                <w:b/>
                <w:bCs/>
                <w:lang w:val="de-DE"/>
              </w:rPr>
            </w:pPr>
          </w:p>
        </w:tc>
        <w:tc>
          <w:tcPr>
            <w:tcW w:w="2563" w:type="dxa"/>
            <w:tcBorders>
              <w:bottom w:val="single" w:sz="4" w:space="0" w:color="auto"/>
            </w:tcBorders>
            <w:vAlign w:val="center"/>
          </w:tcPr>
          <w:p w14:paraId="3C980132" w14:textId="77777777" w:rsidR="00AF3004" w:rsidRPr="00DE62C2" w:rsidRDefault="00AF3004">
            <w:pPr>
              <w:pStyle w:val="xBeteckning2"/>
              <w:rPr>
                <w:b/>
                <w:bCs/>
                <w:lang w:val="de-DE"/>
              </w:rPr>
            </w:pPr>
          </w:p>
        </w:tc>
      </w:tr>
      <w:tr w:rsidR="00AF3004" w14:paraId="1D82A724" w14:textId="77777777">
        <w:trPr>
          <w:cantSplit/>
          <w:trHeight w:val="238"/>
        </w:trPr>
        <w:tc>
          <w:tcPr>
            <w:tcW w:w="861" w:type="dxa"/>
            <w:tcBorders>
              <w:top w:val="single" w:sz="4" w:space="0" w:color="auto"/>
            </w:tcBorders>
            <w:vAlign w:val="bottom"/>
          </w:tcPr>
          <w:p w14:paraId="0096E48D" w14:textId="77777777" w:rsidR="00AF3004" w:rsidRDefault="00AF3004">
            <w:pPr>
              <w:pStyle w:val="xLedtext"/>
              <w:rPr>
                <w:lang w:val="de-DE"/>
              </w:rPr>
            </w:pPr>
          </w:p>
        </w:tc>
        <w:tc>
          <w:tcPr>
            <w:tcW w:w="4448" w:type="dxa"/>
            <w:tcBorders>
              <w:top w:val="single" w:sz="4" w:space="0" w:color="auto"/>
            </w:tcBorders>
            <w:vAlign w:val="bottom"/>
          </w:tcPr>
          <w:p w14:paraId="37CA9764" w14:textId="77777777" w:rsidR="00AF3004" w:rsidRDefault="00AF3004">
            <w:pPr>
              <w:pStyle w:val="xLedtext"/>
              <w:rPr>
                <w:lang w:val="de-DE"/>
              </w:rPr>
            </w:pPr>
          </w:p>
        </w:tc>
        <w:tc>
          <w:tcPr>
            <w:tcW w:w="4288" w:type="dxa"/>
            <w:gridSpan w:val="2"/>
            <w:tcBorders>
              <w:top w:val="single" w:sz="4" w:space="0" w:color="auto"/>
            </w:tcBorders>
            <w:vAlign w:val="bottom"/>
          </w:tcPr>
          <w:p w14:paraId="721EAA92" w14:textId="77777777" w:rsidR="00AF3004" w:rsidRDefault="00AF3004">
            <w:pPr>
              <w:pStyle w:val="xLedtext"/>
              <w:rPr>
                <w:lang w:val="de-DE"/>
              </w:rPr>
            </w:pPr>
          </w:p>
        </w:tc>
      </w:tr>
      <w:tr w:rsidR="00AF3004" w14:paraId="7A6195B4" w14:textId="77777777">
        <w:trPr>
          <w:cantSplit/>
          <w:trHeight w:val="238"/>
        </w:trPr>
        <w:tc>
          <w:tcPr>
            <w:tcW w:w="861" w:type="dxa"/>
          </w:tcPr>
          <w:p w14:paraId="3852CC8C" w14:textId="77777777" w:rsidR="00AF3004" w:rsidRDefault="00AF3004">
            <w:pPr>
              <w:pStyle w:val="xCelltext"/>
              <w:rPr>
                <w:lang w:val="de-DE"/>
              </w:rPr>
            </w:pPr>
          </w:p>
        </w:tc>
        <w:tc>
          <w:tcPr>
            <w:tcW w:w="4448" w:type="dxa"/>
            <w:vMerge w:val="restart"/>
          </w:tcPr>
          <w:p w14:paraId="5B7DE0BD" w14:textId="77777777" w:rsidR="00AF3004" w:rsidRDefault="00AF3004">
            <w:pPr>
              <w:pStyle w:val="xMottagare1"/>
            </w:pPr>
            <w:bookmarkStart w:id="0" w:name="_top"/>
            <w:bookmarkEnd w:id="0"/>
            <w:r>
              <w:t>Till Ålands lagting</w:t>
            </w:r>
          </w:p>
        </w:tc>
        <w:tc>
          <w:tcPr>
            <w:tcW w:w="4288" w:type="dxa"/>
            <w:gridSpan w:val="2"/>
            <w:vMerge w:val="restart"/>
          </w:tcPr>
          <w:p w14:paraId="07239040" w14:textId="77777777" w:rsidR="00AF3004" w:rsidRDefault="00AF3004">
            <w:pPr>
              <w:pStyle w:val="xMottagare1"/>
              <w:tabs>
                <w:tab w:val="left" w:pos="2349"/>
              </w:tabs>
            </w:pPr>
          </w:p>
        </w:tc>
      </w:tr>
      <w:tr w:rsidR="00AF3004" w14:paraId="25B282B8" w14:textId="77777777">
        <w:trPr>
          <w:cantSplit/>
          <w:trHeight w:val="238"/>
        </w:trPr>
        <w:tc>
          <w:tcPr>
            <w:tcW w:w="861" w:type="dxa"/>
          </w:tcPr>
          <w:p w14:paraId="0CB90BE9" w14:textId="77777777" w:rsidR="00AF3004" w:rsidRDefault="00AF3004">
            <w:pPr>
              <w:pStyle w:val="xCelltext"/>
            </w:pPr>
          </w:p>
        </w:tc>
        <w:tc>
          <w:tcPr>
            <w:tcW w:w="4448" w:type="dxa"/>
            <w:vMerge/>
            <w:vAlign w:val="center"/>
          </w:tcPr>
          <w:p w14:paraId="320AA451" w14:textId="77777777" w:rsidR="00AF3004" w:rsidRDefault="00AF3004">
            <w:pPr>
              <w:pStyle w:val="xCelltext"/>
            </w:pPr>
          </w:p>
        </w:tc>
        <w:tc>
          <w:tcPr>
            <w:tcW w:w="4288" w:type="dxa"/>
            <w:gridSpan w:val="2"/>
            <w:vMerge/>
            <w:vAlign w:val="center"/>
          </w:tcPr>
          <w:p w14:paraId="5D4E7384" w14:textId="77777777" w:rsidR="00AF3004" w:rsidRDefault="00AF3004">
            <w:pPr>
              <w:pStyle w:val="xCelltext"/>
            </w:pPr>
          </w:p>
        </w:tc>
      </w:tr>
      <w:tr w:rsidR="00AF3004" w14:paraId="2B689F1A" w14:textId="77777777">
        <w:trPr>
          <w:cantSplit/>
          <w:trHeight w:val="238"/>
        </w:trPr>
        <w:tc>
          <w:tcPr>
            <w:tcW w:w="861" w:type="dxa"/>
          </w:tcPr>
          <w:p w14:paraId="4C4D98AC" w14:textId="77777777" w:rsidR="00AF3004" w:rsidRDefault="00AF3004">
            <w:pPr>
              <w:pStyle w:val="xCelltext"/>
            </w:pPr>
          </w:p>
        </w:tc>
        <w:tc>
          <w:tcPr>
            <w:tcW w:w="4448" w:type="dxa"/>
            <w:vMerge/>
            <w:vAlign w:val="center"/>
          </w:tcPr>
          <w:p w14:paraId="57E6D16E" w14:textId="77777777" w:rsidR="00AF3004" w:rsidRDefault="00AF3004">
            <w:pPr>
              <w:pStyle w:val="xCelltext"/>
            </w:pPr>
          </w:p>
        </w:tc>
        <w:tc>
          <w:tcPr>
            <w:tcW w:w="4288" w:type="dxa"/>
            <w:gridSpan w:val="2"/>
            <w:vMerge/>
            <w:vAlign w:val="center"/>
          </w:tcPr>
          <w:p w14:paraId="4CFD45B9" w14:textId="77777777" w:rsidR="00AF3004" w:rsidRDefault="00AF3004">
            <w:pPr>
              <w:pStyle w:val="xCelltext"/>
            </w:pPr>
          </w:p>
        </w:tc>
      </w:tr>
      <w:tr w:rsidR="00AF3004" w14:paraId="1CCB8A25" w14:textId="77777777">
        <w:trPr>
          <w:cantSplit/>
          <w:trHeight w:val="238"/>
        </w:trPr>
        <w:tc>
          <w:tcPr>
            <w:tcW w:w="861" w:type="dxa"/>
          </w:tcPr>
          <w:p w14:paraId="67AC7A91" w14:textId="77777777" w:rsidR="00AF3004" w:rsidRDefault="00AF3004">
            <w:pPr>
              <w:pStyle w:val="xCelltext"/>
            </w:pPr>
          </w:p>
        </w:tc>
        <w:tc>
          <w:tcPr>
            <w:tcW w:w="4448" w:type="dxa"/>
            <w:vMerge/>
            <w:vAlign w:val="center"/>
          </w:tcPr>
          <w:p w14:paraId="5EE6E983" w14:textId="77777777" w:rsidR="00AF3004" w:rsidRDefault="00AF3004">
            <w:pPr>
              <w:pStyle w:val="xCelltext"/>
            </w:pPr>
          </w:p>
        </w:tc>
        <w:tc>
          <w:tcPr>
            <w:tcW w:w="4288" w:type="dxa"/>
            <w:gridSpan w:val="2"/>
            <w:vMerge/>
            <w:vAlign w:val="center"/>
          </w:tcPr>
          <w:p w14:paraId="5B992273" w14:textId="77777777" w:rsidR="00AF3004" w:rsidRDefault="00AF3004">
            <w:pPr>
              <w:pStyle w:val="xCelltext"/>
            </w:pPr>
          </w:p>
        </w:tc>
      </w:tr>
      <w:tr w:rsidR="00AF3004" w14:paraId="397CD177" w14:textId="77777777">
        <w:trPr>
          <w:cantSplit/>
          <w:trHeight w:val="238"/>
        </w:trPr>
        <w:tc>
          <w:tcPr>
            <w:tcW w:w="861" w:type="dxa"/>
          </w:tcPr>
          <w:p w14:paraId="477F644A" w14:textId="77777777" w:rsidR="00AF3004" w:rsidRDefault="00AF3004">
            <w:pPr>
              <w:pStyle w:val="xCelltext"/>
            </w:pPr>
          </w:p>
        </w:tc>
        <w:tc>
          <w:tcPr>
            <w:tcW w:w="4448" w:type="dxa"/>
            <w:vMerge/>
            <w:vAlign w:val="center"/>
          </w:tcPr>
          <w:p w14:paraId="7D374338" w14:textId="77777777" w:rsidR="00AF3004" w:rsidRDefault="00AF3004">
            <w:pPr>
              <w:pStyle w:val="xCelltext"/>
            </w:pPr>
          </w:p>
        </w:tc>
        <w:tc>
          <w:tcPr>
            <w:tcW w:w="4288" w:type="dxa"/>
            <w:gridSpan w:val="2"/>
            <w:vMerge/>
            <w:vAlign w:val="center"/>
          </w:tcPr>
          <w:p w14:paraId="4C1AC177" w14:textId="77777777" w:rsidR="00AF3004" w:rsidRDefault="00AF3004">
            <w:pPr>
              <w:pStyle w:val="xCelltext"/>
            </w:pPr>
          </w:p>
        </w:tc>
      </w:tr>
    </w:tbl>
    <w:p w14:paraId="047C96E7" w14:textId="77777777" w:rsidR="00AF3004" w:rsidRDefault="00AF3004">
      <w:pPr>
        <w:rPr>
          <w:b/>
          <w:bCs/>
        </w:rPr>
        <w:sectPr w:rsidR="00AF3004">
          <w:footerReference w:type="even" r:id="rId10"/>
          <w:footerReference w:type="default" r:id="rId11"/>
          <w:pgSz w:w="11906" w:h="16838" w:code="9"/>
          <w:pgMar w:top="567" w:right="1134" w:bottom="1134" w:left="1191" w:header="624" w:footer="851" w:gutter="0"/>
          <w:cols w:space="708"/>
          <w:docGrid w:linePitch="360"/>
        </w:sectPr>
      </w:pPr>
    </w:p>
    <w:p w14:paraId="3AB5D923" w14:textId="5F6A6476" w:rsidR="00AF3004" w:rsidRDefault="006127BA">
      <w:pPr>
        <w:pStyle w:val="ArendeRubrik"/>
      </w:pPr>
      <w:r>
        <w:t>Ändringar av klientavgifter inom socialvården</w:t>
      </w:r>
    </w:p>
    <w:p w14:paraId="6D57D68C" w14:textId="77777777" w:rsidR="00AF3004" w:rsidRDefault="00AF3004">
      <w:pPr>
        <w:pStyle w:val="ANormal"/>
      </w:pPr>
    </w:p>
    <w:p w14:paraId="5DCEB9F6" w14:textId="77777777" w:rsidR="00AF3004" w:rsidRDefault="00AF3004">
      <w:pPr>
        <w:pStyle w:val="ANormal"/>
      </w:pPr>
    </w:p>
    <w:p w14:paraId="5EC0EB01" w14:textId="77777777" w:rsidR="00AF3004" w:rsidRDefault="00AF3004">
      <w:pPr>
        <w:pStyle w:val="RubrikA"/>
      </w:pPr>
      <w:bookmarkStart w:id="1" w:name="_Toc193963315"/>
      <w:r>
        <w:t>Huvudsakligt innehåll</w:t>
      </w:r>
      <w:bookmarkEnd w:id="1"/>
    </w:p>
    <w:p w14:paraId="2A0480FF" w14:textId="77777777" w:rsidR="00AF3004" w:rsidRDefault="00AF3004">
      <w:pPr>
        <w:pStyle w:val="Rubrikmellanrum"/>
      </w:pPr>
    </w:p>
    <w:p w14:paraId="0EBE7D98" w14:textId="0E0AC933" w:rsidR="00320F4E" w:rsidRPr="00840C71" w:rsidRDefault="00033629" w:rsidP="00320F4E">
      <w:pPr>
        <w:pStyle w:val="ANormal"/>
      </w:pPr>
      <w:r>
        <w:t xml:space="preserve">Landskapsregeringen föreslår att lagtinget ska anta en </w:t>
      </w:r>
      <w:r w:rsidR="001E2DB2">
        <w:t>l</w:t>
      </w:r>
      <w:r w:rsidR="001E2DB2" w:rsidRPr="001E2DB2">
        <w:t>andskapslag om ändring av landskapslagen om klientavgifter inom socialvården</w:t>
      </w:r>
      <w:r w:rsidR="001E2DB2">
        <w:t xml:space="preserve">. Förslaget innebär att </w:t>
      </w:r>
      <w:r w:rsidR="00320F4E" w:rsidRPr="00840C71">
        <w:t>det lagstadgade minimibeloppet för personligt bruk för klienter inom långvarigt serviceboende med heldygnsomsorg ska vara minst 300 euro per månad. Övriga minimibelopp för personligt bruk föreslås oförändrade.</w:t>
      </w:r>
    </w:p>
    <w:p w14:paraId="4079765C" w14:textId="5C5076A6" w:rsidR="00320F4E" w:rsidRDefault="00320F4E" w:rsidP="00320F4E">
      <w:pPr>
        <w:pStyle w:val="ANormal"/>
      </w:pPr>
      <w:r>
        <w:tab/>
        <w:t xml:space="preserve">Den föreslagna </w:t>
      </w:r>
      <w:r w:rsidRPr="004E2D1E">
        <w:t>höj</w:t>
      </w:r>
      <w:r>
        <w:t>ningen</w:t>
      </w:r>
      <w:r w:rsidRPr="004E2D1E">
        <w:t xml:space="preserve"> </w:t>
      </w:r>
      <w:r w:rsidR="007E2101">
        <w:t xml:space="preserve">av </w:t>
      </w:r>
      <w:r w:rsidRPr="004E2D1E">
        <w:t>det lagstadgade minimibeloppet för personligt bruk för klienter inom långvarigt serviceboende med heldygnsomsorg från 250 till 300 euro från och med den 1 januari 2026</w:t>
      </w:r>
      <w:r>
        <w:t xml:space="preserve"> innebär ett fullföljande av landskapsbudgeten för år 2025 och utgör en </w:t>
      </w:r>
      <w:r w:rsidRPr="004E2D1E">
        <w:t xml:space="preserve">kompensationsåtgärd för </w:t>
      </w:r>
      <w:r>
        <w:t xml:space="preserve">det </w:t>
      </w:r>
      <w:r w:rsidRPr="004E2D1E">
        <w:t>slopa</w:t>
      </w:r>
      <w:r>
        <w:t>de</w:t>
      </w:r>
      <w:r w:rsidRPr="004E2D1E">
        <w:t xml:space="preserve"> sjukdomskostnadsavdrag</w:t>
      </w:r>
      <w:r>
        <w:t>et</w:t>
      </w:r>
      <w:r w:rsidRPr="004E2D1E">
        <w:t xml:space="preserve"> i kommunalbeskattningen</w:t>
      </w:r>
      <w:r w:rsidR="004964C1">
        <w:t>.</w:t>
      </w:r>
    </w:p>
    <w:p w14:paraId="2AE3056D" w14:textId="61E904C8" w:rsidR="00D55839" w:rsidRPr="00DD3AFA" w:rsidRDefault="004964C1" w:rsidP="00D55839">
      <w:pPr>
        <w:pStyle w:val="ANormal"/>
      </w:pPr>
      <w:r>
        <w:tab/>
        <w:t xml:space="preserve">Förslaget innehåller även bestämmelser som innebär att </w:t>
      </w:r>
      <w:r w:rsidR="00D55839">
        <w:t>skyldigheten till efterskänkande och nedsättning av avgift ska avse samtliga avgifter som fastställs för socialservice.</w:t>
      </w:r>
    </w:p>
    <w:p w14:paraId="144B615E" w14:textId="77777777" w:rsidR="00D55839" w:rsidRDefault="00D55839" w:rsidP="00320F4E">
      <w:pPr>
        <w:pStyle w:val="ANormal"/>
      </w:pPr>
    </w:p>
    <w:p w14:paraId="49F10310" w14:textId="77777777" w:rsidR="00AF3004" w:rsidRDefault="00AF3004">
      <w:pPr>
        <w:pStyle w:val="ANormal"/>
        <w:jc w:val="center"/>
      </w:pPr>
      <w:hyperlink w:anchor="_top" w:tooltip="Klicka för att gå till toppen av dokumentet" w:history="1">
        <w:r>
          <w:rPr>
            <w:rStyle w:val="Hyperlnk"/>
          </w:rPr>
          <w:t>__________________</w:t>
        </w:r>
      </w:hyperlink>
    </w:p>
    <w:p w14:paraId="1A751FEC" w14:textId="77777777" w:rsidR="00016835" w:rsidRDefault="00016835">
      <w:pPr>
        <w:pStyle w:val="ANormal"/>
      </w:pPr>
    </w:p>
    <w:p w14:paraId="6ED226F3" w14:textId="29AAD9E0" w:rsidR="00AF3004" w:rsidRDefault="00AF3004">
      <w:pPr>
        <w:pStyle w:val="ANormal"/>
      </w:pPr>
      <w:r>
        <w:br w:type="page"/>
      </w:r>
    </w:p>
    <w:p w14:paraId="0F2D19FD" w14:textId="77777777" w:rsidR="00AF3004" w:rsidRDefault="00AF3004">
      <w:pPr>
        <w:pStyle w:val="Innehll1"/>
      </w:pPr>
      <w:r>
        <w:lastRenderedPageBreak/>
        <w:t>INNEHÅLL</w:t>
      </w:r>
    </w:p>
    <w:p w14:paraId="5878DA90" w14:textId="6835C08D" w:rsidR="00404B77"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193963315" w:history="1">
        <w:r w:rsidR="00404B77" w:rsidRPr="004D19F3">
          <w:rPr>
            <w:rStyle w:val="Hyperlnk"/>
          </w:rPr>
          <w:t>Huvudsakligt innehåll</w:t>
        </w:r>
        <w:r w:rsidR="00404B77">
          <w:rPr>
            <w:webHidden/>
          </w:rPr>
          <w:tab/>
        </w:r>
        <w:r w:rsidR="00404B77">
          <w:rPr>
            <w:webHidden/>
          </w:rPr>
          <w:fldChar w:fldCharType="begin"/>
        </w:r>
        <w:r w:rsidR="00404B77">
          <w:rPr>
            <w:webHidden/>
          </w:rPr>
          <w:instrText xml:space="preserve"> PAGEREF _Toc193963315 \h </w:instrText>
        </w:r>
        <w:r w:rsidR="00404B77">
          <w:rPr>
            <w:webHidden/>
          </w:rPr>
        </w:r>
        <w:r w:rsidR="00404B77">
          <w:rPr>
            <w:webHidden/>
          </w:rPr>
          <w:fldChar w:fldCharType="separate"/>
        </w:r>
        <w:r w:rsidR="00404B77">
          <w:rPr>
            <w:webHidden/>
          </w:rPr>
          <w:t>1</w:t>
        </w:r>
        <w:r w:rsidR="00404B77">
          <w:rPr>
            <w:webHidden/>
          </w:rPr>
          <w:fldChar w:fldCharType="end"/>
        </w:r>
      </w:hyperlink>
    </w:p>
    <w:p w14:paraId="2F65A373" w14:textId="41224948" w:rsidR="00404B77" w:rsidRDefault="00404B77">
      <w:pPr>
        <w:pStyle w:val="Innehll1"/>
        <w:rPr>
          <w:rFonts w:asciiTheme="minorHAnsi" w:eastAsiaTheme="minorEastAsia" w:hAnsiTheme="minorHAnsi" w:cstheme="minorBidi"/>
          <w:kern w:val="2"/>
          <w:sz w:val="24"/>
          <w:szCs w:val="24"/>
          <w:lang w:val="sv-FI" w:eastAsia="sv-FI"/>
          <w14:ligatures w14:val="standardContextual"/>
        </w:rPr>
      </w:pPr>
      <w:hyperlink w:anchor="_Toc193963316" w:history="1">
        <w:r w:rsidRPr="004D19F3">
          <w:rPr>
            <w:rStyle w:val="Hyperlnk"/>
          </w:rPr>
          <w:t>Allmän motivering</w:t>
        </w:r>
        <w:r>
          <w:rPr>
            <w:webHidden/>
          </w:rPr>
          <w:tab/>
        </w:r>
        <w:r>
          <w:rPr>
            <w:webHidden/>
          </w:rPr>
          <w:fldChar w:fldCharType="begin"/>
        </w:r>
        <w:r>
          <w:rPr>
            <w:webHidden/>
          </w:rPr>
          <w:instrText xml:space="preserve"> PAGEREF _Toc193963316 \h </w:instrText>
        </w:r>
        <w:r>
          <w:rPr>
            <w:webHidden/>
          </w:rPr>
        </w:r>
        <w:r>
          <w:rPr>
            <w:webHidden/>
          </w:rPr>
          <w:fldChar w:fldCharType="separate"/>
        </w:r>
        <w:r>
          <w:rPr>
            <w:webHidden/>
          </w:rPr>
          <w:t>3</w:t>
        </w:r>
        <w:r>
          <w:rPr>
            <w:webHidden/>
          </w:rPr>
          <w:fldChar w:fldCharType="end"/>
        </w:r>
      </w:hyperlink>
    </w:p>
    <w:p w14:paraId="693C4426" w14:textId="79F2D2B2" w:rsidR="00404B77" w:rsidRDefault="00404B77">
      <w:pPr>
        <w:pStyle w:val="Innehll2"/>
        <w:rPr>
          <w:rFonts w:asciiTheme="minorHAnsi" w:eastAsiaTheme="minorEastAsia" w:hAnsiTheme="minorHAnsi" w:cstheme="minorBidi"/>
          <w:kern w:val="2"/>
          <w:sz w:val="24"/>
          <w:szCs w:val="24"/>
          <w:lang w:val="sv-FI" w:eastAsia="sv-FI"/>
          <w14:ligatures w14:val="standardContextual"/>
        </w:rPr>
      </w:pPr>
      <w:hyperlink w:anchor="_Toc193963317" w:history="1">
        <w:r w:rsidRPr="004D19F3">
          <w:rPr>
            <w:rStyle w:val="Hyperlnk"/>
          </w:rPr>
          <w:t>1. Bakgrund</w:t>
        </w:r>
        <w:r>
          <w:rPr>
            <w:webHidden/>
          </w:rPr>
          <w:tab/>
        </w:r>
        <w:r>
          <w:rPr>
            <w:webHidden/>
          </w:rPr>
          <w:fldChar w:fldCharType="begin"/>
        </w:r>
        <w:r>
          <w:rPr>
            <w:webHidden/>
          </w:rPr>
          <w:instrText xml:space="preserve"> PAGEREF _Toc193963317 \h </w:instrText>
        </w:r>
        <w:r>
          <w:rPr>
            <w:webHidden/>
          </w:rPr>
        </w:r>
        <w:r>
          <w:rPr>
            <w:webHidden/>
          </w:rPr>
          <w:fldChar w:fldCharType="separate"/>
        </w:r>
        <w:r>
          <w:rPr>
            <w:webHidden/>
          </w:rPr>
          <w:t>3</w:t>
        </w:r>
        <w:r>
          <w:rPr>
            <w:webHidden/>
          </w:rPr>
          <w:fldChar w:fldCharType="end"/>
        </w:r>
      </w:hyperlink>
    </w:p>
    <w:p w14:paraId="480F49AF" w14:textId="6E0E271F" w:rsidR="00404B77" w:rsidRDefault="00404B77">
      <w:pPr>
        <w:pStyle w:val="Innehll2"/>
        <w:rPr>
          <w:rFonts w:asciiTheme="minorHAnsi" w:eastAsiaTheme="minorEastAsia" w:hAnsiTheme="minorHAnsi" w:cstheme="minorBidi"/>
          <w:kern w:val="2"/>
          <w:sz w:val="24"/>
          <w:szCs w:val="24"/>
          <w:lang w:val="sv-FI" w:eastAsia="sv-FI"/>
          <w14:ligatures w14:val="standardContextual"/>
        </w:rPr>
      </w:pPr>
      <w:hyperlink w:anchor="_Toc193963318" w:history="1">
        <w:r w:rsidRPr="004D19F3">
          <w:rPr>
            <w:rStyle w:val="Hyperlnk"/>
          </w:rPr>
          <w:t>2. Nuläge</w:t>
        </w:r>
        <w:r>
          <w:rPr>
            <w:webHidden/>
          </w:rPr>
          <w:tab/>
        </w:r>
        <w:r>
          <w:rPr>
            <w:webHidden/>
          </w:rPr>
          <w:fldChar w:fldCharType="begin"/>
        </w:r>
        <w:r>
          <w:rPr>
            <w:webHidden/>
          </w:rPr>
          <w:instrText xml:space="preserve"> PAGEREF _Toc193963318 \h </w:instrText>
        </w:r>
        <w:r>
          <w:rPr>
            <w:webHidden/>
          </w:rPr>
        </w:r>
        <w:r>
          <w:rPr>
            <w:webHidden/>
          </w:rPr>
          <w:fldChar w:fldCharType="separate"/>
        </w:r>
        <w:r>
          <w:rPr>
            <w:webHidden/>
          </w:rPr>
          <w:t>3</w:t>
        </w:r>
        <w:r>
          <w:rPr>
            <w:webHidden/>
          </w:rPr>
          <w:fldChar w:fldCharType="end"/>
        </w:r>
      </w:hyperlink>
    </w:p>
    <w:p w14:paraId="0D8A9D49" w14:textId="58376FD7" w:rsidR="00404B77" w:rsidRDefault="00404B77">
      <w:pPr>
        <w:pStyle w:val="Innehll2"/>
        <w:rPr>
          <w:rFonts w:asciiTheme="minorHAnsi" w:eastAsiaTheme="minorEastAsia" w:hAnsiTheme="minorHAnsi" w:cstheme="minorBidi"/>
          <w:kern w:val="2"/>
          <w:sz w:val="24"/>
          <w:szCs w:val="24"/>
          <w:lang w:val="sv-FI" w:eastAsia="sv-FI"/>
          <w14:ligatures w14:val="standardContextual"/>
        </w:rPr>
      </w:pPr>
      <w:hyperlink w:anchor="_Toc193963319" w:history="1">
        <w:r w:rsidRPr="004D19F3">
          <w:rPr>
            <w:rStyle w:val="Hyperlnk"/>
          </w:rPr>
          <w:t>3. Bedömning av nuläget och landskapsregeringens förslag</w:t>
        </w:r>
        <w:r>
          <w:rPr>
            <w:webHidden/>
          </w:rPr>
          <w:tab/>
        </w:r>
        <w:r>
          <w:rPr>
            <w:webHidden/>
          </w:rPr>
          <w:fldChar w:fldCharType="begin"/>
        </w:r>
        <w:r>
          <w:rPr>
            <w:webHidden/>
          </w:rPr>
          <w:instrText xml:space="preserve"> PAGEREF _Toc193963319 \h </w:instrText>
        </w:r>
        <w:r>
          <w:rPr>
            <w:webHidden/>
          </w:rPr>
        </w:r>
        <w:r>
          <w:rPr>
            <w:webHidden/>
          </w:rPr>
          <w:fldChar w:fldCharType="separate"/>
        </w:r>
        <w:r>
          <w:rPr>
            <w:webHidden/>
          </w:rPr>
          <w:t>4</w:t>
        </w:r>
        <w:r>
          <w:rPr>
            <w:webHidden/>
          </w:rPr>
          <w:fldChar w:fldCharType="end"/>
        </w:r>
      </w:hyperlink>
    </w:p>
    <w:p w14:paraId="19C0C3C7" w14:textId="0C20EA28" w:rsidR="00404B77" w:rsidRDefault="00404B77">
      <w:pPr>
        <w:pStyle w:val="Innehll3"/>
        <w:rPr>
          <w:rFonts w:asciiTheme="minorHAnsi" w:eastAsiaTheme="minorEastAsia" w:hAnsiTheme="minorHAnsi" w:cstheme="minorBidi"/>
          <w:kern w:val="2"/>
          <w:sz w:val="24"/>
          <w:szCs w:val="24"/>
          <w:lang w:val="sv-FI" w:eastAsia="sv-FI"/>
          <w14:ligatures w14:val="standardContextual"/>
        </w:rPr>
      </w:pPr>
      <w:hyperlink w:anchor="_Toc193963320" w:history="1">
        <w:r w:rsidRPr="004D19F3">
          <w:rPr>
            <w:rStyle w:val="Hyperlnk"/>
          </w:rPr>
          <w:t>3.1 Höjt lagstadgat minimibelopp för personligt bruk för klienter inom långvarigt serviceboende med heldygnsomsorg</w:t>
        </w:r>
        <w:r>
          <w:rPr>
            <w:webHidden/>
          </w:rPr>
          <w:tab/>
        </w:r>
        <w:r>
          <w:rPr>
            <w:webHidden/>
          </w:rPr>
          <w:fldChar w:fldCharType="begin"/>
        </w:r>
        <w:r>
          <w:rPr>
            <w:webHidden/>
          </w:rPr>
          <w:instrText xml:space="preserve"> PAGEREF _Toc193963320 \h </w:instrText>
        </w:r>
        <w:r>
          <w:rPr>
            <w:webHidden/>
          </w:rPr>
        </w:r>
        <w:r>
          <w:rPr>
            <w:webHidden/>
          </w:rPr>
          <w:fldChar w:fldCharType="separate"/>
        </w:r>
        <w:r>
          <w:rPr>
            <w:webHidden/>
          </w:rPr>
          <w:t>4</w:t>
        </w:r>
        <w:r>
          <w:rPr>
            <w:webHidden/>
          </w:rPr>
          <w:fldChar w:fldCharType="end"/>
        </w:r>
      </w:hyperlink>
    </w:p>
    <w:p w14:paraId="13235CFF" w14:textId="3EBCE10C" w:rsidR="00404B77" w:rsidRDefault="00404B77">
      <w:pPr>
        <w:pStyle w:val="Innehll3"/>
        <w:rPr>
          <w:rFonts w:asciiTheme="minorHAnsi" w:eastAsiaTheme="minorEastAsia" w:hAnsiTheme="minorHAnsi" w:cstheme="minorBidi"/>
          <w:kern w:val="2"/>
          <w:sz w:val="24"/>
          <w:szCs w:val="24"/>
          <w:lang w:val="sv-FI" w:eastAsia="sv-FI"/>
          <w14:ligatures w14:val="standardContextual"/>
        </w:rPr>
      </w:pPr>
      <w:hyperlink w:anchor="_Toc193963321" w:history="1">
        <w:r w:rsidRPr="004D19F3">
          <w:rPr>
            <w:rStyle w:val="Hyperlnk"/>
          </w:rPr>
          <w:t>3.2 Teknisk justering av klientavgiftslagens 27 §</w:t>
        </w:r>
        <w:r>
          <w:rPr>
            <w:webHidden/>
          </w:rPr>
          <w:tab/>
        </w:r>
        <w:r>
          <w:rPr>
            <w:webHidden/>
          </w:rPr>
          <w:fldChar w:fldCharType="begin"/>
        </w:r>
        <w:r>
          <w:rPr>
            <w:webHidden/>
          </w:rPr>
          <w:instrText xml:space="preserve"> PAGEREF _Toc193963321 \h </w:instrText>
        </w:r>
        <w:r>
          <w:rPr>
            <w:webHidden/>
          </w:rPr>
        </w:r>
        <w:r>
          <w:rPr>
            <w:webHidden/>
          </w:rPr>
          <w:fldChar w:fldCharType="separate"/>
        </w:r>
        <w:r>
          <w:rPr>
            <w:webHidden/>
          </w:rPr>
          <w:t>4</w:t>
        </w:r>
        <w:r>
          <w:rPr>
            <w:webHidden/>
          </w:rPr>
          <w:fldChar w:fldCharType="end"/>
        </w:r>
      </w:hyperlink>
    </w:p>
    <w:p w14:paraId="4EB362DA" w14:textId="2C9300E9" w:rsidR="00404B77" w:rsidRDefault="00404B77">
      <w:pPr>
        <w:pStyle w:val="Innehll2"/>
        <w:rPr>
          <w:rFonts w:asciiTheme="minorHAnsi" w:eastAsiaTheme="minorEastAsia" w:hAnsiTheme="minorHAnsi" w:cstheme="minorBidi"/>
          <w:kern w:val="2"/>
          <w:sz w:val="24"/>
          <w:szCs w:val="24"/>
          <w:lang w:val="sv-FI" w:eastAsia="sv-FI"/>
          <w14:ligatures w14:val="standardContextual"/>
        </w:rPr>
      </w:pPr>
      <w:hyperlink w:anchor="_Toc193963322" w:history="1">
        <w:r w:rsidRPr="004D19F3">
          <w:rPr>
            <w:rStyle w:val="Hyperlnk"/>
          </w:rPr>
          <w:t>4. Förslagets konsekvenser</w:t>
        </w:r>
        <w:r>
          <w:rPr>
            <w:webHidden/>
          </w:rPr>
          <w:tab/>
        </w:r>
        <w:r>
          <w:rPr>
            <w:webHidden/>
          </w:rPr>
          <w:fldChar w:fldCharType="begin"/>
        </w:r>
        <w:r>
          <w:rPr>
            <w:webHidden/>
          </w:rPr>
          <w:instrText xml:space="preserve"> PAGEREF _Toc193963322 \h </w:instrText>
        </w:r>
        <w:r>
          <w:rPr>
            <w:webHidden/>
          </w:rPr>
        </w:r>
        <w:r>
          <w:rPr>
            <w:webHidden/>
          </w:rPr>
          <w:fldChar w:fldCharType="separate"/>
        </w:r>
        <w:r>
          <w:rPr>
            <w:webHidden/>
          </w:rPr>
          <w:t>6</w:t>
        </w:r>
        <w:r>
          <w:rPr>
            <w:webHidden/>
          </w:rPr>
          <w:fldChar w:fldCharType="end"/>
        </w:r>
      </w:hyperlink>
    </w:p>
    <w:p w14:paraId="52E41239" w14:textId="41A7129F" w:rsidR="00404B77" w:rsidRDefault="00404B77">
      <w:pPr>
        <w:pStyle w:val="Innehll3"/>
        <w:rPr>
          <w:rFonts w:asciiTheme="minorHAnsi" w:eastAsiaTheme="minorEastAsia" w:hAnsiTheme="minorHAnsi" w:cstheme="minorBidi"/>
          <w:kern w:val="2"/>
          <w:sz w:val="24"/>
          <w:szCs w:val="24"/>
          <w:lang w:val="sv-FI" w:eastAsia="sv-FI"/>
          <w14:ligatures w14:val="standardContextual"/>
        </w:rPr>
      </w:pPr>
      <w:hyperlink w:anchor="_Toc193963323" w:history="1">
        <w:r w:rsidRPr="004D19F3">
          <w:rPr>
            <w:rStyle w:val="Hyperlnk"/>
          </w:rPr>
          <w:t>4.1 Ekonomiska konsekvenser</w:t>
        </w:r>
        <w:r>
          <w:rPr>
            <w:webHidden/>
          </w:rPr>
          <w:tab/>
        </w:r>
        <w:r>
          <w:rPr>
            <w:webHidden/>
          </w:rPr>
          <w:fldChar w:fldCharType="begin"/>
        </w:r>
        <w:r>
          <w:rPr>
            <w:webHidden/>
          </w:rPr>
          <w:instrText xml:space="preserve"> PAGEREF _Toc193963323 \h </w:instrText>
        </w:r>
        <w:r>
          <w:rPr>
            <w:webHidden/>
          </w:rPr>
        </w:r>
        <w:r>
          <w:rPr>
            <w:webHidden/>
          </w:rPr>
          <w:fldChar w:fldCharType="separate"/>
        </w:r>
        <w:r>
          <w:rPr>
            <w:webHidden/>
          </w:rPr>
          <w:t>6</w:t>
        </w:r>
        <w:r>
          <w:rPr>
            <w:webHidden/>
          </w:rPr>
          <w:fldChar w:fldCharType="end"/>
        </w:r>
      </w:hyperlink>
    </w:p>
    <w:p w14:paraId="129BE40F" w14:textId="119017B1" w:rsidR="00404B77" w:rsidRDefault="00404B77">
      <w:pPr>
        <w:pStyle w:val="Innehll3"/>
        <w:rPr>
          <w:rFonts w:asciiTheme="minorHAnsi" w:eastAsiaTheme="minorEastAsia" w:hAnsiTheme="minorHAnsi" w:cstheme="minorBidi"/>
          <w:kern w:val="2"/>
          <w:sz w:val="24"/>
          <w:szCs w:val="24"/>
          <w:lang w:val="sv-FI" w:eastAsia="sv-FI"/>
          <w14:ligatures w14:val="standardContextual"/>
        </w:rPr>
      </w:pPr>
      <w:hyperlink w:anchor="_Toc193963324" w:history="1">
        <w:r w:rsidRPr="004D19F3">
          <w:rPr>
            <w:rStyle w:val="Hyperlnk"/>
          </w:rPr>
          <w:t>4.2 Administrativa konsekvenser</w:t>
        </w:r>
        <w:r>
          <w:rPr>
            <w:webHidden/>
          </w:rPr>
          <w:tab/>
        </w:r>
        <w:r>
          <w:rPr>
            <w:webHidden/>
          </w:rPr>
          <w:fldChar w:fldCharType="begin"/>
        </w:r>
        <w:r>
          <w:rPr>
            <w:webHidden/>
          </w:rPr>
          <w:instrText xml:space="preserve"> PAGEREF _Toc193963324 \h </w:instrText>
        </w:r>
        <w:r>
          <w:rPr>
            <w:webHidden/>
          </w:rPr>
        </w:r>
        <w:r>
          <w:rPr>
            <w:webHidden/>
          </w:rPr>
          <w:fldChar w:fldCharType="separate"/>
        </w:r>
        <w:r>
          <w:rPr>
            <w:webHidden/>
          </w:rPr>
          <w:t>7</w:t>
        </w:r>
        <w:r>
          <w:rPr>
            <w:webHidden/>
          </w:rPr>
          <w:fldChar w:fldCharType="end"/>
        </w:r>
      </w:hyperlink>
    </w:p>
    <w:p w14:paraId="0188D4A4" w14:textId="2947AF9E" w:rsidR="00404B77" w:rsidRDefault="00404B77">
      <w:pPr>
        <w:pStyle w:val="Innehll3"/>
        <w:rPr>
          <w:rFonts w:asciiTheme="minorHAnsi" w:eastAsiaTheme="minorEastAsia" w:hAnsiTheme="minorHAnsi" w:cstheme="minorBidi"/>
          <w:kern w:val="2"/>
          <w:sz w:val="24"/>
          <w:szCs w:val="24"/>
          <w:lang w:val="sv-FI" w:eastAsia="sv-FI"/>
          <w14:ligatures w14:val="standardContextual"/>
        </w:rPr>
      </w:pPr>
      <w:hyperlink w:anchor="_Toc193963325" w:history="1">
        <w:r w:rsidRPr="004D19F3">
          <w:rPr>
            <w:rStyle w:val="Hyperlnk"/>
          </w:rPr>
          <w:t>4.3 Konsekvenser för de grundläggande och mänskliga rättigheterna</w:t>
        </w:r>
        <w:r>
          <w:rPr>
            <w:webHidden/>
          </w:rPr>
          <w:tab/>
        </w:r>
        <w:r>
          <w:rPr>
            <w:webHidden/>
          </w:rPr>
          <w:fldChar w:fldCharType="begin"/>
        </w:r>
        <w:r>
          <w:rPr>
            <w:webHidden/>
          </w:rPr>
          <w:instrText xml:space="preserve"> PAGEREF _Toc193963325 \h </w:instrText>
        </w:r>
        <w:r>
          <w:rPr>
            <w:webHidden/>
          </w:rPr>
        </w:r>
        <w:r>
          <w:rPr>
            <w:webHidden/>
          </w:rPr>
          <w:fldChar w:fldCharType="separate"/>
        </w:r>
        <w:r>
          <w:rPr>
            <w:webHidden/>
          </w:rPr>
          <w:t>8</w:t>
        </w:r>
        <w:r>
          <w:rPr>
            <w:webHidden/>
          </w:rPr>
          <w:fldChar w:fldCharType="end"/>
        </w:r>
      </w:hyperlink>
    </w:p>
    <w:p w14:paraId="79524C1A" w14:textId="3F91C022" w:rsidR="00404B77" w:rsidRDefault="00404B77">
      <w:pPr>
        <w:pStyle w:val="Innehll3"/>
        <w:rPr>
          <w:rFonts w:asciiTheme="minorHAnsi" w:eastAsiaTheme="minorEastAsia" w:hAnsiTheme="minorHAnsi" w:cstheme="minorBidi"/>
          <w:kern w:val="2"/>
          <w:sz w:val="24"/>
          <w:szCs w:val="24"/>
          <w:lang w:val="sv-FI" w:eastAsia="sv-FI"/>
          <w14:ligatures w14:val="standardContextual"/>
        </w:rPr>
      </w:pPr>
      <w:hyperlink w:anchor="_Toc193963326" w:history="1">
        <w:r w:rsidRPr="004D19F3">
          <w:rPr>
            <w:rStyle w:val="Hyperlnk"/>
          </w:rPr>
          <w:t>4.4 Konsekvenser för barn och jämställdheten mellan kvinnor och män</w:t>
        </w:r>
        <w:r>
          <w:rPr>
            <w:webHidden/>
          </w:rPr>
          <w:tab/>
        </w:r>
        <w:r>
          <w:rPr>
            <w:webHidden/>
          </w:rPr>
          <w:fldChar w:fldCharType="begin"/>
        </w:r>
        <w:r>
          <w:rPr>
            <w:webHidden/>
          </w:rPr>
          <w:instrText xml:space="preserve"> PAGEREF _Toc193963326 \h </w:instrText>
        </w:r>
        <w:r>
          <w:rPr>
            <w:webHidden/>
          </w:rPr>
        </w:r>
        <w:r>
          <w:rPr>
            <w:webHidden/>
          </w:rPr>
          <w:fldChar w:fldCharType="separate"/>
        </w:r>
        <w:r>
          <w:rPr>
            <w:webHidden/>
          </w:rPr>
          <w:t>8</w:t>
        </w:r>
        <w:r>
          <w:rPr>
            <w:webHidden/>
          </w:rPr>
          <w:fldChar w:fldCharType="end"/>
        </w:r>
      </w:hyperlink>
    </w:p>
    <w:p w14:paraId="653E67F2" w14:textId="34E6AF2C" w:rsidR="00404B77" w:rsidRDefault="00404B77">
      <w:pPr>
        <w:pStyle w:val="Innehll1"/>
        <w:rPr>
          <w:rFonts w:asciiTheme="minorHAnsi" w:eastAsiaTheme="minorEastAsia" w:hAnsiTheme="minorHAnsi" w:cstheme="minorBidi"/>
          <w:kern w:val="2"/>
          <w:sz w:val="24"/>
          <w:szCs w:val="24"/>
          <w:lang w:val="sv-FI" w:eastAsia="sv-FI"/>
          <w14:ligatures w14:val="standardContextual"/>
        </w:rPr>
      </w:pPr>
      <w:hyperlink w:anchor="_Toc193963327" w:history="1">
        <w:r w:rsidRPr="004D19F3">
          <w:rPr>
            <w:rStyle w:val="Hyperlnk"/>
          </w:rPr>
          <w:t>Detaljmotivering</w:t>
        </w:r>
        <w:r>
          <w:rPr>
            <w:webHidden/>
          </w:rPr>
          <w:tab/>
        </w:r>
        <w:r>
          <w:rPr>
            <w:webHidden/>
          </w:rPr>
          <w:fldChar w:fldCharType="begin"/>
        </w:r>
        <w:r>
          <w:rPr>
            <w:webHidden/>
          </w:rPr>
          <w:instrText xml:space="preserve"> PAGEREF _Toc193963327 \h </w:instrText>
        </w:r>
        <w:r>
          <w:rPr>
            <w:webHidden/>
          </w:rPr>
        </w:r>
        <w:r>
          <w:rPr>
            <w:webHidden/>
          </w:rPr>
          <w:fldChar w:fldCharType="separate"/>
        </w:r>
        <w:r>
          <w:rPr>
            <w:webHidden/>
          </w:rPr>
          <w:t>10</w:t>
        </w:r>
        <w:r>
          <w:rPr>
            <w:webHidden/>
          </w:rPr>
          <w:fldChar w:fldCharType="end"/>
        </w:r>
      </w:hyperlink>
    </w:p>
    <w:p w14:paraId="2626A6E0" w14:textId="0AD308A2" w:rsidR="00404B77" w:rsidRDefault="00404B77">
      <w:pPr>
        <w:pStyle w:val="Innehll2"/>
        <w:rPr>
          <w:rFonts w:asciiTheme="minorHAnsi" w:eastAsiaTheme="minorEastAsia" w:hAnsiTheme="minorHAnsi" w:cstheme="minorBidi"/>
          <w:kern w:val="2"/>
          <w:sz w:val="24"/>
          <w:szCs w:val="24"/>
          <w:lang w:val="sv-FI" w:eastAsia="sv-FI"/>
          <w14:ligatures w14:val="standardContextual"/>
        </w:rPr>
      </w:pPr>
      <w:hyperlink w:anchor="_Toc193963328" w:history="1">
        <w:r w:rsidRPr="004D19F3">
          <w:rPr>
            <w:rStyle w:val="Hyperlnk"/>
          </w:rPr>
          <w:t>Landskapslag om ändring av landskapslagen om klientavgifter inom socialvården</w:t>
        </w:r>
        <w:r>
          <w:rPr>
            <w:webHidden/>
          </w:rPr>
          <w:tab/>
        </w:r>
        <w:r>
          <w:rPr>
            <w:webHidden/>
          </w:rPr>
          <w:fldChar w:fldCharType="begin"/>
        </w:r>
        <w:r>
          <w:rPr>
            <w:webHidden/>
          </w:rPr>
          <w:instrText xml:space="preserve"> PAGEREF _Toc193963328 \h </w:instrText>
        </w:r>
        <w:r>
          <w:rPr>
            <w:webHidden/>
          </w:rPr>
        </w:r>
        <w:r>
          <w:rPr>
            <w:webHidden/>
          </w:rPr>
          <w:fldChar w:fldCharType="separate"/>
        </w:r>
        <w:r>
          <w:rPr>
            <w:webHidden/>
          </w:rPr>
          <w:t>10</w:t>
        </w:r>
        <w:r>
          <w:rPr>
            <w:webHidden/>
          </w:rPr>
          <w:fldChar w:fldCharType="end"/>
        </w:r>
      </w:hyperlink>
    </w:p>
    <w:p w14:paraId="33DCB1CC" w14:textId="22F44F42" w:rsidR="00404B77" w:rsidRDefault="00404B77">
      <w:pPr>
        <w:pStyle w:val="Innehll1"/>
        <w:rPr>
          <w:rFonts w:asciiTheme="minorHAnsi" w:eastAsiaTheme="minorEastAsia" w:hAnsiTheme="minorHAnsi" w:cstheme="minorBidi"/>
          <w:kern w:val="2"/>
          <w:sz w:val="24"/>
          <w:szCs w:val="24"/>
          <w:lang w:val="sv-FI" w:eastAsia="sv-FI"/>
          <w14:ligatures w14:val="standardContextual"/>
        </w:rPr>
      </w:pPr>
      <w:hyperlink w:anchor="_Toc193963329" w:history="1">
        <w:r w:rsidRPr="004D19F3">
          <w:rPr>
            <w:rStyle w:val="Hyperlnk"/>
          </w:rPr>
          <w:t>Lagtext</w:t>
        </w:r>
        <w:r>
          <w:rPr>
            <w:webHidden/>
          </w:rPr>
          <w:tab/>
        </w:r>
        <w:r>
          <w:rPr>
            <w:webHidden/>
          </w:rPr>
          <w:fldChar w:fldCharType="begin"/>
        </w:r>
        <w:r>
          <w:rPr>
            <w:webHidden/>
          </w:rPr>
          <w:instrText xml:space="preserve"> PAGEREF _Toc193963329 \h </w:instrText>
        </w:r>
        <w:r>
          <w:rPr>
            <w:webHidden/>
          </w:rPr>
        </w:r>
        <w:r>
          <w:rPr>
            <w:webHidden/>
          </w:rPr>
          <w:fldChar w:fldCharType="separate"/>
        </w:r>
        <w:r>
          <w:rPr>
            <w:webHidden/>
          </w:rPr>
          <w:t>11</w:t>
        </w:r>
        <w:r>
          <w:rPr>
            <w:webHidden/>
          </w:rPr>
          <w:fldChar w:fldCharType="end"/>
        </w:r>
      </w:hyperlink>
    </w:p>
    <w:p w14:paraId="349DB175" w14:textId="6C21F505" w:rsidR="00404B77" w:rsidRDefault="00404B77">
      <w:pPr>
        <w:pStyle w:val="Innehll2"/>
        <w:rPr>
          <w:rFonts w:asciiTheme="minorHAnsi" w:eastAsiaTheme="minorEastAsia" w:hAnsiTheme="minorHAnsi" w:cstheme="minorBidi"/>
          <w:kern w:val="2"/>
          <w:sz w:val="24"/>
          <w:szCs w:val="24"/>
          <w:lang w:val="sv-FI" w:eastAsia="sv-FI"/>
          <w14:ligatures w14:val="standardContextual"/>
        </w:rPr>
      </w:pPr>
      <w:hyperlink w:anchor="_Toc193963330" w:history="1">
        <w:r w:rsidRPr="004D19F3">
          <w:rPr>
            <w:rStyle w:val="Hyperlnk"/>
          </w:rPr>
          <w:t>L A N D S K A P S L A G om ändring av landskapslagen om klientavgifter inom socialvården</w:t>
        </w:r>
        <w:r>
          <w:rPr>
            <w:webHidden/>
          </w:rPr>
          <w:tab/>
        </w:r>
        <w:r>
          <w:rPr>
            <w:webHidden/>
          </w:rPr>
          <w:fldChar w:fldCharType="begin"/>
        </w:r>
        <w:r>
          <w:rPr>
            <w:webHidden/>
          </w:rPr>
          <w:instrText xml:space="preserve"> PAGEREF _Toc193963330 \h </w:instrText>
        </w:r>
        <w:r>
          <w:rPr>
            <w:webHidden/>
          </w:rPr>
        </w:r>
        <w:r>
          <w:rPr>
            <w:webHidden/>
          </w:rPr>
          <w:fldChar w:fldCharType="separate"/>
        </w:r>
        <w:r>
          <w:rPr>
            <w:webHidden/>
          </w:rPr>
          <w:t>11</w:t>
        </w:r>
        <w:r>
          <w:rPr>
            <w:webHidden/>
          </w:rPr>
          <w:fldChar w:fldCharType="end"/>
        </w:r>
      </w:hyperlink>
    </w:p>
    <w:p w14:paraId="20ADA0E2" w14:textId="5D76A923" w:rsidR="00404B77" w:rsidRDefault="00404B77">
      <w:pPr>
        <w:pStyle w:val="Innehll1"/>
        <w:rPr>
          <w:rFonts w:asciiTheme="minorHAnsi" w:eastAsiaTheme="minorEastAsia" w:hAnsiTheme="minorHAnsi" w:cstheme="minorBidi"/>
          <w:kern w:val="2"/>
          <w:sz w:val="24"/>
          <w:szCs w:val="24"/>
          <w:lang w:val="sv-FI" w:eastAsia="sv-FI"/>
          <w14:ligatures w14:val="standardContextual"/>
        </w:rPr>
      </w:pPr>
      <w:hyperlink w:anchor="_Toc193963331" w:history="1">
        <w:r w:rsidRPr="004D19F3">
          <w:rPr>
            <w:rStyle w:val="Hyperlnk"/>
          </w:rPr>
          <w:t>Parallelltexter</w:t>
        </w:r>
        <w:r>
          <w:rPr>
            <w:webHidden/>
          </w:rPr>
          <w:tab/>
        </w:r>
        <w:r>
          <w:rPr>
            <w:webHidden/>
          </w:rPr>
          <w:fldChar w:fldCharType="begin"/>
        </w:r>
        <w:r>
          <w:rPr>
            <w:webHidden/>
          </w:rPr>
          <w:instrText xml:space="preserve"> PAGEREF _Toc193963331 \h </w:instrText>
        </w:r>
        <w:r>
          <w:rPr>
            <w:webHidden/>
          </w:rPr>
        </w:r>
        <w:r>
          <w:rPr>
            <w:webHidden/>
          </w:rPr>
          <w:fldChar w:fldCharType="separate"/>
        </w:r>
        <w:r>
          <w:rPr>
            <w:webHidden/>
          </w:rPr>
          <w:t>13</w:t>
        </w:r>
        <w:r>
          <w:rPr>
            <w:webHidden/>
          </w:rPr>
          <w:fldChar w:fldCharType="end"/>
        </w:r>
      </w:hyperlink>
    </w:p>
    <w:p w14:paraId="3A0B5976" w14:textId="4001CD9A" w:rsidR="00AF3004" w:rsidRDefault="00AF3004">
      <w:pPr>
        <w:pStyle w:val="ANormal"/>
        <w:rPr>
          <w:noProof/>
        </w:rPr>
      </w:pPr>
      <w:r>
        <w:rPr>
          <w:rFonts w:ascii="Verdana" w:hAnsi="Verdana"/>
          <w:noProof/>
          <w:sz w:val="16"/>
          <w:szCs w:val="36"/>
        </w:rPr>
        <w:fldChar w:fldCharType="end"/>
      </w:r>
    </w:p>
    <w:p w14:paraId="6073CC05" w14:textId="77777777" w:rsidR="00AF3004" w:rsidRDefault="00AF3004">
      <w:pPr>
        <w:pStyle w:val="ANormal"/>
      </w:pPr>
      <w:r>
        <w:br w:type="page"/>
      </w:r>
    </w:p>
    <w:p w14:paraId="655B5E3C" w14:textId="77777777" w:rsidR="000E762F" w:rsidRDefault="000E762F" w:rsidP="00156677">
      <w:pPr>
        <w:pStyle w:val="RubrikA"/>
      </w:pPr>
      <w:bookmarkStart w:id="2" w:name="_Toc130381442"/>
      <w:bookmarkStart w:id="3" w:name="_Toc185407782"/>
      <w:bookmarkStart w:id="4" w:name="_Toc193963316"/>
      <w:r w:rsidRPr="001979D5">
        <w:lastRenderedPageBreak/>
        <w:t>Allmän motivering</w:t>
      </w:r>
      <w:bookmarkEnd w:id="2"/>
      <w:bookmarkEnd w:id="3"/>
      <w:bookmarkEnd w:id="4"/>
    </w:p>
    <w:p w14:paraId="0A007BF5" w14:textId="77777777" w:rsidR="00156677" w:rsidRPr="00156677" w:rsidRDefault="00156677" w:rsidP="00156677">
      <w:pPr>
        <w:pStyle w:val="Rubrikmellanrum"/>
      </w:pPr>
    </w:p>
    <w:p w14:paraId="5C68D924" w14:textId="5FAF1B25" w:rsidR="000E762F" w:rsidRDefault="00156677" w:rsidP="00156677">
      <w:pPr>
        <w:pStyle w:val="RubrikB"/>
      </w:pPr>
      <w:bookmarkStart w:id="5" w:name="_Toc93039374"/>
      <w:bookmarkStart w:id="6" w:name="_Toc130381443"/>
      <w:bookmarkStart w:id="7" w:name="_Toc185407783"/>
      <w:bookmarkStart w:id="8" w:name="_Toc193963317"/>
      <w:r>
        <w:t xml:space="preserve">1. </w:t>
      </w:r>
      <w:r w:rsidR="000E762F">
        <w:t>Bakgrund</w:t>
      </w:r>
      <w:bookmarkEnd w:id="5"/>
      <w:bookmarkEnd w:id="6"/>
      <w:bookmarkEnd w:id="7"/>
      <w:bookmarkEnd w:id="8"/>
    </w:p>
    <w:p w14:paraId="71C18CC6" w14:textId="77777777" w:rsidR="00156677" w:rsidRPr="00156677" w:rsidRDefault="00156677" w:rsidP="00156677">
      <w:pPr>
        <w:pStyle w:val="Rubrikmellanrum"/>
      </w:pPr>
    </w:p>
    <w:p w14:paraId="07D03EE7" w14:textId="1A566765" w:rsidR="000E762F" w:rsidRPr="00094442" w:rsidRDefault="002F50DE" w:rsidP="00156677">
      <w:pPr>
        <w:pStyle w:val="ANormal"/>
      </w:pPr>
      <w:r>
        <w:t xml:space="preserve">På Åland regleras klientavgifterna huvudsakligen av landskapslagen (2022:91) om klientavgifter inom </w:t>
      </w:r>
      <w:r w:rsidRPr="00094442">
        <w:t xml:space="preserve">socialvården </w:t>
      </w:r>
      <w:r w:rsidRPr="002F50DE">
        <w:rPr>
          <w:i/>
          <w:iCs/>
        </w:rPr>
        <w:t>(klientavgiftslagen)</w:t>
      </w:r>
      <w:r w:rsidRPr="00094442">
        <w:t xml:space="preserve"> </w:t>
      </w:r>
      <w:r w:rsidR="00BE3E1A">
        <w:t xml:space="preserve">vilken </w:t>
      </w:r>
      <w:r w:rsidRPr="00094442">
        <w:t xml:space="preserve">trädde i kraft </w:t>
      </w:r>
      <w:r w:rsidR="00BE3E1A">
        <w:t xml:space="preserve">den </w:t>
      </w:r>
      <w:r w:rsidRPr="00094442">
        <w:t>1</w:t>
      </w:r>
      <w:r w:rsidR="00BE3E1A">
        <w:t xml:space="preserve"> januari </w:t>
      </w:r>
      <w:r w:rsidRPr="00094442">
        <w:t xml:space="preserve">2023. </w:t>
      </w:r>
      <w:r w:rsidR="00C74918">
        <w:t xml:space="preserve">Arbetet med att förnya </w:t>
      </w:r>
      <w:r w:rsidR="000E762F">
        <w:t xml:space="preserve">klientavgiftslagstiftningen </w:t>
      </w:r>
      <w:r w:rsidR="00C74918">
        <w:t xml:space="preserve">på Åland har </w:t>
      </w:r>
      <w:r w:rsidR="000E762F">
        <w:t>pågå</w:t>
      </w:r>
      <w:r w:rsidR="00C74918">
        <w:t>tt i flera år och i flera steg</w:t>
      </w:r>
      <w:r w:rsidR="000E762F">
        <w:t xml:space="preserve">. Syftet med det så kallade steg ett av förnyandet av klientavgiftslagstiftningen </w:t>
      </w:r>
      <w:r w:rsidR="006F48DC">
        <w:t>har</w:t>
      </w:r>
      <w:r w:rsidR="000E762F">
        <w:t xml:space="preserve"> huvudsakligen </w:t>
      </w:r>
      <w:r w:rsidR="006F48DC">
        <w:t xml:space="preserve">varit </w:t>
      </w:r>
      <w:r w:rsidR="000E762F">
        <w:t xml:space="preserve">att ta fram en fulltextlag gällande klientavgifter inom socialvården. </w:t>
      </w:r>
      <w:r w:rsidR="003765A8">
        <w:t xml:space="preserve">Klientavgiftslagen </w:t>
      </w:r>
      <w:r w:rsidR="00A66663">
        <w:t>i den lydelse den hade vid ikraftträdandet var</w:t>
      </w:r>
      <w:r w:rsidR="003765A8">
        <w:t xml:space="preserve"> ett </w:t>
      </w:r>
      <w:r w:rsidR="006F48DC">
        <w:t>del</w:t>
      </w:r>
      <w:r w:rsidR="003765A8">
        <w:t xml:space="preserve">resultat av detta arbete. </w:t>
      </w:r>
      <w:r w:rsidR="000E762F" w:rsidRPr="00094442">
        <w:t xml:space="preserve">I och med ikraftträdandet av </w:t>
      </w:r>
      <w:r w:rsidR="004B6A97">
        <w:t>klientavgifts</w:t>
      </w:r>
      <w:r w:rsidR="000E762F" w:rsidRPr="00094442">
        <w:t xml:space="preserve">lagen upphörde </w:t>
      </w:r>
      <w:r w:rsidR="004B6A97">
        <w:t xml:space="preserve">den tidigare gällande </w:t>
      </w:r>
      <w:r w:rsidR="000E762F" w:rsidRPr="00094442">
        <w:t>blankettlagstiftning</w:t>
      </w:r>
      <w:r w:rsidR="004B6A97">
        <w:t>en</w:t>
      </w:r>
      <w:r w:rsidR="000E762F" w:rsidRPr="00094442">
        <w:t xml:space="preserve"> på området</w:t>
      </w:r>
      <w:r w:rsidR="008C2407">
        <w:t xml:space="preserve"> varigenom ett stort antal riksbestämmelser gjorts tillämpliga på Åland</w:t>
      </w:r>
      <w:r w:rsidR="00B02368">
        <w:t>.</w:t>
      </w:r>
      <w:r w:rsidR="000E762F" w:rsidRPr="00094442">
        <w:t xml:space="preserve"> </w:t>
      </w:r>
      <w:r w:rsidR="00B02368" w:rsidRPr="00094442">
        <w:t>Blankettlagstiftning</w:t>
      </w:r>
      <w:r w:rsidR="00B02368">
        <w:t>en i fråga</w:t>
      </w:r>
      <w:r w:rsidR="000E762F" w:rsidRPr="00094442">
        <w:t xml:space="preserve"> </w:t>
      </w:r>
      <w:r w:rsidR="003B7462">
        <w:t xml:space="preserve">hade </w:t>
      </w:r>
      <w:r w:rsidR="000E762F" w:rsidRPr="00094442">
        <w:t>var</w:t>
      </w:r>
      <w:r w:rsidR="003B7462">
        <w:t>it</w:t>
      </w:r>
      <w:r w:rsidR="000E762F" w:rsidRPr="00094442">
        <w:t xml:space="preserve"> problematisk </w:t>
      </w:r>
      <w:r w:rsidR="004B6A97">
        <w:t xml:space="preserve">ur tillämpningssynpunkt </w:t>
      </w:r>
      <w:r w:rsidR="001726DC">
        <w:t xml:space="preserve">under en längre tid </w:t>
      </w:r>
      <w:r w:rsidR="00B02368">
        <w:t xml:space="preserve">till följd av det otydliga </w:t>
      </w:r>
      <w:r w:rsidR="000E762F" w:rsidRPr="00094442">
        <w:t>rättsläge</w:t>
      </w:r>
      <w:r w:rsidR="00B02368">
        <w:t xml:space="preserve"> som den bidragit till att skapa</w:t>
      </w:r>
      <w:r w:rsidR="000E762F" w:rsidRPr="00094442">
        <w:t xml:space="preserve">. Många paragrafer </w:t>
      </w:r>
      <w:r w:rsidR="004B6A97">
        <w:t>i de</w:t>
      </w:r>
      <w:r w:rsidR="00E06B26">
        <w:t xml:space="preserve"> riks</w:t>
      </w:r>
      <w:r w:rsidR="00E52CFB">
        <w:t>lagar</w:t>
      </w:r>
      <w:r w:rsidR="00E06B26">
        <w:t xml:space="preserve"> som blankettlagstiftningen</w:t>
      </w:r>
      <w:r w:rsidR="004B6A97">
        <w:t xml:space="preserve"> </w:t>
      </w:r>
      <w:r w:rsidR="006F48DC">
        <w:t xml:space="preserve">dittills hade </w:t>
      </w:r>
      <w:r w:rsidR="00E52CFB">
        <w:t>berör</w:t>
      </w:r>
      <w:r w:rsidR="006F48DC">
        <w:t>t</w:t>
      </w:r>
      <w:r w:rsidR="00E52CFB">
        <w:t xml:space="preserve"> hänförde sig till</w:t>
      </w:r>
      <w:r w:rsidR="000E762F" w:rsidRPr="00094442">
        <w:t xml:space="preserve"> både socialvård och hälso- och sjukvård, medan lag</w:t>
      </w:r>
      <w:r w:rsidR="00E52CFB">
        <w:t>arna i fråga</w:t>
      </w:r>
      <w:r w:rsidR="000E762F" w:rsidRPr="00094442">
        <w:t xml:space="preserve"> tillämpades på Åland endast till den del de berörde socialvård. Dessutom </w:t>
      </w:r>
      <w:r w:rsidR="003B00EF">
        <w:t>förhindrades</w:t>
      </w:r>
      <w:r w:rsidR="00BC5E55">
        <w:t>,</w:t>
      </w:r>
      <w:r w:rsidR="003B00EF">
        <w:t xml:space="preserve"> </w:t>
      </w:r>
      <w:r w:rsidR="00BC5E55">
        <w:t xml:space="preserve">genom vidtagna lagstiftningsåtgärder från åländsk sida, </w:t>
      </w:r>
      <w:r w:rsidR="003B00EF">
        <w:t xml:space="preserve">större innehållsmässiga </w:t>
      </w:r>
      <w:r w:rsidR="00BC5E55">
        <w:t>ändringar, vilka trädde i kraft i riket den 1 juli 2021, att träda i kraft på Åland.</w:t>
      </w:r>
      <w:r w:rsidR="000E762F" w:rsidRPr="00094442">
        <w:t xml:space="preserve"> Syftet med </w:t>
      </w:r>
      <w:r w:rsidR="00D03C87">
        <w:t>klientavgifts</w:t>
      </w:r>
      <w:r w:rsidR="000E762F" w:rsidRPr="00094442">
        <w:t xml:space="preserve">lagen </w:t>
      </w:r>
      <w:r w:rsidR="00D03C87">
        <w:t xml:space="preserve">har </w:t>
      </w:r>
      <w:r w:rsidR="000E762F" w:rsidRPr="00094442">
        <w:t>var</w:t>
      </w:r>
      <w:r w:rsidR="00D03C87">
        <w:t>it</w:t>
      </w:r>
      <w:r w:rsidR="000E762F" w:rsidRPr="00094442">
        <w:t xml:space="preserve"> att bevara det rättsläge som gällde på Åland </w:t>
      </w:r>
      <w:r w:rsidR="00D03C87">
        <w:t>den</w:t>
      </w:r>
      <w:r w:rsidR="000E762F" w:rsidRPr="00094442">
        <w:t xml:space="preserve"> 31</w:t>
      </w:r>
      <w:r w:rsidR="00D03C87">
        <w:t xml:space="preserve"> december </w:t>
      </w:r>
      <w:r w:rsidR="000E762F" w:rsidRPr="00094442">
        <w:t xml:space="preserve">2022, </w:t>
      </w:r>
      <w:r w:rsidR="00D03C87">
        <w:t>med reservation för</w:t>
      </w:r>
      <w:r w:rsidR="000E762F" w:rsidRPr="00094442">
        <w:t xml:space="preserve"> vissa ändringar</w:t>
      </w:r>
      <w:r w:rsidR="00D03C87">
        <w:t xml:space="preserve"> som genomförts efter detta datum</w:t>
      </w:r>
      <w:r w:rsidR="00CC41A2">
        <w:t xml:space="preserve"> som ett led i det fortsatta arbetet med att förnya klientavgiftslagstiftningen inom ramen för steg </w:t>
      </w:r>
      <w:r w:rsidR="00B36C00">
        <w:t>ett</w:t>
      </w:r>
      <w:r w:rsidR="000E762F" w:rsidRPr="00094442">
        <w:t>.</w:t>
      </w:r>
    </w:p>
    <w:p w14:paraId="2490443E" w14:textId="6BF4C3FD" w:rsidR="000E762F" w:rsidRPr="00094442" w:rsidRDefault="00156677" w:rsidP="00156677">
      <w:pPr>
        <w:pStyle w:val="ANormal"/>
      </w:pPr>
      <w:r>
        <w:tab/>
      </w:r>
      <w:r w:rsidR="000E762F" w:rsidRPr="00094442">
        <w:t xml:space="preserve">De </w:t>
      </w:r>
      <w:r w:rsidR="006F48DC">
        <w:t xml:space="preserve">fortsatta </w:t>
      </w:r>
      <w:r w:rsidR="000E762F" w:rsidRPr="00094442">
        <w:t xml:space="preserve">ändringarna i steg ett </w:t>
      </w:r>
      <w:r w:rsidR="00C9278F">
        <w:t xml:space="preserve">har huvudsakligen </w:t>
      </w:r>
      <w:r w:rsidR="000E762F" w:rsidRPr="00094442">
        <w:t>gäll</w:t>
      </w:r>
      <w:r w:rsidR="00C9278F">
        <w:t>t</w:t>
      </w:r>
      <w:r w:rsidR="000E762F" w:rsidRPr="00094442">
        <w:t xml:space="preserve"> avgiftstaket, vilket sänkts från 683 euro till 300 euro, och vid indexjusteringar </w:t>
      </w:r>
      <w:r w:rsidR="00C9278F">
        <w:t xml:space="preserve">har </w:t>
      </w:r>
      <w:r w:rsidR="000E762F" w:rsidRPr="00094442">
        <w:t>tillämpning</w:t>
      </w:r>
      <w:r w:rsidR="006F48DC">
        <w:t>en</w:t>
      </w:r>
      <w:r w:rsidR="000E762F" w:rsidRPr="00094442">
        <w:t xml:space="preserve"> av </w:t>
      </w:r>
      <w:r w:rsidR="00C9278F">
        <w:t>för</w:t>
      </w:r>
      <w:r w:rsidR="000E762F" w:rsidRPr="00094442">
        <w:t xml:space="preserve">ändringar i folkpensionsindex </w:t>
      </w:r>
      <w:r w:rsidR="00C9278F">
        <w:t xml:space="preserve">frångåtts </w:t>
      </w:r>
      <w:r w:rsidR="000E762F" w:rsidRPr="00094442">
        <w:t xml:space="preserve">till förmån för tillämpning av förändringar i </w:t>
      </w:r>
      <w:r w:rsidR="006F48DC">
        <w:t xml:space="preserve">det </w:t>
      </w:r>
      <w:r w:rsidR="000E762F" w:rsidRPr="00094442">
        <w:t>åländsk</w:t>
      </w:r>
      <w:r w:rsidR="006F48DC">
        <w:t>a</w:t>
      </w:r>
      <w:r w:rsidR="000E762F" w:rsidRPr="00094442">
        <w:t xml:space="preserve"> konsumentprisindex</w:t>
      </w:r>
      <w:r w:rsidR="006F48DC">
        <w:t>et</w:t>
      </w:r>
      <w:r w:rsidR="000E762F" w:rsidRPr="00094442">
        <w:t xml:space="preserve">. Även vissa andra, mindre, ändringar </w:t>
      </w:r>
      <w:r w:rsidR="00C9278F">
        <w:t xml:space="preserve">har </w:t>
      </w:r>
      <w:r w:rsidR="000E762F" w:rsidRPr="00094442">
        <w:t>gjor</w:t>
      </w:r>
      <w:r w:rsidR="00C9278F">
        <w:t>t</w:t>
      </w:r>
      <w:r w:rsidR="000E762F" w:rsidRPr="00094442">
        <w:t>s</w:t>
      </w:r>
      <w:r w:rsidR="00C9278F">
        <w:t xml:space="preserve"> i klientavgiftslagen</w:t>
      </w:r>
      <w:r w:rsidR="000E762F" w:rsidRPr="00094442">
        <w:t xml:space="preserve">, varav en </w:t>
      </w:r>
      <w:r w:rsidR="00C9278F">
        <w:t xml:space="preserve">har </w:t>
      </w:r>
      <w:r w:rsidR="000E762F" w:rsidRPr="00094442">
        <w:t>handl</w:t>
      </w:r>
      <w:r w:rsidR="00C9278F">
        <w:t>at</w:t>
      </w:r>
      <w:r w:rsidR="000E762F" w:rsidRPr="00094442">
        <w:t xml:space="preserve"> om betoningen av avgiftslättnader framom utkomststöd </w:t>
      </w:r>
      <w:r w:rsidR="00C9278F">
        <w:t xml:space="preserve">och som kommit till uttryck i </w:t>
      </w:r>
      <w:r w:rsidR="000E762F" w:rsidRPr="00094442">
        <w:t>klientavgiftslagens 27</w:t>
      </w:r>
      <w:r w:rsidR="00404B77">
        <w:t> §</w:t>
      </w:r>
      <w:r w:rsidR="000E762F" w:rsidRPr="00094442">
        <w:t xml:space="preserve"> om efterskänkande och nedsättning av avgift.</w:t>
      </w:r>
    </w:p>
    <w:p w14:paraId="2D874A03" w14:textId="12B29FA7" w:rsidR="000E762F" w:rsidRDefault="00156677" w:rsidP="00156677">
      <w:pPr>
        <w:pStyle w:val="ANormal"/>
      </w:pPr>
      <w:r>
        <w:tab/>
      </w:r>
      <w:r w:rsidR="000E762F" w:rsidRPr="00094442">
        <w:t xml:space="preserve">I </w:t>
      </w:r>
      <w:r w:rsidR="00CF33CA">
        <w:t xml:space="preserve">det så kallade </w:t>
      </w:r>
      <w:r w:rsidR="000E762F" w:rsidRPr="00094442">
        <w:t>steg två av förnyandet av klientavgiftslag</w:t>
      </w:r>
      <w:r w:rsidR="00CF33CA">
        <w:t>stiftningen</w:t>
      </w:r>
      <w:r w:rsidR="000E762F" w:rsidRPr="00094442">
        <w:t xml:space="preserve"> </w:t>
      </w:r>
      <w:r w:rsidR="006504B6">
        <w:t>har ytterligare</w:t>
      </w:r>
      <w:r w:rsidR="000E762F">
        <w:t xml:space="preserve"> innehållsmässiga ändringar </w:t>
      </w:r>
      <w:r w:rsidR="006504B6">
        <w:t xml:space="preserve">gjorts </w:t>
      </w:r>
      <w:r w:rsidR="000E762F">
        <w:t xml:space="preserve">i </w:t>
      </w:r>
      <w:r w:rsidR="000E762F" w:rsidRPr="0039750F">
        <w:t>klientavgiftslagen. Ändringarna</w:t>
      </w:r>
      <w:r w:rsidR="000E762F">
        <w:t xml:space="preserve"> trädde i kraft </w:t>
      </w:r>
      <w:r w:rsidR="006504B6">
        <w:t xml:space="preserve">den </w:t>
      </w:r>
      <w:r w:rsidR="000E762F">
        <w:t>1</w:t>
      </w:r>
      <w:r w:rsidR="006504B6">
        <w:t xml:space="preserve"> januari </w:t>
      </w:r>
      <w:r w:rsidR="000E762F">
        <w:t xml:space="preserve">2024. En av de största </w:t>
      </w:r>
      <w:r w:rsidR="006504B6">
        <w:t xml:space="preserve">av dessa </w:t>
      </w:r>
      <w:r w:rsidR="000E762F">
        <w:t>ändringar</w:t>
      </w:r>
      <w:r w:rsidR="006504B6">
        <w:t xml:space="preserve"> innebär att</w:t>
      </w:r>
      <w:r w:rsidR="000E762F">
        <w:t xml:space="preserve"> helt nya bestämmelser om avgiften för långvarigt serviceboende med heldygnsomsorg </w:t>
      </w:r>
      <w:r w:rsidR="006504B6">
        <w:t xml:space="preserve">har </w:t>
      </w:r>
      <w:r w:rsidR="000E762F">
        <w:t>inför</w:t>
      </w:r>
      <w:r w:rsidR="006504B6">
        <w:t>ts</w:t>
      </w:r>
      <w:r w:rsidR="000E762F">
        <w:t xml:space="preserve"> i lagen. Bestämmelserna gäller vilka inkomster som ska beaktas när avgiften fastställs samt vilka avdrag som ska göras från inkomsten före avgiften fastställs. </w:t>
      </w:r>
      <w:r w:rsidR="00C355B0">
        <w:t>Bestämmelser om e</w:t>
      </w:r>
      <w:r w:rsidR="000E762F">
        <w:t xml:space="preserve">n maximal procentsats för den andel av klientens nettoinkomster, efter avdrag, som ska beaktas när avgiften fastställs samt ett minimibelopp för personligt bruk om 250 euro per månad </w:t>
      </w:r>
      <w:r w:rsidR="00C355B0">
        <w:t xml:space="preserve">har genom dessa ändringar </w:t>
      </w:r>
      <w:r w:rsidR="000E762F">
        <w:t>inför</w:t>
      </w:r>
      <w:r w:rsidR="00C355B0">
        <w:t>ts i klientavgiftslagen</w:t>
      </w:r>
      <w:r w:rsidR="000E762F">
        <w:t>.</w:t>
      </w:r>
    </w:p>
    <w:p w14:paraId="3FDC87ED" w14:textId="77777777" w:rsidR="00207C06" w:rsidRDefault="00207C06" w:rsidP="00156677">
      <w:pPr>
        <w:pStyle w:val="ANormal"/>
      </w:pPr>
    </w:p>
    <w:p w14:paraId="3DA70377" w14:textId="4A6DC004" w:rsidR="000E762F" w:rsidRDefault="00156677" w:rsidP="00156677">
      <w:pPr>
        <w:pStyle w:val="RubrikB"/>
      </w:pPr>
      <w:bookmarkStart w:id="9" w:name="_Toc93039375"/>
      <w:bookmarkStart w:id="10" w:name="_Toc130381444"/>
      <w:bookmarkStart w:id="11" w:name="_Toc185407784"/>
      <w:bookmarkStart w:id="12" w:name="_Toc193963318"/>
      <w:r>
        <w:t xml:space="preserve">2. </w:t>
      </w:r>
      <w:r w:rsidR="000E762F" w:rsidRPr="003816B3">
        <w:t>Nuläge</w:t>
      </w:r>
      <w:bookmarkEnd w:id="9"/>
      <w:bookmarkEnd w:id="10"/>
      <w:bookmarkEnd w:id="11"/>
      <w:bookmarkEnd w:id="12"/>
    </w:p>
    <w:p w14:paraId="4A3BB802" w14:textId="77777777" w:rsidR="00156677" w:rsidRPr="00156677" w:rsidRDefault="00156677" w:rsidP="00156677">
      <w:pPr>
        <w:pStyle w:val="Rubrikmellanrum"/>
      </w:pPr>
    </w:p>
    <w:p w14:paraId="71FB1B13" w14:textId="7FC94C2E" w:rsidR="000E762F" w:rsidRDefault="000E762F" w:rsidP="00156677">
      <w:pPr>
        <w:pStyle w:val="ANormal"/>
      </w:pPr>
      <w:r>
        <w:t>Avgiften för långvarigt serviceboende med heldygnsomsorg är inkomstbaserad. Av klientens nettoinkomster, efter att vissa avdrag har gjorts, kan högst 85 procent tas ut i avgift för långvarigt serviceboende med heldygnsomsorg. Det lagstadgade minimibeloppet för personligt bruk för klienter inom långvarigt serviceboende med heldygnsomsorg är 250 euro per månad, det vill säga 3</w:t>
      </w:r>
      <w:r w:rsidR="00016835">
        <w:t> </w:t>
      </w:r>
      <w:r>
        <w:t xml:space="preserve">000 euro per år. Detta belopp ska täcka bland </w:t>
      </w:r>
      <w:r w:rsidRPr="0092544F">
        <w:t>annat klientens kostnader för hälso- och sjukvård, glasögon, frisör, telefon samt kläder.</w:t>
      </w:r>
    </w:p>
    <w:p w14:paraId="685C5F1F" w14:textId="24402658" w:rsidR="000E762F" w:rsidRPr="00156677" w:rsidRDefault="00156677" w:rsidP="00156677">
      <w:pPr>
        <w:pStyle w:val="ANormal"/>
      </w:pPr>
      <w:r>
        <w:tab/>
      </w:r>
      <w:r w:rsidR="000E762F" w:rsidRPr="0092544F">
        <w:t>Helheten kring avgiften för långvarigt serviceboende med heldygnsomsorg</w:t>
      </w:r>
      <w:r w:rsidR="000E762F">
        <w:t xml:space="preserve"> </w:t>
      </w:r>
      <w:r w:rsidR="000E762F" w:rsidRPr="0092544F">
        <w:t xml:space="preserve">sammanhänger </w:t>
      </w:r>
      <w:r w:rsidR="000E762F" w:rsidRPr="00CE37B0">
        <w:t>med klientens kostnader för hälso- och sjukvård</w:t>
      </w:r>
      <w:r w:rsidR="000E762F">
        <w:t xml:space="preserve"> och </w:t>
      </w:r>
      <w:r w:rsidR="000E762F" w:rsidRPr="0092544F">
        <w:t xml:space="preserve">med det sjukkostnadsavdrag som </w:t>
      </w:r>
      <w:r w:rsidR="000E762F" w:rsidRPr="00094442">
        <w:t xml:space="preserve">för närvarande </w:t>
      </w:r>
      <w:r w:rsidR="000E762F" w:rsidRPr="0092544F">
        <w:t xml:space="preserve">kan göras i </w:t>
      </w:r>
      <w:r w:rsidR="000E762F" w:rsidRPr="0092544F">
        <w:lastRenderedPageBreak/>
        <w:t>kommunalbeskattningen.</w:t>
      </w:r>
      <w:r w:rsidR="00207C06" w:rsidRPr="00207C06">
        <w:rPr>
          <w:vertAlign w:val="superscript"/>
        </w:rPr>
        <w:footnoteReference w:id="1"/>
      </w:r>
      <w:r w:rsidR="000E762F">
        <w:t xml:space="preserve"> </w:t>
      </w:r>
      <w:r w:rsidR="000E762F" w:rsidRPr="00CB2AFE">
        <w:t>Klienter inom långvarigt serviceboende med heldygnsomsorg har ofta kostnader för hälso- och sjukvård, vilket innebär att för klienter med låga inkomster är ett tillräckligt minimibelopp för personligt bruk nödvändigt för att betala kostnader bland annat för hälso- och sjukvård.</w:t>
      </w:r>
      <w:r w:rsidR="000C082C">
        <w:t xml:space="preserve"> </w:t>
      </w:r>
      <w:r w:rsidR="000E762F" w:rsidRPr="00CB2AFE">
        <w:t>Möjligheten till avdrag för sjukkostnad</w:t>
      </w:r>
      <w:r w:rsidR="00334720">
        <w:t>er</w:t>
      </w:r>
      <w:r w:rsidR="000E762F" w:rsidRPr="00CB2AFE">
        <w:t xml:space="preserve"> nämns uttryckligen i detaljmotiveringen till klientavgiftslagens 19a</w:t>
      </w:r>
      <w:r w:rsidR="00404B77">
        <w:t> §</w:t>
      </w:r>
      <w:r w:rsidR="000E762F">
        <w:t>.</w:t>
      </w:r>
      <w:r w:rsidR="00334720">
        <w:rPr>
          <w:rStyle w:val="Fotnotsreferens"/>
        </w:rPr>
        <w:footnoteReference w:id="2"/>
      </w:r>
      <w:r w:rsidR="000E762F">
        <w:t xml:space="preserve"> Detta</w:t>
      </w:r>
      <w:r w:rsidR="000E762F" w:rsidRPr="00CB2AFE">
        <w:t xml:space="preserve"> innebär att lagtingets beslut </w:t>
      </w:r>
      <w:r w:rsidR="00C40D26">
        <w:t xml:space="preserve">den </w:t>
      </w:r>
      <w:r w:rsidR="000E762F" w:rsidRPr="00CB2AFE">
        <w:t>30</w:t>
      </w:r>
      <w:r w:rsidR="00C40D26">
        <w:t xml:space="preserve"> september </w:t>
      </w:r>
      <w:r w:rsidR="000E762F" w:rsidRPr="00CB2AFE">
        <w:t>2024 om en ändring av kommunalskattelagen (2011:119) för landskapet Åland</w:t>
      </w:r>
      <w:r w:rsidR="000E762F">
        <w:t xml:space="preserve">, </w:t>
      </w:r>
      <w:r w:rsidR="000E762F" w:rsidRPr="00CB2AFE">
        <w:t>vilken innebär att sjukdomskostnadsavdraget vid kommunalbeskattningen avskaffas från och med skatteåret 2025, särskilt</w:t>
      </w:r>
      <w:r w:rsidR="000C082C">
        <w:t xml:space="preserve"> </w:t>
      </w:r>
      <w:r w:rsidR="000E762F" w:rsidRPr="00CB2AFE">
        <w:t>bedöms påverka klienter inom långvarigt serviceboende med heldygnsomsorg.</w:t>
      </w:r>
    </w:p>
    <w:p w14:paraId="48F16D34" w14:textId="1AF85EB7" w:rsidR="000E762F" w:rsidRDefault="00156677" w:rsidP="00156677">
      <w:pPr>
        <w:pStyle w:val="ANormal"/>
      </w:pPr>
      <w:r>
        <w:tab/>
      </w:r>
      <w:r w:rsidR="000E762F" w:rsidRPr="007147F8">
        <w:t>Kommunernas och kommunalförbundens skyldighet till efterskänkande och nedsättning av avgift, enligt klientavgiftslagens 27</w:t>
      </w:r>
      <w:r w:rsidR="00404B77">
        <w:t> §</w:t>
      </w:r>
      <w:r w:rsidR="000E762F" w:rsidRPr="007147F8">
        <w:t xml:space="preserve">, utgör en viktig del i att trygga att klienter har tillräckliga ekonomiska medel för att försörja sig själva </w:t>
      </w:r>
      <w:r w:rsidR="000E762F">
        <w:t xml:space="preserve">eller sin familj. </w:t>
      </w:r>
      <w:r w:rsidR="000E762F" w:rsidRPr="00E74F6D">
        <w:t xml:space="preserve">I arbetet </w:t>
      </w:r>
      <w:r w:rsidR="003365D6">
        <w:t>under</w:t>
      </w:r>
      <w:r w:rsidR="000E762F" w:rsidRPr="00E74F6D">
        <w:t xml:space="preserve"> steg ett har lydelsen i klientavgiftslagens 27</w:t>
      </w:r>
      <w:r w:rsidR="00404B77">
        <w:t> §</w:t>
      </w:r>
      <w:r w:rsidR="000E762F" w:rsidRPr="00E74F6D">
        <w:t xml:space="preserve"> 1</w:t>
      </w:r>
      <w:r w:rsidR="00404B77">
        <w:t> mom.</w:t>
      </w:r>
      <w:r w:rsidR="000E762F" w:rsidRPr="00E74F6D">
        <w:t xml:space="preserve"> utformats så att kommunernas/kommunalförbundens skyldighet till efterskänkande och nedsättning </w:t>
      </w:r>
      <w:r w:rsidR="000E762F">
        <w:t xml:space="preserve">av avgift </w:t>
      </w:r>
      <w:r w:rsidR="000E762F" w:rsidRPr="00E74F6D">
        <w:t>inte gäller samtliga avgifter som fastställs för socialservice, utan endast avgifter som bestämts utifrån en persons betalningsförmåga, vilket inte motsvarar syftet om att bestämmelsen till denna del skulle motsvara det rättsläge som gällde 31</w:t>
      </w:r>
      <w:r w:rsidR="003365D6">
        <w:t xml:space="preserve"> december </w:t>
      </w:r>
      <w:r w:rsidR="000E762F" w:rsidRPr="00E74F6D">
        <w:t>2022.</w:t>
      </w:r>
    </w:p>
    <w:p w14:paraId="0554110B" w14:textId="77777777" w:rsidR="00766BA9" w:rsidRDefault="00766BA9" w:rsidP="00156677">
      <w:pPr>
        <w:pStyle w:val="ANormal"/>
      </w:pPr>
    </w:p>
    <w:p w14:paraId="7D115909" w14:textId="2CD0B1A4" w:rsidR="00766BA9" w:rsidRDefault="00766BA9" w:rsidP="00766BA9">
      <w:pPr>
        <w:pStyle w:val="RubrikB"/>
      </w:pPr>
      <w:bookmarkStart w:id="13" w:name="_Toc193963319"/>
      <w:r>
        <w:t>3. Bedömning av nuläget</w:t>
      </w:r>
      <w:r w:rsidR="00880463">
        <w:t xml:space="preserve"> </w:t>
      </w:r>
      <w:r w:rsidR="00D22DF1">
        <w:t>och landskapsregeringens förslag</w:t>
      </w:r>
      <w:bookmarkEnd w:id="13"/>
    </w:p>
    <w:p w14:paraId="63374BAD" w14:textId="77777777" w:rsidR="00562B8C" w:rsidRDefault="00562B8C" w:rsidP="00562B8C">
      <w:pPr>
        <w:pStyle w:val="Rubrikmellanrum"/>
      </w:pPr>
    </w:p>
    <w:p w14:paraId="6855B801" w14:textId="3E82589D" w:rsidR="00562B8C" w:rsidRDefault="00562B8C" w:rsidP="00562B8C">
      <w:pPr>
        <w:pStyle w:val="RubrikC"/>
      </w:pPr>
      <w:bookmarkStart w:id="14" w:name="_Toc193963320"/>
      <w:r>
        <w:t xml:space="preserve">3.1 </w:t>
      </w:r>
      <w:r w:rsidRPr="005A44D6">
        <w:t>Höjt lagstadgat minimibelopp för personligt bruk för klienter inom långvarigt serviceboende med heldygnsomsorg</w:t>
      </w:r>
      <w:bookmarkEnd w:id="14"/>
    </w:p>
    <w:p w14:paraId="5425645B" w14:textId="77777777" w:rsidR="00562B8C" w:rsidRDefault="00562B8C" w:rsidP="00562B8C">
      <w:pPr>
        <w:pStyle w:val="Rubrikmellanrum"/>
      </w:pPr>
    </w:p>
    <w:p w14:paraId="748CEE69" w14:textId="66017E12" w:rsidR="00517CF7" w:rsidRDefault="002F164D" w:rsidP="002F164D">
      <w:pPr>
        <w:pStyle w:val="ANormal"/>
      </w:pPr>
      <w:r w:rsidRPr="002A76AF">
        <w:t xml:space="preserve">I samband </w:t>
      </w:r>
      <w:r w:rsidRPr="00B555BF">
        <w:t xml:space="preserve">med </w:t>
      </w:r>
      <w:bookmarkStart w:id="15" w:name="_Hlk184300272"/>
      <w:r w:rsidR="009629EF">
        <w:t xml:space="preserve">att </w:t>
      </w:r>
      <w:r w:rsidRPr="00B555BF">
        <w:t xml:space="preserve">lagtinget </w:t>
      </w:r>
      <w:r w:rsidR="009629EF">
        <w:t xml:space="preserve">den </w:t>
      </w:r>
      <w:r w:rsidRPr="00B555BF">
        <w:t>30</w:t>
      </w:r>
      <w:r w:rsidR="009629EF">
        <w:t xml:space="preserve"> september </w:t>
      </w:r>
      <w:r w:rsidRPr="00B555BF">
        <w:t xml:space="preserve">2024 </w:t>
      </w:r>
      <w:r w:rsidR="009629EF">
        <w:t xml:space="preserve">fattade </w:t>
      </w:r>
      <w:r w:rsidR="009629EF" w:rsidRPr="00B555BF">
        <w:t xml:space="preserve">beslut </w:t>
      </w:r>
      <w:r w:rsidRPr="00B555BF">
        <w:t xml:space="preserve">om en ändring av kommunalskattelagen (2011:119) för landskapet Åland </w:t>
      </w:r>
      <w:r w:rsidR="005532D2">
        <w:t>vilken</w:t>
      </w:r>
      <w:r w:rsidR="009629EF">
        <w:t xml:space="preserve"> har inneburit att rätten</w:t>
      </w:r>
      <w:r w:rsidRPr="00B555BF">
        <w:t xml:space="preserve"> att </w:t>
      </w:r>
      <w:r w:rsidR="009629EF">
        <w:t xml:space="preserve">göra </w:t>
      </w:r>
      <w:r w:rsidRPr="00B555BF">
        <w:t xml:space="preserve">sjukdomskostnadsavdrag </w:t>
      </w:r>
      <w:bookmarkEnd w:id="15"/>
      <w:r w:rsidR="00C95A14">
        <w:t>slopats</w:t>
      </w:r>
      <w:r w:rsidRPr="00B555BF">
        <w:t xml:space="preserve">, </w:t>
      </w:r>
      <w:r w:rsidR="00C95A14">
        <w:t>anfördes från</w:t>
      </w:r>
      <w:r w:rsidRPr="00B555BF">
        <w:t xml:space="preserve"> </w:t>
      </w:r>
      <w:r w:rsidRPr="00D201ED">
        <w:t>landskapsregeringen</w:t>
      </w:r>
      <w:r w:rsidR="00C95A14">
        <w:t>s sida att det skulle</w:t>
      </w:r>
      <w:r w:rsidRPr="00D201ED">
        <w:t xml:space="preserve"> ta</w:t>
      </w:r>
      <w:r w:rsidR="00C95A14">
        <w:t>s</w:t>
      </w:r>
      <w:r w:rsidRPr="00D201ED">
        <w:t xml:space="preserve"> fram olika </w:t>
      </w:r>
      <w:r w:rsidR="00F439A6">
        <w:t xml:space="preserve">förslag till </w:t>
      </w:r>
      <w:r w:rsidRPr="00D201ED">
        <w:t xml:space="preserve">åtgärder </w:t>
      </w:r>
      <w:r w:rsidR="00F439A6">
        <w:t xml:space="preserve">som ska vidtas </w:t>
      </w:r>
      <w:r w:rsidRPr="00D201ED">
        <w:t xml:space="preserve">för </w:t>
      </w:r>
      <w:r w:rsidR="00F439A6">
        <w:t xml:space="preserve">att ekonomiskt kompensera </w:t>
      </w:r>
      <w:r w:rsidRPr="00D201ED">
        <w:t>berörda målgrupper</w:t>
      </w:r>
      <w:r w:rsidR="00F439A6">
        <w:t xml:space="preserve"> för det bortfall som </w:t>
      </w:r>
      <w:r w:rsidR="007A64C2">
        <w:t>slopandet av nämnda avdragsrätt medfört</w:t>
      </w:r>
      <w:r w:rsidRPr="00D201ED">
        <w:t>.</w:t>
      </w:r>
    </w:p>
    <w:p w14:paraId="533AB748" w14:textId="5BCB59BD" w:rsidR="002F164D" w:rsidRPr="006906AC" w:rsidRDefault="00517CF7" w:rsidP="002F164D">
      <w:pPr>
        <w:pStyle w:val="ANormal"/>
      </w:pPr>
      <w:r>
        <w:tab/>
      </w:r>
      <w:r w:rsidR="00C40D26">
        <w:t>Eftersom m</w:t>
      </w:r>
      <w:r w:rsidR="002F164D" w:rsidRPr="00E057E3">
        <w:t xml:space="preserve">öjligheten </w:t>
      </w:r>
      <w:r w:rsidR="00483CC6">
        <w:t xml:space="preserve">att göra </w:t>
      </w:r>
      <w:r w:rsidR="002F164D" w:rsidRPr="00E057E3">
        <w:t xml:space="preserve">avdrag för sjukdomskostnader i kommunalbeskattningen uttryckligen </w:t>
      </w:r>
      <w:r w:rsidR="00C40D26">
        <w:t xml:space="preserve">har </w:t>
      </w:r>
      <w:r w:rsidR="002F164D" w:rsidRPr="00E057E3">
        <w:t xml:space="preserve">bedömts påverka klienter inom långvarigt serviceboende och därför </w:t>
      </w:r>
      <w:r w:rsidR="00F9328C">
        <w:t>nämns</w:t>
      </w:r>
      <w:r w:rsidR="002F164D" w:rsidRPr="00E057E3">
        <w:t xml:space="preserve"> i detaljmotiveringen till 19a</w:t>
      </w:r>
      <w:r w:rsidR="00404B77">
        <w:t> §</w:t>
      </w:r>
      <w:r w:rsidR="002F164D" w:rsidRPr="00E057E3">
        <w:t xml:space="preserve"> i </w:t>
      </w:r>
      <w:r w:rsidR="00801816">
        <w:t>landskapsregeringens lagförslag om f</w:t>
      </w:r>
      <w:r w:rsidR="00801816" w:rsidRPr="00801816">
        <w:t>örnyad klientavgiftslag</w:t>
      </w:r>
      <w:r w:rsidR="00F9328C" w:rsidRPr="00557F07">
        <w:t xml:space="preserve"> </w:t>
      </w:r>
      <w:r w:rsidR="00F9328C">
        <w:t>(</w:t>
      </w:r>
      <w:r w:rsidR="002F164D" w:rsidRPr="00557F07">
        <w:t>LF 32/2022-</w:t>
      </w:r>
      <w:r w:rsidR="002F164D" w:rsidRPr="00D07376">
        <w:t>2023</w:t>
      </w:r>
      <w:r w:rsidR="00F9328C">
        <w:t>)</w:t>
      </w:r>
      <w:r w:rsidR="002F164D" w:rsidRPr="00D07376">
        <w:t xml:space="preserve">, </w:t>
      </w:r>
      <w:r w:rsidR="00F9328C">
        <w:t xml:space="preserve">har </w:t>
      </w:r>
      <w:r w:rsidR="002F164D" w:rsidRPr="00D07376">
        <w:t xml:space="preserve">landskapsregeringen </w:t>
      </w:r>
      <w:r w:rsidR="00F9328C">
        <w:t xml:space="preserve">beslutat </w:t>
      </w:r>
      <w:r w:rsidR="002F164D" w:rsidRPr="00D07376">
        <w:t>att</w:t>
      </w:r>
      <w:r w:rsidR="002F164D">
        <w:t xml:space="preserve"> som en kompensationsåtgärd i </w:t>
      </w:r>
      <w:r w:rsidR="002F164D" w:rsidRPr="00D07376">
        <w:t xml:space="preserve">budgetförslaget för </w:t>
      </w:r>
      <w:r w:rsidR="002F164D">
        <w:t xml:space="preserve">år </w:t>
      </w:r>
      <w:r w:rsidR="002F164D" w:rsidRPr="00D07376">
        <w:t>2025</w:t>
      </w:r>
      <w:r w:rsidR="002F164D" w:rsidRPr="009629EF">
        <w:rPr>
          <w:vertAlign w:val="superscript"/>
        </w:rPr>
        <w:t xml:space="preserve"> </w:t>
      </w:r>
      <w:r w:rsidR="002F164D" w:rsidRPr="00D07376">
        <w:t xml:space="preserve">inta </w:t>
      </w:r>
      <w:r w:rsidR="002F164D">
        <w:t>en skrivning om att höja det lagstadgade minimibeloppet för personligt bruk för klienter inom långvarigt serviceboende med heldygnsomsorg (enligt klientavgiftslagens 16</w:t>
      </w:r>
      <w:r w:rsidR="00404B77">
        <w:t> §</w:t>
      </w:r>
      <w:r w:rsidR="002F164D">
        <w:t>) från 250 till 300 euro från och med den 1 januari 2026.</w:t>
      </w:r>
      <w:r w:rsidR="00C40D26" w:rsidRPr="00C40D26">
        <w:rPr>
          <w:vertAlign w:val="superscript"/>
        </w:rPr>
        <w:t xml:space="preserve"> </w:t>
      </w:r>
      <w:r w:rsidR="00C40D26" w:rsidRPr="009629EF">
        <w:rPr>
          <w:vertAlign w:val="superscript"/>
        </w:rPr>
        <w:footnoteReference w:id="3"/>
      </w:r>
      <w:r w:rsidR="002F164D">
        <w:t xml:space="preserve"> Höjningen</w:t>
      </w:r>
      <w:r w:rsidR="002F164D" w:rsidRPr="003850FB">
        <w:t xml:space="preserve"> överstiger </w:t>
      </w:r>
      <w:r w:rsidR="002F164D">
        <w:t xml:space="preserve">den </w:t>
      </w:r>
      <w:r w:rsidR="002F164D" w:rsidRPr="003850FB">
        <w:t>höjning på grund av den beräknade indexjusteringen som skulle ha trätt i kraft vid samma tidpunkt.</w:t>
      </w:r>
    </w:p>
    <w:p w14:paraId="37ED43A6" w14:textId="34CC05B1" w:rsidR="00562B8C" w:rsidRDefault="001E2DB2" w:rsidP="00562B8C">
      <w:pPr>
        <w:pStyle w:val="ANormal"/>
      </w:pPr>
      <w:r>
        <w:tab/>
      </w:r>
      <w:r w:rsidR="00F439A6">
        <w:t xml:space="preserve">Mot bakgrund av vad som anförts </w:t>
      </w:r>
      <w:r>
        <w:t>strax ovan</w:t>
      </w:r>
      <w:r w:rsidR="00F439A6">
        <w:t xml:space="preserve"> föreslås att 16</w:t>
      </w:r>
      <w:r w:rsidR="00404B77">
        <w:t> §</w:t>
      </w:r>
      <w:r w:rsidR="00F439A6">
        <w:t xml:space="preserve"> i klientavgiftslagen ändras på det sätt som framgår av förslaget till lagtext nedan.</w:t>
      </w:r>
    </w:p>
    <w:p w14:paraId="780F822A" w14:textId="3DB1F75E" w:rsidR="001815B8" w:rsidRDefault="001815B8" w:rsidP="00562B8C">
      <w:pPr>
        <w:pStyle w:val="ANormal"/>
      </w:pPr>
      <w:r>
        <w:t>Det föreslås även en ändring av 33</w:t>
      </w:r>
      <w:r w:rsidR="00404B77">
        <w:t> §</w:t>
      </w:r>
      <w:r>
        <w:t xml:space="preserve"> om indexjustering i klientavgiftslagen som en </w:t>
      </w:r>
      <w:r w:rsidR="00E447F8">
        <w:t>följdändring av förslaget till ändring av 16</w:t>
      </w:r>
      <w:r w:rsidR="00404B77">
        <w:t> §</w:t>
      </w:r>
      <w:r w:rsidR="00E447F8">
        <w:t xml:space="preserve"> i klientavgiftslagen.</w:t>
      </w:r>
    </w:p>
    <w:p w14:paraId="213214FB" w14:textId="77777777" w:rsidR="00562B8C" w:rsidRPr="00562B8C" w:rsidRDefault="00562B8C" w:rsidP="00562B8C">
      <w:pPr>
        <w:pStyle w:val="ANormal"/>
      </w:pPr>
    </w:p>
    <w:p w14:paraId="1B810269" w14:textId="114C14EC" w:rsidR="006F4E53" w:rsidRDefault="006F4E53" w:rsidP="006F4E53">
      <w:pPr>
        <w:pStyle w:val="RubrikC"/>
      </w:pPr>
      <w:bookmarkStart w:id="16" w:name="_Toc193963321"/>
      <w:r>
        <w:t>3.</w:t>
      </w:r>
      <w:r w:rsidR="00541FAE">
        <w:t>2</w:t>
      </w:r>
      <w:r>
        <w:t xml:space="preserve"> Teknisk justering av klientavgiftslagens 27</w:t>
      </w:r>
      <w:r w:rsidR="00404B77">
        <w:t> §</w:t>
      </w:r>
      <w:bookmarkEnd w:id="16"/>
    </w:p>
    <w:p w14:paraId="50FFEDD4" w14:textId="77777777" w:rsidR="00D1456D" w:rsidRDefault="00D1456D" w:rsidP="00D1456D">
      <w:pPr>
        <w:pStyle w:val="Rubrikmellanrum"/>
      </w:pPr>
    </w:p>
    <w:p w14:paraId="0937231D" w14:textId="0C7FC386" w:rsidR="00880463" w:rsidRDefault="00880463" w:rsidP="00880463">
      <w:pPr>
        <w:pStyle w:val="ANormal"/>
      </w:pPr>
      <w:r>
        <w:t>I den lagstiftningspromemoria gällande förslag till en landskap</w:t>
      </w:r>
      <w:r w:rsidR="0033514F">
        <w:t xml:space="preserve">slag om klientavgifter inom socialvården (Dnr: ÅLR 2022/294) och </w:t>
      </w:r>
      <w:r>
        <w:t xml:space="preserve">som genom beslut på enskild föredragning den 31 januari 2022 </w:t>
      </w:r>
      <w:r w:rsidR="0033514F">
        <w:t xml:space="preserve">överförts till lagberedningen för </w:t>
      </w:r>
      <w:r w:rsidR="0033514F">
        <w:lastRenderedPageBreak/>
        <w:t>lagstiftningsåtgärder</w:t>
      </w:r>
      <w:r w:rsidR="0005429B">
        <w:t>,</w:t>
      </w:r>
      <w:r w:rsidR="0033514F">
        <w:t xml:space="preserve"> finns redogjort för </w:t>
      </w:r>
      <w:r w:rsidR="00392C9D">
        <w:t xml:space="preserve">bland annat </w:t>
      </w:r>
      <w:r w:rsidR="0033514F">
        <w:t>utformningen av materiella bestämmelser rörande efterskänkande och nedsättning av avgift. Bestämmelserna finns samlade i en 30</w:t>
      </w:r>
      <w:r w:rsidR="00404B77">
        <w:t> §</w:t>
      </w:r>
      <w:r w:rsidR="0033514F">
        <w:t xml:space="preserve"> (bestämmelser som under lagberedningen och den fortsatt</w:t>
      </w:r>
      <w:r w:rsidR="0005429B">
        <w:t>a</w:t>
      </w:r>
      <w:r w:rsidR="0033514F">
        <w:t xml:space="preserve"> lagstiftnings</w:t>
      </w:r>
      <w:r w:rsidR="0005429B">
        <w:t>processen sedermera intagits i klientavgiftslagens 27</w:t>
      </w:r>
      <w:r w:rsidR="00404B77">
        <w:t> §</w:t>
      </w:r>
      <w:r w:rsidR="0005429B">
        <w:t>).</w:t>
      </w:r>
    </w:p>
    <w:p w14:paraId="1EAE1D15" w14:textId="71BF2C8C" w:rsidR="00A34328" w:rsidRDefault="003C0084" w:rsidP="0083285C">
      <w:pPr>
        <w:pStyle w:val="ANormal"/>
      </w:pPr>
      <w:r>
        <w:tab/>
        <w:t>I utkastet till detaljmotivering till nämnda 30</w:t>
      </w:r>
      <w:r w:rsidR="00404B77">
        <w:t> §</w:t>
      </w:r>
      <w:r w:rsidR="0083285C">
        <w:t>,</w:t>
      </w:r>
      <w:r>
        <w:t xml:space="preserve"> vilket återfinns i promemorian i fråga</w:t>
      </w:r>
      <w:r w:rsidR="0083285C">
        <w:t>,</w:t>
      </w:r>
      <w:r>
        <w:t xml:space="preserve"> anförs </w:t>
      </w:r>
      <w:r w:rsidR="0083285C">
        <w:t xml:space="preserve">följande: </w:t>
      </w:r>
    </w:p>
    <w:p w14:paraId="24001B2D" w14:textId="1AE8EC9E" w:rsidR="0083285C" w:rsidRPr="00A34328" w:rsidRDefault="0083285C" w:rsidP="00A34328">
      <w:pPr>
        <w:pStyle w:val="ANormal"/>
        <w:tabs>
          <w:tab w:val="left" w:pos="567"/>
        </w:tabs>
        <w:ind w:left="283"/>
        <w:rPr>
          <w:sz w:val="20"/>
        </w:rPr>
      </w:pPr>
      <w:r w:rsidRPr="00A34328">
        <w:rPr>
          <w:sz w:val="20"/>
        </w:rPr>
        <w:t>”Bestämmelse föreslås motsvarande 11</w:t>
      </w:r>
      <w:r w:rsidR="00404B77">
        <w:rPr>
          <w:sz w:val="20"/>
        </w:rPr>
        <w:t> §</w:t>
      </w:r>
      <w:r w:rsidRPr="00A34328">
        <w:rPr>
          <w:sz w:val="20"/>
        </w:rPr>
        <w:t xml:space="preserve"> i klientavgiftslag (FFS 734/1992) (30.12.2020/1201) med vissa avvikelser. 11</w:t>
      </w:r>
      <w:r w:rsidR="00404B77">
        <w:rPr>
          <w:sz w:val="20"/>
        </w:rPr>
        <w:t> §</w:t>
      </w:r>
      <w:r w:rsidRPr="00A34328">
        <w:rPr>
          <w:sz w:val="20"/>
        </w:rPr>
        <w:t xml:space="preserve"> omfattar nya moment, 3–5</w:t>
      </w:r>
      <w:r w:rsidR="00404B77">
        <w:rPr>
          <w:sz w:val="20"/>
        </w:rPr>
        <w:t> mom.</w:t>
      </w:r>
      <w:r w:rsidRPr="00A34328">
        <w:rPr>
          <w:sz w:val="20"/>
        </w:rPr>
        <w:t>, vilka tydliggör avgiftslättnaden i förhållande till utkomststödet. Till paragrafen föreslås också fogas en skyldighet att informera om nedsättningen eller efterskänkandet av avgift. Enligt 6</w:t>
      </w:r>
      <w:r w:rsidR="00404B77">
        <w:rPr>
          <w:sz w:val="20"/>
        </w:rPr>
        <w:t> §</w:t>
      </w:r>
      <w:r w:rsidRPr="00A34328">
        <w:rPr>
          <w:sz w:val="20"/>
        </w:rPr>
        <w:t xml:space="preserve"> i landskapslag (2020:12) om socialvård har kommuninvånaren rätt till att få rådgivning och handledning. Syftet med föreslagen bestämmelse är framför allt att öka kommunernas medvetenhet om skyldigheten att lindra klientavgifterna och att slopandet eller efterskänkandet alltid är primära åtgärder i förhållande till utkomststödet.</w:t>
      </w:r>
    </w:p>
    <w:p w14:paraId="331F5115" w14:textId="42C8D3D5" w:rsidR="0083285C" w:rsidRPr="00A34328" w:rsidRDefault="00A34328" w:rsidP="00A34328">
      <w:pPr>
        <w:pStyle w:val="ANormal"/>
        <w:tabs>
          <w:tab w:val="left" w:pos="567"/>
        </w:tabs>
        <w:ind w:left="283"/>
        <w:rPr>
          <w:sz w:val="20"/>
        </w:rPr>
      </w:pPr>
      <w:r>
        <w:rPr>
          <w:sz w:val="20"/>
        </w:rPr>
        <w:tab/>
      </w:r>
      <w:r w:rsidR="0083285C" w:rsidRPr="00A34328">
        <w:rPr>
          <w:sz w:val="20"/>
        </w:rPr>
        <w:t>Bestämmelsen föreslås avse avgift för socialvårdsservice. En kommun eller samkommun ska avse kommun eller kommunalförbund på Åland. Lagen om utkomststöd (FFS 1412/1997) tillämpas genom landskapslag (1998:66) om tillämpning i landskapet Åland av lagen om utkomststöd, med i lagen angivna avvikelser. Skall uppdateras till ska.</w:t>
      </w:r>
    </w:p>
    <w:p w14:paraId="53767442" w14:textId="2D737656" w:rsidR="0083285C" w:rsidRPr="00A34328" w:rsidRDefault="00A34328" w:rsidP="00A34328">
      <w:pPr>
        <w:pStyle w:val="ANormal"/>
        <w:tabs>
          <w:tab w:val="left" w:pos="567"/>
        </w:tabs>
        <w:ind w:left="283"/>
        <w:rPr>
          <w:sz w:val="20"/>
        </w:rPr>
      </w:pPr>
      <w:r>
        <w:rPr>
          <w:sz w:val="20"/>
        </w:rPr>
        <w:tab/>
      </w:r>
      <w:r w:rsidR="0083285C" w:rsidRPr="00A34328">
        <w:rPr>
          <w:sz w:val="20"/>
        </w:rPr>
        <w:t xml:space="preserve"> I övrigt se RP 216/1991 rd s. 41 med undantag av hänvisning till socialvårdslagen och hälsovårdsavgifter, ShUB 59/2002 rd samt RP 129/2020 rd s. 94–95. Hänvisning till förvaltningslagen och omprövning ska avse förvaltningslagen (2008:9) för landskapet Åland och rättelseyrkande.”</w:t>
      </w:r>
    </w:p>
    <w:p w14:paraId="3A2EBC0F" w14:textId="6BED8EA6" w:rsidR="001E2DB2" w:rsidRDefault="004134FE" w:rsidP="00880463">
      <w:pPr>
        <w:pStyle w:val="ANormal"/>
      </w:pPr>
      <w:r>
        <w:tab/>
      </w:r>
      <w:r w:rsidRPr="00E74F6D">
        <w:t xml:space="preserve">Av </w:t>
      </w:r>
      <w:r>
        <w:t xml:space="preserve">utkastet till </w:t>
      </w:r>
      <w:r w:rsidRPr="00E74F6D">
        <w:t xml:space="preserve">detaljmotivering </w:t>
      </w:r>
      <w:r>
        <w:t>angående</w:t>
      </w:r>
      <w:r w:rsidRPr="00E74F6D">
        <w:t xml:space="preserve"> </w:t>
      </w:r>
      <w:r>
        <w:t xml:space="preserve">denna </w:t>
      </w:r>
      <w:r w:rsidRPr="00E74F6D">
        <w:t>30</w:t>
      </w:r>
      <w:r w:rsidR="00404B77">
        <w:t> §</w:t>
      </w:r>
      <w:r w:rsidRPr="00E74F6D">
        <w:t xml:space="preserve"> framgår </w:t>
      </w:r>
      <w:r w:rsidR="00392C9D">
        <w:t xml:space="preserve">å ena sidan </w:t>
      </w:r>
      <w:r>
        <w:t xml:space="preserve">att ändringarna endast </w:t>
      </w:r>
      <w:r w:rsidR="00392C9D">
        <w:t xml:space="preserve">ska </w:t>
      </w:r>
      <w:r>
        <w:t>berör</w:t>
      </w:r>
      <w:r w:rsidR="00392C9D">
        <w:t>a</w:t>
      </w:r>
      <w:r>
        <w:t xml:space="preserve"> tydliggörande av </w:t>
      </w:r>
      <w:r w:rsidR="007B4D79">
        <w:t xml:space="preserve">en </w:t>
      </w:r>
      <w:r>
        <w:t xml:space="preserve">avgiftslättnad i relation till utkomststödet samt </w:t>
      </w:r>
      <w:r w:rsidR="007B4D79">
        <w:t xml:space="preserve">en </w:t>
      </w:r>
      <w:r>
        <w:t xml:space="preserve">skyldighet att informera om </w:t>
      </w:r>
      <w:r w:rsidRPr="009E591E">
        <w:t>efterskänkan</w:t>
      </w:r>
      <w:r>
        <w:t>de och nedsättning</w:t>
      </w:r>
      <w:r w:rsidR="00392C9D">
        <w:t>.</w:t>
      </w:r>
      <w:r w:rsidR="00E654DE">
        <w:t xml:space="preserve"> Den nuvarande utformningen</w:t>
      </w:r>
      <w:r w:rsidR="003C0084">
        <w:t xml:space="preserve"> av 27</w:t>
      </w:r>
      <w:r w:rsidR="00404B77">
        <w:t> §</w:t>
      </w:r>
      <w:r w:rsidR="003C0084">
        <w:t xml:space="preserve"> i klientavgiftslagen är </w:t>
      </w:r>
      <w:r w:rsidR="00E654DE">
        <w:t xml:space="preserve">å andra sidan </w:t>
      </w:r>
      <w:r w:rsidR="003C0084">
        <w:t xml:space="preserve">baserad på </w:t>
      </w:r>
      <w:r w:rsidR="007B4D79">
        <w:t>en</w:t>
      </w:r>
      <w:r w:rsidR="00E654DE">
        <w:t xml:space="preserve"> på</w:t>
      </w:r>
      <w:r w:rsidR="003C0084">
        <w:t xml:space="preserve"> felaktiga premisser angiv</w:t>
      </w:r>
      <w:r w:rsidR="00E654DE">
        <w:t>en</w:t>
      </w:r>
      <w:r w:rsidR="003C0084">
        <w:t xml:space="preserve"> formulering av nämnda 30</w:t>
      </w:r>
      <w:r w:rsidR="00404B77">
        <w:t> §</w:t>
      </w:r>
      <w:r w:rsidR="00E654DE">
        <w:t>, där intentionerna i detaljmotiveringen till densamma</w:t>
      </w:r>
      <w:r w:rsidR="006D1B34">
        <w:t>,</w:t>
      </w:r>
      <w:r w:rsidR="00E654DE">
        <w:t xml:space="preserve"> till följd av ett förbiseende</w:t>
      </w:r>
      <w:r w:rsidR="006D1B34">
        <w:t>,</w:t>
      </w:r>
      <w:r w:rsidR="00E654DE">
        <w:t xml:space="preserve"> inte till fullo beaktats.</w:t>
      </w:r>
    </w:p>
    <w:p w14:paraId="389E5A67" w14:textId="3B7BEA3E" w:rsidR="00EB28AD" w:rsidRDefault="001E2DB2" w:rsidP="00880463">
      <w:pPr>
        <w:pStyle w:val="ANormal"/>
      </w:pPr>
      <w:r>
        <w:tab/>
      </w:r>
      <w:r w:rsidR="007B4D79">
        <w:t xml:space="preserve">Utkastet till bestämmelsen i </w:t>
      </w:r>
      <w:r w:rsidR="006D1B34">
        <w:t>30</w:t>
      </w:r>
      <w:r w:rsidR="00404B77">
        <w:t> §</w:t>
      </w:r>
      <w:r w:rsidR="006D1B34">
        <w:t xml:space="preserve"> </w:t>
      </w:r>
      <w:r w:rsidR="007B4D79">
        <w:t>baserar sig som framgår av redogörelsen ovan på 11</w:t>
      </w:r>
      <w:r w:rsidR="00404B77">
        <w:t> §</w:t>
      </w:r>
      <w:r w:rsidR="007B4D79">
        <w:t xml:space="preserve"> </w:t>
      </w:r>
      <w:r w:rsidR="00EC6F19">
        <w:t>(1</w:t>
      </w:r>
      <w:r w:rsidR="00404B77">
        <w:t> mom.</w:t>
      </w:r>
      <w:r w:rsidR="00EC6F19">
        <w:rPr>
          <w:sz w:val="26"/>
          <w:szCs w:val="24"/>
        </w:rPr>
        <w:t xml:space="preserve">) </w:t>
      </w:r>
      <w:r w:rsidR="007B4D79">
        <w:t>i rikets klientav</w:t>
      </w:r>
      <w:r w:rsidR="00C17130">
        <w:t>giftslag</w:t>
      </w:r>
      <w:r w:rsidR="00EC6F19">
        <w:t xml:space="preserve"> (närmare bestämt paragrafens 1</w:t>
      </w:r>
      <w:r w:rsidR="00404B77">
        <w:t> mom.</w:t>
      </w:r>
      <w:r w:rsidR="00EC6F19">
        <w:t>)</w:t>
      </w:r>
      <w:r w:rsidR="00C17130">
        <w:t xml:space="preserve"> </w:t>
      </w:r>
      <w:r w:rsidR="009007F7">
        <w:t>i vilken det bland annat</w:t>
      </w:r>
      <w:r w:rsidR="00C17130">
        <w:t xml:space="preserve"> </w:t>
      </w:r>
      <w:r w:rsidR="00EC6F19">
        <w:t>stipuleras</w:t>
      </w:r>
      <w:r w:rsidR="00C17130">
        <w:t xml:space="preserve"> </w:t>
      </w:r>
      <w:r w:rsidR="006D1B34">
        <w:t>att</w:t>
      </w:r>
    </w:p>
    <w:p w14:paraId="695F4195" w14:textId="5A4B4FCA" w:rsidR="00EB28AD" w:rsidRPr="00EB28AD" w:rsidRDefault="006D1B34" w:rsidP="00EB28AD">
      <w:pPr>
        <w:pStyle w:val="ANormal"/>
        <w:tabs>
          <w:tab w:val="left" w:pos="567"/>
        </w:tabs>
        <w:ind w:left="283"/>
        <w:rPr>
          <w:sz w:val="20"/>
        </w:rPr>
      </w:pPr>
      <w:r w:rsidRPr="00EB28AD">
        <w:rPr>
          <w:sz w:val="20"/>
        </w:rPr>
        <w:t>”</w:t>
      </w:r>
      <w:r w:rsidR="00EC6F19" w:rsidRPr="00EB28AD">
        <w:rPr>
          <w:sz w:val="20"/>
        </w:rPr>
        <w:t>En avgift som fastställts för socialvårdsservice och en sådan avgift för hälsovårdsservice som bestämts enligt en persons betalningsförmåga skall efterskänkas eller nedsättas till den del förutsättningarna för personens eller familjens försörjning eller förverkligandet av personens lagstadgade försörjningsplikt äventyras av att avgiften tas ut.”</w:t>
      </w:r>
    </w:p>
    <w:p w14:paraId="34974274" w14:textId="201BED5D" w:rsidR="005C3336" w:rsidRDefault="00D86CD4" w:rsidP="00880463">
      <w:pPr>
        <w:pStyle w:val="ANormal"/>
      </w:pPr>
      <w:r>
        <w:t>M</w:t>
      </w:r>
      <w:r w:rsidR="007B4D79">
        <w:t xml:space="preserve">eningen var att motsvarande landskapslagsbestämmelse </w:t>
      </w:r>
      <w:r w:rsidR="00C17130">
        <w:t xml:space="preserve">med avvikelse från riksbestämmelsen </w:t>
      </w:r>
      <w:r w:rsidR="007B4D79">
        <w:t>skulle föreskriva</w:t>
      </w:r>
      <w:r w:rsidR="006D1B34">
        <w:t xml:space="preserve"> att</w:t>
      </w:r>
      <w:r w:rsidR="00250051">
        <w:t xml:space="preserve"> e</w:t>
      </w:r>
      <w:r w:rsidR="00250051" w:rsidRPr="00250051">
        <w:t>n avgift som fastställts för socialvårdsservice ska efterskänkas eller nedsättas till den del förutsättningarna för personens eller familjens försörjning eller förverkligandet av personens lagstadgade försörjningsplikt äventyras av att avgiften tas ut.</w:t>
      </w:r>
      <w:r>
        <w:t xml:space="preserve"> För närvarande föreskrivs i 27</w:t>
      </w:r>
      <w:r w:rsidR="00404B77">
        <w:t> §</w:t>
      </w:r>
      <w:r>
        <w:t xml:space="preserve"> i klientavgiftslagen att</w:t>
      </w:r>
    </w:p>
    <w:p w14:paraId="482FABAC" w14:textId="1640CDBB" w:rsidR="005C3336" w:rsidRPr="005C3336" w:rsidRDefault="00D86CD4" w:rsidP="005C3336">
      <w:pPr>
        <w:pStyle w:val="ANormal"/>
        <w:tabs>
          <w:tab w:val="left" w:pos="567"/>
        </w:tabs>
        <w:ind w:left="283"/>
        <w:rPr>
          <w:sz w:val="20"/>
        </w:rPr>
      </w:pPr>
      <w:r w:rsidRPr="005C3336">
        <w:rPr>
          <w:sz w:val="20"/>
        </w:rPr>
        <w:t>”En avgift som fastställts för socialservice och som bestämts utifrån en persons betalningsförmåga ska efterskänkas eller nedsättas om förutsättningarna för personens eller familjens försörjning eller förverkligandet av personens lagstadgade försörjningsplikt äventyras av att avgiften tas ut.”</w:t>
      </w:r>
    </w:p>
    <w:p w14:paraId="0234A5A9" w14:textId="5EC97F4E" w:rsidR="007B4D79" w:rsidRDefault="009F15BC" w:rsidP="00880463">
      <w:pPr>
        <w:pStyle w:val="ANormal"/>
      </w:pPr>
      <w:r>
        <w:t>Vid sidan av passusen ”</w:t>
      </w:r>
      <w:r w:rsidRPr="00D86CD4">
        <w:rPr>
          <w:i/>
          <w:iCs/>
        </w:rPr>
        <w:t>och en sådan avgift för hälsovårdsservice</w:t>
      </w:r>
      <w:r>
        <w:rPr>
          <w:i/>
          <w:iCs/>
        </w:rPr>
        <w:t xml:space="preserve">” </w:t>
      </w:r>
      <w:r w:rsidRPr="009F15BC">
        <w:t xml:space="preserve">borde </w:t>
      </w:r>
      <w:r>
        <w:t>även p</w:t>
      </w:r>
      <w:r w:rsidR="00B419C4">
        <w:t>assusen</w:t>
      </w:r>
      <w:r w:rsidR="00250051">
        <w:t xml:space="preserve"> </w:t>
      </w:r>
      <w:r w:rsidR="00D86CD4">
        <w:t>”</w:t>
      </w:r>
      <w:r w:rsidR="003355C0">
        <w:rPr>
          <w:i/>
          <w:iCs/>
        </w:rPr>
        <w:t xml:space="preserve"> </w:t>
      </w:r>
      <w:r w:rsidR="00250051" w:rsidRPr="00D86CD4">
        <w:rPr>
          <w:i/>
          <w:iCs/>
        </w:rPr>
        <w:t>som bestämts enligt en persons betalningsförmåga</w:t>
      </w:r>
      <w:r w:rsidR="00D86CD4">
        <w:t>”</w:t>
      </w:r>
      <w:r w:rsidR="00B419C4">
        <w:t>,</w:t>
      </w:r>
      <w:r w:rsidR="006D1B34">
        <w:t xml:space="preserve"> strukits i </w:t>
      </w:r>
      <w:r>
        <w:t xml:space="preserve">utkastet till </w:t>
      </w:r>
      <w:r w:rsidR="006D1B34">
        <w:t>paragraf</w:t>
      </w:r>
      <w:r w:rsidR="003355C0">
        <w:t>.</w:t>
      </w:r>
      <w:r w:rsidR="006D1B34">
        <w:t xml:space="preserve"> </w:t>
      </w:r>
      <w:r w:rsidR="003355C0">
        <w:t>Detta har lett</w:t>
      </w:r>
      <w:r w:rsidR="006D1B34">
        <w:t xml:space="preserve"> till att 27</w:t>
      </w:r>
      <w:r w:rsidR="00404B77">
        <w:t> §</w:t>
      </w:r>
      <w:r w:rsidR="006D1B34">
        <w:t xml:space="preserve"> i klientavgiftslagen</w:t>
      </w:r>
      <w:r w:rsidR="003355C0">
        <w:t>, i sin nuvarande formulering</w:t>
      </w:r>
      <w:r>
        <w:t>,</w:t>
      </w:r>
      <w:r w:rsidR="006D1B34">
        <w:t xml:space="preserve"> utgå</w:t>
      </w:r>
      <w:r w:rsidR="003355C0">
        <w:t>r</w:t>
      </w:r>
      <w:r w:rsidR="006D1B34">
        <w:t xml:space="preserve"> från utkastets 30</w:t>
      </w:r>
      <w:r w:rsidR="00404B77">
        <w:t> §</w:t>
      </w:r>
      <w:r w:rsidR="006D1B34">
        <w:t xml:space="preserve"> </w:t>
      </w:r>
      <w:r w:rsidR="00B419C4">
        <w:t>vilken</w:t>
      </w:r>
      <w:r w:rsidR="006D1B34">
        <w:t xml:space="preserve"> innehöll en felaktighet.</w:t>
      </w:r>
    </w:p>
    <w:p w14:paraId="5091604D" w14:textId="01960EF2" w:rsidR="00876D4A" w:rsidRPr="00E36F3C" w:rsidRDefault="001E2DB2" w:rsidP="00876D4A">
      <w:pPr>
        <w:pStyle w:val="ANormal"/>
      </w:pPr>
      <w:r>
        <w:tab/>
      </w:r>
      <w:r w:rsidR="00876D4A">
        <w:t xml:space="preserve">Mot bakgrund av det som anförts </w:t>
      </w:r>
      <w:r>
        <w:t>strax ovan</w:t>
      </w:r>
      <w:r w:rsidR="00876D4A">
        <w:t xml:space="preserve"> föreslår landskapsregeringen att </w:t>
      </w:r>
      <w:r w:rsidR="00D1456D">
        <w:t xml:space="preserve">lydelsen av </w:t>
      </w:r>
      <w:r w:rsidR="00876D4A">
        <w:t>p</w:t>
      </w:r>
      <w:r w:rsidR="00876D4A" w:rsidRPr="00E36F3C">
        <w:t>aragrafen</w:t>
      </w:r>
      <w:r w:rsidR="00876D4A">
        <w:t xml:space="preserve"> i fråga</w:t>
      </w:r>
      <w:r w:rsidR="00876D4A" w:rsidRPr="00E36F3C">
        <w:t xml:space="preserve"> ska motsvara lydelsen i 11</w:t>
      </w:r>
      <w:r w:rsidR="00404B77">
        <w:t> §</w:t>
      </w:r>
      <w:r w:rsidR="00876D4A" w:rsidRPr="00E36F3C">
        <w:t xml:space="preserve"> </w:t>
      </w:r>
      <w:r w:rsidR="00876D4A">
        <w:t>1</w:t>
      </w:r>
      <w:r w:rsidR="00404B77">
        <w:t> mom.</w:t>
      </w:r>
      <w:r w:rsidR="00876D4A">
        <w:t xml:space="preserve"> </w:t>
      </w:r>
      <w:r w:rsidR="00876D4A" w:rsidRPr="00E36F3C">
        <w:t xml:space="preserve">i </w:t>
      </w:r>
      <w:r w:rsidR="00876D4A">
        <w:t xml:space="preserve">rikets </w:t>
      </w:r>
      <w:r w:rsidR="00876D4A" w:rsidRPr="00E36F3C">
        <w:t>lag om klientavgifter inom social- och hälsovården</w:t>
      </w:r>
      <w:r w:rsidR="00D1456D">
        <w:t>,</w:t>
      </w:r>
      <w:r w:rsidR="00876D4A" w:rsidRPr="00E36F3C">
        <w:t xml:space="preserve"> </w:t>
      </w:r>
      <w:r w:rsidR="00D1456D">
        <w:t>i den lydelse det hade den</w:t>
      </w:r>
      <w:r w:rsidR="00876D4A" w:rsidRPr="00642902">
        <w:t xml:space="preserve"> 31</w:t>
      </w:r>
      <w:r w:rsidR="00876D4A">
        <w:t xml:space="preserve"> december </w:t>
      </w:r>
      <w:r w:rsidR="00876D4A" w:rsidRPr="00642902">
        <w:t>2022</w:t>
      </w:r>
      <w:r w:rsidR="00D1456D">
        <w:t xml:space="preserve"> och</w:t>
      </w:r>
      <w:r w:rsidR="00876D4A" w:rsidRPr="00642902">
        <w:t xml:space="preserve"> </w:t>
      </w:r>
      <w:r w:rsidR="00876D4A" w:rsidRPr="00E36F3C">
        <w:t>till den del den gäller socialvård</w:t>
      </w:r>
      <w:r w:rsidR="00D1456D">
        <w:t>. S</w:t>
      </w:r>
      <w:r w:rsidR="00876D4A">
        <w:t>kyldigheten</w:t>
      </w:r>
      <w:r w:rsidR="00D1456D">
        <w:t xml:space="preserve"> </w:t>
      </w:r>
      <w:r w:rsidR="00876D4A">
        <w:lastRenderedPageBreak/>
        <w:t xml:space="preserve">till efterskänkande och nedsättning av avgift ska </w:t>
      </w:r>
      <w:r w:rsidR="00D1456D">
        <w:t xml:space="preserve">således </w:t>
      </w:r>
      <w:r w:rsidR="00876D4A">
        <w:t>omfatta samtliga avgifter som fastställs för socialservice.</w:t>
      </w:r>
    </w:p>
    <w:p w14:paraId="2173A14E" w14:textId="28A0036F" w:rsidR="00A10778" w:rsidRDefault="00A10778">
      <w:pPr>
        <w:autoSpaceDE/>
        <w:autoSpaceDN/>
        <w:adjustRightInd/>
        <w:spacing w:line="240" w:lineRule="auto"/>
        <w:textAlignment w:val="auto"/>
        <w:rPr>
          <w:rFonts w:ascii="Times New Roman" w:eastAsia="Times New Roman" w:hAnsi="Times New Roman" w:cs="Times New Roman"/>
          <w:sz w:val="26"/>
          <w:lang w:eastAsia="sv-SE"/>
        </w:rPr>
      </w:pPr>
      <w:bookmarkStart w:id="17" w:name="_Toc93039379"/>
      <w:bookmarkStart w:id="18" w:name="_Toc130381448"/>
      <w:bookmarkStart w:id="19" w:name="_Toc185407786"/>
    </w:p>
    <w:p w14:paraId="5DFF0B32" w14:textId="6A39D684" w:rsidR="000E762F" w:rsidRDefault="002F1EC7" w:rsidP="002F1EC7">
      <w:pPr>
        <w:pStyle w:val="RubrikB"/>
      </w:pPr>
      <w:bookmarkStart w:id="20" w:name="_Toc193963322"/>
      <w:r>
        <w:t xml:space="preserve">4. </w:t>
      </w:r>
      <w:bookmarkEnd w:id="17"/>
      <w:r w:rsidR="00C43663">
        <w:t>Förslagets ko</w:t>
      </w:r>
      <w:r w:rsidR="000E762F" w:rsidRPr="002F1EC7">
        <w:t>n</w:t>
      </w:r>
      <w:bookmarkEnd w:id="18"/>
      <w:bookmarkEnd w:id="19"/>
      <w:r w:rsidR="00C43663">
        <w:t>sekvenser</w:t>
      </w:r>
      <w:bookmarkEnd w:id="20"/>
    </w:p>
    <w:p w14:paraId="02741337" w14:textId="77777777" w:rsidR="002F1EC7" w:rsidRPr="002F1EC7" w:rsidRDefault="002F1EC7" w:rsidP="002F1EC7">
      <w:pPr>
        <w:pStyle w:val="Rubrikmellanrum"/>
      </w:pPr>
    </w:p>
    <w:p w14:paraId="4618B96E" w14:textId="5E7CADC2" w:rsidR="000E762F" w:rsidRDefault="002F1EC7" w:rsidP="002F1EC7">
      <w:pPr>
        <w:pStyle w:val="RubrikC"/>
      </w:pPr>
      <w:bookmarkStart w:id="21" w:name="_Toc130381449"/>
      <w:bookmarkStart w:id="22" w:name="_Toc185407787"/>
      <w:bookmarkStart w:id="23" w:name="_Toc193963323"/>
      <w:r>
        <w:t xml:space="preserve">4.1 </w:t>
      </w:r>
      <w:r w:rsidR="000E762F" w:rsidRPr="00826B3D">
        <w:t>Ekonomiska konsekvenser</w:t>
      </w:r>
      <w:bookmarkEnd w:id="21"/>
      <w:bookmarkEnd w:id="22"/>
      <w:bookmarkEnd w:id="23"/>
    </w:p>
    <w:p w14:paraId="00772BEC" w14:textId="77777777" w:rsidR="002F1EC7" w:rsidRPr="002F1EC7" w:rsidRDefault="002F1EC7" w:rsidP="002F1EC7">
      <w:pPr>
        <w:pStyle w:val="Rubrikmellanrum"/>
      </w:pPr>
    </w:p>
    <w:p w14:paraId="1ED1BEC5" w14:textId="7BBB78A4" w:rsidR="000E762F" w:rsidRDefault="002F1EC7" w:rsidP="002F1EC7">
      <w:pPr>
        <w:pStyle w:val="RubrikD"/>
        <w:rPr>
          <w:rFonts w:eastAsiaTheme="majorEastAsia"/>
        </w:rPr>
      </w:pPr>
      <w:r>
        <w:rPr>
          <w:rFonts w:eastAsiaTheme="majorEastAsia"/>
        </w:rPr>
        <w:t xml:space="preserve">4.1.1 </w:t>
      </w:r>
      <w:r w:rsidR="000E762F" w:rsidRPr="003816B3">
        <w:rPr>
          <w:rFonts w:eastAsiaTheme="majorEastAsia"/>
        </w:rPr>
        <w:t>Konsekvenser för kommunernas ekonomi</w:t>
      </w:r>
    </w:p>
    <w:p w14:paraId="1F6CC06D" w14:textId="77777777" w:rsidR="002F1EC7" w:rsidRPr="002F1EC7" w:rsidRDefault="002F1EC7" w:rsidP="002F1EC7">
      <w:pPr>
        <w:pStyle w:val="Rubrikmellanrum"/>
        <w:rPr>
          <w:rFonts w:eastAsiaTheme="majorEastAsia"/>
        </w:rPr>
      </w:pPr>
    </w:p>
    <w:p w14:paraId="7932F5EC" w14:textId="3A537CD0" w:rsidR="000E762F" w:rsidRPr="001D4D4C" w:rsidRDefault="00EC7972" w:rsidP="00D57E97">
      <w:pPr>
        <w:pStyle w:val="ANormal"/>
      </w:pPr>
      <w:r>
        <w:t>Den nuvarande bestämmelsen i 16</w:t>
      </w:r>
      <w:r w:rsidR="00404B77">
        <w:t> §</w:t>
      </w:r>
      <w:r>
        <w:t xml:space="preserve"> 3</w:t>
      </w:r>
      <w:r w:rsidR="00404B77">
        <w:t> mom.</w:t>
      </w:r>
      <w:r>
        <w:t xml:space="preserve"> som reglerar storleken på m</w:t>
      </w:r>
      <w:r w:rsidR="000E762F" w:rsidRPr="001D4D4C">
        <w:t>inimibeloppet för personligt bruk för klienter inom långvarigt serviceboende med heldygnsomsorg (250 euro per månad) trä</w:t>
      </w:r>
      <w:r w:rsidR="00EE2180">
        <w:t>tt</w:t>
      </w:r>
      <w:r w:rsidR="000E762F" w:rsidRPr="001D4D4C">
        <w:t xml:space="preserve"> i kraft </w:t>
      </w:r>
      <w:r>
        <w:t xml:space="preserve">den </w:t>
      </w:r>
      <w:r w:rsidR="000E762F" w:rsidRPr="001D4D4C">
        <w:t>1</w:t>
      </w:r>
      <w:r>
        <w:t xml:space="preserve"> januari </w:t>
      </w:r>
      <w:r w:rsidR="000E762F" w:rsidRPr="001D4D4C">
        <w:t xml:space="preserve">2024. I enlighet med </w:t>
      </w:r>
      <w:r w:rsidR="00EE2180">
        <w:t xml:space="preserve">den nuvarande bestämmelsen i </w:t>
      </w:r>
      <w:r w:rsidR="000E762F" w:rsidRPr="001D4D4C">
        <w:t>33</w:t>
      </w:r>
      <w:r w:rsidR="00404B77">
        <w:t> §</w:t>
      </w:r>
      <w:r w:rsidR="000E762F" w:rsidRPr="001D4D4C">
        <w:t xml:space="preserve"> 2</w:t>
      </w:r>
      <w:r w:rsidR="00404B77">
        <w:t> mom.</w:t>
      </w:r>
      <w:r w:rsidR="000E762F" w:rsidRPr="001D4D4C">
        <w:t xml:space="preserve"> </w:t>
      </w:r>
      <w:r>
        <w:t>i klientavgiftslagen</w:t>
      </w:r>
      <w:r w:rsidR="00EE2180">
        <w:t xml:space="preserve">, vilken även trätt i kraft den </w:t>
      </w:r>
      <w:r w:rsidR="00EE2180" w:rsidRPr="001D4D4C">
        <w:t>1</w:t>
      </w:r>
      <w:r w:rsidR="00EE2180">
        <w:t xml:space="preserve"> januari </w:t>
      </w:r>
      <w:r w:rsidR="00EE2180" w:rsidRPr="001D4D4C">
        <w:t>2024</w:t>
      </w:r>
      <w:r w:rsidR="00C306AC">
        <w:t>,</w:t>
      </w:r>
      <w:r>
        <w:t xml:space="preserve"> </w:t>
      </w:r>
      <w:r w:rsidR="000E762F" w:rsidRPr="001D4D4C">
        <w:t>ska beloppet indexjusteras vartannat år</w:t>
      </w:r>
      <w:r w:rsidR="00EE2180">
        <w:t>. Detta</w:t>
      </w:r>
      <w:r w:rsidR="000E762F" w:rsidRPr="001D4D4C">
        <w:t xml:space="preserve"> innebär att nästa indexjustering sker </w:t>
      </w:r>
      <w:r>
        <w:t xml:space="preserve">år </w:t>
      </w:r>
      <w:r w:rsidR="000E762F" w:rsidRPr="001D4D4C">
        <w:t xml:space="preserve">2025 och det indexjusterade beloppet </w:t>
      </w:r>
      <w:r w:rsidR="00C306AC">
        <w:t>kommer att fr.o.m.</w:t>
      </w:r>
      <w:r w:rsidR="00EE2180">
        <w:t xml:space="preserve"> den</w:t>
      </w:r>
      <w:r w:rsidR="000E762F" w:rsidRPr="001D4D4C">
        <w:t xml:space="preserve"> 1</w:t>
      </w:r>
      <w:r w:rsidR="00EE2180">
        <w:t xml:space="preserve"> januari </w:t>
      </w:r>
      <w:r w:rsidR="000E762F" w:rsidRPr="001D4D4C">
        <w:t>2026</w:t>
      </w:r>
      <w:r w:rsidR="00C306AC">
        <w:t xml:space="preserve">, enligt det nuvarande regelverket, att uppgå till </w:t>
      </w:r>
      <w:r w:rsidR="00C306AC" w:rsidRPr="001D4D4C">
        <w:t>267</w:t>
      </w:r>
      <w:r w:rsidR="00090E5F">
        <w:t xml:space="preserve"> </w:t>
      </w:r>
      <w:r w:rsidR="00090E5F" w:rsidRPr="00AE041F">
        <w:t xml:space="preserve">euro </w:t>
      </w:r>
      <w:r w:rsidR="00090E5F">
        <w:t>och 70 cent</w:t>
      </w:r>
      <w:r w:rsidR="00C306AC" w:rsidRPr="001D4D4C">
        <w:t xml:space="preserve"> per månad</w:t>
      </w:r>
      <w:r w:rsidR="00C306AC">
        <w:t>,</w:t>
      </w:r>
      <w:r w:rsidR="00C306AC" w:rsidRPr="001D4D4C">
        <w:t xml:space="preserve"> baserat på jämförelse mellan arbetspensionsindex för år 2025 och arbetspensionsindex för år 2023</w:t>
      </w:r>
      <w:r w:rsidR="00C306AC">
        <w:t>.</w:t>
      </w:r>
    </w:p>
    <w:p w14:paraId="19E9D8A4" w14:textId="61549541" w:rsidR="0032234C" w:rsidRDefault="00D57E97" w:rsidP="00D57E97">
      <w:pPr>
        <w:pStyle w:val="ANormal"/>
      </w:pPr>
      <w:r>
        <w:tab/>
      </w:r>
      <w:r w:rsidR="000E762F" w:rsidRPr="00D30E41">
        <w:t>Enligt uppgift</w:t>
      </w:r>
      <w:r w:rsidR="008C03F0">
        <w:t xml:space="preserve">er </w:t>
      </w:r>
      <w:r w:rsidR="00C11D59" w:rsidRPr="00D30E41">
        <w:t>från Mariehamns stad</w:t>
      </w:r>
      <w:r w:rsidR="00C11D59">
        <w:t>,</w:t>
      </w:r>
      <w:r w:rsidR="00C11D59">
        <w:rPr>
          <w:vertAlign w:val="superscript"/>
        </w:rPr>
        <w:t xml:space="preserve"> </w:t>
      </w:r>
      <w:r w:rsidR="00C11D59">
        <w:t>vilka</w:t>
      </w:r>
      <w:r w:rsidR="008C03F0">
        <w:t xml:space="preserve"> landskapsregeringens socialvårdsbyrå </w:t>
      </w:r>
      <w:r w:rsidR="00C11D59">
        <w:t>har fått ta del av,</w:t>
      </w:r>
      <w:r w:rsidR="000E762F" w:rsidRPr="00D30E41">
        <w:t xml:space="preserve"> </w:t>
      </w:r>
      <w:r w:rsidR="00C11D59">
        <w:t>omfattades</w:t>
      </w:r>
      <w:r w:rsidR="00B35BAA">
        <w:t xml:space="preserve"> under</w:t>
      </w:r>
      <w:r w:rsidR="00B35BAA" w:rsidRPr="00D30E41">
        <w:t xml:space="preserve"> september </w:t>
      </w:r>
      <w:r w:rsidR="00B35BAA">
        <w:t>månad i fjol</w:t>
      </w:r>
      <w:r w:rsidR="000E762F" w:rsidRPr="00D30E41">
        <w:t xml:space="preserve"> 65 procent av stadens klienter inom långvarigt serviceboende med heldygnsomsorg</w:t>
      </w:r>
      <w:r w:rsidR="00B35BAA">
        <w:t xml:space="preserve"> dvs.</w:t>
      </w:r>
      <w:r w:rsidR="008C03F0">
        <w:t xml:space="preserve"> </w:t>
      </w:r>
      <w:r w:rsidR="000E762F" w:rsidRPr="00D30E41">
        <w:t>72 av 111 klienter</w:t>
      </w:r>
      <w:r w:rsidR="008C03F0">
        <w:t xml:space="preserve">, </w:t>
      </w:r>
      <w:r w:rsidR="000E762F" w:rsidRPr="00D30E41">
        <w:t xml:space="preserve">av </w:t>
      </w:r>
      <w:r w:rsidR="00B35BAA">
        <w:t xml:space="preserve">rätten att </w:t>
      </w:r>
      <w:r w:rsidR="00C11D59">
        <w:t xml:space="preserve">erhålla det </w:t>
      </w:r>
      <w:r w:rsidR="000E762F" w:rsidRPr="00D30E41">
        <w:t>lagstadgade minimibeloppet för personligt bruk</w:t>
      </w:r>
      <w:r w:rsidR="008C03F0">
        <w:t xml:space="preserve">, </w:t>
      </w:r>
      <w:r w:rsidR="000E762F" w:rsidRPr="00D30E41">
        <w:t xml:space="preserve">250 euro per månad. I medeltal </w:t>
      </w:r>
      <w:r w:rsidR="00A95E8C">
        <w:t xml:space="preserve">uppgår </w:t>
      </w:r>
      <w:r w:rsidR="000E762F" w:rsidRPr="00D30E41">
        <w:t xml:space="preserve">beloppet som avgiften har sänkts </w:t>
      </w:r>
      <w:r w:rsidR="00A95E8C">
        <w:t>till</w:t>
      </w:r>
      <w:r w:rsidR="000E762F" w:rsidRPr="00D30E41">
        <w:t xml:space="preserve"> 77 euro</w:t>
      </w:r>
      <w:r w:rsidR="00A95E8C">
        <w:t xml:space="preserve"> per klient, där variationen på det sänkta beloppet rör sig</w:t>
      </w:r>
      <w:r w:rsidR="000E762F" w:rsidRPr="00D30E41">
        <w:t xml:space="preserve"> mellan 4 och 193 euro per klient. </w:t>
      </w:r>
      <w:r w:rsidR="000E762F" w:rsidRPr="00AE041F">
        <w:t xml:space="preserve">Utgående från </w:t>
      </w:r>
      <w:r w:rsidR="00272855">
        <w:t xml:space="preserve">statistik </w:t>
      </w:r>
      <w:r w:rsidR="00272855" w:rsidRPr="00AE041F">
        <w:t xml:space="preserve">för år 2023 </w:t>
      </w:r>
      <w:r w:rsidR="00272855">
        <w:t xml:space="preserve">sammanställd av </w:t>
      </w:r>
      <w:r w:rsidR="000E762F" w:rsidRPr="00AE041F">
        <w:t xml:space="preserve">Ålands statistik- och utredningsbyrå </w:t>
      </w:r>
      <w:r w:rsidR="000E762F" w:rsidRPr="00272855">
        <w:rPr>
          <w:i/>
          <w:iCs/>
        </w:rPr>
        <w:t>(ÅSUB)</w:t>
      </w:r>
      <w:r w:rsidR="000E762F" w:rsidRPr="00AE041F">
        <w:t xml:space="preserve"> </w:t>
      </w:r>
      <w:r w:rsidR="000542F9">
        <w:t xml:space="preserve">kan konstateras att </w:t>
      </w:r>
      <w:r w:rsidR="000E762F" w:rsidRPr="00AE041F">
        <w:t xml:space="preserve">65 procent av samtliga klienter inom långvarigt serviceboende med heldygnsomsorg </w:t>
      </w:r>
      <w:r w:rsidR="0032234C">
        <w:t xml:space="preserve">antalsmässigt motsvaras av </w:t>
      </w:r>
      <w:r w:rsidR="000E762F" w:rsidRPr="00AE041F">
        <w:t>cirka 188 klienter.</w:t>
      </w:r>
    </w:p>
    <w:p w14:paraId="265D983F" w14:textId="4DC0C899" w:rsidR="000E762F" w:rsidRDefault="00090E5F" w:rsidP="00D57E97">
      <w:pPr>
        <w:pStyle w:val="ANormal"/>
      </w:pPr>
      <w:r>
        <w:tab/>
      </w:r>
      <w:r w:rsidR="000E762F" w:rsidRPr="00AE041F">
        <w:t>Om samtliga kommuner/kommunalförbund på Åland skulle behöva sänka avgiften i likhet med Mariehamns stad, så att 65 procent av klienterna inom långvarigt serviceboende med heldygnsomsorg skulle beröras av ett minimibelopp om 267</w:t>
      </w:r>
      <w:r>
        <w:t xml:space="preserve"> </w:t>
      </w:r>
      <w:r w:rsidR="000E762F" w:rsidRPr="00AE041F">
        <w:t xml:space="preserve">euro </w:t>
      </w:r>
      <w:r>
        <w:t xml:space="preserve">och 70 cent </w:t>
      </w:r>
      <w:r w:rsidR="000E762F" w:rsidRPr="00AE041F">
        <w:t xml:space="preserve">per månad </w:t>
      </w:r>
      <w:r w:rsidR="000E762F">
        <w:t xml:space="preserve">(från och med </w:t>
      </w:r>
      <w:r>
        <w:t xml:space="preserve">den 1 januari </w:t>
      </w:r>
      <w:r w:rsidR="000E762F">
        <w:t xml:space="preserve">2026, </w:t>
      </w:r>
      <w:r w:rsidR="000E762F" w:rsidRPr="00AE041F">
        <w:t>enligt nästa indexjustering), skulle kommunerna och kommunalförbunden behöva sänka avgiften per klient med 94</w:t>
      </w:r>
      <w:r>
        <w:t xml:space="preserve"> </w:t>
      </w:r>
      <w:r w:rsidRPr="00AE041F">
        <w:t xml:space="preserve">euro </w:t>
      </w:r>
      <w:r>
        <w:t xml:space="preserve">och 70 cent </w:t>
      </w:r>
      <w:r w:rsidR="000E762F" w:rsidRPr="00AE041F">
        <w:t>per månad (77 euro + 17</w:t>
      </w:r>
      <w:r>
        <w:t xml:space="preserve"> </w:t>
      </w:r>
      <w:r w:rsidRPr="00AE041F">
        <w:t xml:space="preserve">euro </w:t>
      </w:r>
      <w:r>
        <w:t>och 70 cent</w:t>
      </w:r>
      <w:r w:rsidR="000E762F" w:rsidRPr="00AE041F">
        <w:t xml:space="preserve">), vilket innebär en </w:t>
      </w:r>
      <w:r>
        <w:t xml:space="preserve">total </w:t>
      </w:r>
      <w:r w:rsidR="000E762F" w:rsidRPr="00AE041F">
        <w:t>sänkning om cirka 213</w:t>
      </w:r>
      <w:r>
        <w:t> </w:t>
      </w:r>
      <w:r w:rsidR="000E762F" w:rsidRPr="00AE041F">
        <w:t>643</w:t>
      </w:r>
      <w:r>
        <w:t xml:space="preserve"> </w:t>
      </w:r>
      <w:r w:rsidRPr="00AE041F">
        <w:t xml:space="preserve">euro </w:t>
      </w:r>
      <w:r>
        <w:t xml:space="preserve">och 20 cent </w:t>
      </w:r>
      <w:r w:rsidR="000E762F" w:rsidRPr="00AE041F">
        <w:t>per år.</w:t>
      </w:r>
    </w:p>
    <w:p w14:paraId="5EF26DC5" w14:textId="45E05C74" w:rsidR="000E762F" w:rsidRDefault="00D57E97" w:rsidP="00D57E97">
      <w:pPr>
        <w:pStyle w:val="ANormal"/>
      </w:pPr>
      <w:r>
        <w:tab/>
      </w:r>
      <w:r w:rsidR="000E762F" w:rsidRPr="00A014AA">
        <w:t>En höjning av det lagstadgade minimibeloppet till 300 euro per månad skulle, baserat på ovanstående, innebära en ytterligare sänkning av avgiften per klient med 32</w:t>
      </w:r>
      <w:r w:rsidR="00090E5F">
        <w:t xml:space="preserve"> </w:t>
      </w:r>
      <w:r w:rsidR="00090E5F" w:rsidRPr="00AE041F">
        <w:t xml:space="preserve">euro </w:t>
      </w:r>
      <w:r w:rsidR="00090E5F">
        <w:t>och 30 cent</w:t>
      </w:r>
      <w:r w:rsidR="000E762F" w:rsidRPr="00A014AA">
        <w:t>, vilket innebär en sänkning med cirka 72</w:t>
      </w:r>
      <w:r w:rsidR="00090E5F">
        <w:t> </w:t>
      </w:r>
      <w:r w:rsidR="000E762F" w:rsidRPr="00A014AA">
        <w:t>868</w:t>
      </w:r>
      <w:r w:rsidR="00090E5F">
        <w:t xml:space="preserve"> </w:t>
      </w:r>
      <w:r w:rsidR="00090E5F" w:rsidRPr="00AE041F">
        <w:t xml:space="preserve">euro </w:t>
      </w:r>
      <w:r w:rsidR="00090E5F">
        <w:t xml:space="preserve">och 80 cent </w:t>
      </w:r>
      <w:r w:rsidR="000E762F" w:rsidRPr="00A014AA">
        <w:t xml:space="preserve">per år. Det </w:t>
      </w:r>
      <w:r w:rsidR="000E762F" w:rsidRPr="00AE041F">
        <w:t xml:space="preserve">går dock inte att </w:t>
      </w:r>
      <w:r w:rsidR="00090E5F">
        <w:t>direkt dra slutsatsen</w:t>
      </w:r>
      <w:r w:rsidR="000E762F" w:rsidRPr="00AE041F">
        <w:t xml:space="preserve"> att kommunerna skulle gå miste om </w:t>
      </w:r>
      <w:r w:rsidR="00A655EC">
        <w:t xml:space="preserve">specifikt </w:t>
      </w:r>
      <w:r w:rsidR="000E762F" w:rsidRPr="00AE041F">
        <w:t xml:space="preserve">detta belopp, då stadens situation per automatik inte är </w:t>
      </w:r>
      <w:r w:rsidR="00A655EC">
        <w:t>överförbar på</w:t>
      </w:r>
      <w:r w:rsidR="000E762F" w:rsidRPr="00AE041F">
        <w:t xml:space="preserve"> övriga kommuner och </w:t>
      </w:r>
      <w:r w:rsidR="00090E5F">
        <w:t xml:space="preserve">då </w:t>
      </w:r>
      <w:r w:rsidR="000E762F" w:rsidRPr="00AE041F">
        <w:t xml:space="preserve">uppgifter om varje enskild klient </w:t>
      </w:r>
      <w:r w:rsidR="00090E5F">
        <w:t xml:space="preserve">dessutom </w:t>
      </w:r>
      <w:r w:rsidR="000E762F" w:rsidRPr="00AE041F">
        <w:t>saknas.</w:t>
      </w:r>
    </w:p>
    <w:p w14:paraId="485E8346" w14:textId="35BBD8AA" w:rsidR="00C83299" w:rsidRPr="00786795" w:rsidRDefault="003D5CE2" w:rsidP="00C83299">
      <w:pPr>
        <w:pStyle w:val="ANormal"/>
      </w:pPr>
      <w:r>
        <w:tab/>
      </w:r>
      <w:r w:rsidRPr="00786795">
        <w:t xml:space="preserve">Varje kommun/kommunalförbund fastställer årligen, inom lagens ramar, klientavgifter. Vissa kommuner/kommunalförbund på Åland har </w:t>
      </w:r>
      <w:r>
        <w:t xml:space="preserve">för </w:t>
      </w:r>
      <w:r w:rsidRPr="00786795">
        <w:t xml:space="preserve">år 2024 fastställt ett högre minimibelopp för personligt bruk än det lagstadgade beloppet, </w:t>
      </w:r>
      <w:r>
        <w:t xml:space="preserve">där beloppsnivån rör sig </w:t>
      </w:r>
      <w:r w:rsidRPr="00786795">
        <w:t>mellan 275–400 euro per månad</w:t>
      </w:r>
      <w:r>
        <w:t xml:space="preserve"> dvs. mellan </w:t>
      </w:r>
      <w:r w:rsidRPr="00786795">
        <w:t>3</w:t>
      </w:r>
      <w:r w:rsidR="008C335E">
        <w:t> </w:t>
      </w:r>
      <w:r w:rsidRPr="00786795">
        <w:t>300–4</w:t>
      </w:r>
      <w:r>
        <w:t> </w:t>
      </w:r>
      <w:r w:rsidRPr="00786795">
        <w:t xml:space="preserve">800 euro per år. Dessa kommuner/kommunalförbund påverkas </w:t>
      </w:r>
      <w:r>
        <w:t xml:space="preserve">således </w:t>
      </w:r>
      <w:r w:rsidRPr="00786795">
        <w:t xml:space="preserve">inte av höjningen av det lagstadgade minimibeloppet, under förutsättning </w:t>
      </w:r>
      <w:r>
        <w:t>att</w:t>
      </w:r>
      <w:r w:rsidRPr="00786795">
        <w:t xml:space="preserve"> den för år 2024 fastställda nivån bibehålls framöver.</w:t>
      </w:r>
      <w:r w:rsidR="00C83299">
        <w:t xml:space="preserve"> </w:t>
      </w:r>
      <w:r w:rsidR="00C83299" w:rsidRPr="004901FD">
        <w:t xml:space="preserve">En höjning av det lagstadgade minimibeloppet för personligt bruk till 300 euro per månad torde </w:t>
      </w:r>
      <w:r w:rsidR="00C83299">
        <w:t xml:space="preserve">dock </w:t>
      </w:r>
      <w:r w:rsidR="00C83299" w:rsidRPr="004901FD">
        <w:t xml:space="preserve">leda till att fler klienter </w:t>
      </w:r>
      <w:r w:rsidR="00C83299">
        <w:t>omfattas av den lagstadgade rätten att erhålla sagda</w:t>
      </w:r>
      <w:r w:rsidR="00C83299" w:rsidRPr="004901FD">
        <w:t xml:space="preserve"> minibelopp och att kommunerna </w:t>
      </w:r>
      <w:r w:rsidR="00C83299">
        <w:t xml:space="preserve">som ett resultat därav </w:t>
      </w:r>
      <w:r w:rsidR="00C83299" w:rsidRPr="004901FD">
        <w:t xml:space="preserve">får </w:t>
      </w:r>
      <w:r w:rsidR="00C83299" w:rsidRPr="002705BC">
        <w:t>något</w:t>
      </w:r>
      <w:r w:rsidR="00C83299" w:rsidRPr="004901FD">
        <w:t xml:space="preserve"> minskade avgiftsintäkter.</w:t>
      </w:r>
    </w:p>
    <w:p w14:paraId="73E6A74C" w14:textId="1AB3EFB6" w:rsidR="00C939B6" w:rsidRPr="00CB49FB" w:rsidRDefault="00C939B6" w:rsidP="00C939B6">
      <w:pPr>
        <w:pStyle w:val="ANormal"/>
      </w:pPr>
      <w:r>
        <w:tab/>
      </w:r>
      <w:r w:rsidRPr="00DE60C9">
        <w:t xml:space="preserve">Det är i nuläget oklart i vilken utsträckning kommunernas avgiftsintäkter har påverkats av de nya bestämmelserna om avgiften för långvarigt </w:t>
      </w:r>
      <w:r w:rsidRPr="00DE60C9">
        <w:lastRenderedPageBreak/>
        <w:t xml:space="preserve">serviceboende med heldygnsomsorg </w:t>
      </w:r>
      <w:r>
        <w:t>vilka</w:t>
      </w:r>
      <w:r w:rsidRPr="00DE60C9">
        <w:t xml:space="preserve"> trädde i kraft </w:t>
      </w:r>
      <w:r>
        <w:t xml:space="preserve">den 1 januari </w:t>
      </w:r>
      <w:r w:rsidRPr="00DE60C9">
        <w:t xml:space="preserve">2024. I enlighet med </w:t>
      </w:r>
      <w:r>
        <w:t xml:space="preserve">förarbetena till klientavgiftslagen </w:t>
      </w:r>
      <w:r w:rsidRPr="008E4D34">
        <w:t xml:space="preserve">ska en uppföljning </w:t>
      </w:r>
      <w:r>
        <w:t xml:space="preserve">av dess bestämmelser </w:t>
      </w:r>
      <w:r w:rsidRPr="008E4D34">
        <w:t xml:space="preserve">ske när lagen har varit i kraft i två år, eftersom det är svårt att i förväg bedöma vilka ekonomiska effekter </w:t>
      </w:r>
      <w:r>
        <w:t>bestämmelserna i fråga</w:t>
      </w:r>
      <w:r w:rsidRPr="008E4D34">
        <w:t xml:space="preserve"> kommer att få för kommunerna</w:t>
      </w:r>
      <w:r>
        <w:t>s</w:t>
      </w:r>
      <w:r w:rsidRPr="008E4D34">
        <w:t xml:space="preserve"> och kommunförbunden</w:t>
      </w:r>
      <w:r>
        <w:t>s del</w:t>
      </w:r>
      <w:r w:rsidRPr="008E4D34">
        <w:t>.</w:t>
      </w:r>
      <w:r>
        <w:rPr>
          <w:rStyle w:val="Fotnotsreferens"/>
        </w:rPr>
        <w:footnoteReference w:id="4"/>
      </w:r>
      <w:r w:rsidRPr="008E4D34">
        <w:t xml:space="preserve"> </w:t>
      </w:r>
      <w:r>
        <w:t>I nämnda förarbeten finns</w:t>
      </w:r>
      <w:r w:rsidRPr="008E4D34">
        <w:t xml:space="preserve"> även en skrivning om en justering av landskapsandelarna på socialvårdsområdet, om det visar sig att effekterna blir betydande.</w:t>
      </w:r>
      <w:r>
        <w:rPr>
          <w:rStyle w:val="Fotnotsreferens"/>
        </w:rPr>
        <w:footnoteReference w:id="5"/>
      </w:r>
      <w:r>
        <w:t xml:space="preserve"> Med anledning av dessa omständigheter</w:t>
      </w:r>
      <w:r w:rsidRPr="003D28C2">
        <w:t xml:space="preserve"> är det </w:t>
      </w:r>
      <w:r>
        <w:t xml:space="preserve">för närvarande dock </w:t>
      </w:r>
      <w:r w:rsidRPr="003D28C2">
        <w:t>inte möjligt att ta fram exakta uppgifter gällande de ekonomiska konsekvenserna av ändring</w:t>
      </w:r>
      <w:r>
        <w:t>arna som landskapsregeringen föreslår i nuläget</w:t>
      </w:r>
      <w:r w:rsidRPr="003D28C2">
        <w:t>.</w:t>
      </w:r>
      <w:r w:rsidR="004262A9">
        <w:t xml:space="preserve"> </w:t>
      </w:r>
      <w:r w:rsidR="004262A9" w:rsidRPr="00CB49FB">
        <w:t xml:space="preserve">Likväl bedömer landskapsregeringen att den föreslagna ändringen till denna del har en så pass marginell inverkan på den kommunala ekonomin att en separat justering av landskapsandelarna </w:t>
      </w:r>
      <w:r w:rsidR="00D92941" w:rsidRPr="00CB49FB">
        <w:t xml:space="preserve">med anledning därav </w:t>
      </w:r>
      <w:r w:rsidR="004262A9" w:rsidRPr="00CB49FB">
        <w:t>inte behövs i det här skedet.</w:t>
      </w:r>
    </w:p>
    <w:p w14:paraId="0A8C0672" w14:textId="73FEF8F3" w:rsidR="009C372B" w:rsidRDefault="00392D0E" w:rsidP="00D57E97">
      <w:pPr>
        <w:pStyle w:val="ANormal"/>
      </w:pPr>
      <w:r>
        <w:rPr>
          <w:b/>
          <w:bCs/>
        </w:rPr>
        <w:tab/>
      </w:r>
      <w:r w:rsidR="000E762F">
        <w:t xml:space="preserve">Eftersom avsikten </w:t>
      </w:r>
      <w:r w:rsidR="00731794">
        <w:t>vid klientavgiftslagens tillkomst</w:t>
      </w:r>
      <w:r w:rsidR="000E762F">
        <w:t xml:space="preserve"> var att dåvarande rättsläge skulle bevaras, </w:t>
      </w:r>
      <w:r w:rsidR="009C372B">
        <w:t>dock med beaktande av</w:t>
      </w:r>
      <w:r w:rsidR="000E762F">
        <w:t xml:space="preserve"> </w:t>
      </w:r>
      <w:r w:rsidR="009C372B">
        <w:t xml:space="preserve">dels </w:t>
      </w:r>
      <w:r w:rsidR="000E762F">
        <w:t xml:space="preserve">en förstärkning </w:t>
      </w:r>
      <w:r w:rsidR="009C372B">
        <w:t>som innebar</w:t>
      </w:r>
      <w:r w:rsidR="000E762F" w:rsidRPr="006F0888">
        <w:t xml:space="preserve"> att efterskänkande och nedsättning ska prioriteras framom</w:t>
      </w:r>
      <w:r w:rsidR="000E762F">
        <w:t xml:space="preserve"> utkomststöd</w:t>
      </w:r>
      <w:r w:rsidR="009C372B">
        <w:t>,</w:t>
      </w:r>
      <w:r w:rsidR="000E762F">
        <w:t xml:space="preserve"> </w:t>
      </w:r>
      <w:r w:rsidR="009C372B">
        <w:t xml:space="preserve">dels </w:t>
      </w:r>
      <w:r w:rsidR="000E762F">
        <w:t xml:space="preserve">en förstärkning gällande skyldigheten att informera om </w:t>
      </w:r>
      <w:r w:rsidR="000E762F" w:rsidRPr="00B84A2E">
        <w:t>förutsättningarna för nedsättning och efterskänkande av avgift</w:t>
      </w:r>
      <w:r w:rsidR="000E762F">
        <w:t xml:space="preserve"> (</w:t>
      </w:r>
      <w:r w:rsidR="009C372B">
        <w:t xml:space="preserve">principer som kommer till uttryck i klientavgiftslagens </w:t>
      </w:r>
      <w:r w:rsidR="000E762F">
        <w:t>27</w:t>
      </w:r>
      <w:r w:rsidR="00404B77">
        <w:t> §</w:t>
      </w:r>
      <w:r w:rsidR="000E762F">
        <w:t xml:space="preserve"> 3–5</w:t>
      </w:r>
      <w:r w:rsidR="00404B77">
        <w:t> mom.</w:t>
      </w:r>
      <w:r w:rsidR="000E762F">
        <w:t>), torde detta förslag inte nämnvärt inverka på kommunernas ekonomi.</w:t>
      </w:r>
      <w:r w:rsidR="00091CDA">
        <w:rPr>
          <w:rStyle w:val="Fotnotsreferens"/>
        </w:rPr>
        <w:footnoteReference w:id="6"/>
      </w:r>
    </w:p>
    <w:p w14:paraId="020CA625" w14:textId="77777777" w:rsidR="009C372B" w:rsidRDefault="009C372B" w:rsidP="00D57E97">
      <w:pPr>
        <w:pStyle w:val="ANormal"/>
      </w:pPr>
    </w:p>
    <w:p w14:paraId="3EA47F9B" w14:textId="1CD6F43E" w:rsidR="000E762F" w:rsidRDefault="00D57E97" w:rsidP="00D57E97">
      <w:pPr>
        <w:pStyle w:val="RubrikD"/>
        <w:rPr>
          <w:rFonts w:eastAsiaTheme="majorEastAsia"/>
        </w:rPr>
      </w:pPr>
      <w:r>
        <w:rPr>
          <w:rFonts w:eastAsiaTheme="majorEastAsia"/>
        </w:rPr>
        <w:t xml:space="preserve">4.1.2 </w:t>
      </w:r>
      <w:r w:rsidR="000E762F" w:rsidRPr="00D57E97">
        <w:rPr>
          <w:rFonts w:eastAsiaTheme="majorEastAsia"/>
        </w:rPr>
        <w:t>Konsekvenser för hushållens ställning och ekonomi</w:t>
      </w:r>
    </w:p>
    <w:p w14:paraId="320A79EC" w14:textId="77777777" w:rsidR="00D57E97" w:rsidRPr="00D57E97" w:rsidRDefault="00D57E97" w:rsidP="00D57E97">
      <w:pPr>
        <w:pStyle w:val="Rubrikmellanrum"/>
        <w:rPr>
          <w:rFonts w:eastAsiaTheme="majorEastAsia"/>
        </w:rPr>
      </w:pPr>
    </w:p>
    <w:p w14:paraId="001D2964" w14:textId="1B03D284" w:rsidR="000E762F" w:rsidRDefault="000E762F" w:rsidP="00253E50">
      <w:pPr>
        <w:pStyle w:val="ANormal"/>
      </w:pPr>
      <w:r w:rsidRPr="00253E50">
        <w:t xml:space="preserve">Enligt ÅSUB:s statistik fanns år 2023 totalt 290 klienter inom serviceboende med heldygnsomsorg. Majoriteten av dessa klienter är äldre (65 år fyllda). Endast nio av klienterna var under 65 år. Av samtliga klienter 2023 var 200 kvinnor och 90 män. Således torde det främst vara äldre kvinnor som gynnas av ett </w:t>
      </w:r>
      <w:r w:rsidR="008B337C">
        <w:t>genom en ändrad 16</w:t>
      </w:r>
      <w:r w:rsidR="00404B77">
        <w:t> §</w:t>
      </w:r>
      <w:r w:rsidR="008B337C">
        <w:t xml:space="preserve"> </w:t>
      </w:r>
      <w:r w:rsidRPr="00253E50">
        <w:t>höjt lagstadgat minimibelopp för personligt bruk.</w:t>
      </w:r>
      <w:r w:rsidR="008B337C">
        <w:t xml:space="preserve"> </w:t>
      </w:r>
      <w:r w:rsidRPr="00253E50">
        <w:t>En höjning av beloppet skulle främst gynna klienter med låga inkomster. Dock skulle inte de klienter som berörs av ett högre minimibelopp för personligt bruk, enligt beslut av kommun/kommunalförbund, gynnas.</w:t>
      </w:r>
      <w:r w:rsidR="008B337C">
        <w:t xml:space="preserve"> </w:t>
      </w:r>
      <w:r>
        <w:t>Den föreslagna höjningen av minimibeloppet för personligt bruk innebär även en förbättring för klienter på lång sikt, eftersom kommande indexjusteringar görs baserat på det höjda beloppet.</w:t>
      </w:r>
    </w:p>
    <w:p w14:paraId="20FE3A46" w14:textId="2A28B9A8" w:rsidR="000E762F" w:rsidRDefault="008B337C" w:rsidP="00253E50">
      <w:pPr>
        <w:pStyle w:val="ANormal"/>
      </w:pPr>
      <w:r>
        <w:tab/>
      </w:r>
      <w:r w:rsidR="000E762F" w:rsidRPr="00C02466">
        <w:t>Beroende på hur kommunerna/kommunalförbunden har tillämpat 27</w:t>
      </w:r>
      <w:r w:rsidR="00404B77">
        <w:t> §</w:t>
      </w:r>
      <w:r w:rsidR="000E762F" w:rsidRPr="00C02466">
        <w:t xml:space="preserve"> i klientavgiftslagen, kan den föreslagna korrigeringen innebära en fördel för klienter genom att kommunernas/kommunalförbundens skyldighet enligt 27</w:t>
      </w:r>
      <w:r w:rsidR="00404B77">
        <w:t> §</w:t>
      </w:r>
      <w:r w:rsidR="000E762F" w:rsidRPr="00C02466">
        <w:t xml:space="preserve"> 1</w:t>
      </w:r>
      <w:r w:rsidR="00404B77">
        <w:t> mom.</w:t>
      </w:r>
      <w:r w:rsidR="000E762F" w:rsidRPr="00C02466">
        <w:t xml:space="preserve"> </w:t>
      </w:r>
      <w:r w:rsidRPr="00C02466">
        <w:t>att</w:t>
      </w:r>
      <w:r>
        <w:t xml:space="preserve"> </w:t>
      </w:r>
      <w:r w:rsidR="000E762F" w:rsidRPr="00C02466">
        <w:t>efterskänka eller nedsätta avgifter tydliggörs så att den omfattar samtliga avgifter vilka fastställs för socialservice (vilket även var fallet före 1</w:t>
      </w:r>
      <w:r>
        <w:t xml:space="preserve"> januari </w:t>
      </w:r>
      <w:r w:rsidR="000E762F" w:rsidRPr="00C02466">
        <w:t xml:space="preserve">2023). Detta är särskilt viktigt gällande avgifter för tidiga och förebyggande insatser, som stödtjänster och tillfällig </w:t>
      </w:r>
      <w:r w:rsidR="000E762F" w:rsidRPr="003850FB">
        <w:t>hemservice.</w:t>
      </w:r>
      <w:r w:rsidR="000E762F" w:rsidRPr="00253E50">
        <w:t xml:space="preserve"> </w:t>
      </w:r>
      <w:r w:rsidR="000E762F" w:rsidRPr="001002AD">
        <w:t xml:space="preserve">Med anledning av </w:t>
      </w:r>
      <w:r w:rsidR="000E762F">
        <w:t xml:space="preserve">att </w:t>
      </w:r>
      <w:r w:rsidR="000E762F" w:rsidRPr="001002AD">
        <w:t xml:space="preserve">skyldigheten till efterskänkande och nedsättning </w:t>
      </w:r>
      <w:r w:rsidR="000E762F" w:rsidRPr="00697466">
        <w:t>omfatta</w:t>
      </w:r>
      <w:r w:rsidR="000E762F">
        <w:t xml:space="preserve">r </w:t>
      </w:r>
      <w:r w:rsidR="000E762F" w:rsidRPr="001002AD">
        <w:t>även avgifter som inte fastställs baserat på klientens betalningsförmåga, kan klienters möjlighet och vilja att anlita servicen öka i viss utsträckning.</w:t>
      </w:r>
    </w:p>
    <w:p w14:paraId="2CEC5946" w14:textId="77777777" w:rsidR="00A10778" w:rsidRDefault="00A10778" w:rsidP="00253E50">
      <w:pPr>
        <w:pStyle w:val="ANormal"/>
      </w:pPr>
    </w:p>
    <w:p w14:paraId="2F436768" w14:textId="77720AEF" w:rsidR="000E762F" w:rsidRDefault="002C5FDB" w:rsidP="002C5FDB">
      <w:pPr>
        <w:pStyle w:val="RubrikC"/>
      </w:pPr>
      <w:bookmarkStart w:id="24" w:name="_Toc130381450"/>
      <w:bookmarkStart w:id="25" w:name="_Toc185407788"/>
      <w:bookmarkStart w:id="26" w:name="_Toc193963324"/>
      <w:r>
        <w:t xml:space="preserve">4.2 </w:t>
      </w:r>
      <w:r w:rsidR="00EB21AE">
        <w:t>Administrativa k</w:t>
      </w:r>
      <w:r w:rsidR="000E762F" w:rsidRPr="0035192E">
        <w:t>onsekvenser</w:t>
      </w:r>
      <w:bookmarkEnd w:id="24"/>
      <w:bookmarkEnd w:id="25"/>
      <w:bookmarkEnd w:id="26"/>
    </w:p>
    <w:p w14:paraId="6D51A221" w14:textId="77777777" w:rsidR="00DA0ACF" w:rsidRPr="00DA0ACF" w:rsidRDefault="00DA0ACF" w:rsidP="00DA0ACF">
      <w:pPr>
        <w:pStyle w:val="Rubrikmellanrum"/>
      </w:pPr>
    </w:p>
    <w:p w14:paraId="60C48D74" w14:textId="1D0B6DB4" w:rsidR="000E762F" w:rsidRDefault="001062A8" w:rsidP="00534EFE">
      <w:pPr>
        <w:pStyle w:val="ANormal"/>
      </w:pPr>
      <w:r>
        <w:t>Förslaget till h</w:t>
      </w:r>
      <w:r w:rsidR="000E762F">
        <w:t xml:space="preserve">öjningen av det lagstadgade minimibeloppet för personligt bruk för klienter inom långvarigt serviceboende med heldygnsomsorg </w:t>
      </w:r>
      <w:r w:rsidR="006E5FC9">
        <w:t>i 16</w:t>
      </w:r>
      <w:r w:rsidR="00404B77">
        <w:t> §</w:t>
      </w:r>
      <w:r w:rsidR="006E5FC9">
        <w:t xml:space="preserve"> i klientavgiftslagen </w:t>
      </w:r>
      <w:r w:rsidR="000E762F">
        <w:t>torde inte innebära ett merarbete för kommunerna</w:t>
      </w:r>
      <w:r w:rsidR="009C372B">
        <w:t xml:space="preserve"> och </w:t>
      </w:r>
      <w:r w:rsidR="000E762F">
        <w:t xml:space="preserve">kommunalförbunden eftersom beloppet </w:t>
      </w:r>
      <w:r w:rsidR="006E5FC9">
        <w:t>i vilket fall som helst</w:t>
      </w:r>
      <w:r w:rsidR="000E762F">
        <w:t xml:space="preserve"> behöver </w:t>
      </w:r>
      <w:r w:rsidR="000E762F">
        <w:lastRenderedPageBreak/>
        <w:t>justeras i och med att en indexjustering av beloppen, i enlighet med 33</w:t>
      </w:r>
      <w:r w:rsidR="00404B77">
        <w:t> §</w:t>
      </w:r>
      <w:r w:rsidR="000E762F">
        <w:t xml:space="preserve">, </w:t>
      </w:r>
      <w:r w:rsidR="006E5FC9">
        <w:t>blir gällande fr.o.m.</w:t>
      </w:r>
      <w:r w:rsidR="000E762F">
        <w:t xml:space="preserve"> </w:t>
      </w:r>
      <w:r>
        <w:t xml:space="preserve">den 1 januari </w:t>
      </w:r>
      <w:r w:rsidR="000E762F">
        <w:t xml:space="preserve">2026, dvs. samtidigt som </w:t>
      </w:r>
      <w:r>
        <w:t xml:space="preserve">bestämmelsen om </w:t>
      </w:r>
      <w:r w:rsidR="000E762F">
        <w:t>det nya beloppet om 300 euro per månad föreslås träda i kraft.</w:t>
      </w:r>
    </w:p>
    <w:p w14:paraId="26E8C1BE" w14:textId="6D51BEA7" w:rsidR="000E762F" w:rsidRPr="009A1F44" w:rsidRDefault="009A1F44" w:rsidP="00534EFE">
      <w:pPr>
        <w:pStyle w:val="ANormal"/>
        <w:rPr>
          <w:b/>
          <w:bCs/>
        </w:rPr>
      </w:pPr>
      <w:r w:rsidRPr="009A1F44">
        <w:tab/>
        <w:t>Den föreslagna k</w:t>
      </w:r>
      <w:r w:rsidR="000E762F" w:rsidRPr="009A1F44">
        <w:t>orrigering</w:t>
      </w:r>
      <w:r w:rsidRPr="009A1F44">
        <w:t>en</w:t>
      </w:r>
      <w:r w:rsidR="000E762F" w:rsidRPr="009A1F44">
        <w:t xml:space="preserve"> gällande efterskänkande och nedsättning av avgift </w:t>
      </w:r>
      <w:r w:rsidRPr="009A1F44">
        <w:t xml:space="preserve">i </w:t>
      </w:r>
      <w:r w:rsidR="000E762F" w:rsidRPr="009A1F44">
        <w:t>27</w:t>
      </w:r>
      <w:r w:rsidR="00404B77">
        <w:t> §</w:t>
      </w:r>
      <w:r w:rsidRPr="009A1F44">
        <w:t xml:space="preserve"> i klientavgiftslagen </w:t>
      </w:r>
      <w:r w:rsidR="000E762F" w:rsidRPr="00E469E8">
        <w:t xml:space="preserve">kan innebära </w:t>
      </w:r>
      <w:r w:rsidR="002A3905">
        <w:t>att</w:t>
      </w:r>
      <w:r w:rsidR="000E762F" w:rsidRPr="00E469E8">
        <w:t xml:space="preserve"> kommuner</w:t>
      </w:r>
      <w:r w:rsidR="009C372B">
        <w:t xml:space="preserve"> och </w:t>
      </w:r>
      <w:r w:rsidR="000E762F" w:rsidRPr="00E469E8">
        <w:t xml:space="preserve">kommunalförbund </w:t>
      </w:r>
      <w:r w:rsidR="002A3905">
        <w:t xml:space="preserve">behöver </w:t>
      </w:r>
      <w:r w:rsidR="000E762F" w:rsidRPr="00E469E8">
        <w:t>justera fastställda avgiftstaxor/anvisningar gällande för nedsättning och efterskänkning av klientavgifter</w:t>
      </w:r>
      <w:r w:rsidR="000E762F">
        <w:t xml:space="preserve"> samt uppmärksamma klienter om vad som gäller, i enlighet med </w:t>
      </w:r>
      <w:r w:rsidR="002A3905">
        <w:t xml:space="preserve">den nya </w:t>
      </w:r>
      <w:r w:rsidR="000E762F">
        <w:t>lagstiftningen.</w:t>
      </w:r>
    </w:p>
    <w:p w14:paraId="4A5D5184" w14:textId="77777777" w:rsidR="000E762F" w:rsidRDefault="000E762F" w:rsidP="00A10778">
      <w:pPr>
        <w:pStyle w:val="ANormal"/>
      </w:pPr>
    </w:p>
    <w:p w14:paraId="63CD91A9" w14:textId="7910B48E" w:rsidR="00A10778" w:rsidRDefault="00A10778" w:rsidP="00A10778">
      <w:pPr>
        <w:pStyle w:val="RubrikC"/>
      </w:pPr>
      <w:bookmarkStart w:id="27" w:name="_Toc130381452"/>
      <w:bookmarkStart w:id="28" w:name="_Toc185407790"/>
      <w:bookmarkStart w:id="29" w:name="_Toc193963325"/>
      <w:r>
        <w:t xml:space="preserve">4.3 </w:t>
      </w:r>
      <w:r w:rsidRPr="000D68EE">
        <w:t>Konsekvenser för de grundläggande och mänskliga rättigheterna</w:t>
      </w:r>
      <w:bookmarkEnd w:id="27"/>
      <w:bookmarkEnd w:id="28"/>
      <w:bookmarkEnd w:id="29"/>
    </w:p>
    <w:p w14:paraId="6059F235" w14:textId="77777777" w:rsidR="00A10778" w:rsidRPr="00106403" w:rsidRDefault="00A10778" w:rsidP="00A10778">
      <w:pPr>
        <w:pStyle w:val="Rubrikmellanrum"/>
      </w:pPr>
    </w:p>
    <w:p w14:paraId="75ADD815" w14:textId="4BB62B1C" w:rsidR="00A10778" w:rsidRDefault="00A10778" w:rsidP="00A10778">
      <w:pPr>
        <w:pStyle w:val="ANormal"/>
      </w:pPr>
      <w:r>
        <w:t>På basis av g</w:t>
      </w:r>
      <w:r w:rsidRPr="0013571C">
        <w:t>rundlagsutskottet</w:t>
      </w:r>
      <w:r>
        <w:t>s</w:t>
      </w:r>
      <w:r w:rsidRPr="0013571C">
        <w:t xml:space="preserve"> </w:t>
      </w:r>
      <w:r>
        <w:t xml:space="preserve">tidigare ställningstaganden kan konstateras att </w:t>
      </w:r>
      <w:r w:rsidRPr="0013571C">
        <w:t xml:space="preserve">klientens ekonomiska ställning inte får vara ett hinder för att </w:t>
      </w:r>
      <w:r>
        <w:t>komma i åtnjutande av de</w:t>
      </w:r>
      <w:r w:rsidRPr="0013571C">
        <w:t xml:space="preserve"> tjänster</w:t>
      </w:r>
      <w:r>
        <w:t xml:space="preserve"> som erbjuds inom ramen för de olika ovan nämnda vårdformerna.</w:t>
      </w:r>
      <w:r w:rsidRPr="0013571C">
        <w:t xml:space="preserve"> </w:t>
      </w:r>
      <w:r>
        <w:t>Vidare får k</w:t>
      </w:r>
      <w:r w:rsidRPr="0013571C">
        <w:t>lientavgifterna inte vara så höga</w:t>
      </w:r>
      <w:r>
        <w:t xml:space="preserve"> att den erforderliga servicen blir helt ouppnåelig för dem som behöver den. Dessutom kan konstateras utgående från vad grundlagsutskottets uttalat att storleken på klientavgifterna inte får leda till att de som behöver få tillgång till tjänsterna i fråga måste använda sig av sådant i 19</w:t>
      </w:r>
      <w:r w:rsidR="00404B77">
        <w:t> §</w:t>
      </w:r>
      <w:r>
        <w:t xml:space="preserve"> 1</w:t>
      </w:r>
      <w:r w:rsidR="00404B77">
        <w:t> mom.</w:t>
      </w:r>
      <w:r>
        <w:t xml:space="preserve"> i Finlands grundlag (FFS 731/1999, </w:t>
      </w:r>
      <w:r w:rsidRPr="00187683">
        <w:rPr>
          <w:i/>
          <w:iCs/>
        </w:rPr>
        <w:t>grundlagen</w:t>
      </w:r>
      <w:r>
        <w:t>) föreskrivet stöd för sin oundgängliga försörjning.</w:t>
      </w:r>
      <w:r>
        <w:rPr>
          <w:rStyle w:val="Fotnotsreferens"/>
        </w:rPr>
        <w:footnoteReference w:id="7"/>
      </w:r>
    </w:p>
    <w:p w14:paraId="29478EFF" w14:textId="52B2F477" w:rsidR="00A10778" w:rsidRDefault="00A10778" w:rsidP="00A10778">
      <w:pPr>
        <w:pStyle w:val="ANormal"/>
      </w:pPr>
      <w:r>
        <w:tab/>
      </w:r>
      <w:r w:rsidRPr="009744C6">
        <w:t>Både förslaget</w:t>
      </w:r>
      <w:r>
        <w:t xml:space="preserve"> till dels ändring av landskapslagens</w:t>
      </w:r>
      <w:r w:rsidRPr="009744C6">
        <w:t xml:space="preserve"> </w:t>
      </w:r>
      <w:r>
        <w:t>16</w:t>
      </w:r>
      <w:r w:rsidR="00404B77">
        <w:t> §</w:t>
      </w:r>
      <w:r>
        <w:t xml:space="preserve"> </w:t>
      </w:r>
      <w:r w:rsidRPr="009744C6">
        <w:t>om höjt minimibelopp för personligt bruk för klienter inom långvarigt serviceboende</w:t>
      </w:r>
      <w:r>
        <w:t>, dels</w:t>
      </w:r>
      <w:r w:rsidRPr="009744C6">
        <w:t xml:space="preserve"> korrigering av </w:t>
      </w:r>
      <w:r>
        <w:t xml:space="preserve">landskapslagens </w:t>
      </w:r>
      <w:r w:rsidRPr="009744C6">
        <w:t>27</w:t>
      </w:r>
      <w:r w:rsidR="00404B77">
        <w:t> §</w:t>
      </w:r>
      <w:r w:rsidRPr="009744C6">
        <w:t xml:space="preserve"> 1</w:t>
      </w:r>
      <w:r w:rsidR="00404B77">
        <w:t> mom.</w:t>
      </w:r>
      <w:r w:rsidRPr="009744C6">
        <w:t xml:space="preserve"> </w:t>
      </w:r>
      <w:r>
        <w:t>om</w:t>
      </w:r>
      <w:r w:rsidRPr="009744C6">
        <w:t xml:space="preserve"> skyldigheten till efterskänkande och nedsättning av avgifter</w:t>
      </w:r>
      <w:r>
        <w:t>,</w:t>
      </w:r>
      <w:r w:rsidRPr="009744C6">
        <w:t xml:space="preserve"> innebär en förstärkning </w:t>
      </w:r>
      <w:r>
        <w:t>i enlighet med</w:t>
      </w:r>
      <w:r w:rsidRPr="009744C6">
        <w:t xml:space="preserve"> grundlagens </w:t>
      </w:r>
      <w:r w:rsidRPr="00521B06">
        <w:t>19</w:t>
      </w:r>
      <w:r w:rsidR="00404B77">
        <w:t> §</w:t>
      </w:r>
      <w:r w:rsidRPr="00521B06">
        <w:t xml:space="preserve"> 1 och 3</w:t>
      </w:r>
      <w:r w:rsidR="00404B77">
        <w:t> mom.</w:t>
      </w:r>
      <w:r>
        <w:rPr>
          <w:rStyle w:val="Fotnotsreferens"/>
        </w:rPr>
        <w:footnoteReference w:id="8"/>
      </w:r>
    </w:p>
    <w:p w14:paraId="7EC3C617" w14:textId="77777777" w:rsidR="00A10778" w:rsidRDefault="00A10778" w:rsidP="00A10778">
      <w:pPr>
        <w:pStyle w:val="ANormal"/>
      </w:pPr>
    </w:p>
    <w:p w14:paraId="0ED8EC59" w14:textId="6E83B055" w:rsidR="00DA0ACF" w:rsidRDefault="009C68E6" w:rsidP="00DA0ACF">
      <w:pPr>
        <w:pStyle w:val="RubrikC"/>
      </w:pPr>
      <w:bookmarkStart w:id="30" w:name="_Toc130381451"/>
      <w:bookmarkStart w:id="31" w:name="_Toc185407789"/>
      <w:bookmarkStart w:id="32" w:name="_Toc193963326"/>
      <w:r>
        <w:t>4.</w:t>
      </w:r>
      <w:r w:rsidR="00A10778">
        <w:t>4</w:t>
      </w:r>
      <w:r>
        <w:t xml:space="preserve"> </w:t>
      </w:r>
      <w:r w:rsidR="000E762F" w:rsidRPr="000D68EE">
        <w:t>Konsekvenser för barn</w:t>
      </w:r>
      <w:r w:rsidR="000E762F">
        <w:t xml:space="preserve"> och</w:t>
      </w:r>
      <w:r w:rsidR="000E762F" w:rsidRPr="000D68EE">
        <w:t xml:space="preserve"> jämställdheten mellan </w:t>
      </w:r>
      <w:bookmarkEnd w:id="30"/>
      <w:bookmarkEnd w:id="31"/>
      <w:r w:rsidR="0049305D">
        <w:t>kvinnor och män</w:t>
      </w:r>
      <w:bookmarkEnd w:id="32"/>
    </w:p>
    <w:p w14:paraId="59AE1118" w14:textId="77777777" w:rsidR="00DA0ACF" w:rsidRPr="00DA0ACF" w:rsidRDefault="00DA0ACF" w:rsidP="00DA0ACF">
      <w:pPr>
        <w:pStyle w:val="Rubrikmellanrum"/>
      </w:pPr>
    </w:p>
    <w:p w14:paraId="20D130CC" w14:textId="11712B8A" w:rsidR="000E762F" w:rsidRDefault="009C68E6" w:rsidP="009C68E6">
      <w:pPr>
        <w:pStyle w:val="RubrikD"/>
        <w:rPr>
          <w:rFonts w:eastAsiaTheme="majorEastAsia"/>
        </w:rPr>
      </w:pPr>
      <w:r>
        <w:rPr>
          <w:rFonts w:eastAsiaTheme="majorEastAsia"/>
        </w:rPr>
        <w:t>4.</w:t>
      </w:r>
      <w:r w:rsidR="00A10778">
        <w:rPr>
          <w:rFonts w:eastAsiaTheme="majorEastAsia"/>
        </w:rPr>
        <w:t>4</w:t>
      </w:r>
      <w:r>
        <w:rPr>
          <w:rFonts w:eastAsiaTheme="majorEastAsia"/>
        </w:rPr>
        <w:t xml:space="preserve">.1 </w:t>
      </w:r>
      <w:r w:rsidR="000E762F" w:rsidRPr="009C68E6">
        <w:rPr>
          <w:rFonts w:eastAsiaTheme="majorEastAsia"/>
        </w:rPr>
        <w:t>Konsekvenser för barn</w:t>
      </w:r>
    </w:p>
    <w:p w14:paraId="05ADBA46" w14:textId="77777777" w:rsidR="00DA0ACF" w:rsidRPr="00DA0ACF" w:rsidRDefault="00DA0ACF" w:rsidP="00DA0ACF">
      <w:pPr>
        <w:pStyle w:val="Rubrikmellanrum"/>
        <w:rPr>
          <w:rFonts w:eastAsiaTheme="majorEastAsia"/>
        </w:rPr>
      </w:pPr>
    </w:p>
    <w:p w14:paraId="4850A0BB" w14:textId="09AD5C1D" w:rsidR="0018516A" w:rsidRDefault="000E762F" w:rsidP="009C68E6">
      <w:pPr>
        <w:pStyle w:val="ANormal"/>
      </w:pPr>
      <w:r w:rsidRPr="00673FC9">
        <w:t xml:space="preserve">Den föreslagna ändringen </w:t>
      </w:r>
      <w:r w:rsidR="00BA1B61">
        <w:t>av landskapslagens 16</w:t>
      </w:r>
      <w:r w:rsidR="00404B77">
        <w:t> §</w:t>
      </w:r>
      <w:r w:rsidR="00BA1B61">
        <w:t xml:space="preserve"> </w:t>
      </w:r>
      <w:r w:rsidRPr="00673FC9">
        <w:t xml:space="preserve">bedöms inte ha någon direkt </w:t>
      </w:r>
      <w:r w:rsidR="00BA1B61">
        <w:t>in</w:t>
      </w:r>
      <w:r w:rsidRPr="00673FC9">
        <w:t>verkan för barn</w:t>
      </w:r>
      <w:r w:rsidR="00BA1B61">
        <w:t>ens del</w:t>
      </w:r>
      <w:r w:rsidRPr="00673FC9">
        <w:t>.</w:t>
      </w:r>
      <w:r w:rsidR="009F7D34">
        <w:t xml:space="preserve"> </w:t>
      </w:r>
      <w:r>
        <w:t xml:space="preserve">Den föreslagna ändringen </w:t>
      </w:r>
      <w:r w:rsidR="0064273B">
        <w:t>av landskapslagens 27</w:t>
      </w:r>
      <w:r w:rsidR="00404B77">
        <w:t> §</w:t>
      </w:r>
      <w:r w:rsidR="0064273B">
        <w:t xml:space="preserve"> </w:t>
      </w:r>
      <w:r w:rsidR="000548CD">
        <w:t xml:space="preserve">däremot </w:t>
      </w:r>
      <w:r>
        <w:t xml:space="preserve">bedöms i viss grad ha en </w:t>
      </w:r>
      <w:r w:rsidR="0064273B">
        <w:t>inverkan</w:t>
      </w:r>
      <w:r>
        <w:t xml:space="preserve"> </w:t>
      </w:r>
      <w:r w:rsidR="0064273B">
        <w:t>vad beträffar</w:t>
      </w:r>
      <w:r>
        <w:t xml:space="preserve"> barn</w:t>
      </w:r>
      <w:r w:rsidR="000548CD">
        <w:t>s levnadsförhållanden</w:t>
      </w:r>
      <w:r w:rsidR="0064273B">
        <w:t xml:space="preserve"> </w:t>
      </w:r>
      <w:r>
        <w:t>genom att exempelvis avgift</w:t>
      </w:r>
      <w:r w:rsidR="0064273B">
        <w:t>en</w:t>
      </w:r>
      <w:r>
        <w:t xml:space="preserve"> för tillfällig hemservice berörs</w:t>
      </w:r>
      <w:r w:rsidR="0064273B">
        <w:t xml:space="preserve"> av nämnda ändring</w:t>
      </w:r>
      <w:r>
        <w:t xml:space="preserve">. </w:t>
      </w:r>
      <w:r w:rsidRPr="000B076D">
        <w:t>Av ÅSUB:s statistik</w:t>
      </w:r>
      <w:r w:rsidR="0064273B">
        <w:t xml:space="preserve"> </w:t>
      </w:r>
      <w:r w:rsidRPr="000B076D">
        <w:t xml:space="preserve">framgår inte </w:t>
      </w:r>
      <w:r w:rsidR="000548CD">
        <w:t xml:space="preserve">hur stort </w:t>
      </w:r>
      <w:r w:rsidRPr="000B076D">
        <w:t>antalet klienter med tillfällig hemservice</w:t>
      </w:r>
      <w:r w:rsidR="000548CD">
        <w:t xml:space="preserve"> är</w:t>
      </w:r>
      <w:r>
        <w:t xml:space="preserve">, men </w:t>
      </w:r>
      <w:r w:rsidRPr="009C68E6">
        <w:t>enligt information</w:t>
      </w:r>
      <w:r w:rsidR="0064273B">
        <w:t xml:space="preserve"> som landskapsregeringen inhämtat</w:t>
      </w:r>
      <w:r w:rsidRPr="009C68E6">
        <w:t xml:space="preserve"> från KST hade 19 familjer tillfällig hemservice år 2022</w:t>
      </w:r>
      <w:r w:rsidR="000548CD">
        <w:t xml:space="preserve"> </w:t>
      </w:r>
      <w:r w:rsidR="000548CD" w:rsidRPr="009C68E6">
        <w:t xml:space="preserve">(10 av familjerna </w:t>
      </w:r>
      <w:r w:rsidR="000548CD">
        <w:t xml:space="preserve">hade dessutom </w:t>
      </w:r>
      <w:r w:rsidR="000548CD" w:rsidRPr="009C68E6">
        <w:t>överg</w:t>
      </w:r>
      <w:r w:rsidR="000548CD">
        <w:t>ått</w:t>
      </w:r>
      <w:r w:rsidR="000548CD" w:rsidRPr="009C68E6">
        <w:t xml:space="preserve"> till regelbunden hemservice)</w:t>
      </w:r>
      <w:r w:rsidRPr="009C68E6">
        <w:t xml:space="preserve">. </w:t>
      </w:r>
      <w:r w:rsidR="00B44DAC">
        <w:t xml:space="preserve">Den föreslagna och tillika </w:t>
      </w:r>
      <w:r w:rsidR="00B44DAC" w:rsidRPr="009C68E6">
        <w:t>förtydligande</w:t>
      </w:r>
      <w:r w:rsidR="00B44DAC">
        <w:t xml:space="preserve"> lagändringen av innebörd att </w:t>
      </w:r>
      <w:r w:rsidRPr="009C68E6">
        <w:t>även avgifter för tillfällig/kortvarig service ska omfattas</w:t>
      </w:r>
      <w:r w:rsidR="004B4C37">
        <w:t xml:space="preserve"> av regleringen i lagrummet i fråga</w:t>
      </w:r>
      <w:r w:rsidRPr="009C68E6">
        <w:t xml:space="preserve">, </w:t>
      </w:r>
      <w:r w:rsidR="004B4C37">
        <w:t>medför</w:t>
      </w:r>
      <w:r w:rsidRPr="009C68E6">
        <w:t xml:space="preserve"> en fördel för barnfamiljer</w:t>
      </w:r>
      <w:r w:rsidR="00173086">
        <w:t xml:space="preserve"> på Åland</w:t>
      </w:r>
      <w:r w:rsidRPr="009C68E6">
        <w:t>.</w:t>
      </w:r>
    </w:p>
    <w:p w14:paraId="27277869" w14:textId="77777777" w:rsidR="001E2DB2" w:rsidRDefault="001E2DB2" w:rsidP="009C68E6">
      <w:pPr>
        <w:pStyle w:val="ANormal"/>
      </w:pPr>
    </w:p>
    <w:p w14:paraId="426EAFCC" w14:textId="3CB4A452" w:rsidR="000E762F" w:rsidRDefault="00C473B0" w:rsidP="00C473B0">
      <w:pPr>
        <w:pStyle w:val="RubrikD"/>
        <w:rPr>
          <w:rFonts w:eastAsiaTheme="majorEastAsia"/>
        </w:rPr>
      </w:pPr>
      <w:r>
        <w:rPr>
          <w:rFonts w:eastAsiaTheme="majorEastAsia"/>
        </w:rPr>
        <w:t>4.</w:t>
      </w:r>
      <w:r w:rsidR="00A10778">
        <w:rPr>
          <w:rFonts w:eastAsiaTheme="majorEastAsia"/>
        </w:rPr>
        <w:t>4</w:t>
      </w:r>
      <w:r>
        <w:rPr>
          <w:rFonts w:eastAsiaTheme="majorEastAsia"/>
        </w:rPr>
        <w:t xml:space="preserve">.2 </w:t>
      </w:r>
      <w:r w:rsidR="000E762F" w:rsidRPr="00C473B0">
        <w:rPr>
          <w:rFonts w:eastAsiaTheme="majorEastAsia"/>
        </w:rPr>
        <w:t>Konsekvenser för jämställdheten</w:t>
      </w:r>
      <w:r w:rsidR="00B11E7A">
        <w:rPr>
          <w:rFonts w:eastAsiaTheme="majorEastAsia"/>
        </w:rPr>
        <w:t xml:space="preserve"> mellan kvinnor och män</w:t>
      </w:r>
    </w:p>
    <w:p w14:paraId="30D32B52" w14:textId="77777777" w:rsidR="002C668A" w:rsidRPr="002C668A" w:rsidRDefault="002C668A" w:rsidP="002C668A">
      <w:pPr>
        <w:pStyle w:val="Rubrikmellanrum"/>
        <w:rPr>
          <w:rFonts w:eastAsiaTheme="majorEastAsia"/>
        </w:rPr>
      </w:pPr>
    </w:p>
    <w:p w14:paraId="1B0EFFD1" w14:textId="790BFD76" w:rsidR="00A10778" w:rsidRDefault="000E762F" w:rsidP="00C473B0">
      <w:pPr>
        <w:pStyle w:val="ANormal"/>
      </w:pPr>
      <w:r w:rsidRPr="00632A7F">
        <w:t xml:space="preserve">Som konstaterats </w:t>
      </w:r>
      <w:r w:rsidRPr="00684530">
        <w:t>ovan</w:t>
      </w:r>
      <w:r w:rsidR="00B11E7A">
        <w:t xml:space="preserve"> i avsnitt </w:t>
      </w:r>
      <w:r w:rsidRPr="00684530">
        <w:t>4.1.2</w:t>
      </w:r>
      <w:r w:rsidRPr="00C473B0">
        <w:t xml:space="preserve"> torde det främst vara äldre kvinnor med låga inkomster som gynnas av ett höjt lagstadgat minimibelopp </w:t>
      </w:r>
      <w:r w:rsidR="00A65363" w:rsidRPr="00C473B0">
        <w:t>för personligt bruk</w:t>
      </w:r>
      <w:r w:rsidR="00A65363">
        <w:t xml:space="preserve"> i enlighet med den föreslagna lagändringen i landskapslagens 16</w:t>
      </w:r>
      <w:r w:rsidR="00404B77">
        <w:t> §</w:t>
      </w:r>
      <w:r w:rsidRPr="00C473B0">
        <w:t>.</w:t>
      </w:r>
      <w:r w:rsidR="0069166C">
        <w:t xml:space="preserve"> </w:t>
      </w:r>
      <w:r w:rsidRPr="00037761">
        <w:t>Baserat på tillgänglig ÅSUB-statistik (</w:t>
      </w:r>
      <w:r w:rsidR="00A65363">
        <w:t xml:space="preserve">se tabell 1 och 2 </w:t>
      </w:r>
      <w:r w:rsidRPr="00037761">
        <w:t>nedan) gällande stödtjänster</w:t>
      </w:r>
      <w:r>
        <w:t xml:space="preserve">, </w:t>
      </w:r>
      <w:r w:rsidRPr="00037761">
        <w:t xml:space="preserve">boendeservice </w:t>
      </w:r>
      <w:r>
        <w:t xml:space="preserve">samt institutionsvård </w:t>
      </w:r>
      <w:r w:rsidRPr="00037761">
        <w:t>är majoriteten av klienter</w:t>
      </w:r>
      <w:r>
        <w:t>na</w:t>
      </w:r>
      <w:r w:rsidRPr="00037761">
        <w:t xml:space="preserve"> äldre, och en något högre andel av dessa klienter är kvinnor.</w:t>
      </w:r>
      <w:r>
        <w:t xml:space="preserve"> </w:t>
      </w:r>
      <w:r w:rsidRPr="006703FA">
        <w:t xml:space="preserve">Den föreslagna </w:t>
      </w:r>
      <w:r w:rsidRPr="006703FA">
        <w:lastRenderedPageBreak/>
        <w:t xml:space="preserve">korrigeringen </w:t>
      </w:r>
      <w:r w:rsidR="00473540">
        <w:t>av landskapslagens 27</w:t>
      </w:r>
      <w:r w:rsidR="00404B77">
        <w:t> §</w:t>
      </w:r>
      <w:r w:rsidR="00473540">
        <w:t xml:space="preserve"> </w:t>
      </w:r>
      <w:r w:rsidRPr="006703FA">
        <w:t>bedöms således innebära en fördel i synnerhet för äldre kvinnor som betalar avgift för exempelvis stödtjänster samt för dagvård, nattvård, kortvarig boendeservice och kortvarig institutionsvård.</w:t>
      </w:r>
    </w:p>
    <w:p w14:paraId="1C42F3F4" w14:textId="2ABDB826" w:rsidR="00CF5DB2" w:rsidRDefault="00A10778" w:rsidP="00C473B0">
      <w:pPr>
        <w:pStyle w:val="ANormal"/>
      </w:pPr>
      <w:r>
        <w:tab/>
      </w:r>
      <w:r w:rsidR="000E762F" w:rsidRPr="00301B69">
        <w:t xml:space="preserve">Det bör noteras att kommuner/kommunalförbund inte får ta ut </w:t>
      </w:r>
      <w:r w:rsidR="00473540">
        <w:t xml:space="preserve">en </w:t>
      </w:r>
      <w:r w:rsidR="000E762F" w:rsidRPr="00301B69">
        <w:t xml:space="preserve">separat avgift </w:t>
      </w:r>
      <w:r w:rsidR="00473540">
        <w:t>avseende</w:t>
      </w:r>
      <w:r w:rsidR="000E762F" w:rsidRPr="00301B69">
        <w:t xml:space="preserve"> stödtjänst för klienter inom långvarigt serviceboende med heldygnsomsorg och för klienter inom långvarig institutionsvård. För övriga klienter, exempelvis för hemmaboende klienter innebär det dock en fördel att skyldigheten till efterskänkande och nedsättning av avgift även omfattar avgift</w:t>
      </w:r>
      <w:r w:rsidR="00473540">
        <w:t>er</w:t>
      </w:r>
      <w:r w:rsidR="000E762F" w:rsidRPr="00301B69">
        <w:t xml:space="preserve"> för stödtjänster. </w:t>
      </w:r>
      <w:r w:rsidR="000E762F">
        <w:t xml:space="preserve">Det bör även noteras att </w:t>
      </w:r>
      <w:r w:rsidR="000E762F" w:rsidRPr="00BD7E88">
        <w:t>avgift</w:t>
      </w:r>
      <w:r w:rsidR="00B30E27">
        <w:t>en</w:t>
      </w:r>
      <w:r w:rsidR="000E762F" w:rsidRPr="00BD7E88">
        <w:t xml:space="preserve"> för dagvård, nattvård och kortvarig institutionsvård räknas in i socialvårdens avgiftstak (</w:t>
      </w:r>
      <w:r w:rsidR="00B30E27">
        <w:t xml:space="preserve">se vidare </w:t>
      </w:r>
      <w:r w:rsidR="000E762F" w:rsidRPr="00BD7E88">
        <w:t>9</w:t>
      </w:r>
      <w:r w:rsidR="00404B77">
        <w:t> §</w:t>
      </w:r>
      <w:r w:rsidR="000E762F" w:rsidRPr="00BD7E88">
        <w:t xml:space="preserve"> i klientavgiftslagen) om 347,10 euro per år (2024). Det är, enligt lagen, dock möjligt att för kortvarig institutionsvård ta ut en avgift på 26,40 euro per vårddag (2024) för klientens uppehälle även efter att avgiftstaket har uppnåtts.</w:t>
      </w:r>
    </w:p>
    <w:p w14:paraId="0D801A5C" w14:textId="77777777" w:rsidR="00190F6D" w:rsidRDefault="00190F6D" w:rsidP="00C473B0">
      <w:pPr>
        <w:pStyle w:val="ANormal"/>
      </w:pPr>
    </w:p>
    <w:p w14:paraId="74CE41E1" w14:textId="5B9AD70B" w:rsidR="00B11E7A" w:rsidRDefault="00B11E7A" w:rsidP="00B11E7A">
      <w:pPr>
        <w:pStyle w:val="ANormal"/>
      </w:pPr>
      <w:r>
        <w:t>Tabell 1 (</w:t>
      </w:r>
      <w:r w:rsidR="003C3593">
        <w:t>Antal k</w:t>
      </w:r>
      <w:r w:rsidRPr="00284EF9">
        <w:t>lienter som fått stödtjänster år</w:t>
      </w:r>
      <w:r w:rsidR="002A40AF">
        <w:t xml:space="preserve"> 2023</w:t>
      </w:r>
      <w:r w:rsidRPr="00284EF9">
        <w:t xml:space="preserve"> (från kommuner och KST),</w:t>
      </w:r>
    </w:p>
    <w:p w14:paraId="27C25072" w14:textId="77777777" w:rsidR="00B11E7A" w:rsidRPr="00190F6D" w:rsidRDefault="00B11E7A" w:rsidP="00B11E7A">
      <w:pPr>
        <w:pStyle w:val="ANormal"/>
        <w:rPr>
          <w:rFonts w:ascii="Calibri" w:hAnsi="Calibri" w:cs="Calibri"/>
          <w:color w:val="000000"/>
          <w:sz w:val="16"/>
          <w:szCs w:val="16"/>
          <w:lang w:val="sv-FI" w:eastAsia="sv-FI"/>
        </w:rPr>
      </w:pPr>
    </w:p>
    <w:tbl>
      <w:tblPr>
        <w:tblStyle w:val="Oformateradtabell2"/>
        <w:tblW w:w="6946" w:type="dxa"/>
        <w:tblLook w:val="04A0" w:firstRow="1" w:lastRow="0" w:firstColumn="1" w:lastColumn="0" w:noHBand="0" w:noVBand="1"/>
      </w:tblPr>
      <w:tblGrid>
        <w:gridCol w:w="1670"/>
        <w:gridCol w:w="1670"/>
        <w:gridCol w:w="1670"/>
        <w:gridCol w:w="1936"/>
      </w:tblGrid>
      <w:tr w:rsidR="00B11E7A" w14:paraId="5E1CBD19" w14:textId="77777777" w:rsidTr="00235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Borders>
              <w:top w:val="single" w:sz="4" w:space="0" w:color="auto"/>
              <w:bottom w:val="single" w:sz="4" w:space="0" w:color="auto"/>
            </w:tcBorders>
          </w:tcPr>
          <w:p w14:paraId="6494FB0E" w14:textId="77777777" w:rsidR="00B11E7A" w:rsidRPr="006C14FE" w:rsidRDefault="00B11E7A" w:rsidP="00235180">
            <w:pPr>
              <w:pStyle w:val="ANormal"/>
              <w:rPr>
                <w:rFonts w:ascii="Calibri" w:hAnsi="Calibri" w:cs="Calibri"/>
                <w:b w:val="0"/>
                <w:bCs w:val="0"/>
                <w:color w:val="000000"/>
                <w:sz w:val="18"/>
                <w:szCs w:val="18"/>
                <w:lang w:val="sv-FI" w:eastAsia="sv-FI"/>
              </w:rPr>
            </w:pPr>
            <w:r w:rsidRPr="00CC4EE9">
              <w:rPr>
                <w:rFonts w:ascii="Calibri" w:hAnsi="Calibri" w:cs="Calibri"/>
                <w:color w:val="000000"/>
                <w:sz w:val="18"/>
                <w:szCs w:val="18"/>
                <w:lang w:val="sv-FI" w:eastAsia="sv-FI"/>
              </w:rPr>
              <w:t>Åldersgrupp</w:t>
            </w:r>
          </w:p>
        </w:tc>
        <w:tc>
          <w:tcPr>
            <w:tcW w:w="1670" w:type="dxa"/>
            <w:tcBorders>
              <w:top w:val="single" w:sz="4" w:space="0" w:color="auto"/>
              <w:bottom w:val="single" w:sz="4" w:space="0" w:color="auto"/>
            </w:tcBorders>
          </w:tcPr>
          <w:p w14:paraId="42703987" w14:textId="77777777" w:rsidR="00B11E7A" w:rsidRPr="009502AE" w:rsidRDefault="00B11E7A" w:rsidP="00235180">
            <w:pPr>
              <w:pStyle w:val="ANormal"/>
              <w:jc w:val="right"/>
              <w:cnfStyle w:val="100000000000" w:firstRow="1" w:lastRow="0" w:firstColumn="0" w:lastColumn="0" w:oddVBand="0" w:evenVBand="0" w:oddHBand="0" w:evenHBand="0" w:firstRowFirstColumn="0" w:firstRowLastColumn="0" w:lastRowFirstColumn="0" w:lastRowLastColumn="0"/>
              <w:rPr>
                <w:b w:val="0"/>
                <w:bCs w:val="0"/>
                <w:sz w:val="18"/>
                <w:szCs w:val="18"/>
              </w:rPr>
            </w:pPr>
            <w:r w:rsidRPr="009502AE">
              <w:rPr>
                <w:rFonts w:ascii="Calibri" w:hAnsi="Calibri" w:cs="Calibri"/>
                <w:color w:val="000000"/>
                <w:sz w:val="18"/>
                <w:szCs w:val="18"/>
                <w:lang w:val="sv-FI" w:eastAsia="sv-FI"/>
              </w:rPr>
              <w:t>Kvinnor</w:t>
            </w:r>
          </w:p>
        </w:tc>
        <w:tc>
          <w:tcPr>
            <w:tcW w:w="1670" w:type="dxa"/>
            <w:tcBorders>
              <w:top w:val="single" w:sz="4" w:space="0" w:color="auto"/>
              <w:bottom w:val="single" w:sz="4" w:space="0" w:color="auto"/>
            </w:tcBorders>
          </w:tcPr>
          <w:p w14:paraId="665BCA08" w14:textId="77777777" w:rsidR="00B11E7A" w:rsidRPr="009502AE" w:rsidRDefault="00B11E7A" w:rsidP="00235180">
            <w:pPr>
              <w:pStyle w:val="ANormal"/>
              <w:jc w:val="right"/>
              <w:cnfStyle w:val="100000000000" w:firstRow="1" w:lastRow="0" w:firstColumn="0" w:lastColumn="0" w:oddVBand="0" w:evenVBand="0" w:oddHBand="0" w:evenHBand="0" w:firstRowFirstColumn="0" w:firstRowLastColumn="0" w:lastRowFirstColumn="0" w:lastRowLastColumn="0"/>
              <w:rPr>
                <w:b w:val="0"/>
                <w:bCs w:val="0"/>
                <w:sz w:val="18"/>
                <w:szCs w:val="18"/>
              </w:rPr>
            </w:pPr>
            <w:r w:rsidRPr="009502AE">
              <w:rPr>
                <w:rFonts w:ascii="Calibri" w:hAnsi="Calibri" w:cs="Calibri"/>
                <w:color w:val="000000"/>
                <w:sz w:val="18"/>
                <w:szCs w:val="18"/>
                <w:lang w:val="sv-FI" w:eastAsia="sv-FI"/>
              </w:rPr>
              <w:t>Män</w:t>
            </w:r>
          </w:p>
        </w:tc>
        <w:tc>
          <w:tcPr>
            <w:tcW w:w="1936" w:type="dxa"/>
            <w:tcBorders>
              <w:top w:val="single" w:sz="4" w:space="0" w:color="auto"/>
              <w:bottom w:val="single" w:sz="4" w:space="0" w:color="auto"/>
            </w:tcBorders>
          </w:tcPr>
          <w:p w14:paraId="6A627483" w14:textId="77777777" w:rsidR="00B11E7A" w:rsidRPr="009502AE" w:rsidRDefault="00B11E7A" w:rsidP="00235180">
            <w:pPr>
              <w:pStyle w:val="ANormal"/>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val="sv-FI" w:eastAsia="sv-FI"/>
              </w:rPr>
            </w:pPr>
            <w:r w:rsidRPr="009502AE">
              <w:rPr>
                <w:rFonts w:ascii="Calibri" w:hAnsi="Calibri" w:cs="Calibri"/>
                <w:color w:val="000000"/>
                <w:sz w:val="18"/>
                <w:szCs w:val="18"/>
                <w:lang w:val="sv-FI" w:eastAsia="sv-FI"/>
              </w:rPr>
              <w:t>Bägge kön</w:t>
            </w:r>
          </w:p>
        </w:tc>
      </w:tr>
      <w:tr w:rsidR="00B11E7A" w14:paraId="4BE3D4CA" w14:textId="77777777" w:rsidTr="00235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Borders>
              <w:top w:val="single" w:sz="4" w:space="0" w:color="auto"/>
              <w:bottom w:val="nil"/>
            </w:tcBorders>
          </w:tcPr>
          <w:p w14:paraId="0F8F5D6C" w14:textId="77777777" w:rsidR="00B11E7A" w:rsidRPr="003F1D06" w:rsidRDefault="00B11E7A" w:rsidP="00235180">
            <w:pPr>
              <w:pStyle w:val="ANormal"/>
              <w:rPr>
                <w:rFonts w:ascii="Calibri" w:hAnsi="Calibri" w:cs="Calibri"/>
                <w:b w:val="0"/>
                <w:bCs w:val="0"/>
                <w:color w:val="000000"/>
                <w:sz w:val="18"/>
                <w:szCs w:val="18"/>
                <w:lang w:val="sv-FI" w:eastAsia="sv-FI"/>
              </w:rPr>
            </w:pPr>
            <w:r>
              <w:rPr>
                <w:rFonts w:ascii="Calibri" w:hAnsi="Calibri" w:cs="Calibri"/>
                <w:b w:val="0"/>
                <w:bCs w:val="0"/>
                <w:color w:val="000000"/>
                <w:sz w:val="18"/>
                <w:szCs w:val="18"/>
                <w:lang w:val="sv-FI" w:eastAsia="sv-FI"/>
              </w:rPr>
              <w:t>under 65</w:t>
            </w:r>
          </w:p>
        </w:tc>
        <w:tc>
          <w:tcPr>
            <w:tcW w:w="1670" w:type="dxa"/>
            <w:tcBorders>
              <w:top w:val="single" w:sz="4" w:space="0" w:color="auto"/>
              <w:bottom w:val="nil"/>
            </w:tcBorders>
          </w:tcPr>
          <w:p w14:paraId="09FFBCF2" w14:textId="77777777" w:rsidR="00B11E7A" w:rsidRPr="009502AE" w:rsidRDefault="00B11E7A" w:rsidP="00235180">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Pr>
                <w:rFonts w:ascii="Calibri" w:hAnsi="Calibri" w:cs="Calibri"/>
                <w:color w:val="000000"/>
                <w:sz w:val="18"/>
                <w:szCs w:val="18"/>
                <w:lang w:val="sv-FI" w:eastAsia="sv-FI"/>
              </w:rPr>
              <w:t>25</w:t>
            </w:r>
          </w:p>
        </w:tc>
        <w:tc>
          <w:tcPr>
            <w:tcW w:w="1670" w:type="dxa"/>
            <w:tcBorders>
              <w:top w:val="single" w:sz="4" w:space="0" w:color="auto"/>
              <w:bottom w:val="nil"/>
            </w:tcBorders>
          </w:tcPr>
          <w:p w14:paraId="3300590C" w14:textId="77777777" w:rsidR="00B11E7A" w:rsidRPr="009502AE" w:rsidRDefault="00B11E7A" w:rsidP="00235180">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Pr>
                <w:rFonts w:ascii="Calibri" w:hAnsi="Calibri" w:cs="Calibri"/>
                <w:color w:val="000000"/>
                <w:sz w:val="18"/>
                <w:szCs w:val="18"/>
                <w:lang w:val="sv-FI" w:eastAsia="sv-FI"/>
              </w:rPr>
              <w:t>40</w:t>
            </w:r>
          </w:p>
        </w:tc>
        <w:tc>
          <w:tcPr>
            <w:tcW w:w="1936" w:type="dxa"/>
            <w:tcBorders>
              <w:top w:val="single" w:sz="4" w:space="0" w:color="auto"/>
              <w:bottom w:val="nil"/>
            </w:tcBorders>
          </w:tcPr>
          <w:p w14:paraId="2F64DFA0" w14:textId="77777777" w:rsidR="00B11E7A" w:rsidRPr="009502AE" w:rsidRDefault="00B11E7A" w:rsidP="00235180">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Pr>
                <w:rFonts w:ascii="Calibri" w:hAnsi="Calibri" w:cs="Calibri"/>
                <w:color w:val="000000"/>
                <w:sz w:val="18"/>
                <w:szCs w:val="18"/>
                <w:lang w:val="sv-FI" w:eastAsia="sv-FI"/>
              </w:rPr>
              <w:t>65</w:t>
            </w:r>
          </w:p>
        </w:tc>
      </w:tr>
      <w:tr w:rsidR="00B11E7A" w14:paraId="1073C764" w14:textId="77777777" w:rsidTr="00235180">
        <w:tc>
          <w:tcPr>
            <w:cnfStyle w:val="001000000000" w:firstRow="0" w:lastRow="0" w:firstColumn="1" w:lastColumn="0" w:oddVBand="0" w:evenVBand="0" w:oddHBand="0" w:evenHBand="0" w:firstRowFirstColumn="0" w:firstRowLastColumn="0" w:lastRowFirstColumn="0" w:lastRowLastColumn="0"/>
            <w:tcW w:w="1670" w:type="dxa"/>
            <w:tcBorders>
              <w:top w:val="nil"/>
              <w:bottom w:val="nil"/>
            </w:tcBorders>
          </w:tcPr>
          <w:p w14:paraId="7E673726" w14:textId="77777777" w:rsidR="00B11E7A" w:rsidRPr="003F1D06" w:rsidRDefault="00B11E7A" w:rsidP="00235180">
            <w:pPr>
              <w:pStyle w:val="ANormal"/>
              <w:rPr>
                <w:rFonts w:ascii="Calibri" w:hAnsi="Calibri" w:cs="Calibri"/>
                <w:b w:val="0"/>
                <w:bCs w:val="0"/>
                <w:color w:val="000000"/>
                <w:sz w:val="18"/>
                <w:szCs w:val="18"/>
                <w:lang w:val="sv-FI" w:eastAsia="sv-FI"/>
              </w:rPr>
            </w:pPr>
            <w:r w:rsidRPr="003F1D06">
              <w:rPr>
                <w:rFonts w:ascii="Calibri" w:hAnsi="Calibri" w:cs="Calibri"/>
                <w:b w:val="0"/>
                <w:bCs w:val="0"/>
                <w:color w:val="000000"/>
                <w:sz w:val="18"/>
                <w:szCs w:val="18"/>
                <w:lang w:val="sv-FI" w:eastAsia="sv-FI"/>
              </w:rPr>
              <w:t>5 – 74</w:t>
            </w:r>
          </w:p>
        </w:tc>
        <w:tc>
          <w:tcPr>
            <w:tcW w:w="1670" w:type="dxa"/>
            <w:tcBorders>
              <w:top w:val="nil"/>
              <w:bottom w:val="nil"/>
            </w:tcBorders>
          </w:tcPr>
          <w:p w14:paraId="58BBB0FA" w14:textId="77777777" w:rsidR="00B11E7A" w:rsidRPr="009502AE" w:rsidRDefault="00B11E7A" w:rsidP="0023518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9502AE">
              <w:rPr>
                <w:rFonts w:ascii="Calibri" w:hAnsi="Calibri" w:cs="Calibri"/>
                <w:color w:val="000000"/>
                <w:sz w:val="18"/>
                <w:szCs w:val="18"/>
                <w:lang w:val="sv-FI" w:eastAsia="sv-FI"/>
              </w:rPr>
              <w:t>46</w:t>
            </w:r>
          </w:p>
        </w:tc>
        <w:tc>
          <w:tcPr>
            <w:tcW w:w="1670" w:type="dxa"/>
            <w:tcBorders>
              <w:top w:val="nil"/>
              <w:bottom w:val="nil"/>
            </w:tcBorders>
          </w:tcPr>
          <w:p w14:paraId="3381508C" w14:textId="77777777" w:rsidR="00B11E7A" w:rsidRPr="009502AE" w:rsidRDefault="00B11E7A" w:rsidP="0023518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9502AE">
              <w:rPr>
                <w:rFonts w:ascii="Calibri" w:hAnsi="Calibri" w:cs="Calibri"/>
                <w:color w:val="000000"/>
                <w:sz w:val="18"/>
                <w:szCs w:val="18"/>
                <w:lang w:val="sv-FI" w:eastAsia="sv-FI"/>
              </w:rPr>
              <w:t>33</w:t>
            </w:r>
          </w:p>
        </w:tc>
        <w:tc>
          <w:tcPr>
            <w:tcW w:w="1936" w:type="dxa"/>
            <w:tcBorders>
              <w:top w:val="nil"/>
              <w:bottom w:val="nil"/>
            </w:tcBorders>
          </w:tcPr>
          <w:p w14:paraId="02FBC9A7" w14:textId="77777777" w:rsidR="00B11E7A" w:rsidRPr="009502AE" w:rsidRDefault="00B11E7A" w:rsidP="0023518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9502AE">
              <w:rPr>
                <w:rFonts w:ascii="Calibri" w:hAnsi="Calibri" w:cs="Calibri"/>
                <w:color w:val="000000"/>
                <w:sz w:val="18"/>
                <w:szCs w:val="18"/>
                <w:lang w:val="sv-FI" w:eastAsia="sv-FI"/>
              </w:rPr>
              <w:t>79</w:t>
            </w:r>
          </w:p>
        </w:tc>
      </w:tr>
      <w:tr w:rsidR="00B11E7A" w14:paraId="7980E415" w14:textId="77777777" w:rsidTr="00235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Borders>
              <w:top w:val="nil"/>
              <w:bottom w:val="nil"/>
            </w:tcBorders>
          </w:tcPr>
          <w:p w14:paraId="44B4F1E4" w14:textId="77777777" w:rsidR="00B11E7A" w:rsidRPr="003F1D06" w:rsidRDefault="00B11E7A" w:rsidP="00235180">
            <w:pPr>
              <w:pStyle w:val="ANormal"/>
              <w:rPr>
                <w:rFonts w:ascii="Calibri" w:hAnsi="Calibri" w:cs="Calibri"/>
                <w:b w:val="0"/>
                <w:bCs w:val="0"/>
                <w:color w:val="000000"/>
                <w:sz w:val="18"/>
                <w:szCs w:val="18"/>
                <w:lang w:val="sv-FI" w:eastAsia="sv-FI"/>
              </w:rPr>
            </w:pPr>
            <w:r w:rsidRPr="003F1D06">
              <w:rPr>
                <w:rFonts w:ascii="Calibri" w:hAnsi="Calibri" w:cs="Calibri"/>
                <w:b w:val="0"/>
                <w:bCs w:val="0"/>
                <w:color w:val="000000"/>
                <w:sz w:val="18"/>
                <w:szCs w:val="18"/>
                <w:lang w:val="sv-FI" w:eastAsia="sv-FI"/>
              </w:rPr>
              <w:t>75 – 79</w:t>
            </w:r>
          </w:p>
        </w:tc>
        <w:tc>
          <w:tcPr>
            <w:tcW w:w="1670" w:type="dxa"/>
            <w:tcBorders>
              <w:top w:val="nil"/>
              <w:bottom w:val="nil"/>
            </w:tcBorders>
          </w:tcPr>
          <w:p w14:paraId="6CB088E6" w14:textId="77777777" w:rsidR="00B11E7A" w:rsidRPr="009502AE" w:rsidRDefault="00B11E7A" w:rsidP="00235180">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9502AE">
              <w:rPr>
                <w:rFonts w:ascii="Calibri" w:hAnsi="Calibri" w:cs="Calibri"/>
                <w:color w:val="000000"/>
                <w:sz w:val="18"/>
                <w:szCs w:val="18"/>
                <w:lang w:val="sv-FI" w:eastAsia="sv-FI"/>
              </w:rPr>
              <w:t>59</w:t>
            </w:r>
          </w:p>
        </w:tc>
        <w:tc>
          <w:tcPr>
            <w:tcW w:w="1670" w:type="dxa"/>
            <w:tcBorders>
              <w:top w:val="nil"/>
              <w:bottom w:val="nil"/>
            </w:tcBorders>
          </w:tcPr>
          <w:p w14:paraId="4B80CDEC" w14:textId="77777777" w:rsidR="00B11E7A" w:rsidRPr="009502AE" w:rsidRDefault="00B11E7A" w:rsidP="00235180">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9502AE">
              <w:rPr>
                <w:rFonts w:ascii="Calibri" w:hAnsi="Calibri" w:cs="Calibri"/>
                <w:color w:val="000000"/>
                <w:sz w:val="18"/>
                <w:szCs w:val="18"/>
                <w:lang w:val="sv-FI" w:eastAsia="sv-FI"/>
              </w:rPr>
              <w:t>65</w:t>
            </w:r>
          </w:p>
        </w:tc>
        <w:tc>
          <w:tcPr>
            <w:tcW w:w="1936" w:type="dxa"/>
            <w:tcBorders>
              <w:top w:val="nil"/>
              <w:bottom w:val="nil"/>
            </w:tcBorders>
          </w:tcPr>
          <w:p w14:paraId="2768C601" w14:textId="77777777" w:rsidR="00B11E7A" w:rsidRPr="009502AE" w:rsidRDefault="00B11E7A" w:rsidP="00235180">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9502AE">
              <w:rPr>
                <w:rFonts w:ascii="Calibri" w:hAnsi="Calibri" w:cs="Calibri"/>
                <w:color w:val="000000"/>
                <w:sz w:val="18"/>
                <w:szCs w:val="18"/>
                <w:lang w:val="sv-FI" w:eastAsia="sv-FI"/>
              </w:rPr>
              <w:t>124</w:t>
            </w:r>
          </w:p>
        </w:tc>
      </w:tr>
      <w:tr w:rsidR="00B11E7A" w:rsidRPr="00B01A18" w14:paraId="795DBE97" w14:textId="77777777" w:rsidTr="00235180">
        <w:tc>
          <w:tcPr>
            <w:cnfStyle w:val="001000000000" w:firstRow="0" w:lastRow="0" w:firstColumn="1" w:lastColumn="0" w:oddVBand="0" w:evenVBand="0" w:oddHBand="0" w:evenHBand="0" w:firstRowFirstColumn="0" w:firstRowLastColumn="0" w:lastRowFirstColumn="0" w:lastRowLastColumn="0"/>
            <w:tcW w:w="1670" w:type="dxa"/>
            <w:tcBorders>
              <w:top w:val="nil"/>
              <w:bottom w:val="nil"/>
            </w:tcBorders>
          </w:tcPr>
          <w:p w14:paraId="60BB0405" w14:textId="77777777" w:rsidR="00B11E7A" w:rsidRPr="003F1D06" w:rsidRDefault="00B11E7A" w:rsidP="00235180">
            <w:pPr>
              <w:pStyle w:val="ANormal"/>
              <w:rPr>
                <w:rFonts w:ascii="Calibri" w:hAnsi="Calibri" w:cs="Calibri"/>
                <w:b w:val="0"/>
                <w:bCs w:val="0"/>
                <w:color w:val="000000"/>
                <w:sz w:val="18"/>
                <w:szCs w:val="18"/>
                <w:lang w:val="sv-FI" w:eastAsia="sv-FI"/>
              </w:rPr>
            </w:pPr>
            <w:r w:rsidRPr="003F1D06">
              <w:rPr>
                <w:rFonts w:ascii="Calibri" w:hAnsi="Calibri" w:cs="Calibri"/>
                <w:b w:val="0"/>
                <w:bCs w:val="0"/>
                <w:color w:val="000000"/>
                <w:sz w:val="18"/>
                <w:szCs w:val="18"/>
                <w:lang w:val="sv-FI" w:eastAsia="sv-FI"/>
              </w:rPr>
              <w:t>80 – 84</w:t>
            </w:r>
          </w:p>
        </w:tc>
        <w:tc>
          <w:tcPr>
            <w:tcW w:w="1670" w:type="dxa"/>
            <w:tcBorders>
              <w:top w:val="nil"/>
              <w:bottom w:val="nil"/>
            </w:tcBorders>
          </w:tcPr>
          <w:p w14:paraId="0196208B" w14:textId="77777777" w:rsidR="00B11E7A" w:rsidRPr="009502AE" w:rsidRDefault="00B11E7A" w:rsidP="0023518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9502AE">
              <w:rPr>
                <w:rFonts w:ascii="Calibri" w:hAnsi="Calibri" w:cs="Calibri"/>
                <w:color w:val="000000"/>
                <w:sz w:val="18"/>
                <w:szCs w:val="18"/>
                <w:lang w:val="sv-FI" w:eastAsia="sv-FI"/>
              </w:rPr>
              <w:t>85</w:t>
            </w:r>
          </w:p>
        </w:tc>
        <w:tc>
          <w:tcPr>
            <w:tcW w:w="1670" w:type="dxa"/>
            <w:tcBorders>
              <w:top w:val="nil"/>
              <w:bottom w:val="nil"/>
            </w:tcBorders>
          </w:tcPr>
          <w:p w14:paraId="776B171C" w14:textId="77777777" w:rsidR="00B11E7A" w:rsidRPr="009502AE" w:rsidRDefault="00B11E7A" w:rsidP="0023518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9502AE">
              <w:rPr>
                <w:rFonts w:ascii="Calibri" w:hAnsi="Calibri" w:cs="Calibri"/>
                <w:color w:val="000000"/>
                <w:sz w:val="18"/>
                <w:szCs w:val="18"/>
                <w:lang w:val="sv-FI" w:eastAsia="sv-FI"/>
              </w:rPr>
              <w:t>73</w:t>
            </w:r>
          </w:p>
        </w:tc>
        <w:tc>
          <w:tcPr>
            <w:tcW w:w="1936" w:type="dxa"/>
            <w:tcBorders>
              <w:top w:val="nil"/>
              <w:bottom w:val="nil"/>
            </w:tcBorders>
          </w:tcPr>
          <w:p w14:paraId="62628A3A" w14:textId="77777777" w:rsidR="00B11E7A" w:rsidRPr="009502AE" w:rsidRDefault="00B11E7A" w:rsidP="0023518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9502AE">
              <w:rPr>
                <w:rFonts w:ascii="Calibri" w:hAnsi="Calibri" w:cs="Calibri"/>
                <w:color w:val="000000"/>
                <w:sz w:val="18"/>
                <w:szCs w:val="18"/>
                <w:lang w:val="sv-FI" w:eastAsia="sv-FI"/>
              </w:rPr>
              <w:t>158</w:t>
            </w:r>
          </w:p>
        </w:tc>
      </w:tr>
      <w:tr w:rsidR="00B11E7A" w14:paraId="784C7E80" w14:textId="77777777" w:rsidTr="00235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Borders>
              <w:top w:val="nil"/>
              <w:bottom w:val="nil"/>
            </w:tcBorders>
          </w:tcPr>
          <w:p w14:paraId="1C6599CC" w14:textId="77777777" w:rsidR="00B11E7A" w:rsidRPr="003F1D06" w:rsidRDefault="00B11E7A" w:rsidP="00235180">
            <w:pPr>
              <w:pStyle w:val="ANormal"/>
              <w:rPr>
                <w:rFonts w:ascii="Calibri" w:hAnsi="Calibri" w:cs="Calibri"/>
                <w:b w:val="0"/>
                <w:bCs w:val="0"/>
                <w:color w:val="000000"/>
                <w:sz w:val="18"/>
                <w:szCs w:val="18"/>
                <w:lang w:val="sv-FI" w:eastAsia="sv-FI"/>
              </w:rPr>
            </w:pPr>
            <w:r w:rsidRPr="003F1D06">
              <w:rPr>
                <w:rFonts w:ascii="Calibri" w:hAnsi="Calibri" w:cs="Calibri"/>
                <w:b w:val="0"/>
                <w:bCs w:val="0"/>
                <w:color w:val="000000"/>
                <w:sz w:val="18"/>
                <w:szCs w:val="18"/>
                <w:lang w:val="sv-FI" w:eastAsia="sv-FI"/>
              </w:rPr>
              <w:t>85 –</w:t>
            </w:r>
          </w:p>
        </w:tc>
        <w:tc>
          <w:tcPr>
            <w:tcW w:w="1670" w:type="dxa"/>
            <w:tcBorders>
              <w:top w:val="nil"/>
              <w:bottom w:val="nil"/>
            </w:tcBorders>
          </w:tcPr>
          <w:p w14:paraId="00C9F32A" w14:textId="77777777" w:rsidR="00B11E7A" w:rsidRPr="009502AE" w:rsidRDefault="00B11E7A" w:rsidP="00235180">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9502AE">
              <w:rPr>
                <w:rFonts w:ascii="Calibri" w:hAnsi="Calibri" w:cs="Calibri"/>
                <w:color w:val="000000"/>
                <w:sz w:val="18"/>
                <w:szCs w:val="18"/>
                <w:lang w:val="sv-FI" w:eastAsia="sv-FI"/>
              </w:rPr>
              <w:t>190</w:t>
            </w:r>
          </w:p>
        </w:tc>
        <w:tc>
          <w:tcPr>
            <w:tcW w:w="1670" w:type="dxa"/>
            <w:tcBorders>
              <w:top w:val="nil"/>
              <w:bottom w:val="nil"/>
            </w:tcBorders>
          </w:tcPr>
          <w:p w14:paraId="5E8253BE" w14:textId="77777777" w:rsidR="00B11E7A" w:rsidRPr="009502AE" w:rsidRDefault="00B11E7A" w:rsidP="00235180">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9502AE">
              <w:rPr>
                <w:rFonts w:ascii="Calibri" w:hAnsi="Calibri" w:cs="Calibri"/>
                <w:color w:val="000000"/>
                <w:sz w:val="18"/>
                <w:szCs w:val="18"/>
                <w:lang w:val="sv-FI" w:eastAsia="sv-FI"/>
              </w:rPr>
              <w:t>107</w:t>
            </w:r>
          </w:p>
        </w:tc>
        <w:tc>
          <w:tcPr>
            <w:tcW w:w="1936" w:type="dxa"/>
            <w:tcBorders>
              <w:top w:val="nil"/>
              <w:bottom w:val="nil"/>
            </w:tcBorders>
          </w:tcPr>
          <w:p w14:paraId="48D396C9" w14:textId="77777777" w:rsidR="00B11E7A" w:rsidRPr="009502AE" w:rsidRDefault="00B11E7A" w:rsidP="00235180">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9502AE">
              <w:rPr>
                <w:rFonts w:ascii="Calibri" w:hAnsi="Calibri" w:cs="Calibri"/>
                <w:color w:val="000000"/>
                <w:sz w:val="18"/>
                <w:szCs w:val="18"/>
                <w:lang w:val="sv-FI" w:eastAsia="sv-FI"/>
              </w:rPr>
              <w:t>297</w:t>
            </w:r>
          </w:p>
        </w:tc>
      </w:tr>
      <w:tr w:rsidR="00B11E7A" w14:paraId="61B63722" w14:textId="77777777" w:rsidTr="00235180">
        <w:tc>
          <w:tcPr>
            <w:cnfStyle w:val="001000000000" w:firstRow="0" w:lastRow="0" w:firstColumn="1" w:lastColumn="0" w:oddVBand="0" w:evenVBand="0" w:oddHBand="0" w:evenHBand="0" w:firstRowFirstColumn="0" w:firstRowLastColumn="0" w:lastRowFirstColumn="0" w:lastRowLastColumn="0"/>
            <w:tcW w:w="1670" w:type="dxa"/>
            <w:tcBorders>
              <w:top w:val="nil"/>
              <w:bottom w:val="single" w:sz="4" w:space="0" w:color="auto"/>
            </w:tcBorders>
          </w:tcPr>
          <w:p w14:paraId="299DDA67" w14:textId="77777777" w:rsidR="00B11E7A" w:rsidRPr="00CC4EE9" w:rsidRDefault="00B11E7A" w:rsidP="00235180">
            <w:pPr>
              <w:pStyle w:val="ANormal"/>
              <w:rPr>
                <w:rFonts w:ascii="Calibri" w:hAnsi="Calibri" w:cs="Calibri"/>
                <w:color w:val="000000"/>
                <w:sz w:val="18"/>
                <w:szCs w:val="18"/>
                <w:lang w:val="sv-FI" w:eastAsia="sv-FI"/>
              </w:rPr>
            </w:pPr>
            <w:r w:rsidRPr="00CC4EE9">
              <w:rPr>
                <w:rFonts w:ascii="Calibri" w:hAnsi="Calibri" w:cs="Calibri"/>
                <w:color w:val="000000"/>
                <w:sz w:val="18"/>
                <w:szCs w:val="18"/>
                <w:lang w:val="sv-FI" w:eastAsia="sv-FI"/>
              </w:rPr>
              <w:t>Totalantal</w:t>
            </w:r>
          </w:p>
        </w:tc>
        <w:tc>
          <w:tcPr>
            <w:tcW w:w="1670" w:type="dxa"/>
            <w:tcBorders>
              <w:top w:val="nil"/>
              <w:bottom w:val="single" w:sz="4" w:space="0" w:color="auto"/>
            </w:tcBorders>
          </w:tcPr>
          <w:p w14:paraId="27D07C75" w14:textId="77777777" w:rsidR="00B11E7A" w:rsidRPr="006C14FE" w:rsidRDefault="00B11E7A" w:rsidP="0023518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lang w:val="sv-FI" w:eastAsia="sv-FI"/>
              </w:rPr>
            </w:pPr>
            <w:r w:rsidRPr="006C14FE">
              <w:rPr>
                <w:rFonts w:ascii="Calibri" w:hAnsi="Calibri" w:cs="Calibri"/>
                <w:b/>
                <w:bCs/>
                <w:color w:val="000000"/>
                <w:sz w:val="18"/>
                <w:szCs w:val="18"/>
                <w:lang w:val="sv-FI" w:eastAsia="sv-FI"/>
              </w:rPr>
              <w:t>405</w:t>
            </w:r>
          </w:p>
        </w:tc>
        <w:tc>
          <w:tcPr>
            <w:tcW w:w="1670" w:type="dxa"/>
            <w:tcBorders>
              <w:top w:val="nil"/>
              <w:bottom w:val="single" w:sz="4" w:space="0" w:color="auto"/>
            </w:tcBorders>
          </w:tcPr>
          <w:p w14:paraId="04436295" w14:textId="77777777" w:rsidR="00B11E7A" w:rsidRPr="006C14FE" w:rsidRDefault="00B11E7A" w:rsidP="0023518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lang w:val="sv-FI" w:eastAsia="sv-FI"/>
              </w:rPr>
            </w:pPr>
            <w:r w:rsidRPr="006C14FE">
              <w:rPr>
                <w:rFonts w:ascii="Calibri" w:hAnsi="Calibri" w:cs="Calibri"/>
                <w:b/>
                <w:bCs/>
                <w:color w:val="000000"/>
                <w:sz w:val="18"/>
                <w:szCs w:val="18"/>
                <w:lang w:val="sv-FI" w:eastAsia="sv-FI"/>
              </w:rPr>
              <w:t>318</w:t>
            </w:r>
          </w:p>
        </w:tc>
        <w:tc>
          <w:tcPr>
            <w:tcW w:w="1936" w:type="dxa"/>
            <w:tcBorders>
              <w:top w:val="nil"/>
              <w:bottom w:val="single" w:sz="4" w:space="0" w:color="auto"/>
            </w:tcBorders>
          </w:tcPr>
          <w:p w14:paraId="2829ABF2" w14:textId="77777777" w:rsidR="00B11E7A" w:rsidRPr="006C14FE" w:rsidRDefault="00B11E7A" w:rsidP="0023518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lang w:val="sv-FI" w:eastAsia="sv-FI"/>
              </w:rPr>
            </w:pPr>
            <w:r w:rsidRPr="006C14FE">
              <w:rPr>
                <w:rFonts w:ascii="Calibri" w:hAnsi="Calibri" w:cs="Calibri"/>
                <w:b/>
                <w:bCs/>
                <w:color w:val="000000"/>
                <w:sz w:val="18"/>
                <w:szCs w:val="18"/>
                <w:lang w:val="sv-FI" w:eastAsia="sv-FI"/>
              </w:rPr>
              <w:t>723</w:t>
            </w:r>
          </w:p>
        </w:tc>
      </w:tr>
    </w:tbl>
    <w:p w14:paraId="266DF37D" w14:textId="77777777" w:rsidR="00B11E7A" w:rsidRDefault="00B11E7A" w:rsidP="00B11E7A">
      <w:pPr>
        <w:pStyle w:val="ANormal"/>
        <w:rPr>
          <w:rFonts w:ascii="Calibri" w:hAnsi="Calibri" w:cs="Calibri"/>
          <w:color w:val="000000"/>
          <w:sz w:val="16"/>
          <w:szCs w:val="16"/>
          <w:lang w:val="sv-FI" w:eastAsia="sv-FI"/>
        </w:rPr>
      </w:pPr>
    </w:p>
    <w:p w14:paraId="6322B79C" w14:textId="77777777" w:rsidR="00B11E7A" w:rsidRPr="00284E09" w:rsidRDefault="00B11E7A" w:rsidP="00B11E7A">
      <w:pPr>
        <w:pStyle w:val="ANormal"/>
        <w:rPr>
          <w:rFonts w:ascii="Calibri" w:hAnsi="Calibri" w:cs="Calibri"/>
          <w:color w:val="000000"/>
          <w:sz w:val="18"/>
          <w:szCs w:val="18"/>
          <w:lang w:val="sv-FI" w:eastAsia="sv-FI"/>
        </w:rPr>
      </w:pPr>
      <w:r>
        <w:rPr>
          <w:rFonts w:ascii="Calibri" w:hAnsi="Calibri" w:cs="Calibri"/>
          <w:color w:val="000000"/>
          <w:sz w:val="18"/>
          <w:szCs w:val="18"/>
          <w:lang w:val="sv-FI" w:eastAsia="sv-FI"/>
        </w:rPr>
        <w:t xml:space="preserve">Källa: </w:t>
      </w:r>
      <w:r w:rsidRPr="00284E09">
        <w:rPr>
          <w:rFonts w:ascii="Calibri" w:hAnsi="Calibri" w:cs="Calibri"/>
          <w:color w:val="000000"/>
          <w:sz w:val="18"/>
          <w:szCs w:val="18"/>
          <w:lang w:val="sv-FI" w:eastAsia="sv-FI"/>
        </w:rPr>
        <w:t>ÅSUB</w:t>
      </w:r>
    </w:p>
    <w:p w14:paraId="5E9610D1" w14:textId="5ECB69B2" w:rsidR="001402FF" w:rsidRPr="00190F6D" w:rsidRDefault="001402FF" w:rsidP="00190F6D">
      <w:pPr>
        <w:pStyle w:val="ANormal"/>
      </w:pPr>
    </w:p>
    <w:p w14:paraId="163CA062" w14:textId="0EB71A81" w:rsidR="001B58B1" w:rsidRDefault="001402FF" w:rsidP="00C473B0">
      <w:pPr>
        <w:pStyle w:val="ANormal"/>
        <w:rPr>
          <w:szCs w:val="22"/>
        </w:rPr>
      </w:pPr>
      <w:r w:rsidRPr="00284EF9">
        <w:rPr>
          <w:szCs w:val="22"/>
        </w:rPr>
        <w:t xml:space="preserve">Tabell 2 (Klienter i äldreomsorgen efter kön, ålder och typ av omsorg </w:t>
      </w:r>
      <w:r w:rsidR="003C3593">
        <w:rPr>
          <w:szCs w:val="22"/>
        </w:rPr>
        <w:t xml:space="preserve">år </w:t>
      </w:r>
      <w:r w:rsidRPr="00284EF9">
        <w:rPr>
          <w:szCs w:val="22"/>
        </w:rPr>
        <w:t>2023)</w:t>
      </w:r>
    </w:p>
    <w:p w14:paraId="302F3BD6" w14:textId="77777777" w:rsidR="001402FF" w:rsidRPr="00190F6D" w:rsidRDefault="001402FF" w:rsidP="00C473B0">
      <w:pPr>
        <w:pStyle w:val="ANormal"/>
        <w:rPr>
          <w:rFonts w:ascii="Calibri" w:hAnsi="Calibri" w:cs="Calibri"/>
          <w:color w:val="000000"/>
          <w:sz w:val="16"/>
          <w:szCs w:val="16"/>
          <w:lang w:val="sv-FI" w:eastAsia="sv-FI"/>
        </w:rPr>
      </w:pPr>
    </w:p>
    <w:tbl>
      <w:tblPr>
        <w:tblStyle w:val="Oformateradtabell2"/>
        <w:tblW w:w="6941" w:type="dxa"/>
        <w:tblLook w:val="04A0" w:firstRow="1" w:lastRow="0" w:firstColumn="1" w:lastColumn="0" w:noHBand="0" w:noVBand="1"/>
      </w:tblPr>
      <w:tblGrid>
        <w:gridCol w:w="1696"/>
        <w:gridCol w:w="1134"/>
        <w:gridCol w:w="851"/>
        <w:gridCol w:w="567"/>
        <w:gridCol w:w="850"/>
        <w:gridCol w:w="567"/>
        <w:gridCol w:w="1276"/>
      </w:tblGrid>
      <w:tr w:rsidR="00E6142E" w:rsidRPr="00E6142E" w14:paraId="28F4A88D" w14:textId="77777777" w:rsidTr="003C2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auto"/>
            </w:tcBorders>
          </w:tcPr>
          <w:p w14:paraId="2B8A199F" w14:textId="77777777" w:rsidR="00E6142E" w:rsidRPr="00CC4EE9" w:rsidRDefault="00E6142E" w:rsidP="00F16600">
            <w:pPr>
              <w:pStyle w:val="ANormal"/>
              <w:rPr>
                <w:rFonts w:ascii="Calibri" w:hAnsi="Calibri" w:cs="Calibri"/>
                <w:color w:val="000000"/>
                <w:sz w:val="18"/>
                <w:szCs w:val="18"/>
                <w:lang w:val="sv-FI" w:eastAsia="sv-FI"/>
              </w:rPr>
            </w:pPr>
          </w:p>
          <w:p w14:paraId="333E28AC" w14:textId="77777777" w:rsidR="00A31F70" w:rsidRPr="00CC4EE9" w:rsidRDefault="00A31F70" w:rsidP="00F16600">
            <w:pPr>
              <w:pStyle w:val="ANormal"/>
              <w:rPr>
                <w:rFonts w:ascii="Calibri" w:hAnsi="Calibri" w:cs="Calibri"/>
                <w:color w:val="000000"/>
                <w:sz w:val="18"/>
                <w:szCs w:val="18"/>
                <w:lang w:val="sv-FI" w:eastAsia="sv-FI"/>
              </w:rPr>
            </w:pPr>
          </w:p>
          <w:p w14:paraId="496E8C11" w14:textId="77777777" w:rsidR="001E49EB" w:rsidRDefault="001E49EB" w:rsidP="00F16600">
            <w:pPr>
              <w:pStyle w:val="ANormal"/>
              <w:rPr>
                <w:rFonts w:ascii="Calibri" w:hAnsi="Calibri" w:cs="Calibri"/>
                <w:b w:val="0"/>
                <w:bCs w:val="0"/>
                <w:color w:val="000000"/>
                <w:sz w:val="18"/>
                <w:szCs w:val="18"/>
                <w:lang w:val="sv-FI" w:eastAsia="sv-FI"/>
              </w:rPr>
            </w:pPr>
          </w:p>
          <w:p w14:paraId="24033857" w14:textId="614745D5" w:rsidR="00A31F70" w:rsidRPr="00CC4EE9" w:rsidRDefault="00623700" w:rsidP="00F16600">
            <w:pPr>
              <w:pStyle w:val="ANormal"/>
              <w:rPr>
                <w:rFonts w:ascii="Calibri" w:hAnsi="Calibri" w:cs="Calibri"/>
                <w:color w:val="000000"/>
                <w:sz w:val="18"/>
                <w:szCs w:val="18"/>
                <w:lang w:val="sv-FI" w:eastAsia="sv-FI"/>
              </w:rPr>
            </w:pPr>
            <w:r>
              <w:rPr>
                <w:rFonts w:ascii="Calibri" w:hAnsi="Calibri" w:cs="Calibri"/>
                <w:color w:val="000000"/>
                <w:sz w:val="18"/>
                <w:szCs w:val="18"/>
                <w:lang w:val="sv-FI" w:eastAsia="sv-FI"/>
              </w:rPr>
              <w:t>V</w:t>
            </w:r>
            <w:r w:rsidR="00A31F70" w:rsidRPr="00CC4EE9">
              <w:rPr>
                <w:rFonts w:ascii="Calibri" w:hAnsi="Calibri" w:cs="Calibri"/>
                <w:color w:val="000000"/>
                <w:sz w:val="18"/>
                <w:szCs w:val="18"/>
                <w:lang w:val="sv-FI" w:eastAsia="sv-FI"/>
              </w:rPr>
              <w:t>ård</w:t>
            </w:r>
            <w:r>
              <w:rPr>
                <w:rFonts w:ascii="Calibri" w:hAnsi="Calibri" w:cs="Calibri"/>
                <w:color w:val="000000"/>
                <w:sz w:val="18"/>
                <w:szCs w:val="18"/>
                <w:lang w:val="sv-FI" w:eastAsia="sv-FI"/>
              </w:rPr>
              <w:t>form</w:t>
            </w:r>
          </w:p>
        </w:tc>
        <w:tc>
          <w:tcPr>
            <w:tcW w:w="1134" w:type="dxa"/>
            <w:vMerge w:val="restart"/>
            <w:tcBorders>
              <w:top w:val="single" w:sz="4" w:space="0" w:color="auto"/>
            </w:tcBorders>
          </w:tcPr>
          <w:p w14:paraId="78336E2E" w14:textId="77777777" w:rsidR="00E6142E" w:rsidRPr="00CC4EE9" w:rsidRDefault="00E6142E" w:rsidP="00F16600">
            <w:pPr>
              <w:pStyle w:val="ANormal"/>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p>
          <w:p w14:paraId="60C3D8DD" w14:textId="77777777" w:rsidR="00E6142E" w:rsidRPr="00CC4EE9" w:rsidRDefault="00E6142E" w:rsidP="00F16600">
            <w:pPr>
              <w:pStyle w:val="ANormal"/>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p>
          <w:p w14:paraId="6F8D20AB" w14:textId="77777777" w:rsidR="001E49EB" w:rsidRDefault="001E49EB" w:rsidP="00F16600">
            <w:pPr>
              <w:pStyle w:val="ANormal"/>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val="sv-FI" w:eastAsia="sv-FI"/>
              </w:rPr>
            </w:pPr>
          </w:p>
          <w:p w14:paraId="551FB73A" w14:textId="73001B2D" w:rsidR="00E6142E" w:rsidRPr="00CC4EE9" w:rsidRDefault="00E6142E" w:rsidP="00F16600">
            <w:pPr>
              <w:pStyle w:val="ANormal"/>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CC4EE9">
              <w:rPr>
                <w:rFonts w:ascii="Calibri" w:hAnsi="Calibri" w:cs="Calibri"/>
                <w:color w:val="000000"/>
                <w:sz w:val="18"/>
                <w:szCs w:val="18"/>
                <w:lang w:val="sv-FI" w:eastAsia="sv-FI"/>
              </w:rPr>
              <w:t>Åldersgrupp</w:t>
            </w:r>
          </w:p>
        </w:tc>
        <w:tc>
          <w:tcPr>
            <w:tcW w:w="1418" w:type="dxa"/>
            <w:gridSpan w:val="2"/>
            <w:tcBorders>
              <w:top w:val="single" w:sz="4" w:space="0" w:color="auto"/>
              <w:bottom w:val="single" w:sz="4" w:space="0" w:color="auto"/>
            </w:tcBorders>
          </w:tcPr>
          <w:p w14:paraId="2B3626D2" w14:textId="1D3FE8B2" w:rsidR="00E6142E" w:rsidRPr="00E6142E" w:rsidRDefault="00E6142E" w:rsidP="009D4B81">
            <w:pPr>
              <w:pStyle w:val="ANormal"/>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val="sv-FI" w:eastAsia="sv-FI"/>
              </w:rPr>
            </w:pPr>
            <w:r w:rsidRPr="00E6142E">
              <w:rPr>
                <w:rFonts w:ascii="Calibri" w:hAnsi="Calibri" w:cs="Calibri"/>
                <w:color w:val="000000"/>
                <w:sz w:val="18"/>
                <w:szCs w:val="18"/>
                <w:lang w:val="sv-FI" w:eastAsia="sv-FI"/>
              </w:rPr>
              <w:t>Antal personer</w:t>
            </w:r>
          </w:p>
        </w:tc>
        <w:tc>
          <w:tcPr>
            <w:tcW w:w="1417" w:type="dxa"/>
            <w:gridSpan w:val="2"/>
            <w:tcBorders>
              <w:top w:val="single" w:sz="4" w:space="0" w:color="auto"/>
              <w:bottom w:val="single" w:sz="4" w:space="0" w:color="auto"/>
            </w:tcBorders>
          </w:tcPr>
          <w:p w14:paraId="577BFEB5" w14:textId="6833F75C" w:rsidR="00E6142E" w:rsidRPr="00CC4EE9" w:rsidRDefault="00E6142E" w:rsidP="009D4B81">
            <w:pPr>
              <w:pStyle w:val="ANormal"/>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CC4EE9">
              <w:rPr>
                <w:rFonts w:ascii="Calibri" w:hAnsi="Calibri" w:cs="Calibri"/>
                <w:color w:val="000000"/>
                <w:sz w:val="18"/>
                <w:szCs w:val="18"/>
                <w:lang w:val="sv-FI" w:eastAsia="sv-FI"/>
              </w:rPr>
              <w:t>Könsfördelning (</w:t>
            </w:r>
            <w:r w:rsidR="00F62E10">
              <w:rPr>
                <w:rFonts w:ascii="Calibri" w:hAnsi="Calibri" w:cs="Calibri"/>
                <w:color w:val="000000"/>
                <w:sz w:val="18"/>
                <w:szCs w:val="18"/>
                <w:lang w:val="sv-FI" w:eastAsia="sv-FI"/>
              </w:rPr>
              <w:t xml:space="preserve">i </w:t>
            </w:r>
            <w:r w:rsidR="00BB7FB3" w:rsidRPr="00CC4EE9">
              <w:rPr>
                <w:rFonts w:ascii="Calibri" w:hAnsi="Calibri" w:cs="Calibri"/>
                <w:color w:val="000000"/>
                <w:sz w:val="18"/>
                <w:szCs w:val="18"/>
                <w:lang w:val="sv-FI" w:eastAsia="sv-FI"/>
              </w:rPr>
              <w:t>procent</w:t>
            </w:r>
            <w:r w:rsidRPr="00CC4EE9">
              <w:rPr>
                <w:rFonts w:ascii="Calibri" w:hAnsi="Calibri" w:cs="Calibri"/>
                <w:color w:val="000000"/>
                <w:sz w:val="18"/>
                <w:szCs w:val="18"/>
                <w:lang w:val="sv-FI" w:eastAsia="sv-FI"/>
              </w:rPr>
              <w:t>)</w:t>
            </w:r>
          </w:p>
        </w:tc>
        <w:tc>
          <w:tcPr>
            <w:tcW w:w="1276" w:type="dxa"/>
            <w:vMerge w:val="restart"/>
            <w:tcBorders>
              <w:top w:val="single" w:sz="4" w:space="0" w:color="auto"/>
            </w:tcBorders>
          </w:tcPr>
          <w:p w14:paraId="4AE75D57" w14:textId="602C35DA" w:rsidR="00E6142E" w:rsidRPr="00CC4EE9" w:rsidRDefault="00E6142E" w:rsidP="009D4B81">
            <w:pPr>
              <w:pStyle w:val="ANormal"/>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CC4EE9">
              <w:rPr>
                <w:rFonts w:ascii="Calibri" w:hAnsi="Calibri" w:cs="Calibri"/>
                <w:color w:val="000000"/>
                <w:sz w:val="18"/>
                <w:szCs w:val="18"/>
                <w:lang w:val="sv-FI" w:eastAsia="sv-FI"/>
              </w:rPr>
              <w:t>Andel</w:t>
            </w:r>
            <w:r w:rsidR="00F62E10">
              <w:rPr>
                <w:rFonts w:ascii="Calibri" w:hAnsi="Calibri" w:cs="Calibri"/>
                <w:color w:val="000000"/>
                <w:sz w:val="18"/>
                <w:szCs w:val="18"/>
                <w:lang w:val="sv-FI" w:eastAsia="sv-FI"/>
              </w:rPr>
              <w:t xml:space="preserve"> av </w:t>
            </w:r>
            <w:r w:rsidRPr="00CC4EE9">
              <w:rPr>
                <w:rFonts w:ascii="Calibri" w:hAnsi="Calibri" w:cs="Calibri"/>
                <w:color w:val="000000"/>
                <w:sz w:val="18"/>
                <w:szCs w:val="18"/>
                <w:lang w:val="sv-FI" w:eastAsia="sv-FI"/>
              </w:rPr>
              <w:t xml:space="preserve">hela befolkningen </w:t>
            </w:r>
            <w:r w:rsidR="00AD3691" w:rsidRPr="00CC4EE9">
              <w:rPr>
                <w:rFonts w:ascii="Calibri" w:hAnsi="Calibri" w:cs="Calibri"/>
                <w:color w:val="000000"/>
                <w:sz w:val="18"/>
                <w:szCs w:val="18"/>
                <w:lang w:val="sv-FI" w:eastAsia="sv-FI"/>
              </w:rPr>
              <w:t>i aktuell</w:t>
            </w:r>
            <w:r w:rsidR="00F62E10">
              <w:rPr>
                <w:rFonts w:ascii="Calibri" w:hAnsi="Calibri" w:cs="Calibri"/>
                <w:color w:val="000000"/>
                <w:sz w:val="18"/>
                <w:szCs w:val="18"/>
                <w:lang w:val="sv-FI" w:eastAsia="sv-FI"/>
              </w:rPr>
              <w:t>a</w:t>
            </w:r>
            <w:r w:rsidR="00AD3691" w:rsidRPr="00CC4EE9">
              <w:rPr>
                <w:rFonts w:ascii="Calibri" w:hAnsi="Calibri" w:cs="Calibri"/>
                <w:color w:val="000000"/>
                <w:sz w:val="18"/>
                <w:szCs w:val="18"/>
                <w:lang w:val="sv-FI" w:eastAsia="sv-FI"/>
              </w:rPr>
              <w:t xml:space="preserve"> </w:t>
            </w:r>
            <w:r w:rsidRPr="00CC4EE9">
              <w:rPr>
                <w:rFonts w:ascii="Calibri" w:hAnsi="Calibri" w:cs="Calibri"/>
                <w:color w:val="000000"/>
                <w:sz w:val="18"/>
                <w:szCs w:val="18"/>
                <w:lang w:val="sv-FI" w:eastAsia="sv-FI"/>
              </w:rPr>
              <w:t>grupp</w:t>
            </w:r>
            <w:r w:rsidR="00F62E10">
              <w:rPr>
                <w:rFonts w:ascii="Calibri" w:hAnsi="Calibri" w:cs="Calibri"/>
                <w:color w:val="000000"/>
                <w:sz w:val="18"/>
                <w:szCs w:val="18"/>
                <w:lang w:val="sv-FI" w:eastAsia="sv-FI"/>
              </w:rPr>
              <w:t>er</w:t>
            </w:r>
            <w:r w:rsidRPr="00CC4EE9">
              <w:rPr>
                <w:rFonts w:ascii="Calibri" w:hAnsi="Calibri" w:cs="Calibri"/>
                <w:color w:val="000000"/>
                <w:sz w:val="18"/>
                <w:szCs w:val="18"/>
                <w:lang w:val="sv-FI" w:eastAsia="sv-FI"/>
              </w:rPr>
              <w:t xml:space="preserve"> (</w:t>
            </w:r>
            <w:r w:rsidR="00F62E10">
              <w:rPr>
                <w:rFonts w:ascii="Calibri" w:hAnsi="Calibri" w:cs="Calibri"/>
                <w:color w:val="000000"/>
                <w:sz w:val="18"/>
                <w:szCs w:val="18"/>
                <w:lang w:val="sv-FI" w:eastAsia="sv-FI"/>
              </w:rPr>
              <w:t xml:space="preserve">i </w:t>
            </w:r>
            <w:r w:rsidR="00BB7FB3" w:rsidRPr="00CC4EE9">
              <w:rPr>
                <w:rFonts w:ascii="Calibri" w:hAnsi="Calibri" w:cs="Calibri"/>
                <w:color w:val="000000"/>
                <w:sz w:val="18"/>
                <w:szCs w:val="18"/>
                <w:lang w:val="sv-FI" w:eastAsia="sv-FI"/>
              </w:rPr>
              <w:t>procent</w:t>
            </w:r>
            <w:r w:rsidRPr="00CC4EE9">
              <w:rPr>
                <w:rFonts w:ascii="Calibri" w:hAnsi="Calibri" w:cs="Calibri"/>
                <w:color w:val="000000"/>
                <w:sz w:val="18"/>
                <w:szCs w:val="18"/>
                <w:lang w:val="sv-FI" w:eastAsia="sv-FI"/>
              </w:rPr>
              <w:t>)</w:t>
            </w:r>
          </w:p>
        </w:tc>
      </w:tr>
      <w:tr w:rsidR="00E6142E" w:rsidRPr="00E6142E" w14:paraId="0CE5AD0C" w14:textId="77777777" w:rsidTr="003C2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Borders>
              <w:bottom w:val="single" w:sz="4" w:space="0" w:color="auto"/>
            </w:tcBorders>
          </w:tcPr>
          <w:p w14:paraId="0A369630" w14:textId="77777777" w:rsidR="00E6142E" w:rsidRPr="00E6142E" w:rsidRDefault="00E6142E" w:rsidP="00DB2501">
            <w:pPr>
              <w:pStyle w:val="ANormal"/>
              <w:rPr>
                <w:rFonts w:ascii="Calibri" w:hAnsi="Calibri" w:cs="Calibri"/>
                <w:color w:val="000000"/>
                <w:sz w:val="18"/>
                <w:szCs w:val="18"/>
                <w:lang w:val="sv-FI" w:eastAsia="sv-FI"/>
              </w:rPr>
            </w:pPr>
          </w:p>
        </w:tc>
        <w:tc>
          <w:tcPr>
            <w:tcW w:w="1134" w:type="dxa"/>
            <w:vMerge/>
            <w:tcBorders>
              <w:bottom w:val="single" w:sz="4" w:space="0" w:color="auto"/>
            </w:tcBorders>
          </w:tcPr>
          <w:p w14:paraId="710CE472" w14:textId="0DC6444A" w:rsidR="00E6142E" w:rsidRPr="00E6142E" w:rsidRDefault="00E6142E" w:rsidP="00DB2501">
            <w:pPr>
              <w:pStyle w:val="ANormal"/>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p>
        </w:tc>
        <w:tc>
          <w:tcPr>
            <w:tcW w:w="851" w:type="dxa"/>
            <w:tcBorders>
              <w:top w:val="single" w:sz="4" w:space="0" w:color="auto"/>
              <w:bottom w:val="single" w:sz="4" w:space="0" w:color="auto"/>
            </w:tcBorders>
          </w:tcPr>
          <w:p w14:paraId="598EEA7D" w14:textId="77777777" w:rsidR="001E49EB" w:rsidRDefault="001E49EB" w:rsidP="009D4B81">
            <w:pPr>
              <w:pStyle w:val="ANormal"/>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sv-FI" w:eastAsia="sv-FI"/>
              </w:rPr>
            </w:pPr>
          </w:p>
          <w:p w14:paraId="196D8496" w14:textId="142B3B4E" w:rsidR="00E6142E" w:rsidRPr="00E6142E" w:rsidRDefault="00E6142E" w:rsidP="009D4B81">
            <w:pPr>
              <w:pStyle w:val="ANormal"/>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sv-FI" w:eastAsia="sv-FI"/>
              </w:rPr>
            </w:pPr>
            <w:r w:rsidRPr="00E6142E">
              <w:rPr>
                <w:rFonts w:ascii="Calibri" w:hAnsi="Calibri" w:cs="Calibri"/>
                <w:b/>
                <w:bCs/>
                <w:color w:val="000000"/>
                <w:sz w:val="18"/>
                <w:szCs w:val="18"/>
                <w:lang w:val="sv-FI" w:eastAsia="sv-FI"/>
              </w:rPr>
              <w:t>Kvinnor</w:t>
            </w:r>
          </w:p>
        </w:tc>
        <w:tc>
          <w:tcPr>
            <w:tcW w:w="567" w:type="dxa"/>
            <w:tcBorders>
              <w:top w:val="single" w:sz="4" w:space="0" w:color="auto"/>
              <w:bottom w:val="single" w:sz="4" w:space="0" w:color="auto"/>
            </w:tcBorders>
          </w:tcPr>
          <w:p w14:paraId="10B657A4" w14:textId="77777777" w:rsidR="001E49EB" w:rsidRDefault="001E49EB" w:rsidP="009D4B81">
            <w:pPr>
              <w:pStyle w:val="ANormal"/>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sv-FI" w:eastAsia="sv-FI"/>
              </w:rPr>
            </w:pPr>
          </w:p>
          <w:p w14:paraId="241C1117" w14:textId="5AC69E5E" w:rsidR="00E6142E" w:rsidRPr="00E6142E" w:rsidRDefault="00E6142E" w:rsidP="009D4B81">
            <w:pPr>
              <w:pStyle w:val="ANormal"/>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sv-FI" w:eastAsia="sv-FI"/>
              </w:rPr>
            </w:pPr>
            <w:r w:rsidRPr="00E6142E">
              <w:rPr>
                <w:rFonts w:ascii="Calibri" w:hAnsi="Calibri" w:cs="Calibri"/>
                <w:b/>
                <w:bCs/>
                <w:color w:val="000000"/>
                <w:sz w:val="18"/>
                <w:szCs w:val="18"/>
                <w:lang w:val="sv-FI" w:eastAsia="sv-FI"/>
              </w:rPr>
              <w:t>Män</w:t>
            </w:r>
          </w:p>
        </w:tc>
        <w:tc>
          <w:tcPr>
            <w:tcW w:w="850" w:type="dxa"/>
            <w:tcBorders>
              <w:top w:val="single" w:sz="4" w:space="0" w:color="auto"/>
              <w:bottom w:val="single" w:sz="4" w:space="0" w:color="auto"/>
            </w:tcBorders>
          </w:tcPr>
          <w:p w14:paraId="2549F31D" w14:textId="77777777" w:rsidR="001E49EB" w:rsidRDefault="001E49EB" w:rsidP="009D4B81">
            <w:pPr>
              <w:pStyle w:val="ANormal"/>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sv-FI" w:eastAsia="sv-FI"/>
              </w:rPr>
            </w:pPr>
          </w:p>
          <w:p w14:paraId="133A237E" w14:textId="3E4CD9BD" w:rsidR="00E6142E" w:rsidRPr="00E6142E" w:rsidRDefault="00E6142E" w:rsidP="009D4B81">
            <w:pPr>
              <w:pStyle w:val="ANormal"/>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sv-FI" w:eastAsia="sv-FI"/>
              </w:rPr>
            </w:pPr>
            <w:r w:rsidRPr="00E6142E">
              <w:rPr>
                <w:rFonts w:ascii="Calibri" w:hAnsi="Calibri" w:cs="Calibri"/>
                <w:b/>
                <w:bCs/>
                <w:color w:val="000000"/>
                <w:sz w:val="18"/>
                <w:szCs w:val="18"/>
                <w:lang w:val="sv-FI" w:eastAsia="sv-FI"/>
              </w:rPr>
              <w:t>Kvinnor</w:t>
            </w:r>
          </w:p>
        </w:tc>
        <w:tc>
          <w:tcPr>
            <w:tcW w:w="567" w:type="dxa"/>
            <w:tcBorders>
              <w:top w:val="single" w:sz="4" w:space="0" w:color="auto"/>
              <w:bottom w:val="single" w:sz="4" w:space="0" w:color="auto"/>
            </w:tcBorders>
          </w:tcPr>
          <w:p w14:paraId="0E181EA0" w14:textId="77777777" w:rsidR="003433B6" w:rsidRDefault="003433B6" w:rsidP="009D4B81">
            <w:pPr>
              <w:pStyle w:val="ANormal"/>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sv-FI" w:eastAsia="sv-FI"/>
              </w:rPr>
            </w:pPr>
          </w:p>
          <w:p w14:paraId="63C86064" w14:textId="37CEA837" w:rsidR="00E6142E" w:rsidRPr="00E6142E" w:rsidRDefault="00E6142E" w:rsidP="009D4B81">
            <w:pPr>
              <w:pStyle w:val="ANormal"/>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sv-FI" w:eastAsia="sv-FI"/>
              </w:rPr>
            </w:pPr>
            <w:r w:rsidRPr="00E6142E">
              <w:rPr>
                <w:rFonts w:ascii="Calibri" w:hAnsi="Calibri" w:cs="Calibri"/>
                <w:b/>
                <w:bCs/>
                <w:color w:val="000000"/>
                <w:sz w:val="18"/>
                <w:szCs w:val="18"/>
                <w:lang w:val="sv-FI" w:eastAsia="sv-FI"/>
              </w:rPr>
              <w:t>Män</w:t>
            </w:r>
          </w:p>
        </w:tc>
        <w:tc>
          <w:tcPr>
            <w:tcW w:w="1276" w:type="dxa"/>
            <w:vMerge/>
            <w:tcBorders>
              <w:bottom w:val="single" w:sz="4" w:space="0" w:color="auto"/>
            </w:tcBorders>
          </w:tcPr>
          <w:p w14:paraId="0E8B310E" w14:textId="57D4F0B5" w:rsidR="00E6142E" w:rsidRPr="00E6142E" w:rsidRDefault="00E6142E" w:rsidP="009D4B81">
            <w:pPr>
              <w:pStyle w:val="ANormal"/>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p>
        </w:tc>
      </w:tr>
      <w:tr w:rsidR="00CC5D37" w:rsidRPr="00E6142E" w14:paraId="44730802" w14:textId="77777777" w:rsidTr="006C14FE">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auto"/>
              <w:bottom w:val="nil"/>
            </w:tcBorders>
          </w:tcPr>
          <w:p w14:paraId="0E8AE60C" w14:textId="77777777" w:rsidR="00CC5D37" w:rsidRPr="006C14FE" w:rsidRDefault="00CC5D37" w:rsidP="00CC5D37">
            <w:pPr>
              <w:pStyle w:val="ANormal"/>
              <w:jc w:val="left"/>
              <w:rPr>
                <w:rFonts w:ascii="Calibri" w:hAnsi="Calibri" w:cs="Calibri"/>
                <w:b w:val="0"/>
                <w:bCs w:val="0"/>
                <w:sz w:val="18"/>
                <w:szCs w:val="18"/>
                <w:lang w:val="sv-FI" w:eastAsia="sv-FI"/>
              </w:rPr>
            </w:pPr>
            <w:r w:rsidRPr="003F1D06">
              <w:rPr>
                <w:rFonts w:ascii="Calibri" w:hAnsi="Calibri" w:cs="Calibri"/>
                <w:b w:val="0"/>
                <w:bCs w:val="0"/>
                <w:sz w:val="18"/>
                <w:szCs w:val="18"/>
                <w:lang w:val="sv-FI" w:eastAsia="sv-FI"/>
              </w:rPr>
              <w:t>Institutionsvård för äldre, klienter i vård per 31</w:t>
            </w:r>
            <w:r w:rsidR="009502AE" w:rsidRPr="003F1D06">
              <w:rPr>
                <w:rFonts w:ascii="Calibri" w:hAnsi="Calibri" w:cs="Calibri"/>
                <w:b w:val="0"/>
                <w:bCs w:val="0"/>
                <w:sz w:val="18"/>
                <w:szCs w:val="18"/>
                <w:lang w:val="sv-FI" w:eastAsia="sv-FI"/>
              </w:rPr>
              <w:t xml:space="preserve"> december</w:t>
            </w:r>
          </w:p>
          <w:p w14:paraId="455804B1" w14:textId="112C9AFD" w:rsidR="006C14FE" w:rsidRPr="003F1D06" w:rsidRDefault="006C14FE" w:rsidP="00CC5D37">
            <w:pPr>
              <w:pStyle w:val="ANormal"/>
              <w:jc w:val="left"/>
              <w:rPr>
                <w:rFonts w:ascii="Calibri" w:hAnsi="Calibri" w:cs="Calibri"/>
                <w:b w:val="0"/>
                <w:bCs w:val="0"/>
                <w:sz w:val="18"/>
                <w:szCs w:val="18"/>
                <w:lang w:val="sv-FI" w:eastAsia="sv-FI"/>
              </w:rPr>
            </w:pPr>
          </w:p>
        </w:tc>
        <w:tc>
          <w:tcPr>
            <w:tcW w:w="1134" w:type="dxa"/>
            <w:tcBorders>
              <w:top w:val="single" w:sz="4" w:space="0" w:color="auto"/>
              <w:bottom w:val="nil"/>
            </w:tcBorders>
          </w:tcPr>
          <w:p w14:paraId="4FE2614D" w14:textId="01A8006D" w:rsidR="00CC5D37" w:rsidRPr="00E6142E" w:rsidRDefault="00CC5D37" w:rsidP="00F62E10">
            <w:pPr>
              <w:pStyle w:val="ANormal"/>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color w:val="000000"/>
                <w:sz w:val="18"/>
                <w:szCs w:val="18"/>
                <w:lang w:val="sv-FI" w:eastAsia="sv-FI"/>
              </w:rPr>
              <w:t>65</w:t>
            </w:r>
            <w:r>
              <w:rPr>
                <w:rFonts w:ascii="Calibri" w:hAnsi="Calibri" w:cs="Calibri"/>
                <w:b/>
                <w:bCs/>
                <w:color w:val="000000"/>
                <w:sz w:val="18"/>
                <w:szCs w:val="18"/>
                <w:lang w:val="sv-FI" w:eastAsia="sv-FI"/>
              </w:rPr>
              <w:t xml:space="preserve"> –</w:t>
            </w:r>
          </w:p>
        </w:tc>
        <w:tc>
          <w:tcPr>
            <w:tcW w:w="851" w:type="dxa"/>
            <w:tcBorders>
              <w:top w:val="single" w:sz="4" w:space="0" w:color="auto"/>
              <w:bottom w:val="nil"/>
            </w:tcBorders>
          </w:tcPr>
          <w:p w14:paraId="5CB8C394" w14:textId="1A6C5D79" w:rsidR="00CC5D37" w:rsidRPr="00E6142E" w:rsidRDefault="00CC5D37" w:rsidP="005C30E9">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color w:val="000000"/>
                <w:sz w:val="18"/>
                <w:szCs w:val="18"/>
                <w:lang w:val="sv-FI" w:eastAsia="sv-FI"/>
              </w:rPr>
              <w:t>55</w:t>
            </w:r>
          </w:p>
        </w:tc>
        <w:tc>
          <w:tcPr>
            <w:tcW w:w="567" w:type="dxa"/>
            <w:tcBorders>
              <w:top w:val="single" w:sz="4" w:space="0" w:color="auto"/>
              <w:bottom w:val="nil"/>
            </w:tcBorders>
          </w:tcPr>
          <w:p w14:paraId="3733F755" w14:textId="2D1B5982" w:rsidR="00CC5D37" w:rsidRPr="00E6142E" w:rsidRDefault="00CC5D37" w:rsidP="005C30E9">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color w:val="000000"/>
                <w:sz w:val="18"/>
                <w:szCs w:val="18"/>
                <w:lang w:val="sv-FI" w:eastAsia="sv-FI"/>
              </w:rPr>
              <w:t>35</w:t>
            </w:r>
          </w:p>
        </w:tc>
        <w:tc>
          <w:tcPr>
            <w:tcW w:w="850" w:type="dxa"/>
            <w:tcBorders>
              <w:top w:val="single" w:sz="4" w:space="0" w:color="auto"/>
              <w:bottom w:val="nil"/>
            </w:tcBorders>
          </w:tcPr>
          <w:p w14:paraId="5FA4474D" w14:textId="43668DB0" w:rsidR="00CC5D37" w:rsidRPr="00E6142E" w:rsidRDefault="00CC5D37" w:rsidP="005C30E9">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color w:val="000000"/>
                <w:sz w:val="18"/>
                <w:szCs w:val="18"/>
                <w:lang w:val="sv-FI" w:eastAsia="sv-FI"/>
              </w:rPr>
              <w:t>61,1</w:t>
            </w:r>
          </w:p>
        </w:tc>
        <w:tc>
          <w:tcPr>
            <w:tcW w:w="567" w:type="dxa"/>
            <w:tcBorders>
              <w:top w:val="single" w:sz="4" w:space="0" w:color="auto"/>
              <w:bottom w:val="nil"/>
            </w:tcBorders>
          </w:tcPr>
          <w:p w14:paraId="3C50437E" w14:textId="1C84503D" w:rsidR="00CC5D37" w:rsidRPr="00E6142E" w:rsidRDefault="00CC5D37" w:rsidP="005C30E9">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color w:val="000000"/>
                <w:sz w:val="18"/>
                <w:szCs w:val="18"/>
                <w:lang w:val="sv-FI" w:eastAsia="sv-FI"/>
              </w:rPr>
              <w:t>38,9</w:t>
            </w:r>
          </w:p>
        </w:tc>
        <w:tc>
          <w:tcPr>
            <w:tcW w:w="1276" w:type="dxa"/>
            <w:tcBorders>
              <w:top w:val="single" w:sz="4" w:space="0" w:color="auto"/>
              <w:bottom w:val="nil"/>
            </w:tcBorders>
          </w:tcPr>
          <w:p w14:paraId="6E3A0F8A" w14:textId="758EEBC0" w:rsidR="00CC5D37" w:rsidRPr="00E6142E" w:rsidRDefault="00CC5D37" w:rsidP="005C30E9">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color w:val="000000"/>
                <w:sz w:val="18"/>
                <w:szCs w:val="18"/>
                <w:lang w:val="sv-FI" w:eastAsia="sv-FI"/>
              </w:rPr>
              <w:t>1,2</w:t>
            </w:r>
          </w:p>
        </w:tc>
      </w:tr>
      <w:tr w:rsidR="006C14FE" w:rsidRPr="00E6142E" w14:paraId="3D2F944F" w14:textId="77777777" w:rsidTr="006C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Borders>
              <w:top w:val="nil"/>
              <w:bottom w:val="nil"/>
            </w:tcBorders>
          </w:tcPr>
          <w:p w14:paraId="7F1C570E" w14:textId="77777777" w:rsidR="00CC5D37" w:rsidRPr="003F1D06" w:rsidRDefault="00CC5D37" w:rsidP="00CC5D37">
            <w:pPr>
              <w:pStyle w:val="ANormal"/>
              <w:rPr>
                <w:rFonts w:ascii="Calibri" w:hAnsi="Calibri" w:cs="Calibri"/>
                <w:b w:val="0"/>
                <w:bCs w:val="0"/>
                <w:color w:val="000000"/>
                <w:sz w:val="18"/>
                <w:szCs w:val="18"/>
                <w:lang w:val="sv-FI" w:eastAsia="sv-FI"/>
              </w:rPr>
            </w:pPr>
          </w:p>
        </w:tc>
        <w:tc>
          <w:tcPr>
            <w:tcW w:w="1134" w:type="dxa"/>
            <w:tcBorders>
              <w:top w:val="nil"/>
              <w:bottom w:val="nil"/>
            </w:tcBorders>
          </w:tcPr>
          <w:p w14:paraId="49F88A0A" w14:textId="617B8ECE" w:rsidR="00CC5D37" w:rsidRPr="00E6142E" w:rsidRDefault="00CC5D37" w:rsidP="00F62E10">
            <w:pPr>
              <w:pStyle w:val="ANormal"/>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color w:val="000000"/>
                <w:sz w:val="18"/>
                <w:szCs w:val="18"/>
                <w:lang w:val="sv-FI" w:eastAsia="sv-FI"/>
              </w:rPr>
              <w:t>65</w:t>
            </w:r>
            <w:r>
              <w:rPr>
                <w:rFonts w:ascii="Calibri" w:hAnsi="Calibri" w:cs="Calibri"/>
                <w:color w:val="000000"/>
                <w:sz w:val="18"/>
                <w:szCs w:val="18"/>
                <w:lang w:val="sv-FI" w:eastAsia="sv-FI"/>
              </w:rPr>
              <w:t xml:space="preserve"> </w:t>
            </w:r>
            <w:r w:rsidRPr="00E6142E">
              <w:rPr>
                <w:rFonts w:ascii="Calibri" w:hAnsi="Calibri" w:cs="Calibri"/>
                <w:color w:val="000000"/>
                <w:sz w:val="18"/>
                <w:szCs w:val="18"/>
                <w:lang w:val="sv-FI" w:eastAsia="sv-FI"/>
              </w:rPr>
              <w:t>–</w:t>
            </w:r>
            <w:r>
              <w:rPr>
                <w:rFonts w:ascii="Calibri" w:hAnsi="Calibri" w:cs="Calibri"/>
                <w:color w:val="000000"/>
                <w:sz w:val="18"/>
                <w:szCs w:val="18"/>
                <w:lang w:val="sv-FI" w:eastAsia="sv-FI"/>
              </w:rPr>
              <w:t xml:space="preserve"> </w:t>
            </w:r>
            <w:r w:rsidRPr="00E6142E">
              <w:rPr>
                <w:rFonts w:ascii="Calibri" w:hAnsi="Calibri" w:cs="Calibri"/>
                <w:color w:val="000000"/>
                <w:sz w:val="18"/>
                <w:szCs w:val="18"/>
                <w:lang w:val="sv-FI" w:eastAsia="sv-FI"/>
              </w:rPr>
              <w:t>74</w:t>
            </w:r>
          </w:p>
        </w:tc>
        <w:tc>
          <w:tcPr>
            <w:tcW w:w="851" w:type="dxa"/>
            <w:tcBorders>
              <w:top w:val="nil"/>
              <w:bottom w:val="nil"/>
            </w:tcBorders>
          </w:tcPr>
          <w:p w14:paraId="7D44B868" w14:textId="2AE937C1" w:rsidR="00CC5D37" w:rsidRPr="00E6142E" w:rsidRDefault="00CC5D37"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color w:val="000000"/>
                <w:sz w:val="18"/>
                <w:szCs w:val="18"/>
                <w:lang w:val="sv-FI" w:eastAsia="sv-FI"/>
              </w:rPr>
              <w:t>11</w:t>
            </w:r>
          </w:p>
        </w:tc>
        <w:tc>
          <w:tcPr>
            <w:tcW w:w="567" w:type="dxa"/>
            <w:tcBorders>
              <w:top w:val="nil"/>
              <w:bottom w:val="nil"/>
            </w:tcBorders>
          </w:tcPr>
          <w:p w14:paraId="50636597" w14:textId="127317EA" w:rsidR="00CC5D37" w:rsidRPr="00E6142E" w:rsidRDefault="00CC5D37"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color w:val="000000"/>
                <w:sz w:val="18"/>
                <w:szCs w:val="18"/>
                <w:lang w:val="sv-FI" w:eastAsia="sv-FI"/>
              </w:rPr>
              <w:t>7</w:t>
            </w:r>
          </w:p>
        </w:tc>
        <w:tc>
          <w:tcPr>
            <w:tcW w:w="850" w:type="dxa"/>
            <w:tcBorders>
              <w:top w:val="nil"/>
              <w:bottom w:val="nil"/>
            </w:tcBorders>
          </w:tcPr>
          <w:p w14:paraId="103D3CC8" w14:textId="2F7F4E81" w:rsidR="00CC5D37" w:rsidRPr="00E6142E" w:rsidRDefault="00CC5D37"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color w:val="000000"/>
                <w:sz w:val="18"/>
                <w:szCs w:val="18"/>
                <w:lang w:val="sv-FI" w:eastAsia="sv-FI"/>
              </w:rPr>
              <w:t>61,1</w:t>
            </w:r>
          </w:p>
        </w:tc>
        <w:tc>
          <w:tcPr>
            <w:tcW w:w="567" w:type="dxa"/>
            <w:tcBorders>
              <w:top w:val="nil"/>
              <w:bottom w:val="nil"/>
            </w:tcBorders>
          </w:tcPr>
          <w:p w14:paraId="18517FDA" w14:textId="36002185" w:rsidR="00CC5D37" w:rsidRPr="00E6142E" w:rsidRDefault="00CC5D37"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color w:val="000000"/>
                <w:sz w:val="18"/>
                <w:szCs w:val="18"/>
                <w:lang w:val="sv-FI" w:eastAsia="sv-FI"/>
              </w:rPr>
              <w:t>38,9</w:t>
            </w:r>
          </w:p>
        </w:tc>
        <w:tc>
          <w:tcPr>
            <w:tcW w:w="1276" w:type="dxa"/>
            <w:tcBorders>
              <w:top w:val="nil"/>
              <w:bottom w:val="nil"/>
            </w:tcBorders>
          </w:tcPr>
          <w:p w14:paraId="09A294B5" w14:textId="714D7F43" w:rsidR="00CC5D37" w:rsidRPr="00E6142E" w:rsidRDefault="00CC5D37"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color w:val="000000"/>
                <w:sz w:val="18"/>
                <w:szCs w:val="18"/>
                <w:lang w:val="sv-FI" w:eastAsia="sv-FI"/>
              </w:rPr>
              <w:t>0,5</w:t>
            </w:r>
          </w:p>
        </w:tc>
      </w:tr>
      <w:tr w:rsidR="00CC5D37" w:rsidRPr="00E6142E" w14:paraId="3D31F212" w14:textId="77777777" w:rsidTr="006C14FE">
        <w:tc>
          <w:tcPr>
            <w:cnfStyle w:val="001000000000" w:firstRow="0" w:lastRow="0" w:firstColumn="1" w:lastColumn="0" w:oddVBand="0" w:evenVBand="0" w:oddHBand="0" w:evenHBand="0" w:firstRowFirstColumn="0" w:firstRowLastColumn="0" w:lastRowFirstColumn="0" w:lastRowLastColumn="0"/>
            <w:tcW w:w="1696" w:type="dxa"/>
            <w:vMerge/>
            <w:tcBorders>
              <w:top w:val="nil"/>
              <w:bottom w:val="nil"/>
            </w:tcBorders>
          </w:tcPr>
          <w:p w14:paraId="2F9F723F" w14:textId="77777777" w:rsidR="00CC5D37" w:rsidRPr="003F1D06" w:rsidRDefault="00CC5D37" w:rsidP="00CC5D37">
            <w:pPr>
              <w:pStyle w:val="ANormal"/>
              <w:rPr>
                <w:rFonts w:ascii="Calibri" w:hAnsi="Calibri" w:cs="Calibri"/>
                <w:b w:val="0"/>
                <w:bCs w:val="0"/>
                <w:color w:val="000000"/>
                <w:sz w:val="18"/>
                <w:szCs w:val="18"/>
                <w:lang w:val="sv-FI" w:eastAsia="sv-FI"/>
              </w:rPr>
            </w:pPr>
          </w:p>
        </w:tc>
        <w:tc>
          <w:tcPr>
            <w:tcW w:w="1134" w:type="dxa"/>
            <w:tcBorders>
              <w:top w:val="nil"/>
              <w:bottom w:val="nil"/>
            </w:tcBorders>
          </w:tcPr>
          <w:p w14:paraId="1666DB97" w14:textId="4803086C" w:rsidR="00CC5D37" w:rsidRPr="00E6142E" w:rsidRDefault="00CC5D37" w:rsidP="00F62E10">
            <w:pPr>
              <w:pStyle w:val="ANormal"/>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color w:val="000000"/>
                <w:sz w:val="18"/>
                <w:szCs w:val="18"/>
                <w:lang w:val="sv-FI" w:eastAsia="sv-FI"/>
              </w:rPr>
              <w:t>75</w:t>
            </w:r>
            <w:r>
              <w:rPr>
                <w:rFonts w:ascii="Calibri" w:hAnsi="Calibri" w:cs="Calibri"/>
                <w:color w:val="000000"/>
                <w:sz w:val="18"/>
                <w:szCs w:val="18"/>
                <w:lang w:val="sv-FI" w:eastAsia="sv-FI"/>
              </w:rPr>
              <w:t xml:space="preserve"> </w:t>
            </w:r>
            <w:r w:rsidRPr="00E6142E">
              <w:rPr>
                <w:rFonts w:ascii="Calibri" w:hAnsi="Calibri" w:cs="Calibri"/>
                <w:color w:val="000000"/>
                <w:sz w:val="18"/>
                <w:szCs w:val="18"/>
                <w:lang w:val="sv-FI" w:eastAsia="sv-FI"/>
              </w:rPr>
              <w:t>–</w:t>
            </w:r>
            <w:r>
              <w:rPr>
                <w:rFonts w:ascii="Calibri" w:hAnsi="Calibri" w:cs="Calibri"/>
                <w:color w:val="000000"/>
                <w:sz w:val="18"/>
                <w:szCs w:val="18"/>
                <w:lang w:val="sv-FI" w:eastAsia="sv-FI"/>
              </w:rPr>
              <w:t xml:space="preserve"> </w:t>
            </w:r>
            <w:r w:rsidRPr="00E6142E">
              <w:rPr>
                <w:rFonts w:ascii="Calibri" w:hAnsi="Calibri" w:cs="Calibri"/>
                <w:color w:val="000000"/>
                <w:sz w:val="18"/>
                <w:szCs w:val="18"/>
                <w:lang w:val="sv-FI" w:eastAsia="sv-FI"/>
              </w:rPr>
              <w:t>84</w:t>
            </w:r>
          </w:p>
        </w:tc>
        <w:tc>
          <w:tcPr>
            <w:tcW w:w="851" w:type="dxa"/>
            <w:tcBorders>
              <w:top w:val="nil"/>
              <w:bottom w:val="nil"/>
            </w:tcBorders>
          </w:tcPr>
          <w:p w14:paraId="12EEA66B" w14:textId="04B3C6A3" w:rsidR="00CC5D37" w:rsidRPr="00E6142E" w:rsidRDefault="00CC5D37"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color w:val="000000"/>
                <w:sz w:val="18"/>
                <w:szCs w:val="18"/>
                <w:lang w:val="sv-FI" w:eastAsia="sv-FI"/>
              </w:rPr>
              <w:t>15</w:t>
            </w:r>
          </w:p>
        </w:tc>
        <w:tc>
          <w:tcPr>
            <w:tcW w:w="567" w:type="dxa"/>
            <w:tcBorders>
              <w:top w:val="nil"/>
              <w:bottom w:val="nil"/>
            </w:tcBorders>
          </w:tcPr>
          <w:p w14:paraId="68730DF1" w14:textId="1E3CD389" w:rsidR="00CC5D37" w:rsidRPr="00E6142E" w:rsidRDefault="00CC5D37"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color w:val="000000"/>
                <w:sz w:val="18"/>
                <w:szCs w:val="18"/>
                <w:lang w:val="sv-FI" w:eastAsia="sv-FI"/>
              </w:rPr>
              <w:t>19</w:t>
            </w:r>
          </w:p>
        </w:tc>
        <w:tc>
          <w:tcPr>
            <w:tcW w:w="850" w:type="dxa"/>
            <w:tcBorders>
              <w:top w:val="nil"/>
              <w:bottom w:val="nil"/>
            </w:tcBorders>
          </w:tcPr>
          <w:p w14:paraId="20EAC3CC" w14:textId="7AF43435" w:rsidR="00CC5D37" w:rsidRPr="00E6142E" w:rsidRDefault="00CC5D37"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color w:val="000000"/>
                <w:sz w:val="18"/>
                <w:szCs w:val="18"/>
                <w:lang w:val="sv-FI" w:eastAsia="sv-FI"/>
              </w:rPr>
              <w:t>44,1</w:t>
            </w:r>
          </w:p>
        </w:tc>
        <w:tc>
          <w:tcPr>
            <w:tcW w:w="567" w:type="dxa"/>
            <w:tcBorders>
              <w:top w:val="nil"/>
              <w:bottom w:val="nil"/>
            </w:tcBorders>
          </w:tcPr>
          <w:p w14:paraId="69663C81" w14:textId="2A989E2C" w:rsidR="00CC5D37" w:rsidRPr="00E6142E" w:rsidRDefault="00CC5D37"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color w:val="000000"/>
                <w:sz w:val="18"/>
                <w:szCs w:val="18"/>
                <w:lang w:val="sv-FI" w:eastAsia="sv-FI"/>
              </w:rPr>
              <w:t>55,9</w:t>
            </w:r>
          </w:p>
        </w:tc>
        <w:tc>
          <w:tcPr>
            <w:tcW w:w="1276" w:type="dxa"/>
            <w:tcBorders>
              <w:top w:val="nil"/>
              <w:bottom w:val="nil"/>
            </w:tcBorders>
          </w:tcPr>
          <w:p w14:paraId="122C0113" w14:textId="4FBCA207" w:rsidR="00CC5D37" w:rsidRPr="00E6142E" w:rsidRDefault="00CC5D37"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color w:val="000000"/>
                <w:sz w:val="18"/>
                <w:szCs w:val="18"/>
                <w:lang w:val="sv-FI" w:eastAsia="sv-FI"/>
              </w:rPr>
              <w:t>1,3</w:t>
            </w:r>
          </w:p>
        </w:tc>
      </w:tr>
      <w:tr w:rsidR="00391923" w:rsidRPr="00E6142E" w14:paraId="70EE0655" w14:textId="77777777" w:rsidTr="006C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Borders>
              <w:top w:val="nil"/>
              <w:bottom w:val="nil"/>
            </w:tcBorders>
          </w:tcPr>
          <w:p w14:paraId="402070E9" w14:textId="77777777" w:rsidR="00CC5D37" w:rsidRPr="003F1D06" w:rsidRDefault="00CC5D37" w:rsidP="00CC5D37">
            <w:pPr>
              <w:pStyle w:val="ANormal"/>
              <w:rPr>
                <w:rFonts w:ascii="Calibri" w:hAnsi="Calibri" w:cs="Calibri"/>
                <w:b w:val="0"/>
                <w:bCs w:val="0"/>
                <w:color w:val="000000"/>
                <w:sz w:val="18"/>
                <w:szCs w:val="18"/>
                <w:lang w:val="sv-FI" w:eastAsia="sv-FI"/>
              </w:rPr>
            </w:pPr>
          </w:p>
        </w:tc>
        <w:tc>
          <w:tcPr>
            <w:tcW w:w="1134" w:type="dxa"/>
            <w:tcBorders>
              <w:top w:val="nil"/>
              <w:bottom w:val="nil"/>
            </w:tcBorders>
          </w:tcPr>
          <w:p w14:paraId="24FCB5D5" w14:textId="5F31ED19" w:rsidR="00CC5D37" w:rsidRPr="00E6142E" w:rsidRDefault="00CC5D37" w:rsidP="00F62E10">
            <w:pPr>
              <w:pStyle w:val="ANormal"/>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sv-FI" w:eastAsia="sv-FI"/>
              </w:rPr>
            </w:pPr>
            <w:r w:rsidRPr="00E6142E">
              <w:rPr>
                <w:rFonts w:ascii="Calibri" w:hAnsi="Calibri" w:cs="Calibri"/>
                <w:color w:val="000000"/>
                <w:sz w:val="18"/>
                <w:szCs w:val="18"/>
                <w:lang w:val="sv-FI" w:eastAsia="sv-FI"/>
              </w:rPr>
              <w:t>85</w:t>
            </w:r>
            <w:r>
              <w:rPr>
                <w:rFonts w:ascii="Calibri" w:hAnsi="Calibri" w:cs="Calibri"/>
                <w:color w:val="000000"/>
                <w:sz w:val="18"/>
                <w:szCs w:val="18"/>
                <w:lang w:val="sv-FI" w:eastAsia="sv-FI"/>
              </w:rPr>
              <w:t xml:space="preserve"> –</w:t>
            </w:r>
          </w:p>
        </w:tc>
        <w:tc>
          <w:tcPr>
            <w:tcW w:w="851" w:type="dxa"/>
            <w:tcBorders>
              <w:top w:val="nil"/>
              <w:bottom w:val="nil"/>
            </w:tcBorders>
          </w:tcPr>
          <w:p w14:paraId="3798625A" w14:textId="44AC29EC" w:rsidR="00CC5D37" w:rsidRPr="00E6142E" w:rsidRDefault="00CC5D37"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sv-FI" w:eastAsia="sv-FI"/>
              </w:rPr>
            </w:pPr>
            <w:r w:rsidRPr="00E6142E">
              <w:rPr>
                <w:rFonts w:ascii="Calibri" w:hAnsi="Calibri" w:cs="Calibri"/>
                <w:color w:val="000000"/>
                <w:sz w:val="18"/>
                <w:szCs w:val="18"/>
                <w:lang w:val="sv-FI" w:eastAsia="sv-FI"/>
              </w:rPr>
              <w:t>29</w:t>
            </w:r>
          </w:p>
        </w:tc>
        <w:tc>
          <w:tcPr>
            <w:tcW w:w="567" w:type="dxa"/>
            <w:tcBorders>
              <w:top w:val="nil"/>
              <w:bottom w:val="nil"/>
            </w:tcBorders>
          </w:tcPr>
          <w:p w14:paraId="6C01EA03" w14:textId="3D90241D" w:rsidR="00CC5D37" w:rsidRPr="00E6142E" w:rsidRDefault="00CC5D37"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sv-FI" w:eastAsia="sv-FI"/>
              </w:rPr>
            </w:pPr>
            <w:r w:rsidRPr="00E6142E">
              <w:rPr>
                <w:rFonts w:ascii="Calibri" w:hAnsi="Calibri" w:cs="Calibri"/>
                <w:color w:val="000000"/>
                <w:sz w:val="18"/>
                <w:szCs w:val="18"/>
                <w:lang w:val="sv-FI" w:eastAsia="sv-FI"/>
              </w:rPr>
              <w:t>9</w:t>
            </w:r>
          </w:p>
        </w:tc>
        <w:tc>
          <w:tcPr>
            <w:tcW w:w="850" w:type="dxa"/>
            <w:tcBorders>
              <w:top w:val="nil"/>
              <w:bottom w:val="nil"/>
            </w:tcBorders>
          </w:tcPr>
          <w:p w14:paraId="207B74B2" w14:textId="193371CF" w:rsidR="00CC5D37" w:rsidRPr="00E6142E" w:rsidRDefault="00CC5D37"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sv-FI" w:eastAsia="sv-FI"/>
              </w:rPr>
            </w:pPr>
            <w:r w:rsidRPr="00E6142E">
              <w:rPr>
                <w:rFonts w:ascii="Calibri" w:hAnsi="Calibri" w:cs="Calibri"/>
                <w:color w:val="000000"/>
                <w:sz w:val="18"/>
                <w:szCs w:val="18"/>
                <w:lang w:val="sv-FI" w:eastAsia="sv-FI"/>
              </w:rPr>
              <w:t>76,3</w:t>
            </w:r>
          </w:p>
        </w:tc>
        <w:tc>
          <w:tcPr>
            <w:tcW w:w="567" w:type="dxa"/>
            <w:tcBorders>
              <w:top w:val="nil"/>
              <w:bottom w:val="nil"/>
            </w:tcBorders>
          </w:tcPr>
          <w:p w14:paraId="3B389107" w14:textId="0DFAA38D" w:rsidR="00CC5D37" w:rsidRPr="00E6142E" w:rsidRDefault="00CC5D37"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sv-FI" w:eastAsia="sv-FI"/>
              </w:rPr>
            </w:pPr>
            <w:r w:rsidRPr="00E6142E">
              <w:rPr>
                <w:rFonts w:ascii="Calibri" w:hAnsi="Calibri" w:cs="Calibri"/>
                <w:color w:val="000000"/>
                <w:sz w:val="18"/>
                <w:szCs w:val="18"/>
                <w:lang w:val="sv-FI" w:eastAsia="sv-FI"/>
              </w:rPr>
              <w:t>23,7</w:t>
            </w:r>
          </w:p>
        </w:tc>
        <w:tc>
          <w:tcPr>
            <w:tcW w:w="1276" w:type="dxa"/>
            <w:tcBorders>
              <w:top w:val="nil"/>
              <w:bottom w:val="nil"/>
            </w:tcBorders>
          </w:tcPr>
          <w:p w14:paraId="04209483" w14:textId="0756226E" w:rsidR="006C14FE" w:rsidRPr="006C14FE" w:rsidRDefault="00CC5D37"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color w:val="000000"/>
                <w:sz w:val="18"/>
                <w:szCs w:val="18"/>
                <w:lang w:val="sv-FI" w:eastAsia="sv-FI"/>
              </w:rPr>
              <w:t>4,1</w:t>
            </w:r>
          </w:p>
        </w:tc>
      </w:tr>
      <w:tr w:rsidR="00C06FC4" w:rsidRPr="00E6142E" w14:paraId="0AA6A53A" w14:textId="77777777" w:rsidTr="006C14FE">
        <w:tc>
          <w:tcPr>
            <w:cnfStyle w:val="001000000000" w:firstRow="0" w:lastRow="0" w:firstColumn="1" w:lastColumn="0" w:oddVBand="0" w:evenVBand="0" w:oddHBand="0" w:evenHBand="0" w:firstRowFirstColumn="0" w:firstRowLastColumn="0" w:lastRowFirstColumn="0" w:lastRowLastColumn="0"/>
            <w:tcW w:w="1696" w:type="dxa"/>
            <w:vMerge w:val="restart"/>
            <w:tcBorders>
              <w:top w:val="nil"/>
              <w:bottom w:val="nil"/>
            </w:tcBorders>
          </w:tcPr>
          <w:p w14:paraId="390F5DF2" w14:textId="77777777" w:rsidR="00301CE6" w:rsidRDefault="00301CE6" w:rsidP="00C06FC4">
            <w:pPr>
              <w:pStyle w:val="ANormal"/>
              <w:rPr>
                <w:rFonts w:ascii="Calibri" w:hAnsi="Calibri" w:cs="Calibri"/>
                <w:color w:val="000000"/>
                <w:sz w:val="18"/>
                <w:szCs w:val="18"/>
                <w:lang w:val="sv-FI" w:eastAsia="sv-FI"/>
              </w:rPr>
            </w:pPr>
          </w:p>
          <w:p w14:paraId="27A1CBFC" w14:textId="0A45D3E5" w:rsidR="00C06FC4" w:rsidRPr="003F1D06" w:rsidRDefault="00C06FC4" w:rsidP="00C06FC4">
            <w:pPr>
              <w:pStyle w:val="ANormal"/>
              <w:rPr>
                <w:rFonts w:ascii="Calibri" w:hAnsi="Calibri" w:cs="Calibri"/>
                <w:b w:val="0"/>
                <w:bCs w:val="0"/>
                <w:color w:val="000000"/>
                <w:sz w:val="18"/>
                <w:szCs w:val="18"/>
                <w:lang w:val="sv-FI" w:eastAsia="sv-FI"/>
              </w:rPr>
            </w:pPr>
            <w:r w:rsidRPr="003F1D06">
              <w:rPr>
                <w:rFonts w:ascii="Calibri" w:hAnsi="Calibri" w:cs="Calibri"/>
                <w:b w:val="0"/>
                <w:bCs w:val="0"/>
                <w:color w:val="000000"/>
                <w:sz w:val="18"/>
                <w:szCs w:val="18"/>
                <w:lang w:val="sv-FI" w:eastAsia="sv-FI"/>
              </w:rPr>
              <w:t>Boendeservice för äldre, boende per 31</w:t>
            </w:r>
            <w:r w:rsidR="009502AE" w:rsidRPr="003F1D06">
              <w:rPr>
                <w:rFonts w:ascii="Calibri" w:hAnsi="Calibri" w:cs="Calibri"/>
                <w:b w:val="0"/>
                <w:bCs w:val="0"/>
                <w:color w:val="000000"/>
                <w:sz w:val="18"/>
                <w:szCs w:val="18"/>
                <w:lang w:val="sv-FI" w:eastAsia="sv-FI"/>
              </w:rPr>
              <w:t xml:space="preserve"> december</w:t>
            </w:r>
          </w:p>
        </w:tc>
        <w:tc>
          <w:tcPr>
            <w:tcW w:w="1134" w:type="dxa"/>
            <w:tcBorders>
              <w:top w:val="nil"/>
              <w:bottom w:val="nil"/>
            </w:tcBorders>
          </w:tcPr>
          <w:p w14:paraId="42D8A6A5" w14:textId="77777777" w:rsidR="006C14FE" w:rsidRDefault="006C14FE" w:rsidP="00F62E10">
            <w:pPr>
              <w:pStyle w:val="ANormal"/>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lang w:val="sv-FI" w:eastAsia="sv-FI"/>
              </w:rPr>
            </w:pPr>
          </w:p>
          <w:p w14:paraId="7898439A" w14:textId="7E028C98" w:rsidR="00C06FC4" w:rsidRPr="00E6142E" w:rsidRDefault="00C06FC4" w:rsidP="00F62E10">
            <w:pPr>
              <w:pStyle w:val="ANormal"/>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color w:val="000000"/>
                <w:sz w:val="18"/>
                <w:szCs w:val="18"/>
                <w:lang w:val="sv-FI" w:eastAsia="sv-FI"/>
              </w:rPr>
              <w:t xml:space="preserve">65 </w:t>
            </w:r>
            <w:r>
              <w:rPr>
                <w:rFonts w:ascii="Calibri" w:hAnsi="Calibri" w:cs="Calibri"/>
                <w:b/>
                <w:bCs/>
                <w:color w:val="000000"/>
                <w:sz w:val="18"/>
                <w:szCs w:val="18"/>
                <w:lang w:val="sv-FI" w:eastAsia="sv-FI"/>
              </w:rPr>
              <w:t>–</w:t>
            </w:r>
          </w:p>
        </w:tc>
        <w:tc>
          <w:tcPr>
            <w:tcW w:w="851" w:type="dxa"/>
            <w:tcBorders>
              <w:top w:val="nil"/>
              <w:bottom w:val="nil"/>
            </w:tcBorders>
          </w:tcPr>
          <w:p w14:paraId="520121B6" w14:textId="77777777" w:rsidR="006C14FE" w:rsidRDefault="006C14FE"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lang w:val="sv-FI" w:eastAsia="sv-FI"/>
              </w:rPr>
            </w:pPr>
          </w:p>
          <w:p w14:paraId="051B58CB" w14:textId="0C7DD280"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sz w:val="18"/>
                <w:szCs w:val="18"/>
                <w:lang w:val="sv-FI" w:eastAsia="sv-FI"/>
              </w:rPr>
              <w:t>217</w:t>
            </w:r>
          </w:p>
        </w:tc>
        <w:tc>
          <w:tcPr>
            <w:tcW w:w="567" w:type="dxa"/>
            <w:tcBorders>
              <w:top w:val="nil"/>
              <w:bottom w:val="nil"/>
            </w:tcBorders>
          </w:tcPr>
          <w:p w14:paraId="440EFB24" w14:textId="77777777" w:rsidR="006C14FE" w:rsidRDefault="006C14FE"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lang w:val="sv-FI" w:eastAsia="sv-FI"/>
              </w:rPr>
            </w:pPr>
          </w:p>
          <w:p w14:paraId="052A19D9" w14:textId="10771937"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sz w:val="18"/>
                <w:szCs w:val="18"/>
                <w:lang w:val="sv-FI" w:eastAsia="sv-FI"/>
              </w:rPr>
              <w:t>104</w:t>
            </w:r>
          </w:p>
        </w:tc>
        <w:tc>
          <w:tcPr>
            <w:tcW w:w="850" w:type="dxa"/>
            <w:tcBorders>
              <w:top w:val="nil"/>
              <w:bottom w:val="nil"/>
            </w:tcBorders>
          </w:tcPr>
          <w:p w14:paraId="6C278A3F" w14:textId="77777777" w:rsidR="006C14FE" w:rsidRDefault="006C14FE"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lang w:val="sv-FI" w:eastAsia="sv-FI"/>
              </w:rPr>
            </w:pPr>
          </w:p>
          <w:p w14:paraId="3B2E52DA" w14:textId="0DC57BB5"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sz w:val="18"/>
                <w:szCs w:val="18"/>
                <w:lang w:val="sv-FI" w:eastAsia="sv-FI"/>
              </w:rPr>
              <w:t>67,6</w:t>
            </w:r>
          </w:p>
        </w:tc>
        <w:tc>
          <w:tcPr>
            <w:tcW w:w="567" w:type="dxa"/>
            <w:tcBorders>
              <w:top w:val="nil"/>
              <w:bottom w:val="nil"/>
            </w:tcBorders>
          </w:tcPr>
          <w:p w14:paraId="54729E93" w14:textId="77777777" w:rsidR="006C14FE" w:rsidRDefault="006C14FE"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lang w:val="sv-FI" w:eastAsia="sv-FI"/>
              </w:rPr>
            </w:pPr>
          </w:p>
          <w:p w14:paraId="7B2D57CC" w14:textId="43EF7545"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sz w:val="18"/>
                <w:szCs w:val="18"/>
                <w:lang w:val="sv-FI" w:eastAsia="sv-FI"/>
              </w:rPr>
              <w:t>32,4</w:t>
            </w:r>
          </w:p>
        </w:tc>
        <w:tc>
          <w:tcPr>
            <w:tcW w:w="1276" w:type="dxa"/>
            <w:tcBorders>
              <w:top w:val="nil"/>
              <w:bottom w:val="nil"/>
            </w:tcBorders>
          </w:tcPr>
          <w:p w14:paraId="725BCC3C" w14:textId="77777777" w:rsidR="006C14FE" w:rsidRDefault="006C14FE"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lang w:val="sv-FI" w:eastAsia="sv-FI"/>
              </w:rPr>
            </w:pPr>
          </w:p>
          <w:p w14:paraId="158E2ED0" w14:textId="4C3A4452"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sz w:val="18"/>
                <w:szCs w:val="18"/>
                <w:lang w:val="sv-FI" w:eastAsia="sv-FI"/>
              </w:rPr>
              <w:t>4,3</w:t>
            </w:r>
          </w:p>
        </w:tc>
      </w:tr>
      <w:tr w:rsidR="00C06FC4" w:rsidRPr="00E6142E" w14:paraId="15D264B2" w14:textId="77777777" w:rsidTr="006C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Borders>
              <w:top w:val="nil"/>
              <w:bottom w:val="nil"/>
            </w:tcBorders>
          </w:tcPr>
          <w:p w14:paraId="361D565F" w14:textId="77777777" w:rsidR="00C06FC4" w:rsidRPr="003F1D06" w:rsidRDefault="00C06FC4" w:rsidP="00C06FC4">
            <w:pPr>
              <w:pStyle w:val="ANormal"/>
              <w:rPr>
                <w:rFonts w:ascii="Calibri" w:hAnsi="Calibri" w:cs="Calibri"/>
                <w:b w:val="0"/>
                <w:bCs w:val="0"/>
                <w:color w:val="000000"/>
                <w:sz w:val="18"/>
                <w:szCs w:val="18"/>
                <w:lang w:val="sv-FI" w:eastAsia="sv-FI"/>
              </w:rPr>
            </w:pPr>
          </w:p>
        </w:tc>
        <w:tc>
          <w:tcPr>
            <w:tcW w:w="1134" w:type="dxa"/>
            <w:tcBorders>
              <w:top w:val="nil"/>
              <w:bottom w:val="nil"/>
            </w:tcBorders>
          </w:tcPr>
          <w:p w14:paraId="694E955C" w14:textId="5043C47B" w:rsidR="00C06FC4" w:rsidRPr="00E6142E" w:rsidRDefault="00C06FC4" w:rsidP="00F62E10">
            <w:pPr>
              <w:pStyle w:val="ANormal"/>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color w:val="000000"/>
                <w:sz w:val="18"/>
                <w:szCs w:val="18"/>
                <w:lang w:val="sv-FI" w:eastAsia="sv-FI"/>
              </w:rPr>
              <w:t>65</w:t>
            </w:r>
            <w:r>
              <w:rPr>
                <w:rFonts w:ascii="Calibri" w:hAnsi="Calibri" w:cs="Calibri"/>
                <w:color w:val="000000"/>
                <w:sz w:val="18"/>
                <w:szCs w:val="18"/>
                <w:lang w:val="sv-FI" w:eastAsia="sv-FI"/>
              </w:rPr>
              <w:t xml:space="preserve"> </w:t>
            </w:r>
            <w:r w:rsidRPr="00E6142E">
              <w:rPr>
                <w:rFonts w:ascii="Calibri" w:hAnsi="Calibri" w:cs="Calibri"/>
                <w:color w:val="000000"/>
                <w:sz w:val="18"/>
                <w:szCs w:val="18"/>
                <w:lang w:val="sv-FI" w:eastAsia="sv-FI"/>
              </w:rPr>
              <w:t>–</w:t>
            </w:r>
            <w:r>
              <w:rPr>
                <w:rFonts w:ascii="Calibri" w:hAnsi="Calibri" w:cs="Calibri"/>
                <w:color w:val="000000"/>
                <w:sz w:val="18"/>
                <w:szCs w:val="18"/>
                <w:lang w:val="sv-FI" w:eastAsia="sv-FI"/>
              </w:rPr>
              <w:t xml:space="preserve"> </w:t>
            </w:r>
            <w:r w:rsidRPr="00E6142E">
              <w:rPr>
                <w:rFonts w:ascii="Calibri" w:hAnsi="Calibri" w:cs="Calibri"/>
                <w:color w:val="000000"/>
                <w:sz w:val="18"/>
                <w:szCs w:val="18"/>
                <w:lang w:val="sv-FI" w:eastAsia="sv-FI"/>
              </w:rPr>
              <w:t>74</w:t>
            </w:r>
          </w:p>
        </w:tc>
        <w:tc>
          <w:tcPr>
            <w:tcW w:w="851" w:type="dxa"/>
            <w:tcBorders>
              <w:top w:val="nil"/>
              <w:bottom w:val="nil"/>
            </w:tcBorders>
          </w:tcPr>
          <w:p w14:paraId="1E874C1C" w14:textId="657E16AD" w:rsidR="00C06FC4" w:rsidRPr="00E6142E" w:rsidRDefault="00C06FC4"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18</w:t>
            </w:r>
          </w:p>
        </w:tc>
        <w:tc>
          <w:tcPr>
            <w:tcW w:w="567" w:type="dxa"/>
            <w:tcBorders>
              <w:top w:val="nil"/>
              <w:bottom w:val="nil"/>
            </w:tcBorders>
          </w:tcPr>
          <w:p w14:paraId="477FA098" w14:textId="69DE659B" w:rsidR="00C06FC4" w:rsidRPr="00E6142E" w:rsidRDefault="00C06FC4"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19</w:t>
            </w:r>
          </w:p>
        </w:tc>
        <w:tc>
          <w:tcPr>
            <w:tcW w:w="850" w:type="dxa"/>
            <w:tcBorders>
              <w:top w:val="nil"/>
              <w:bottom w:val="nil"/>
            </w:tcBorders>
          </w:tcPr>
          <w:p w14:paraId="0640B992" w14:textId="0302930B" w:rsidR="00C06FC4" w:rsidRPr="00E6142E" w:rsidRDefault="00C06FC4"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48,6</w:t>
            </w:r>
          </w:p>
        </w:tc>
        <w:tc>
          <w:tcPr>
            <w:tcW w:w="567" w:type="dxa"/>
            <w:tcBorders>
              <w:top w:val="nil"/>
              <w:bottom w:val="nil"/>
            </w:tcBorders>
          </w:tcPr>
          <w:p w14:paraId="7C1BBB0D" w14:textId="7EFB4BF1" w:rsidR="00C06FC4" w:rsidRPr="00E6142E" w:rsidRDefault="00C06FC4"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51,4</w:t>
            </w:r>
          </w:p>
        </w:tc>
        <w:tc>
          <w:tcPr>
            <w:tcW w:w="1276" w:type="dxa"/>
            <w:tcBorders>
              <w:top w:val="nil"/>
              <w:bottom w:val="nil"/>
            </w:tcBorders>
          </w:tcPr>
          <w:p w14:paraId="4EE3D796" w14:textId="73BD1823" w:rsidR="00C06FC4" w:rsidRPr="00E6142E" w:rsidRDefault="00C06FC4"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1,0</w:t>
            </w:r>
          </w:p>
        </w:tc>
      </w:tr>
      <w:tr w:rsidR="00C06FC4" w:rsidRPr="00E6142E" w14:paraId="395C9F4C" w14:textId="77777777" w:rsidTr="006C14FE">
        <w:tc>
          <w:tcPr>
            <w:cnfStyle w:val="001000000000" w:firstRow="0" w:lastRow="0" w:firstColumn="1" w:lastColumn="0" w:oddVBand="0" w:evenVBand="0" w:oddHBand="0" w:evenHBand="0" w:firstRowFirstColumn="0" w:firstRowLastColumn="0" w:lastRowFirstColumn="0" w:lastRowLastColumn="0"/>
            <w:tcW w:w="1696" w:type="dxa"/>
            <w:vMerge/>
            <w:tcBorders>
              <w:top w:val="nil"/>
              <w:bottom w:val="nil"/>
            </w:tcBorders>
          </w:tcPr>
          <w:p w14:paraId="436DB3EA" w14:textId="77777777" w:rsidR="00C06FC4" w:rsidRPr="003F1D06" w:rsidRDefault="00C06FC4" w:rsidP="00C06FC4">
            <w:pPr>
              <w:pStyle w:val="ANormal"/>
              <w:rPr>
                <w:rFonts w:ascii="Calibri" w:hAnsi="Calibri" w:cs="Calibri"/>
                <w:b w:val="0"/>
                <w:bCs w:val="0"/>
                <w:color w:val="000000"/>
                <w:sz w:val="18"/>
                <w:szCs w:val="18"/>
                <w:lang w:val="sv-FI" w:eastAsia="sv-FI"/>
              </w:rPr>
            </w:pPr>
          </w:p>
        </w:tc>
        <w:tc>
          <w:tcPr>
            <w:tcW w:w="1134" w:type="dxa"/>
            <w:tcBorders>
              <w:top w:val="nil"/>
              <w:bottom w:val="nil"/>
            </w:tcBorders>
          </w:tcPr>
          <w:p w14:paraId="46E361EA" w14:textId="07B30D04" w:rsidR="00C06FC4" w:rsidRPr="00E6142E" w:rsidRDefault="00C06FC4" w:rsidP="00F62E10">
            <w:pPr>
              <w:pStyle w:val="ANormal"/>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color w:val="000000"/>
                <w:sz w:val="18"/>
                <w:szCs w:val="18"/>
                <w:lang w:val="sv-FI" w:eastAsia="sv-FI"/>
              </w:rPr>
              <w:t>75</w:t>
            </w:r>
            <w:r>
              <w:rPr>
                <w:rFonts w:ascii="Calibri" w:hAnsi="Calibri" w:cs="Calibri"/>
                <w:color w:val="000000"/>
                <w:sz w:val="18"/>
                <w:szCs w:val="18"/>
                <w:lang w:val="sv-FI" w:eastAsia="sv-FI"/>
              </w:rPr>
              <w:t xml:space="preserve"> </w:t>
            </w:r>
            <w:r w:rsidRPr="00E6142E">
              <w:rPr>
                <w:rFonts w:ascii="Calibri" w:hAnsi="Calibri" w:cs="Calibri"/>
                <w:color w:val="000000"/>
                <w:sz w:val="18"/>
                <w:szCs w:val="18"/>
                <w:lang w:val="sv-FI" w:eastAsia="sv-FI"/>
              </w:rPr>
              <w:t>–</w:t>
            </w:r>
            <w:r>
              <w:rPr>
                <w:rFonts w:ascii="Calibri" w:hAnsi="Calibri" w:cs="Calibri"/>
                <w:color w:val="000000"/>
                <w:sz w:val="18"/>
                <w:szCs w:val="18"/>
                <w:lang w:val="sv-FI" w:eastAsia="sv-FI"/>
              </w:rPr>
              <w:t xml:space="preserve"> </w:t>
            </w:r>
            <w:r w:rsidRPr="00E6142E">
              <w:rPr>
                <w:rFonts w:ascii="Calibri" w:hAnsi="Calibri" w:cs="Calibri"/>
                <w:color w:val="000000"/>
                <w:sz w:val="18"/>
                <w:szCs w:val="18"/>
                <w:lang w:val="sv-FI" w:eastAsia="sv-FI"/>
              </w:rPr>
              <w:t>84</w:t>
            </w:r>
          </w:p>
        </w:tc>
        <w:tc>
          <w:tcPr>
            <w:tcW w:w="851" w:type="dxa"/>
            <w:tcBorders>
              <w:top w:val="nil"/>
              <w:bottom w:val="nil"/>
            </w:tcBorders>
          </w:tcPr>
          <w:p w14:paraId="629BFB23" w14:textId="588C60D8"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54</w:t>
            </w:r>
          </w:p>
        </w:tc>
        <w:tc>
          <w:tcPr>
            <w:tcW w:w="567" w:type="dxa"/>
            <w:tcBorders>
              <w:top w:val="nil"/>
              <w:bottom w:val="nil"/>
            </w:tcBorders>
          </w:tcPr>
          <w:p w14:paraId="14FE5378" w14:textId="7E70EC61"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31</w:t>
            </w:r>
          </w:p>
        </w:tc>
        <w:tc>
          <w:tcPr>
            <w:tcW w:w="850" w:type="dxa"/>
            <w:tcBorders>
              <w:top w:val="nil"/>
              <w:bottom w:val="nil"/>
            </w:tcBorders>
          </w:tcPr>
          <w:p w14:paraId="7BD4EFB1" w14:textId="423A5EBB"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63,5</w:t>
            </w:r>
          </w:p>
        </w:tc>
        <w:tc>
          <w:tcPr>
            <w:tcW w:w="567" w:type="dxa"/>
            <w:tcBorders>
              <w:top w:val="nil"/>
              <w:bottom w:val="nil"/>
            </w:tcBorders>
          </w:tcPr>
          <w:p w14:paraId="32FC55FC" w14:textId="42D5F46C"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36,5</w:t>
            </w:r>
          </w:p>
        </w:tc>
        <w:tc>
          <w:tcPr>
            <w:tcW w:w="1276" w:type="dxa"/>
            <w:tcBorders>
              <w:top w:val="nil"/>
              <w:bottom w:val="nil"/>
            </w:tcBorders>
          </w:tcPr>
          <w:p w14:paraId="157B619E" w14:textId="3E0CEF58"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3,2</w:t>
            </w:r>
          </w:p>
        </w:tc>
      </w:tr>
      <w:tr w:rsidR="003F1D06" w:rsidRPr="00E6142E" w14:paraId="794B9AB6" w14:textId="77777777" w:rsidTr="006C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Borders>
              <w:top w:val="nil"/>
              <w:bottom w:val="nil"/>
            </w:tcBorders>
          </w:tcPr>
          <w:p w14:paraId="056B1653" w14:textId="77777777" w:rsidR="00C06FC4" w:rsidRPr="003F1D06" w:rsidRDefault="00C06FC4" w:rsidP="00C06FC4">
            <w:pPr>
              <w:pStyle w:val="ANormal"/>
              <w:rPr>
                <w:rFonts w:ascii="Calibri" w:hAnsi="Calibri" w:cs="Calibri"/>
                <w:b w:val="0"/>
                <w:bCs w:val="0"/>
                <w:color w:val="000000"/>
                <w:sz w:val="18"/>
                <w:szCs w:val="18"/>
                <w:lang w:val="sv-FI" w:eastAsia="sv-FI"/>
              </w:rPr>
            </w:pPr>
          </w:p>
        </w:tc>
        <w:tc>
          <w:tcPr>
            <w:tcW w:w="1134" w:type="dxa"/>
            <w:tcBorders>
              <w:top w:val="nil"/>
              <w:bottom w:val="nil"/>
            </w:tcBorders>
          </w:tcPr>
          <w:p w14:paraId="00108F04" w14:textId="1961B42C" w:rsidR="00C06FC4" w:rsidRPr="00E6142E" w:rsidRDefault="00C06FC4" w:rsidP="00F62E10">
            <w:pPr>
              <w:pStyle w:val="ANormal"/>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sv-FI" w:eastAsia="sv-FI"/>
              </w:rPr>
            </w:pPr>
            <w:r w:rsidRPr="00E6142E">
              <w:rPr>
                <w:rFonts w:ascii="Calibri" w:hAnsi="Calibri" w:cs="Calibri"/>
                <w:color w:val="000000"/>
                <w:sz w:val="18"/>
                <w:szCs w:val="18"/>
                <w:lang w:val="sv-FI" w:eastAsia="sv-FI"/>
              </w:rPr>
              <w:t>85</w:t>
            </w:r>
            <w:r>
              <w:rPr>
                <w:rFonts w:ascii="Calibri" w:hAnsi="Calibri" w:cs="Calibri"/>
                <w:color w:val="000000"/>
                <w:sz w:val="18"/>
                <w:szCs w:val="18"/>
                <w:lang w:val="sv-FI" w:eastAsia="sv-FI"/>
              </w:rPr>
              <w:t xml:space="preserve"> –</w:t>
            </w:r>
          </w:p>
        </w:tc>
        <w:tc>
          <w:tcPr>
            <w:tcW w:w="851" w:type="dxa"/>
            <w:tcBorders>
              <w:top w:val="nil"/>
              <w:bottom w:val="nil"/>
            </w:tcBorders>
          </w:tcPr>
          <w:p w14:paraId="78441C74" w14:textId="2C9C5B1C" w:rsidR="00C06FC4" w:rsidRPr="00E6142E" w:rsidRDefault="00C06FC4"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sv-FI" w:eastAsia="sv-FI"/>
              </w:rPr>
            </w:pPr>
            <w:r w:rsidRPr="00E6142E">
              <w:rPr>
                <w:rFonts w:ascii="Calibri" w:hAnsi="Calibri" w:cs="Calibri"/>
                <w:sz w:val="18"/>
                <w:szCs w:val="18"/>
                <w:lang w:val="sv-FI" w:eastAsia="sv-FI"/>
              </w:rPr>
              <w:t>145</w:t>
            </w:r>
          </w:p>
        </w:tc>
        <w:tc>
          <w:tcPr>
            <w:tcW w:w="567" w:type="dxa"/>
            <w:tcBorders>
              <w:top w:val="nil"/>
              <w:bottom w:val="nil"/>
            </w:tcBorders>
          </w:tcPr>
          <w:p w14:paraId="68049815" w14:textId="517AC4F6" w:rsidR="00C06FC4" w:rsidRPr="00E6142E" w:rsidRDefault="00C06FC4"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sv-FI" w:eastAsia="sv-FI"/>
              </w:rPr>
            </w:pPr>
            <w:r w:rsidRPr="00E6142E">
              <w:rPr>
                <w:rFonts w:ascii="Calibri" w:hAnsi="Calibri" w:cs="Calibri"/>
                <w:sz w:val="18"/>
                <w:szCs w:val="18"/>
                <w:lang w:val="sv-FI" w:eastAsia="sv-FI"/>
              </w:rPr>
              <w:t>54</w:t>
            </w:r>
          </w:p>
        </w:tc>
        <w:tc>
          <w:tcPr>
            <w:tcW w:w="850" w:type="dxa"/>
            <w:tcBorders>
              <w:top w:val="nil"/>
              <w:bottom w:val="nil"/>
            </w:tcBorders>
          </w:tcPr>
          <w:p w14:paraId="134B46E8" w14:textId="36FB6FB1" w:rsidR="00C06FC4" w:rsidRPr="00E6142E" w:rsidRDefault="00C06FC4"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sv-FI" w:eastAsia="sv-FI"/>
              </w:rPr>
            </w:pPr>
            <w:r w:rsidRPr="00E6142E">
              <w:rPr>
                <w:rFonts w:ascii="Calibri" w:hAnsi="Calibri" w:cs="Calibri"/>
                <w:sz w:val="18"/>
                <w:szCs w:val="18"/>
                <w:lang w:val="sv-FI" w:eastAsia="sv-FI"/>
              </w:rPr>
              <w:t>72,9</w:t>
            </w:r>
          </w:p>
        </w:tc>
        <w:tc>
          <w:tcPr>
            <w:tcW w:w="567" w:type="dxa"/>
            <w:tcBorders>
              <w:top w:val="nil"/>
              <w:bottom w:val="nil"/>
            </w:tcBorders>
          </w:tcPr>
          <w:p w14:paraId="49EBEDA0" w14:textId="6D174818" w:rsidR="00C06FC4" w:rsidRPr="00E6142E" w:rsidRDefault="00C06FC4"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sv-FI" w:eastAsia="sv-FI"/>
              </w:rPr>
            </w:pPr>
            <w:r w:rsidRPr="00E6142E">
              <w:rPr>
                <w:rFonts w:ascii="Calibri" w:hAnsi="Calibri" w:cs="Calibri"/>
                <w:sz w:val="18"/>
                <w:szCs w:val="18"/>
                <w:lang w:val="sv-FI" w:eastAsia="sv-FI"/>
              </w:rPr>
              <w:t>27,1</w:t>
            </w:r>
          </w:p>
        </w:tc>
        <w:tc>
          <w:tcPr>
            <w:tcW w:w="1276" w:type="dxa"/>
            <w:tcBorders>
              <w:top w:val="nil"/>
              <w:bottom w:val="nil"/>
            </w:tcBorders>
          </w:tcPr>
          <w:p w14:paraId="7B07E791" w14:textId="7AF4405D" w:rsidR="006C14FE" w:rsidRPr="006C14FE" w:rsidRDefault="00C06FC4"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sv-FI" w:eastAsia="sv-FI"/>
              </w:rPr>
            </w:pPr>
            <w:r w:rsidRPr="00E6142E">
              <w:rPr>
                <w:rFonts w:ascii="Calibri" w:hAnsi="Calibri" w:cs="Calibri"/>
                <w:sz w:val="18"/>
                <w:szCs w:val="18"/>
                <w:lang w:val="sv-FI" w:eastAsia="sv-FI"/>
              </w:rPr>
              <w:t>21,4</w:t>
            </w:r>
          </w:p>
        </w:tc>
      </w:tr>
      <w:tr w:rsidR="00C06FC4" w:rsidRPr="00E6142E" w14:paraId="0636462F" w14:textId="77777777" w:rsidTr="006C14FE">
        <w:tc>
          <w:tcPr>
            <w:cnfStyle w:val="001000000000" w:firstRow="0" w:lastRow="0" w:firstColumn="1" w:lastColumn="0" w:oddVBand="0" w:evenVBand="0" w:oddHBand="0" w:evenHBand="0" w:firstRowFirstColumn="0" w:firstRowLastColumn="0" w:lastRowFirstColumn="0" w:lastRowLastColumn="0"/>
            <w:tcW w:w="1696" w:type="dxa"/>
            <w:vMerge w:val="restart"/>
            <w:tcBorders>
              <w:top w:val="nil"/>
              <w:bottom w:val="nil"/>
            </w:tcBorders>
          </w:tcPr>
          <w:p w14:paraId="3ABE13FC" w14:textId="77777777" w:rsidR="006C14FE" w:rsidRDefault="006C14FE" w:rsidP="00C06FC4">
            <w:pPr>
              <w:pStyle w:val="ANormal"/>
              <w:rPr>
                <w:rFonts w:ascii="Calibri" w:hAnsi="Calibri" w:cs="Calibri"/>
                <w:color w:val="000000"/>
                <w:sz w:val="18"/>
                <w:szCs w:val="18"/>
                <w:lang w:val="sv-FI" w:eastAsia="sv-FI"/>
              </w:rPr>
            </w:pPr>
          </w:p>
          <w:p w14:paraId="57EF600E" w14:textId="22D75AAB" w:rsidR="00C06FC4" w:rsidRPr="003F1D06" w:rsidRDefault="00C06FC4" w:rsidP="00C06FC4">
            <w:pPr>
              <w:pStyle w:val="ANormal"/>
              <w:rPr>
                <w:rFonts w:ascii="Calibri" w:hAnsi="Calibri" w:cs="Calibri"/>
                <w:b w:val="0"/>
                <w:bCs w:val="0"/>
                <w:color w:val="000000"/>
                <w:sz w:val="18"/>
                <w:szCs w:val="18"/>
                <w:lang w:val="sv-FI" w:eastAsia="sv-FI"/>
              </w:rPr>
            </w:pPr>
            <w:r w:rsidRPr="003F1D06">
              <w:rPr>
                <w:rFonts w:ascii="Calibri" w:hAnsi="Calibri" w:cs="Calibri"/>
                <w:b w:val="0"/>
                <w:bCs w:val="0"/>
                <w:color w:val="000000"/>
                <w:sz w:val="18"/>
                <w:szCs w:val="18"/>
                <w:lang w:val="sv-FI" w:eastAsia="sv-FI"/>
              </w:rPr>
              <w:t>Stöd för närståendevård, vårdade under året</w:t>
            </w:r>
          </w:p>
        </w:tc>
        <w:tc>
          <w:tcPr>
            <w:tcW w:w="1134" w:type="dxa"/>
            <w:tcBorders>
              <w:top w:val="nil"/>
              <w:bottom w:val="nil"/>
            </w:tcBorders>
          </w:tcPr>
          <w:p w14:paraId="1E1F5203" w14:textId="77777777" w:rsidR="006C14FE" w:rsidRDefault="006C14FE" w:rsidP="00F62E10">
            <w:pPr>
              <w:pStyle w:val="ANormal"/>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lang w:val="sv-FI" w:eastAsia="sv-FI"/>
              </w:rPr>
            </w:pPr>
          </w:p>
          <w:p w14:paraId="74DD74EE" w14:textId="2911776D" w:rsidR="00C06FC4" w:rsidRPr="00E6142E" w:rsidRDefault="00C06FC4" w:rsidP="00F62E10">
            <w:pPr>
              <w:pStyle w:val="ANormal"/>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color w:val="000000"/>
                <w:sz w:val="18"/>
                <w:szCs w:val="18"/>
                <w:lang w:val="sv-FI" w:eastAsia="sv-FI"/>
              </w:rPr>
              <w:t>65</w:t>
            </w:r>
            <w:r>
              <w:rPr>
                <w:rFonts w:ascii="Calibri" w:hAnsi="Calibri" w:cs="Calibri"/>
                <w:b/>
                <w:bCs/>
                <w:color w:val="000000"/>
                <w:sz w:val="18"/>
                <w:szCs w:val="18"/>
                <w:lang w:val="sv-FI" w:eastAsia="sv-FI"/>
              </w:rPr>
              <w:t xml:space="preserve"> –</w:t>
            </w:r>
          </w:p>
        </w:tc>
        <w:tc>
          <w:tcPr>
            <w:tcW w:w="851" w:type="dxa"/>
            <w:tcBorders>
              <w:top w:val="nil"/>
              <w:bottom w:val="nil"/>
            </w:tcBorders>
          </w:tcPr>
          <w:p w14:paraId="59F8F674" w14:textId="77777777" w:rsidR="006C14FE" w:rsidRDefault="006C14FE"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lang w:val="sv-FI" w:eastAsia="sv-FI"/>
              </w:rPr>
            </w:pPr>
          </w:p>
          <w:p w14:paraId="1544D986" w14:textId="329A0685"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sz w:val="18"/>
                <w:szCs w:val="18"/>
                <w:lang w:val="sv-FI" w:eastAsia="sv-FI"/>
              </w:rPr>
              <w:t>89</w:t>
            </w:r>
          </w:p>
        </w:tc>
        <w:tc>
          <w:tcPr>
            <w:tcW w:w="567" w:type="dxa"/>
            <w:tcBorders>
              <w:top w:val="nil"/>
              <w:bottom w:val="nil"/>
            </w:tcBorders>
          </w:tcPr>
          <w:p w14:paraId="70FB01D7" w14:textId="77777777" w:rsidR="006C14FE" w:rsidRDefault="006C14FE"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lang w:val="sv-FI" w:eastAsia="sv-FI"/>
              </w:rPr>
            </w:pPr>
          </w:p>
          <w:p w14:paraId="0D599464" w14:textId="3F13ADB0"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sz w:val="18"/>
                <w:szCs w:val="18"/>
                <w:lang w:val="sv-FI" w:eastAsia="sv-FI"/>
              </w:rPr>
              <w:t>111</w:t>
            </w:r>
          </w:p>
        </w:tc>
        <w:tc>
          <w:tcPr>
            <w:tcW w:w="850" w:type="dxa"/>
            <w:tcBorders>
              <w:top w:val="nil"/>
              <w:bottom w:val="nil"/>
            </w:tcBorders>
          </w:tcPr>
          <w:p w14:paraId="7322BAD4" w14:textId="77777777" w:rsidR="006C14FE" w:rsidRDefault="006C14FE"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lang w:val="sv-FI" w:eastAsia="sv-FI"/>
              </w:rPr>
            </w:pPr>
          </w:p>
          <w:p w14:paraId="409E8856" w14:textId="68828B31"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sz w:val="18"/>
                <w:szCs w:val="18"/>
                <w:lang w:val="sv-FI" w:eastAsia="sv-FI"/>
              </w:rPr>
              <w:t>44,5</w:t>
            </w:r>
          </w:p>
        </w:tc>
        <w:tc>
          <w:tcPr>
            <w:tcW w:w="567" w:type="dxa"/>
            <w:tcBorders>
              <w:top w:val="nil"/>
              <w:bottom w:val="nil"/>
            </w:tcBorders>
          </w:tcPr>
          <w:p w14:paraId="6C3E92EB" w14:textId="77777777" w:rsidR="006C14FE" w:rsidRDefault="006C14FE"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lang w:val="sv-FI" w:eastAsia="sv-FI"/>
              </w:rPr>
            </w:pPr>
          </w:p>
          <w:p w14:paraId="1CE11413" w14:textId="166643AA"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sz w:val="18"/>
                <w:szCs w:val="18"/>
                <w:lang w:val="sv-FI" w:eastAsia="sv-FI"/>
              </w:rPr>
              <w:t>55,5</w:t>
            </w:r>
          </w:p>
        </w:tc>
        <w:tc>
          <w:tcPr>
            <w:tcW w:w="1276" w:type="dxa"/>
            <w:tcBorders>
              <w:top w:val="nil"/>
              <w:bottom w:val="nil"/>
            </w:tcBorders>
          </w:tcPr>
          <w:p w14:paraId="3D37BEB4" w14:textId="77777777" w:rsidR="006C14FE" w:rsidRDefault="006C14FE"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lang w:val="sv-FI" w:eastAsia="sv-FI"/>
              </w:rPr>
            </w:pPr>
          </w:p>
          <w:p w14:paraId="01CBE5A9" w14:textId="37972A1F"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sz w:val="18"/>
                <w:szCs w:val="18"/>
                <w:lang w:val="sv-FI" w:eastAsia="sv-FI"/>
              </w:rPr>
              <w:t>2,7</w:t>
            </w:r>
          </w:p>
        </w:tc>
      </w:tr>
      <w:tr w:rsidR="00C06FC4" w:rsidRPr="00E6142E" w14:paraId="4C8F727A" w14:textId="77777777" w:rsidTr="006C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Borders>
              <w:top w:val="nil"/>
              <w:bottom w:val="nil"/>
            </w:tcBorders>
          </w:tcPr>
          <w:p w14:paraId="6B2F3EFB" w14:textId="77777777" w:rsidR="00C06FC4" w:rsidRPr="003F1D06" w:rsidRDefault="00C06FC4" w:rsidP="00C06FC4">
            <w:pPr>
              <w:pStyle w:val="ANormal"/>
              <w:rPr>
                <w:rFonts w:ascii="Calibri" w:hAnsi="Calibri" w:cs="Calibri"/>
                <w:b w:val="0"/>
                <w:bCs w:val="0"/>
                <w:color w:val="000000"/>
                <w:sz w:val="18"/>
                <w:szCs w:val="18"/>
                <w:lang w:val="sv-FI" w:eastAsia="sv-FI"/>
              </w:rPr>
            </w:pPr>
          </w:p>
        </w:tc>
        <w:tc>
          <w:tcPr>
            <w:tcW w:w="1134" w:type="dxa"/>
            <w:tcBorders>
              <w:top w:val="nil"/>
              <w:bottom w:val="nil"/>
            </w:tcBorders>
          </w:tcPr>
          <w:p w14:paraId="7EF93F81" w14:textId="5AD71722" w:rsidR="00C06FC4" w:rsidRPr="00E6142E" w:rsidRDefault="00C06FC4" w:rsidP="00F62E10">
            <w:pPr>
              <w:pStyle w:val="ANormal"/>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65</w:t>
            </w:r>
            <w:r>
              <w:rPr>
                <w:rFonts w:ascii="Calibri" w:hAnsi="Calibri" w:cs="Calibri"/>
                <w:sz w:val="18"/>
                <w:szCs w:val="18"/>
                <w:lang w:val="sv-FI" w:eastAsia="sv-FI"/>
              </w:rPr>
              <w:t xml:space="preserve"> </w:t>
            </w:r>
            <w:r w:rsidRPr="00E6142E">
              <w:rPr>
                <w:rFonts w:ascii="Calibri" w:hAnsi="Calibri" w:cs="Calibri"/>
                <w:sz w:val="18"/>
                <w:szCs w:val="18"/>
                <w:lang w:val="sv-FI" w:eastAsia="sv-FI"/>
              </w:rPr>
              <w:t>–</w:t>
            </w:r>
            <w:r>
              <w:rPr>
                <w:rFonts w:ascii="Calibri" w:hAnsi="Calibri" w:cs="Calibri"/>
                <w:sz w:val="18"/>
                <w:szCs w:val="18"/>
                <w:lang w:val="sv-FI" w:eastAsia="sv-FI"/>
              </w:rPr>
              <w:t xml:space="preserve"> </w:t>
            </w:r>
            <w:r w:rsidRPr="00E6142E">
              <w:rPr>
                <w:rFonts w:ascii="Calibri" w:hAnsi="Calibri" w:cs="Calibri"/>
                <w:sz w:val="18"/>
                <w:szCs w:val="18"/>
                <w:lang w:val="sv-FI" w:eastAsia="sv-FI"/>
              </w:rPr>
              <w:t>74</w:t>
            </w:r>
          </w:p>
        </w:tc>
        <w:tc>
          <w:tcPr>
            <w:tcW w:w="851" w:type="dxa"/>
            <w:tcBorders>
              <w:top w:val="nil"/>
              <w:bottom w:val="nil"/>
            </w:tcBorders>
          </w:tcPr>
          <w:p w14:paraId="0E902614" w14:textId="624A2381" w:rsidR="00C06FC4" w:rsidRPr="00E6142E" w:rsidRDefault="00C06FC4"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19</w:t>
            </w:r>
          </w:p>
        </w:tc>
        <w:tc>
          <w:tcPr>
            <w:tcW w:w="567" w:type="dxa"/>
            <w:tcBorders>
              <w:top w:val="nil"/>
              <w:bottom w:val="nil"/>
            </w:tcBorders>
          </w:tcPr>
          <w:p w14:paraId="4B117E0B" w14:textId="469883EF" w:rsidR="00C06FC4" w:rsidRPr="00E6142E" w:rsidRDefault="00C06FC4"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38</w:t>
            </w:r>
          </w:p>
        </w:tc>
        <w:tc>
          <w:tcPr>
            <w:tcW w:w="850" w:type="dxa"/>
            <w:tcBorders>
              <w:top w:val="nil"/>
              <w:bottom w:val="nil"/>
            </w:tcBorders>
          </w:tcPr>
          <w:p w14:paraId="791D4F59" w14:textId="7AA2501D" w:rsidR="00C06FC4" w:rsidRPr="00E6142E" w:rsidRDefault="00C06FC4"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33,3</w:t>
            </w:r>
          </w:p>
        </w:tc>
        <w:tc>
          <w:tcPr>
            <w:tcW w:w="567" w:type="dxa"/>
            <w:tcBorders>
              <w:top w:val="nil"/>
              <w:bottom w:val="nil"/>
            </w:tcBorders>
          </w:tcPr>
          <w:p w14:paraId="747A03FD" w14:textId="50D63A1D" w:rsidR="00C06FC4" w:rsidRPr="00E6142E" w:rsidRDefault="00C06FC4"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66,7</w:t>
            </w:r>
          </w:p>
        </w:tc>
        <w:tc>
          <w:tcPr>
            <w:tcW w:w="1276" w:type="dxa"/>
            <w:tcBorders>
              <w:top w:val="nil"/>
              <w:bottom w:val="nil"/>
            </w:tcBorders>
          </w:tcPr>
          <w:p w14:paraId="07F7E817" w14:textId="67FF23B0" w:rsidR="00C06FC4" w:rsidRPr="00E6142E" w:rsidRDefault="00C06FC4"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1,5</w:t>
            </w:r>
          </w:p>
        </w:tc>
      </w:tr>
      <w:tr w:rsidR="00C06FC4" w:rsidRPr="00E6142E" w14:paraId="19E4CC1D" w14:textId="77777777" w:rsidTr="006C14FE">
        <w:tc>
          <w:tcPr>
            <w:cnfStyle w:val="001000000000" w:firstRow="0" w:lastRow="0" w:firstColumn="1" w:lastColumn="0" w:oddVBand="0" w:evenVBand="0" w:oddHBand="0" w:evenHBand="0" w:firstRowFirstColumn="0" w:firstRowLastColumn="0" w:lastRowFirstColumn="0" w:lastRowLastColumn="0"/>
            <w:tcW w:w="1696" w:type="dxa"/>
            <w:vMerge/>
            <w:tcBorders>
              <w:top w:val="nil"/>
              <w:bottom w:val="nil"/>
            </w:tcBorders>
          </w:tcPr>
          <w:p w14:paraId="36278E09" w14:textId="77777777" w:rsidR="00C06FC4" w:rsidRPr="003F1D06" w:rsidRDefault="00C06FC4" w:rsidP="00C06FC4">
            <w:pPr>
              <w:pStyle w:val="ANormal"/>
              <w:rPr>
                <w:rFonts w:ascii="Calibri" w:hAnsi="Calibri" w:cs="Calibri"/>
                <w:b w:val="0"/>
                <w:bCs w:val="0"/>
                <w:color w:val="000000"/>
                <w:sz w:val="18"/>
                <w:szCs w:val="18"/>
                <w:lang w:val="sv-FI" w:eastAsia="sv-FI"/>
              </w:rPr>
            </w:pPr>
          </w:p>
        </w:tc>
        <w:tc>
          <w:tcPr>
            <w:tcW w:w="1134" w:type="dxa"/>
            <w:tcBorders>
              <w:top w:val="nil"/>
              <w:bottom w:val="nil"/>
            </w:tcBorders>
          </w:tcPr>
          <w:p w14:paraId="792BAFB6" w14:textId="6E2EDB43" w:rsidR="00C06FC4" w:rsidRPr="00E6142E" w:rsidRDefault="00C06FC4" w:rsidP="00F62E10">
            <w:pPr>
              <w:pStyle w:val="ANormal"/>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75</w:t>
            </w:r>
            <w:r>
              <w:rPr>
                <w:rFonts w:ascii="Calibri" w:hAnsi="Calibri" w:cs="Calibri"/>
                <w:sz w:val="18"/>
                <w:szCs w:val="18"/>
                <w:lang w:val="sv-FI" w:eastAsia="sv-FI"/>
              </w:rPr>
              <w:t xml:space="preserve"> </w:t>
            </w:r>
            <w:r w:rsidRPr="00E6142E">
              <w:rPr>
                <w:rFonts w:ascii="Calibri" w:hAnsi="Calibri" w:cs="Calibri"/>
                <w:sz w:val="18"/>
                <w:szCs w:val="18"/>
                <w:lang w:val="sv-FI" w:eastAsia="sv-FI"/>
              </w:rPr>
              <w:t>–</w:t>
            </w:r>
            <w:r>
              <w:rPr>
                <w:rFonts w:ascii="Calibri" w:hAnsi="Calibri" w:cs="Calibri"/>
                <w:sz w:val="18"/>
                <w:szCs w:val="18"/>
                <w:lang w:val="sv-FI" w:eastAsia="sv-FI"/>
              </w:rPr>
              <w:t xml:space="preserve"> </w:t>
            </w:r>
            <w:r w:rsidRPr="00E6142E">
              <w:rPr>
                <w:rFonts w:ascii="Calibri" w:hAnsi="Calibri" w:cs="Calibri"/>
                <w:sz w:val="18"/>
                <w:szCs w:val="18"/>
                <w:lang w:val="sv-FI" w:eastAsia="sv-FI"/>
              </w:rPr>
              <w:t>79</w:t>
            </w:r>
          </w:p>
        </w:tc>
        <w:tc>
          <w:tcPr>
            <w:tcW w:w="851" w:type="dxa"/>
            <w:tcBorders>
              <w:top w:val="nil"/>
              <w:bottom w:val="nil"/>
            </w:tcBorders>
          </w:tcPr>
          <w:p w14:paraId="2680AF56" w14:textId="5A6A3E37"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18</w:t>
            </w:r>
          </w:p>
        </w:tc>
        <w:tc>
          <w:tcPr>
            <w:tcW w:w="567" w:type="dxa"/>
            <w:tcBorders>
              <w:top w:val="nil"/>
              <w:bottom w:val="nil"/>
            </w:tcBorders>
          </w:tcPr>
          <w:p w14:paraId="31D33555" w14:textId="4302EC5E"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21</w:t>
            </w:r>
          </w:p>
        </w:tc>
        <w:tc>
          <w:tcPr>
            <w:tcW w:w="850" w:type="dxa"/>
            <w:tcBorders>
              <w:top w:val="nil"/>
              <w:bottom w:val="nil"/>
            </w:tcBorders>
          </w:tcPr>
          <w:p w14:paraId="0EB1D579" w14:textId="4A2B5B0B"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46,2</w:t>
            </w:r>
          </w:p>
        </w:tc>
        <w:tc>
          <w:tcPr>
            <w:tcW w:w="567" w:type="dxa"/>
            <w:tcBorders>
              <w:top w:val="nil"/>
              <w:bottom w:val="nil"/>
            </w:tcBorders>
          </w:tcPr>
          <w:p w14:paraId="57574365" w14:textId="393C9CA6"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53,8</w:t>
            </w:r>
          </w:p>
        </w:tc>
        <w:tc>
          <w:tcPr>
            <w:tcW w:w="1276" w:type="dxa"/>
            <w:tcBorders>
              <w:top w:val="nil"/>
              <w:bottom w:val="nil"/>
            </w:tcBorders>
          </w:tcPr>
          <w:p w14:paraId="49C15B9F" w14:textId="23484095"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2,3</w:t>
            </w:r>
          </w:p>
        </w:tc>
      </w:tr>
      <w:tr w:rsidR="00C06FC4" w:rsidRPr="00E6142E" w14:paraId="3BE60F11" w14:textId="77777777" w:rsidTr="006C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Borders>
              <w:top w:val="nil"/>
              <w:bottom w:val="nil"/>
            </w:tcBorders>
          </w:tcPr>
          <w:p w14:paraId="797736D8" w14:textId="77777777" w:rsidR="00C06FC4" w:rsidRPr="003F1D06" w:rsidRDefault="00C06FC4" w:rsidP="00C06FC4">
            <w:pPr>
              <w:pStyle w:val="ANormal"/>
              <w:rPr>
                <w:rFonts w:ascii="Calibri" w:hAnsi="Calibri" w:cs="Calibri"/>
                <w:b w:val="0"/>
                <w:bCs w:val="0"/>
                <w:color w:val="000000"/>
                <w:sz w:val="18"/>
                <w:szCs w:val="18"/>
                <w:lang w:val="sv-FI" w:eastAsia="sv-FI"/>
              </w:rPr>
            </w:pPr>
          </w:p>
        </w:tc>
        <w:tc>
          <w:tcPr>
            <w:tcW w:w="1134" w:type="dxa"/>
            <w:tcBorders>
              <w:top w:val="nil"/>
              <w:bottom w:val="nil"/>
            </w:tcBorders>
          </w:tcPr>
          <w:p w14:paraId="67B20FB4" w14:textId="799920A9" w:rsidR="00C06FC4" w:rsidRPr="00E6142E" w:rsidRDefault="00C06FC4" w:rsidP="00F62E10">
            <w:pPr>
              <w:pStyle w:val="ANormal"/>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80</w:t>
            </w:r>
            <w:r>
              <w:rPr>
                <w:rFonts w:ascii="Calibri" w:hAnsi="Calibri" w:cs="Calibri"/>
                <w:sz w:val="18"/>
                <w:szCs w:val="18"/>
                <w:lang w:val="sv-FI" w:eastAsia="sv-FI"/>
              </w:rPr>
              <w:t xml:space="preserve"> </w:t>
            </w:r>
            <w:r w:rsidRPr="00E6142E">
              <w:rPr>
                <w:rFonts w:ascii="Calibri" w:hAnsi="Calibri" w:cs="Calibri"/>
                <w:sz w:val="18"/>
                <w:szCs w:val="18"/>
                <w:lang w:val="sv-FI" w:eastAsia="sv-FI"/>
              </w:rPr>
              <w:t>–</w:t>
            </w:r>
            <w:r>
              <w:rPr>
                <w:rFonts w:ascii="Calibri" w:hAnsi="Calibri" w:cs="Calibri"/>
                <w:sz w:val="18"/>
                <w:szCs w:val="18"/>
                <w:lang w:val="sv-FI" w:eastAsia="sv-FI"/>
              </w:rPr>
              <w:t xml:space="preserve"> </w:t>
            </w:r>
            <w:r w:rsidRPr="00E6142E">
              <w:rPr>
                <w:rFonts w:ascii="Calibri" w:hAnsi="Calibri" w:cs="Calibri"/>
                <w:sz w:val="18"/>
                <w:szCs w:val="18"/>
                <w:lang w:val="sv-FI" w:eastAsia="sv-FI"/>
              </w:rPr>
              <w:t>84</w:t>
            </w:r>
          </w:p>
        </w:tc>
        <w:tc>
          <w:tcPr>
            <w:tcW w:w="851" w:type="dxa"/>
            <w:tcBorders>
              <w:top w:val="nil"/>
              <w:bottom w:val="nil"/>
            </w:tcBorders>
          </w:tcPr>
          <w:p w14:paraId="6D7FF327" w14:textId="0D7E4EDE" w:rsidR="00C06FC4" w:rsidRPr="00E6142E" w:rsidRDefault="00C06FC4"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20</w:t>
            </w:r>
          </w:p>
        </w:tc>
        <w:tc>
          <w:tcPr>
            <w:tcW w:w="567" w:type="dxa"/>
            <w:tcBorders>
              <w:top w:val="nil"/>
              <w:bottom w:val="nil"/>
            </w:tcBorders>
          </w:tcPr>
          <w:p w14:paraId="60A01494" w14:textId="58D45919" w:rsidR="00C06FC4" w:rsidRPr="00E6142E" w:rsidRDefault="00C06FC4"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22</w:t>
            </w:r>
          </w:p>
        </w:tc>
        <w:tc>
          <w:tcPr>
            <w:tcW w:w="850" w:type="dxa"/>
            <w:tcBorders>
              <w:top w:val="nil"/>
              <w:bottom w:val="nil"/>
            </w:tcBorders>
          </w:tcPr>
          <w:p w14:paraId="784263E1" w14:textId="54E269A0" w:rsidR="00C06FC4" w:rsidRPr="00E6142E" w:rsidRDefault="00C06FC4"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47,6</w:t>
            </w:r>
          </w:p>
        </w:tc>
        <w:tc>
          <w:tcPr>
            <w:tcW w:w="567" w:type="dxa"/>
            <w:tcBorders>
              <w:top w:val="nil"/>
              <w:bottom w:val="nil"/>
            </w:tcBorders>
          </w:tcPr>
          <w:p w14:paraId="25FEA115" w14:textId="159AD179" w:rsidR="00C06FC4" w:rsidRPr="00E6142E" w:rsidRDefault="00C06FC4"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52,4</w:t>
            </w:r>
          </w:p>
        </w:tc>
        <w:tc>
          <w:tcPr>
            <w:tcW w:w="1276" w:type="dxa"/>
            <w:tcBorders>
              <w:top w:val="nil"/>
              <w:bottom w:val="nil"/>
            </w:tcBorders>
          </w:tcPr>
          <w:p w14:paraId="34765D4C" w14:textId="398DBC39" w:rsidR="00C06FC4" w:rsidRPr="00E6142E" w:rsidRDefault="00C06FC4"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4,2</w:t>
            </w:r>
          </w:p>
        </w:tc>
      </w:tr>
      <w:tr w:rsidR="00C06FC4" w:rsidRPr="00E6142E" w14:paraId="24AD9775" w14:textId="77777777" w:rsidTr="006C14FE">
        <w:tc>
          <w:tcPr>
            <w:cnfStyle w:val="001000000000" w:firstRow="0" w:lastRow="0" w:firstColumn="1" w:lastColumn="0" w:oddVBand="0" w:evenVBand="0" w:oddHBand="0" w:evenHBand="0" w:firstRowFirstColumn="0" w:firstRowLastColumn="0" w:lastRowFirstColumn="0" w:lastRowLastColumn="0"/>
            <w:tcW w:w="1696" w:type="dxa"/>
            <w:vMerge/>
            <w:tcBorders>
              <w:top w:val="nil"/>
              <w:bottom w:val="nil"/>
            </w:tcBorders>
          </w:tcPr>
          <w:p w14:paraId="0FF47B96" w14:textId="77777777" w:rsidR="00C06FC4" w:rsidRPr="003F1D06" w:rsidRDefault="00C06FC4" w:rsidP="00C06FC4">
            <w:pPr>
              <w:pStyle w:val="ANormal"/>
              <w:rPr>
                <w:rFonts w:ascii="Calibri" w:hAnsi="Calibri" w:cs="Calibri"/>
                <w:b w:val="0"/>
                <w:bCs w:val="0"/>
                <w:color w:val="000000"/>
                <w:sz w:val="18"/>
                <w:szCs w:val="18"/>
                <w:lang w:val="sv-FI" w:eastAsia="sv-FI"/>
              </w:rPr>
            </w:pPr>
          </w:p>
        </w:tc>
        <w:tc>
          <w:tcPr>
            <w:tcW w:w="1134" w:type="dxa"/>
            <w:tcBorders>
              <w:top w:val="nil"/>
              <w:bottom w:val="nil"/>
            </w:tcBorders>
          </w:tcPr>
          <w:p w14:paraId="3135EAC2" w14:textId="35B44977" w:rsidR="00C06FC4" w:rsidRPr="00E6142E" w:rsidRDefault="00C06FC4" w:rsidP="00F62E10">
            <w:pPr>
              <w:pStyle w:val="ANormal"/>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lang w:val="sv-FI" w:eastAsia="sv-FI"/>
              </w:rPr>
            </w:pPr>
            <w:r w:rsidRPr="00E6142E">
              <w:rPr>
                <w:rFonts w:ascii="Calibri" w:hAnsi="Calibri" w:cs="Calibri"/>
                <w:sz w:val="18"/>
                <w:szCs w:val="18"/>
                <w:lang w:val="sv-FI" w:eastAsia="sv-FI"/>
              </w:rPr>
              <w:t xml:space="preserve">85 </w:t>
            </w:r>
            <w:r>
              <w:rPr>
                <w:rFonts w:ascii="Calibri" w:hAnsi="Calibri" w:cs="Calibri"/>
                <w:sz w:val="18"/>
                <w:szCs w:val="18"/>
                <w:lang w:val="sv-FI" w:eastAsia="sv-FI"/>
              </w:rPr>
              <w:t>–</w:t>
            </w:r>
          </w:p>
        </w:tc>
        <w:tc>
          <w:tcPr>
            <w:tcW w:w="851" w:type="dxa"/>
            <w:tcBorders>
              <w:top w:val="nil"/>
              <w:bottom w:val="nil"/>
            </w:tcBorders>
          </w:tcPr>
          <w:p w14:paraId="7C7BCFF7" w14:textId="3D14BA0F"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lang w:val="sv-FI" w:eastAsia="sv-FI"/>
              </w:rPr>
            </w:pPr>
            <w:r w:rsidRPr="00E6142E">
              <w:rPr>
                <w:rFonts w:ascii="Calibri" w:hAnsi="Calibri" w:cs="Calibri"/>
                <w:sz w:val="18"/>
                <w:szCs w:val="18"/>
                <w:lang w:val="sv-FI" w:eastAsia="sv-FI"/>
              </w:rPr>
              <w:t>32</w:t>
            </w:r>
          </w:p>
        </w:tc>
        <w:tc>
          <w:tcPr>
            <w:tcW w:w="567" w:type="dxa"/>
            <w:tcBorders>
              <w:top w:val="nil"/>
              <w:bottom w:val="nil"/>
            </w:tcBorders>
          </w:tcPr>
          <w:p w14:paraId="34E63F7A" w14:textId="34CE13F9"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lang w:val="sv-FI" w:eastAsia="sv-FI"/>
              </w:rPr>
            </w:pPr>
            <w:r w:rsidRPr="00E6142E">
              <w:rPr>
                <w:rFonts w:ascii="Calibri" w:hAnsi="Calibri" w:cs="Calibri"/>
                <w:sz w:val="18"/>
                <w:szCs w:val="18"/>
                <w:lang w:val="sv-FI" w:eastAsia="sv-FI"/>
              </w:rPr>
              <w:t>30</w:t>
            </w:r>
          </w:p>
        </w:tc>
        <w:tc>
          <w:tcPr>
            <w:tcW w:w="850" w:type="dxa"/>
            <w:tcBorders>
              <w:top w:val="nil"/>
              <w:bottom w:val="nil"/>
            </w:tcBorders>
          </w:tcPr>
          <w:p w14:paraId="001DF1D5" w14:textId="315C5095"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lang w:val="sv-FI" w:eastAsia="sv-FI"/>
              </w:rPr>
            </w:pPr>
            <w:r w:rsidRPr="00E6142E">
              <w:rPr>
                <w:rFonts w:ascii="Calibri" w:hAnsi="Calibri" w:cs="Calibri"/>
                <w:sz w:val="18"/>
                <w:szCs w:val="18"/>
                <w:lang w:val="sv-FI" w:eastAsia="sv-FI"/>
              </w:rPr>
              <w:t>51,6</w:t>
            </w:r>
          </w:p>
        </w:tc>
        <w:tc>
          <w:tcPr>
            <w:tcW w:w="567" w:type="dxa"/>
            <w:tcBorders>
              <w:top w:val="nil"/>
              <w:bottom w:val="nil"/>
            </w:tcBorders>
          </w:tcPr>
          <w:p w14:paraId="17D328EF" w14:textId="4501C97F" w:rsidR="00C06FC4" w:rsidRPr="00E6142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lang w:val="sv-FI" w:eastAsia="sv-FI"/>
              </w:rPr>
            </w:pPr>
            <w:r w:rsidRPr="00E6142E">
              <w:rPr>
                <w:rFonts w:ascii="Calibri" w:hAnsi="Calibri" w:cs="Calibri"/>
                <w:sz w:val="18"/>
                <w:szCs w:val="18"/>
                <w:lang w:val="sv-FI" w:eastAsia="sv-FI"/>
              </w:rPr>
              <w:t>48,4</w:t>
            </w:r>
          </w:p>
        </w:tc>
        <w:tc>
          <w:tcPr>
            <w:tcW w:w="1276" w:type="dxa"/>
            <w:tcBorders>
              <w:top w:val="nil"/>
              <w:bottom w:val="nil"/>
            </w:tcBorders>
          </w:tcPr>
          <w:p w14:paraId="1AD62747" w14:textId="09D2E6FD" w:rsidR="006C14FE" w:rsidRPr="006C14FE" w:rsidRDefault="00C06FC4"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sv-FI" w:eastAsia="sv-FI"/>
              </w:rPr>
            </w:pPr>
            <w:r w:rsidRPr="00E6142E">
              <w:rPr>
                <w:rFonts w:ascii="Calibri" w:hAnsi="Calibri" w:cs="Calibri"/>
                <w:sz w:val="18"/>
                <w:szCs w:val="18"/>
                <w:lang w:val="sv-FI" w:eastAsia="sv-FI"/>
              </w:rPr>
              <w:t>6,7</w:t>
            </w:r>
          </w:p>
        </w:tc>
      </w:tr>
      <w:tr w:rsidR="001B3945" w:rsidRPr="00E6142E" w14:paraId="1C56E000" w14:textId="77777777" w:rsidTr="006C14FE">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1696" w:type="dxa"/>
            <w:vMerge w:val="restart"/>
            <w:tcBorders>
              <w:top w:val="nil"/>
            </w:tcBorders>
          </w:tcPr>
          <w:p w14:paraId="55AF7F1E" w14:textId="77777777" w:rsidR="006C14FE" w:rsidRDefault="006C14FE" w:rsidP="00BB7FB3">
            <w:pPr>
              <w:pStyle w:val="ANormal"/>
              <w:rPr>
                <w:rFonts w:ascii="Calibri" w:hAnsi="Calibri" w:cs="Calibri"/>
                <w:color w:val="000000"/>
                <w:sz w:val="18"/>
                <w:szCs w:val="18"/>
                <w:lang w:val="sv-FI" w:eastAsia="sv-FI"/>
              </w:rPr>
            </w:pPr>
          </w:p>
          <w:p w14:paraId="240599AC" w14:textId="0E044A9F" w:rsidR="00BB7FB3" w:rsidRPr="003F1D06" w:rsidRDefault="00BB7FB3" w:rsidP="00BB7FB3">
            <w:pPr>
              <w:pStyle w:val="ANormal"/>
              <w:rPr>
                <w:rFonts w:ascii="Calibri" w:hAnsi="Calibri" w:cs="Calibri"/>
                <w:b w:val="0"/>
                <w:bCs w:val="0"/>
                <w:color w:val="000000"/>
                <w:sz w:val="18"/>
                <w:szCs w:val="18"/>
                <w:lang w:val="sv-FI" w:eastAsia="sv-FI"/>
              </w:rPr>
            </w:pPr>
            <w:r w:rsidRPr="003F1D06">
              <w:rPr>
                <w:rFonts w:ascii="Calibri" w:hAnsi="Calibri" w:cs="Calibri"/>
                <w:b w:val="0"/>
                <w:bCs w:val="0"/>
                <w:color w:val="000000"/>
                <w:sz w:val="18"/>
                <w:szCs w:val="18"/>
                <w:lang w:val="sv-FI" w:eastAsia="sv-FI"/>
              </w:rPr>
              <w:t>Närståendevårdare</w:t>
            </w:r>
          </w:p>
          <w:p w14:paraId="03DCCC95" w14:textId="0925087B" w:rsidR="00BB7FB3" w:rsidRPr="003F1D06" w:rsidRDefault="00BB7FB3" w:rsidP="00BB7FB3">
            <w:pPr>
              <w:pStyle w:val="ANormal"/>
              <w:rPr>
                <w:rFonts w:ascii="Calibri" w:hAnsi="Calibri" w:cs="Calibri"/>
                <w:b w:val="0"/>
                <w:bCs w:val="0"/>
                <w:color w:val="000000"/>
                <w:sz w:val="18"/>
                <w:szCs w:val="18"/>
                <w:lang w:val="sv-FI" w:eastAsia="sv-FI"/>
              </w:rPr>
            </w:pPr>
          </w:p>
        </w:tc>
        <w:tc>
          <w:tcPr>
            <w:tcW w:w="1134" w:type="dxa"/>
            <w:tcBorders>
              <w:top w:val="nil"/>
              <w:bottom w:val="nil"/>
            </w:tcBorders>
          </w:tcPr>
          <w:p w14:paraId="1B13FED8" w14:textId="77777777" w:rsidR="006C14FE" w:rsidRDefault="006C14FE" w:rsidP="00F62E10">
            <w:pPr>
              <w:pStyle w:val="ANormal"/>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sv-FI" w:eastAsia="sv-FI"/>
              </w:rPr>
            </w:pPr>
          </w:p>
          <w:p w14:paraId="76328F66" w14:textId="247DD1C8" w:rsidR="00BB7FB3" w:rsidRPr="00E6142E" w:rsidRDefault="00BB7FB3" w:rsidP="00F62E10">
            <w:pPr>
              <w:pStyle w:val="ANormal"/>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Pr>
                <w:rFonts w:ascii="Calibri" w:hAnsi="Calibri" w:cs="Calibri"/>
                <w:b/>
                <w:bCs/>
                <w:color w:val="000000"/>
                <w:sz w:val="18"/>
                <w:szCs w:val="18"/>
                <w:lang w:val="sv-FI" w:eastAsia="sv-FI"/>
              </w:rPr>
              <w:t>Alla</w:t>
            </w:r>
            <w:r w:rsidR="00CF7B3D">
              <w:rPr>
                <w:rFonts w:ascii="Calibri" w:hAnsi="Calibri" w:cs="Calibri"/>
                <w:b/>
                <w:bCs/>
                <w:color w:val="000000"/>
                <w:sz w:val="18"/>
                <w:szCs w:val="18"/>
                <w:lang w:val="sv-FI" w:eastAsia="sv-FI"/>
              </w:rPr>
              <w:t xml:space="preserve"> åldrar</w:t>
            </w:r>
          </w:p>
        </w:tc>
        <w:tc>
          <w:tcPr>
            <w:tcW w:w="851" w:type="dxa"/>
            <w:tcBorders>
              <w:top w:val="nil"/>
              <w:bottom w:val="nil"/>
            </w:tcBorders>
          </w:tcPr>
          <w:p w14:paraId="5043E1A6" w14:textId="77777777" w:rsidR="006C14FE" w:rsidRDefault="006C14FE"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lang w:val="sv-FI" w:eastAsia="sv-FI"/>
              </w:rPr>
            </w:pPr>
          </w:p>
          <w:p w14:paraId="48A11598" w14:textId="1A552A49" w:rsidR="00BB7FB3" w:rsidRPr="00E6142E" w:rsidRDefault="00BB7FB3"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sz w:val="18"/>
                <w:szCs w:val="18"/>
                <w:lang w:val="sv-FI" w:eastAsia="sv-FI"/>
              </w:rPr>
              <w:t>129</w:t>
            </w:r>
          </w:p>
        </w:tc>
        <w:tc>
          <w:tcPr>
            <w:tcW w:w="567" w:type="dxa"/>
            <w:tcBorders>
              <w:top w:val="nil"/>
              <w:bottom w:val="nil"/>
            </w:tcBorders>
          </w:tcPr>
          <w:p w14:paraId="143E676F" w14:textId="77777777" w:rsidR="006C14FE" w:rsidRDefault="006C14FE"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lang w:val="sv-FI" w:eastAsia="sv-FI"/>
              </w:rPr>
            </w:pPr>
          </w:p>
          <w:p w14:paraId="66C63B2A" w14:textId="573480CF" w:rsidR="00BB7FB3" w:rsidRPr="00E6142E" w:rsidRDefault="00BB7FB3"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sz w:val="18"/>
                <w:szCs w:val="18"/>
                <w:lang w:val="sv-FI" w:eastAsia="sv-FI"/>
              </w:rPr>
              <w:t>72</w:t>
            </w:r>
          </w:p>
        </w:tc>
        <w:tc>
          <w:tcPr>
            <w:tcW w:w="850" w:type="dxa"/>
            <w:tcBorders>
              <w:top w:val="nil"/>
              <w:bottom w:val="nil"/>
            </w:tcBorders>
          </w:tcPr>
          <w:p w14:paraId="203BE17B" w14:textId="77777777" w:rsidR="006C14FE" w:rsidRDefault="006C14FE"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lang w:val="sv-FI" w:eastAsia="sv-FI"/>
              </w:rPr>
            </w:pPr>
          </w:p>
          <w:p w14:paraId="5DD89704" w14:textId="3912C5D2" w:rsidR="00BB7FB3" w:rsidRPr="00E6142E" w:rsidRDefault="00BB7FB3"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sz w:val="18"/>
                <w:szCs w:val="18"/>
                <w:lang w:val="sv-FI" w:eastAsia="sv-FI"/>
              </w:rPr>
              <w:t>64,2</w:t>
            </w:r>
          </w:p>
        </w:tc>
        <w:tc>
          <w:tcPr>
            <w:tcW w:w="567" w:type="dxa"/>
            <w:tcBorders>
              <w:top w:val="nil"/>
              <w:bottom w:val="nil"/>
            </w:tcBorders>
          </w:tcPr>
          <w:p w14:paraId="7C1B2530" w14:textId="77777777" w:rsidR="006C14FE" w:rsidRDefault="006C14FE"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lang w:val="sv-FI" w:eastAsia="sv-FI"/>
              </w:rPr>
            </w:pPr>
          </w:p>
          <w:p w14:paraId="59266FB5" w14:textId="3445FD82" w:rsidR="00BB7FB3" w:rsidRPr="00E6142E" w:rsidRDefault="00BB7FB3"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b/>
                <w:bCs/>
                <w:sz w:val="18"/>
                <w:szCs w:val="18"/>
                <w:lang w:val="sv-FI" w:eastAsia="sv-FI"/>
              </w:rPr>
              <w:t>35,8</w:t>
            </w:r>
          </w:p>
        </w:tc>
        <w:tc>
          <w:tcPr>
            <w:tcW w:w="1276" w:type="dxa"/>
            <w:tcBorders>
              <w:top w:val="nil"/>
              <w:bottom w:val="nil"/>
            </w:tcBorders>
          </w:tcPr>
          <w:p w14:paraId="046881AD" w14:textId="77777777" w:rsidR="006C14FE" w:rsidRDefault="006C14FE"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sv-FI" w:eastAsia="sv-FI"/>
              </w:rPr>
            </w:pPr>
          </w:p>
          <w:p w14:paraId="32986B3D" w14:textId="386E8EC9" w:rsidR="00BB7FB3" w:rsidRPr="00E6142E" w:rsidRDefault="00BB7FB3" w:rsidP="003C760C">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2,0</w:t>
            </w:r>
          </w:p>
        </w:tc>
      </w:tr>
      <w:tr w:rsidR="00BB7FB3" w:rsidRPr="00E6142E" w14:paraId="0B1FEA40" w14:textId="77777777" w:rsidTr="001B3945">
        <w:trPr>
          <w:trHeight w:val="119"/>
        </w:trPr>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7F7F7F" w:themeColor="text1" w:themeTint="80"/>
              <w:bottom w:val="single" w:sz="4" w:space="0" w:color="auto"/>
            </w:tcBorders>
          </w:tcPr>
          <w:p w14:paraId="195A5216" w14:textId="157C0CB3" w:rsidR="00BB7FB3" w:rsidRPr="00E6142E" w:rsidRDefault="00BB7FB3" w:rsidP="00BB7FB3">
            <w:pPr>
              <w:pStyle w:val="ANormal"/>
              <w:rPr>
                <w:rFonts w:ascii="Calibri" w:hAnsi="Calibri" w:cs="Calibri"/>
                <w:b w:val="0"/>
                <w:bCs w:val="0"/>
                <w:color w:val="000000"/>
                <w:sz w:val="18"/>
                <w:szCs w:val="18"/>
                <w:lang w:val="sv-FI" w:eastAsia="sv-FI"/>
              </w:rPr>
            </w:pPr>
          </w:p>
        </w:tc>
        <w:tc>
          <w:tcPr>
            <w:tcW w:w="1134" w:type="dxa"/>
            <w:tcBorders>
              <w:top w:val="nil"/>
              <w:bottom w:val="single" w:sz="4" w:space="0" w:color="auto"/>
            </w:tcBorders>
          </w:tcPr>
          <w:p w14:paraId="37A98A0E" w14:textId="3DAE0CF0" w:rsidR="00BB7FB3" w:rsidRPr="00E6142E" w:rsidRDefault="00BB7FB3" w:rsidP="00F62E10">
            <w:pPr>
              <w:pStyle w:val="ANormal"/>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lang w:val="sv-FI" w:eastAsia="sv-FI"/>
              </w:rPr>
            </w:pPr>
            <w:r w:rsidRPr="00E6142E">
              <w:rPr>
                <w:rFonts w:ascii="Calibri" w:hAnsi="Calibri" w:cs="Calibri"/>
                <w:color w:val="000000"/>
                <w:sz w:val="18"/>
                <w:szCs w:val="18"/>
                <w:lang w:val="sv-FI" w:eastAsia="sv-FI"/>
              </w:rPr>
              <w:t xml:space="preserve">65 år </w:t>
            </w:r>
            <w:r>
              <w:rPr>
                <w:rFonts w:ascii="Calibri" w:hAnsi="Calibri" w:cs="Calibri"/>
                <w:color w:val="000000"/>
                <w:sz w:val="18"/>
                <w:szCs w:val="18"/>
                <w:lang w:val="sv-FI" w:eastAsia="sv-FI"/>
              </w:rPr>
              <w:t>–</w:t>
            </w:r>
          </w:p>
        </w:tc>
        <w:tc>
          <w:tcPr>
            <w:tcW w:w="851" w:type="dxa"/>
            <w:tcBorders>
              <w:top w:val="nil"/>
              <w:bottom w:val="single" w:sz="4" w:space="0" w:color="auto"/>
            </w:tcBorders>
          </w:tcPr>
          <w:p w14:paraId="390BD229" w14:textId="1925904F" w:rsidR="00BB7FB3" w:rsidRPr="00E6142E" w:rsidRDefault="00BB7FB3"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99</w:t>
            </w:r>
          </w:p>
        </w:tc>
        <w:tc>
          <w:tcPr>
            <w:tcW w:w="567" w:type="dxa"/>
            <w:tcBorders>
              <w:top w:val="nil"/>
              <w:bottom w:val="single" w:sz="4" w:space="0" w:color="auto"/>
            </w:tcBorders>
          </w:tcPr>
          <w:p w14:paraId="158A4344" w14:textId="004ACD68" w:rsidR="00BB7FB3" w:rsidRPr="00E6142E" w:rsidRDefault="00BB7FB3"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48</w:t>
            </w:r>
          </w:p>
        </w:tc>
        <w:tc>
          <w:tcPr>
            <w:tcW w:w="850" w:type="dxa"/>
            <w:tcBorders>
              <w:top w:val="nil"/>
              <w:bottom w:val="single" w:sz="4" w:space="0" w:color="auto"/>
            </w:tcBorders>
          </w:tcPr>
          <w:p w14:paraId="74434F68" w14:textId="0B1114A4" w:rsidR="00BB7FB3" w:rsidRPr="00E6142E" w:rsidRDefault="00BB7FB3"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67,3</w:t>
            </w:r>
          </w:p>
        </w:tc>
        <w:tc>
          <w:tcPr>
            <w:tcW w:w="567" w:type="dxa"/>
            <w:tcBorders>
              <w:top w:val="nil"/>
              <w:bottom w:val="single" w:sz="4" w:space="0" w:color="auto"/>
            </w:tcBorders>
          </w:tcPr>
          <w:p w14:paraId="554A4277" w14:textId="38CEE411" w:rsidR="00BB7FB3" w:rsidRPr="00E6142E" w:rsidRDefault="00BB7FB3" w:rsidP="003C760C">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sv-FI" w:eastAsia="sv-FI"/>
              </w:rPr>
            </w:pPr>
            <w:r w:rsidRPr="00E6142E">
              <w:rPr>
                <w:rFonts w:ascii="Calibri" w:hAnsi="Calibri" w:cs="Calibri"/>
                <w:sz w:val="18"/>
                <w:szCs w:val="18"/>
                <w:lang w:val="sv-FI" w:eastAsia="sv-FI"/>
              </w:rPr>
              <w:t>32,7</w:t>
            </w:r>
          </w:p>
        </w:tc>
        <w:tc>
          <w:tcPr>
            <w:tcW w:w="1276" w:type="dxa"/>
            <w:tcBorders>
              <w:top w:val="nil"/>
              <w:bottom w:val="single" w:sz="4" w:space="0" w:color="auto"/>
            </w:tcBorders>
          </w:tcPr>
          <w:p w14:paraId="1CE4A879" w14:textId="672E99CF" w:rsidR="00DB2EBC" w:rsidRPr="003433B6" w:rsidRDefault="00BB7FB3" w:rsidP="003433B6">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sv-FI" w:eastAsia="sv-FI"/>
              </w:rPr>
            </w:pPr>
            <w:r w:rsidRPr="00E6142E">
              <w:rPr>
                <w:rFonts w:ascii="Calibri" w:hAnsi="Calibri" w:cs="Calibri"/>
                <w:sz w:val="18"/>
                <w:szCs w:val="18"/>
                <w:lang w:val="sv-FI" w:eastAsia="sv-FI"/>
              </w:rPr>
              <w:t>2,0</w:t>
            </w:r>
          </w:p>
        </w:tc>
      </w:tr>
    </w:tbl>
    <w:p w14:paraId="5273E55B" w14:textId="77777777" w:rsidR="00190F6D" w:rsidRDefault="00190F6D" w:rsidP="00190F6D">
      <w:pPr>
        <w:pStyle w:val="ANormal"/>
        <w:rPr>
          <w:rFonts w:ascii="Calibri" w:hAnsi="Calibri" w:cs="Calibri"/>
          <w:color w:val="000000"/>
          <w:sz w:val="16"/>
          <w:szCs w:val="16"/>
          <w:lang w:val="sv-FI" w:eastAsia="sv-FI"/>
        </w:rPr>
      </w:pPr>
    </w:p>
    <w:p w14:paraId="1E8F3596" w14:textId="104FAE1E" w:rsidR="00D92941" w:rsidRDefault="003C760C" w:rsidP="00C473B0">
      <w:pPr>
        <w:pStyle w:val="ANormal"/>
        <w:rPr>
          <w:rFonts w:ascii="Calibri" w:hAnsi="Calibri" w:cs="Calibri"/>
          <w:color w:val="000000"/>
          <w:sz w:val="18"/>
          <w:szCs w:val="18"/>
          <w:lang w:val="sv-FI" w:eastAsia="sv-FI"/>
        </w:rPr>
      </w:pPr>
      <w:r w:rsidRPr="009502AE">
        <w:rPr>
          <w:rFonts w:ascii="Calibri" w:hAnsi="Calibri" w:cs="Calibri"/>
          <w:color w:val="000000"/>
          <w:sz w:val="18"/>
          <w:szCs w:val="18"/>
          <w:lang w:val="sv-FI" w:eastAsia="sv-FI"/>
        </w:rPr>
        <w:t>Källa: ÅSUB</w:t>
      </w:r>
      <w:r w:rsidR="00A71AEE">
        <w:rPr>
          <w:rFonts w:ascii="Calibri" w:hAnsi="Calibri" w:cs="Calibri"/>
          <w:color w:val="000000"/>
          <w:sz w:val="18"/>
          <w:szCs w:val="18"/>
          <w:lang w:val="sv-FI" w:eastAsia="sv-FI"/>
        </w:rPr>
        <w:t>,</w:t>
      </w:r>
      <w:r w:rsidRPr="009502AE">
        <w:rPr>
          <w:rFonts w:ascii="Calibri" w:hAnsi="Calibri" w:cs="Calibri"/>
          <w:color w:val="000000"/>
          <w:sz w:val="18"/>
          <w:szCs w:val="18"/>
          <w:lang w:val="sv-FI" w:eastAsia="sv-FI"/>
        </w:rPr>
        <w:t xml:space="preserve"> </w:t>
      </w:r>
      <w:r w:rsidR="00A71AEE">
        <w:rPr>
          <w:rFonts w:ascii="Calibri" w:hAnsi="Calibri" w:cs="Calibri"/>
          <w:color w:val="000000"/>
          <w:sz w:val="18"/>
          <w:szCs w:val="18"/>
          <w:lang w:val="sv-FI" w:eastAsia="sv-FI"/>
        </w:rPr>
        <w:t>s</w:t>
      </w:r>
      <w:r w:rsidRPr="009502AE">
        <w:rPr>
          <w:rFonts w:ascii="Calibri" w:hAnsi="Calibri" w:cs="Calibri"/>
          <w:color w:val="000000"/>
          <w:sz w:val="18"/>
          <w:szCs w:val="18"/>
          <w:lang w:val="sv-FI" w:eastAsia="sv-FI"/>
        </w:rPr>
        <w:t>ocialväsende</w:t>
      </w:r>
      <w:r w:rsidR="00A71AEE">
        <w:rPr>
          <w:rFonts w:ascii="Calibri" w:hAnsi="Calibri" w:cs="Calibri"/>
          <w:color w:val="000000"/>
          <w:sz w:val="18"/>
          <w:szCs w:val="18"/>
          <w:lang w:val="sv-FI" w:eastAsia="sv-FI"/>
        </w:rPr>
        <w:t>t, s</w:t>
      </w:r>
      <w:r w:rsidRPr="009502AE">
        <w:rPr>
          <w:rFonts w:ascii="Calibri" w:hAnsi="Calibri" w:cs="Calibri"/>
          <w:color w:val="000000"/>
          <w:sz w:val="18"/>
          <w:szCs w:val="18"/>
          <w:lang w:val="sv-FI" w:eastAsia="sv-FI"/>
        </w:rPr>
        <w:t>enast uppdaterad 27.5.2024</w:t>
      </w:r>
    </w:p>
    <w:p w14:paraId="719B1EBE" w14:textId="77777777" w:rsidR="00D92941" w:rsidRPr="00D92941" w:rsidRDefault="00D92941" w:rsidP="00C473B0">
      <w:pPr>
        <w:pStyle w:val="ANormal"/>
        <w:rPr>
          <w:color w:val="000000"/>
          <w:szCs w:val="22"/>
          <w:lang w:val="sv-FI" w:eastAsia="sv-FI"/>
        </w:rPr>
      </w:pPr>
    </w:p>
    <w:p w14:paraId="0F358D21" w14:textId="37D8D5C2" w:rsidR="001C026F" w:rsidRDefault="00D92941" w:rsidP="001C026F">
      <w:pPr>
        <w:pStyle w:val="RubrikA"/>
      </w:pPr>
      <w:bookmarkStart w:id="33" w:name="_Toc193963327"/>
      <w:r>
        <w:lastRenderedPageBreak/>
        <w:t>D</w:t>
      </w:r>
      <w:r w:rsidR="001C026F">
        <w:t>etaljmotivering</w:t>
      </w:r>
      <w:bookmarkEnd w:id="33"/>
    </w:p>
    <w:p w14:paraId="1473D673" w14:textId="77777777" w:rsidR="001C026F" w:rsidRDefault="001C026F" w:rsidP="001C026F">
      <w:pPr>
        <w:pStyle w:val="Rubrikmellanrum"/>
      </w:pPr>
    </w:p>
    <w:p w14:paraId="3AF6BABE" w14:textId="6357D82F" w:rsidR="001C026F" w:rsidRDefault="00AA5061" w:rsidP="001C026F">
      <w:pPr>
        <w:pStyle w:val="RubrikB"/>
      </w:pPr>
      <w:bookmarkStart w:id="34" w:name="_Toc193963328"/>
      <w:r>
        <w:t>Landskapslag om ä</w:t>
      </w:r>
      <w:r w:rsidR="001C026F">
        <w:t>ndring av</w:t>
      </w:r>
      <w:r w:rsidR="00266FAD">
        <w:t xml:space="preserve"> land</w:t>
      </w:r>
      <w:r w:rsidR="0054208E">
        <w:t>skapslagen om klientavgifter inom socialvården</w:t>
      </w:r>
      <w:bookmarkEnd w:id="34"/>
    </w:p>
    <w:p w14:paraId="2666D102" w14:textId="77777777" w:rsidR="001C026F" w:rsidRDefault="001C026F" w:rsidP="001C026F">
      <w:pPr>
        <w:pStyle w:val="Rubrikmellanrum"/>
      </w:pPr>
    </w:p>
    <w:p w14:paraId="6A059CDF" w14:textId="1E2D702F" w:rsidR="000E762F" w:rsidRPr="00840C71" w:rsidRDefault="00B06B3B" w:rsidP="00840C71">
      <w:pPr>
        <w:pStyle w:val="ANormal"/>
      </w:pPr>
      <w:r>
        <w:t>16</w:t>
      </w:r>
      <w:r w:rsidR="00404B77">
        <w:t> §</w:t>
      </w:r>
      <w:r w:rsidR="001C026F">
        <w:t xml:space="preserve"> </w:t>
      </w:r>
      <w:r w:rsidRPr="00B06B3B">
        <w:rPr>
          <w:i/>
          <w:iCs/>
        </w:rPr>
        <w:t>Avgift för långvarigt serviceboende med heldygnsomsorg, långvarig institutionsvård och långvarig familjevård</w:t>
      </w:r>
      <w:r w:rsidR="001C026F">
        <w:rPr>
          <w:i/>
          <w:iCs/>
        </w:rPr>
        <w:t>.</w:t>
      </w:r>
      <w:r w:rsidR="001C026F">
        <w:t xml:space="preserve"> </w:t>
      </w:r>
      <w:r w:rsidR="000E762F" w:rsidRPr="00840C71">
        <w:t>Det föreslås att paragrafens 3</w:t>
      </w:r>
      <w:r w:rsidR="00404B77">
        <w:t> mom.</w:t>
      </w:r>
      <w:r w:rsidR="000E762F" w:rsidRPr="00840C71">
        <w:t xml:space="preserve"> ändras, så att det lagstadgade minimibeloppet för personligt bruk för klienter inom långvarigt serviceboende med heldygnsomsorg ska vara minst 300 euro per månad. Övriga minimibelopp för personligt bruk föreslås oförändrade.</w:t>
      </w:r>
    </w:p>
    <w:p w14:paraId="22091174" w14:textId="135CC07A" w:rsidR="000E762F" w:rsidRPr="007E01AB" w:rsidRDefault="007809B6" w:rsidP="00840C71">
      <w:pPr>
        <w:pStyle w:val="ANormal"/>
      </w:pPr>
      <w:r>
        <w:tab/>
      </w:r>
      <w:r w:rsidR="000D7D41">
        <w:t xml:space="preserve">Den föreslagna </w:t>
      </w:r>
      <w:r w:rsidR="000E762F" w:rsidRPr="004E2D1E">
        <w:t>höj</w:t>
      </w:r>
      <w:r w:rsidR="000D7D41">
        <w:t>ningen</w:t>
      </w:r>
      <w:r w:rsidR="000E762F" w:rsidRPr="004E2D1E">
        <w:t xml:space="preserve"> det lagstadgade minimibeloppet för personligt bruk för klienter inom långvarigt serviceboende med heldygnsomsorg från 250 till 300 euro från och med den 1 januari 2026</w:t>
      </w:r>
      <w:r w:rsidR="000D7D41">
        <w:t xml:space="preserve"> </w:t>
      </w:r>
      <w:r>
        <w:t xml:space="preserve">innebär ett fullföljande av landskapsbudgeten för år 2025 och </w:t>
      </w:r>
      <w:r w:rsidR="000D7D41">
        <w:t xml:space="preserve">utgör en </w:t>
      </w:r>
      <w:r w:rsidR="000D7D41" w:rsidRPr="004E2D1E">
        <w:t xml:space="preserve">kompensationsåtgärd för </w:t>
      </w:r>
      <w:r w:rsidR="00D504F9">
        <w:t xml:space="preserve">det </w:t>
      </w:r>
      <w:r w:rsidR="000D7D41" w:rsidRPr="004E2D1E">
        <w:t>slopa</w:t>
      </w:r>
      <w:r w:rsidR="00D504F9">
        <w:t>de</w:t>
      </w:r>
      <w:r w:rsidR="000D7D41" w:rsidRPr="004E2D1E">
        <w:t xml:space="preserve"> sjukdomskostnadsavdrag</w:t>
      </w:r>
      <w:r w:rsidR="00D504F9">
        <w:t>et</w:t>
      </w:r>
      <w:r w:rsidR="000D7D41" w:rsidRPr="004E2D1E">
        <w:t xml:space="preserve"> i kommunalbeskattningen</w:t>
      </w:r>
      <w:r>
        <w:t>.</w:t>
      </w:r>
    </w:p>
    <w:p w14:paraId="50EF4B02" w14:textId="77777777" w:rsidR="000E762F" w:rsidRPr="00840C71" w:rsidRDefault="000E762F" w:rsidP="00840C71">
      <w:pPr>
        <w:pStyle w:val="ANormal"/>
      </w:pPr>
    </w:p>
    <w:p w14:paraId="5D0E4E93" w14:textId="2FF56555" w:rsidR="00B06B3B" w:rsidRPr="00DD3AFA" w:rsidRDefault="00B06B3B" w:rsidP="00B06B3B">
      <w:pPr>
        <w:pStyle w:val="ANormal"/>
      </w:pPr>
      <w:r>
        <w:t>27</w:t>
      </w:r>
      <w:r w:rsidR="00404B77">
        <w:t> §</w:t>
      </w:r>
      <w:r>
        <w:t xml:space="preserve"> </w:t>
      </w:r>
      <w:r w:rsidRPr="00B06B3B">
        <w:rPr>
          <w:i/>
          <w:iCs/>
        </w:rPr>
        <w:t>Efterskänkande och nedsättning av avgift</w:t>
      </w:r>
      <w:r>
        <w:rPr>
          <w:i/>
          <w:iCs/>
        </w:rPr>
        <w:t>.</w:t>
      </w:r>
      <w:r>
        <w:t xml:space="preserve"> </w:t>
      </w:r>
      <w:r w:rsidR="00DD3AFA">
        <w:t xml:space="preserve">Utgående från redogörelsen i den allmänna motiveringen föreslås en ändring av lydelsen i </w:t>
      </w:r>
      <w:r w:rsidR="00DD3AFA" w:rsidRPr="002D2600">
        <w:rPr>
          <w:i/>
          <w:iCs/>
        </w:rPr>
        <w:t>1</w:t>
      </w:r>
      <w:r w:rsidR="00404B77">
        <w:rPr>
          <w:i/>
          <w:iCs/>
        </w:rPr>
        <w:t> mom.</w:t>
      </w:r>
      <w:r w:rsidR="00DD3AFA">
        <w:t xml:space="preserve"> så att skyldigheten till efterskänkande och nedsättning av avgift ska avse samtliga avgifter som fastställs för socialservice.</w:t>
      </w:r>
    </w:p>
    <w:p w14:paraId="0C4D02BC" w14:textId="12B598C2" w:rsidR="00B06B3B" w:rsidRPr="00A31F66" w:rsidRDefault="00A31F66" w:rsidP="00840C71">
      <w:pPr>
        <w:pStyle w:val="ANormal"/>
      </w:pPr>
      <w:r>
        <w:tab/>
        <w:t>I linje med den föreslagna ändringen i 1</w:t>
      </w:r>
      <w:r w:rsidR="00404B77">
        <w:t> mom.</w:t>
      </w:r>
      <w:r>
        <w:t xml:space="preserve"> </w:t>
      </w:r>
      <w:r w:rsidR="00104BD4">
        <w:t>varigenom den tidigare avgränsningen till avgifter för socialservice</w:t>
      </w:r>
      <w:r w:rsidR="000A72D0">
        <w:t>,</w:t>
      </w:r>
      <w:r w:rsidR="00104BD4">
        <w:t xml:space="preserve"> baserade på en persons betalningsförmåga slopas</w:t>
      </w:r>
      <w:r w:rsidR="000A72D0">
        <w:t>,</w:t>
      </w:r>
      <w:r w:rsidR="00104BD4">
        <w:t xml:space="preserve"> </w:t>
      </w:r>
      <w:r>
        <w:t xml:space="preserve">föreslås en ändring av lydelsen i </w:t>
      </w:r>
      <w:r w:rsidRPr="00A31F66">
        <w:rPr>
          <w:i/>
          <w:iCs/>
        </w:rPr>
        <w:t>2</w:t>
      </w:r>
      <w:r w:rsidR="00404B77">
        <w:rPr>
          <w:i/>
          <w:iCs/>
        </w:rPr>
        <w:t> mom.</w:t>
      </w:r>
      <w:r>
        <w:t xml:space="preserve"> så att de</w:t>
      </w:r>
      <w:r w:rsidR="00104BD4">
        <w:t xml:space="preserve">n </w:t>
      </w:r>
      <w:r w:rsidR="000A72D0">
        <w:t xml:space="preserve">formulering som för närvarande uttrycker en </w:t>
      </w:r>
      <w:r w:rsidR="00104BD4">
        <w:t xml:space="preserve">distinktion </w:t>
      </w:r>
      <w:r w:rsidR="000A72D0">
        <w:t xml:space="preserve">mellan dessa avgifter och övriga avgifter stryks. Således gäller enligt förslaget att </w:t>
      </w:r>
      <w:r w:rsidR="000A72D0" w:rsidRPr="00C36021">
        <w:t>den kommun eller det kommunalförbund som producerar servicen kan besluta att avgifterna kan nedsättas eller efterskänkas, om det är befogat med beaktande av vårdsynpunkter</w:t>
      </w:r>
      <w:r w:rsidR="00CF4602">
        <w:t>. I dessa fall kan</w:t>
      </w:r>
      <w:r w:rsidR="006C7599">
        <w:t xml:space="preserve"> beslutet avse vilken som helst av avgifterna för social service</w:t>
      </w:r>
      <w:r w:rsidR="00CF4602">
        <w:t xml:space="preserve"> förutsatt att nämnda vårdkriterium är uppfyllt.</w:t>
      </w:r>
    </w:p>
    <w:p w14:paraId="567AFAF9" w14:textId="290941CD" w:rsidR="000E762F" w:rsidRDefault="00C33E1B" w:rsidP="00840C71">
      <w:pPr>
        <w:pStyle w:val="ANormal"/>
      </w:pPr>
      <w:r>
        <w:tab/>
      </w:r>
      <w:r w:rsidR="000E762F" w:rsidRPr="005657DE">
        <w:t>Avsikten</w:t>
      </w:r>
      <w:r w:rsidR="000B72A7">
        <w:t>,</w:t>
      </w:r>
      <w:r w:rsidR="00E4146C">
        <w:t xml:space="preserve"> </w:t>
      </w:r>
      <w:r w:rsidR="000E762F" w:rsidRPr="00CC75A8">
        <w:t>när underlag</w:t>
      </w:r>
      <w:r>
        <w:t>et</w:t>
      </w:r>
      <w:r w:rsidR="000E762F" w:rsidRPr="00CC75A8">
        <w:t xml:space="preserve"> </w:t>
      </w:r>
      <w:r w:rsidR="000B72A7">
        <w:t>som</w:t>
      </w:r>
      <w:r>
        <w:t xml:space="preserve"> </w:t>
      </w:r>
      <w:r w:rsidR="00E4146C">
        <w:t>låg</w:t>
      </w:r>
      <w:r>
        <w:t xml:space="preserve"> till grund för den sedermera antagna</w:t>
      </w:r>
      <w:r w:rsidR="000E762F" w:rsidRPr="00CC75A8">
        <w:t xml:space="preserve"> landskapslag</w:t>
      </w:r>
      <w:r>
        <w:t>en</w:t>
      </w:r>
      <w:r w:rsidR="000E762F" w:rsidRPr="00CC75A8">
        <w:t xml:space="preserve"> (2022:91) om klientavgifter inom socialvården togs fram,</w:t>
      </w:r>
      <w:r w:rsidR="000E762F">
        <w:t xml:space="preserve"> var inte</w:t>
      </w:r>
      <w:r w:rsidR="000E762F" w:rsidRPr="005657DE">
        <w:t xml:space="preserve"> att ändra innehållet i bestämmelsen gällande vilka avgifter som omfattas av skyldigheten till efterskänkande och nedsättning av </w:t>
      </w:r>
      <w:r w:rsidR="000E762F" w:rsidRPr="00CA3605">
        <w:t xml:space="preserve">avgift. Avsikten </w:t>
      </w:r>
      <w:r w:rsidR="000E762F">
        <w:t xml:space="preserve">var </w:t>
      </w:r>
      <w:r w:rsidR="000E762F" w:rsidRPr="005657DE">
        <w:t>att bestämmelsen ska gälla en avgift som fastställts för socialservice, oberoende av om det handlar om en avgift som bestämts utifrån en persons betalningsförmåga eller inte</w:t>
      </w:r>
      <w:r w:rsidR="000E762F">
        <w:t xml:space="preserve">, vilket motsvarade rättsläget </w:t>
      </w:r>
      <w:r w:rsidR="006653B7">
        <w:t xml:space="preserve">sådant det var den </w:t>
      </w:r>
      <w:r w:rsidR="000E762F">
        <w:t>31</w:t>
      </w:r>
      <w:r w:rsidR="006653B7">
        <w:t xml:space="preserve"> december </w:t>
      </w:r>
      <w:r w:rsidR="000E762F">
        <w:t xml:space="preserve">2022. </w:t>
      </w:r>
      <w:r>
        <w:t xml:space="preserve">När landskapslagen i fråga trätt i kraft uppstod ett rättsförhållande som inte var i överensstämmelse med intentionerna i ovan nämnda underlag. </w:t>
      </w:r>
      <w:r w:rsidR="004800A9">
        <w:t xml:space="preserve">Genom den föreslagna bestämmelsen återställs förhållandena så att lagtexten framdeles klart och tydligt </w:t>
      </w:r>
      <w:r w:rsidR="006653B7">
        <w:t>stipulerar det som ursprungligen var avsett vad gäller denna paragrafs materiella innehåll.</w:t>
      </w:r>
    </w:p>
    <w:p w14:paraId="46FB0DC1" w14:textId="77777777" w:rsidR="000E762F" w:rsidRDefault="000E762F" w:rsidP="00840C71">
      <w:pPr>
        <w:pStyle w:val="ANormal"/>
      </w:pPr>
    </w:p>
    <w:p w14:paraId="66A2E1CB" w14:textId="5A593DEB" w:rsidR="000E762F" w:rsidRDefault="00994DF5" w:rsidP="00840C71">
      <w:pPr>
        <w:pStyle w:val="ANormal"/>
      </w:pPr>
      <w:r>
        <w:t>33</w:t>
      </w:r>
      <w:r w:rsidR="00404B77">
        <w:t> §</w:t>
      </w:r>
      <w:r>
        <w:t xml:space="preserve"> </w:t>
      </w:r>
      <w:r w:rsidRPr="00994DF5">
        <w:rPr>
          <w:i/>
          <w:iCs/>
        </w:rPr>
        <w:t>Indexjustering av belopp</w:t>
      </w:r>
      <w:r>
        <w:rPr>
          <w:i/>
          <w:iCs/>
        </w:rPr>
        <w:t>.</w:t>
      </w:r>
      <w:r>
        <w:t xml:space="preserve"> </w:t>
      </w:r>
      <w:r w:rsidR="00D10F8F">
        <w:t xml:space="preserve">Mot bakgrund av vad som anförts i den allmänna motiveringen föreslås att paragrafens </w:t>
      </w:r>
      <w:r w:rsidR="00D10F8F" w:rsidRPr="00D10F8F">
        <w:rPr>
          <w:i/>
          <w:iCs/>
        </w:rPr>
        <w:t>2</w:t>
      </w:r>
      <w:r w:rsidR="00404B77">
        <w:rPr>
          <w:i/>
          <w:iCs/>
        </w:rPr>
        <w:t> mom.</w:t>
      </w:r>
      <w:r w:rsidR="00D10F8F">
        <w:t xml:space="preserve"> </w:t>
      </w:r>
      <w:r w:rsidR="000E762F" w:rsidRPr="00FA5787">
        <w:t xml:space="preserve">ändras så att det av </w:t>
      </w:r>
      <w:r w:rsidR="004959E4">
        <w:t>momentet</w:t>
      </w:r>
      <w:r w:rsidR="000E762F" w:rsidRPr="00FA5787">
        <w:t xml:space="preserve"> framgår att minimibeloppet för personligt bruk för </w:t>
      </w:r>
      <w:r w:rsidR="004959E4">
        <w:t>i 16</w:t>
      </w:r>
      <w:r w:rsidR="00404B77">
        <w:t> §</w:t>
      </w:r>
      <w:r w:rsidR="004959E4">
        <w:t xml:space="preserve"> angivna </w:t>
      </w:r>
      <w:r w:rsidR="000E762F" w:rsidRPr="00FA5787">
        <w:t xml:space="preserve">klienter inom serviceboende med heldygnsomsorg indexjusteras första gången i november 2027 och det justerade eurobeloppet träder i kraft </w:t>
      </w:r>
      <w:r w:rsidR="004959E4">
        <w:t xml:space="preserve">den 1 januari </w:t>
      </w:r>
      <w:r w:rsidR="000E762F" w:rsidRPr="00FA5787">
        <w:t>2028. Därefter justeras beloppet vartannat år.</w:t>
      </w:r>
    </w:p>
    <w:p w14:paraId="7D32C7EA" w14:textId="77777777" w:rsidR="0069166C" w:rsidRPr="00FA5787" w:rsidRDefault="0069166C" w:rsidP="00840C71">
      <w:pPr>
        <w:pStyle w:val="ANormal"/>
      </w:pPr>
    </w:p>
    <w:p w14:paraId="79428D4E" w14:textId="42B17698" w:rsidR="00AF3004" w:rsidRDefault="00AF3004" w:rsidP="0069166C">
      <w:pPr>
        <w:pStyle w:val="RubrikA"/>
      </w:pPr>
      <w:r w:rsidRPr="00FB57BB">
        <w:br w:type="page"/>
      </w:r>
      <w:bookmarkStart w:id="35" w:name="_Toc193963329"/>
      <w:r>
        <w:lastRenderedPageBreak/>
        <w:t>Lagtext</w:t>
      </w:r>
      <w:bookmarkEnd w:id="35"/>
    </w:p>
    <w:p w14:paraId="0933E14D" w14:textId="77777777" w:rsidR="00AF3004" w:rsidRDefault="00AF3004">
      <w:pPr>
        <w:pStyle w:val="Rubrikmellanrum"/>
      </w:pPr>
    </w:p>
    <w:p w14:paraId="2656F31B" w14:textId="77777777" w:rsidR="00AF3004" w:rsidRDefault="00AF3004">
      <w:pPr>
        <w:pStyle w:val="ANormal"/>
      </w:pPr>
      <w:r>
        <w:t>Landskapsregeringen föreslår att följande lag antas.</w:t>
      </w:r>
    </w:p>
    <w:p w14:paraId="70B92C1F" w14:textId="77777777" w:rsidR="00AF3004" w:rsidRDefault="00AF3004">
      <w:pPr>
        <w:pStyle w:val="ANormal"/>
      </w:pPr>
    </w:p>
    <w:p w14:paraId="171C440E" w14:textId="0EA505C6" w:rsidR="00AF3004" w:rsidRPr="00AA5061" w:rsidRDefault="00AF3004">
      <w:pPr>
        <w:pStyle w:val="LagHuvRubr"/>
      </w:pPr>
      <w:bookmarkStart w:id="36" w:name="_Toc193963330"/>
      <w:r w:rsidRPr="00AA5061">
        <w:t>L A N D S K A P S L A G</w:t>
      </w:r>
      <w:r w:rsidRPr="00AA5061">
        <w:br/>
      </w:r>
      <w:r w:rsidR="00AA5061">
        <w:t xml:space="preserve">om </w:t>
      </w:r>
      <w:r w:rsidR="00AA5061" w:rsidRPr="00AA5061">
        <w:t>ändring av landskapslagen om klientavgifter inom socialvården</w:t>
      </w:r>
      <w:bookmarkEnd w:id="36"/>
    </w:p>
    <w:p w14:paraId="326B794B" w14:textId="77777777" w:rsidR="00AF3004" w:rsidRPr="00AA5061" w:rsidRDefault="00AF3004">
      <w:pPr>
        <w:pStyle w:val="ANormal"/>
      </w:pPr>
    </w:p>
    <w:p w14:paraId="60191287" w14:textId="6BCA2249" w:rsidR="00AF3004" w:rsidRDefault="00AF3004">
      <w:pPr>
        <w:pStyle w:val="ANormal"/>
      </w:pPr>
      <w:r w:rsidRPr="00AA5061">
        <w:tab/>
        <w:t xml:space="preserve">I enlighet med lagtingets beslut </w:t>
      </w:r>
      <w:r w:rsidR="00AA5061">
        <w:rPr>
          <w:b/>
          <w:bCs/>
        </w:rPr>
        <w:t>ändras</w:t>
      </w:r>
      <w:r w:rsidR="00AA5061">
        <w:t xml:space="preserve"> </w:t>
      </w:r>
      <w:r w:rsidR="00BB74D7">
        <w:t>16</w:t>
      </w:r>
      <w:r w:rsidR="00404B77">
        <w:t> §</w:t>
      </w:r>
      <w:r w:rsidR="00BB74D7">
        <w:t xml:space="preserve"> 3</w:t>
      </w:r>
      <w:r w:rsidR="00404B77">
        <w:t> mom.</w:t>
      </w:r>
      <w:r w:rsidR="00B200D9">
        <w:t>,</w:t>
      </w:r>
      <w:r w:rsidR="00BB74D7">
        <w:t xml:space="preserve"> 27</w:t>
      </w:r>
      <w:r w:rsidR="00404B77">
        <w:t> §</w:t>
      </w:r>
      <w:r w:rsidR="00BB74D7">
        <w:t xml:space="preserve"> 1 och 2</w:t>
      </w:r>
      <w:r w:rsidR="00404B77">
        <w:t> mom.</w:t>
      </w:r>
      <w:r w:rsidR="00BB74D7">
        <w:t xml:space="preserve"> </w:t>
      </w:r>
      <w:r w:rsidR="00B200D9">
        <w:t>samt</w:t>
      </w:r>
      <w:r w:rsidR="00D2060D">
        <w:t xml:space="preserve"> 33</w:t>
      </w:r>
      <w:r w:rsidR="00404B77">
        <w:t> §</w:t>
      </w:r>
      <w:r w:rsidR="00D2060D">
        <w:t xml:space="preserve"> 2</w:t>
      </w:r>
      <w:r w:rsidR="00404B77">
        <w:t> mom.</w:t>
      </w:r>
      <w:r w:rsidR="00D2060D">
        <w:t xml:space="preserve"> </w:t>
      </w:r>
      <w:r w:rsidR="00BB74D7">
        <w:t>lan</w:t>
      </w:r>
      <w:r w:rsidR="00F37DDF">
        <w:t>dskapslagen (2022:91) om klientavgifter inom socialvården</w:t>
      </w:r>
      <w:r w:rsidR="009C1226">
        <w:t xml:space="preserve">, av dessa lagrum </w:t>
      </w:r>
      <w:r w:rsidR="001E5B9C">
        <w:t>16</w:t>
      </w:r>
      <w:r w:rsidR="00404B77">
        <w:t> §</w:t>
      </w:r>
      <w:r w:rsidR="001E5B9C">
        <w:t xml:space="preserve"> 3</w:t>
      </w:r>
      <w:r w:rsidR="00404B77">
        <w:t> mom.</w:t>
      </w:r>
      <w:r w:rsidR="001E5B9C">
        <w:t xml:space="preserve"> </w:t>
      </w:r>
      <w:r w:rsidR="00F63E56">
        <w:t>och 33</w:t>
      </w:r>
      <w:r w:rsidR="00404B77">
        <w:t> §</w:t>
      </w:r>
      <w:r w:rsidR="001E5B9C">
        <w:t xml:space="preserve"> 2</w:t>
      </w:r>
      <w:r w:rsidR="00404B77">
        <w:t> mom.</w:t>
      </w:r>
      <w:r w:rsidR="001E5B9C">
        <w:t xml:space="preserve"> sådana de lyder i landskapslagen 2023/122 som följer</w:t>
      </w:r>
      <w:r w:rsidRPr="00AA5061">
        <w:t>:</w:t>
      </w:r>
    </w:p>
    <w:p w14:paraId="333F6B04" w14:textId="77777777" w:rsidR="00AC6A64" w:rsidRDefault="00AC6A64">
      <w:pPr>
        <w:pStyle w:val="ANormal"/>
      </w:pPr>
    </w:p>
    <w:p w14:paraId="527AB18C" w14:textId="32922873" w:rsidR="00AC6A64" w:rsidRDefault="00AC6A64" w:rsidP="00AC6A64">
      <w:pPr>
        <w:pStyle w:val="LagParagraf"/>
      </w:pPr>
      <w:r>
        <w:t>16</w:t>
      </w:r>
      <w:r w:rsidR="00404B77">
        <w:t> §</w:t>
      </w:r>
    </w:p>
    <w:p w14:paraId="07C97320" w14:textId="75B9CF97" w:rsidR="00AC6A64" w:rsidRDefault="00AC6A64" w:rsidP="00AC6A64">
      <w:pPr>
        <w:pStyle w:val="LagPararubrik"/>
      </w:pPr>
      <w:r w:rsidRPr="00AC6A64">
        <w:t>Avgift för långvarigt serviceboende med heldygnsomsorg, långvarig institutionsvård och långvarig familjevård</w:t>
      </w:r>
    </w:p>
    <w:p w14:paraId="7EDD7E19" w14:textId="77777777" w:rsidR="00AC6A64" w:rsidRDefault="00AC6A64">
      <w:pPr>
        <w:pStyle w:val="ANormal"/>
      </w:pPr>
      <w:r>
        <w:t>- - - - - - - - - - - - - - - - - - - - - - - - - - - - - - - - - - - - - - - - - - - - - - - - - - - -</w:t>
      </w:r>
    </w:p>
    <w:p w14:paraId="4AA662EC" w14:textId="03F7F521" w:rsidR="00AC6A64" w:rsidRPr="00AC6A64" w:rsidRDefault="00AC6A64" w:rsidP="00AC6A64">
      <w:pPr>
        <w:pStyle w:val="ANormal"/>
      </w:pPr>
      <w:r>
        <w:tab/>
      </w:r>
      <w:r w:rsidRPr="00AC6A64">
        <w:t>När kommunen eller kommunalförbundet bestämmer avgiften ska den se till att klienten till sitt förfogande har ett belopp för personligt bruk, som för klienter inom långvarigt serviceboende med heldygnsomsorg ska vara minst 300 euro per månad, för klienter inom långvarig familjevård minst 167 euro per månad och för klienter i långvarig institutionsvård minst 150 euro per månad.</w:t>
      </w:r>
    </w:p>
    <w:p w14:paraId="3CE8AE8B" w14:textId="77777777" w:rsidR="00AF3004" w:rsidRDefault="00AF3004">
      <w:pPr>
        <w:pStyle w:val="ANormal"/>
      </w:pPr>
    </w:p>
    <w:p w14:paraId="6355FE39" w14:textId="5D408D2F" w:rsidR="0071657B" w:rsidRDefault="0071657B" w:rsidP="0071657B">
      <w:pPr>
        <w:pStyle w:val="LagParagraf"/>
      </w:pPr>
      <w:r>
        <w:t>27</w:t>
      </w:r>
      <w:r w:rsidR="00404B77">
        <w:t> §</w:t>
      </w:r>
    </w:p>
    <w:p w14:paraId="6A9DA58F" w14:textId="3AA0E558" w:rsidR="0071657B" w:rsidRDefault="0071657B" w:rsidP="0071657B">
      <w:pPr>
        <w:pStyle w:val="LagPararubrik"/>
      </w:pPr>
      <w:r w:rsidRPr="0071657B">
        <w:t>Efterskänkande och nedsättning av avgift</w:t>
      </w:r>
    </w:p>
    <w:p w14:paraId="05AAF63F" w14:textId="158D0B8F" w:rsidR="0071657B" w:rsidRDefault="0071657B" w:rsidP="0071657B">
      <w:pPr>
        <w:pStyle w:val="ANormal"/>
      </w:pPr>
      <w:r>
        <w:tab/>
        <w:t>En avgift som fastställts för socialservice ska efterskänkas eller nedsättas om förutsättningarna för personens eller familjens försörjning eller förverkligandet av personens lagstadgade försörjningsplikt äventyras av att avgiften tas ut.</w:t>
      </w:r>
    </w:p>
    <w:p w14:paraId="79FD8FAA" w14:textId="49CBFDEF" w:rsidR="0071657B" w:rsidRDefault="0071657B" w:rsidP="0071657B">
      <w:pPr>
        <w:pStyle w:val="ANormal"/>
      </w:pPr>
      <w:r>
        <w:tab/>
        <w:t>Den kommun eller det kommunalförbund som producerar servicen kan besluta att avgifterna kan nedsättas eller efterskänkas, om det är befogat med beaktande av vårdsynpunkter.</w:t>
      </w:r>
    </w:p>
    <w:p w14:paraId="67AEF054" w14:textId="77777777" w:rsidR="0071657B" w:rsidRDefault="0071657B">
      <w:pPr>
        <w:pStyle w:val="ANormal"/>
      </w:pPr>
      <w:r>
        <w:t>- - - - - - - - - - - - - - - - - - - - - - - - - - - - - - - - - - - - - - - - - - - - - - - - - - - -</w:t>
      </w:r>
    </w:p>
    <w:p w14:paraId="4007009A" w14:textId="77777777" w:rsidR="0071657B" w:rsidRDefault="0071657B" w:rsidP="0071657B">
      <w:pPr>
        <w:pStyle w:val="ANormal"/>
      </w:pPr>
    </w:p>
    <w:p w14:paraId="4606AE45" w14:textId="7CBDD57D" w:rsidR="00DF6858" w:rsidRDefault="00DF6858" w:rsidP="00DF6858">
      <w:pPr>
        <w:pStyle w:val="LagParagraf"/>
      </w:pPr>
      <w:r>
        <w:t>33</w:t>
      </w:r>
      <w:r w:rsidR="00404B77">
        <w:t> §</w:t>
      </w:r>
    </w:p>
    <w:p w14:paraId="6592B76E" w14:textId="7CD4218A" w:rsidR="00DF6858" w:rsidRDefault="00DF6858" w:rsidP="00DF6858">
      <w:pPr>
        <w:pStyle w:val="LagPararubrik"/>
      </w:pPr>
      <w:r w:rsidRPr="00DF6858">
        <w:t>Indexjustering av belopp</w:t>
      </w:r>
    </w:p>
    <w:p w14:paraId="1A5DDA40" w14:textId="77777777" w:rsidR="00362413" w:rsidRDefault="00362413">
      <w:pPr>
        <w:pStyle w:val="ANormal"/>
      </w:pPr>
      <w:r>
        <w:t>- - - - - - - - - - - - - - - - - - - - - - - - - - - - - - - - - - - - - - - - - - - - - - - - - - - -</w:t>
      </w:r>
    </w:p>
    <w:p w14:paraId="32ECC13C" w14:textId="445E8B21" w:rsidR="00DF6858" w:rsidRDefault="00DF6858" w:rsidP="00DF6858">
      <w:pPr>
        <w:pStyle w:val="ANormal"/>
      </w:pPr>
      <w:r>
        <w:tab/>
      </w:r>
      <w:r w:rsidRPr="00DF6858">
        <w:t>De eurobelopp som anges i 16 och 20</w:t>
      </w:r>
      <w:r w:rsidR="00404B77">
        <w:t> §</w:t>
      </w:r>
      <w:r w:rsidRPr="00DF6858">
        <w:t>§ justeras första gången år 2023, dock så att minimibeloppet för personligt bruk för långvarig institutionsvård i 16</w:t>
      </w:r>
      <w:r w:rsidR="00404B77">
        <w:t> §</w:t>
      </w:r>
      <w:r w:rsidRPr="00DF6858">
        <w:t xml:space="preserve"> indexjusteras första gången år 2025 och minimibeloppet för personligt bruk för långvarigt serviceboende med heldygnsomsorg i 16</w:t>
      </w:r>
      <w:r w:rsidR="00404B77">
        <w:t> §</w:t>
      </w:r>
      <w:r w:rsidRPr="00DF6858">
        <w:t xml:space="preserve"> indexjusteras första gången år 2027. Därefter justeras eurobeloppen vartannat år utifrån förändringen i arbetspensionsindexet enligt 98</w:t>
      </w:r>
      <w:r w:rsidR="00404B77">
        <w:t> §</w:t>
      </w:r>
      <w:r w:rsidRPr="00DF6858">
        <w:t xml:space="preserve"> i lagen om pension för arbetstagare (FFS 395/2006). Det indexjusterade beloppet ska avrundas till närmaste euro. Det indexjusterade eurobeloppet träder i kraft den 1 januari året efter justeringsåret. Social- och hälsovårdsministeriet publicerar de indexjusterade eurobeloppen i Finlands författningssamling senast två månader före ingången av det kalenderår från och med vilket de tillämpas.</w:t>
      </w:r>
    </w:p>
    <w:p w14:paraId="4F660869" w14:textId="77777777" w:rsidR="00CC678E" w:rsidRDefault="00CC678E" w:rsidP="00DF6858">
      <w:pPr>
        <w:pStyle w:val="ANormal"/>
      </w:pPr>
    </w:p>
    <w:p w14:paraId="449B707D" w14:textId="77777777" w:rsidR="00CC678E" w:rsidRDefault="00CC678E">
      <w:pPr>
        <w:pStyle w:val="ANormal"/>
        <w:jc w:val="center"/>
      </w:pPr>
      <w:hyperlink w:anchor="_top" w:tooltip="Klicka för att gå till toppen av dokumentet" w:history="1">
        <w:r>
          <w:rPr>
            <w:rStyle w:val="Hyperlnk"/>
          </w:rPr>
          <w:t>__________________</w:t>
        </w:r>
      </w:hyperlink>
    </w:p>
    <w:p w14:paraId="53C5B497" w14:textId="77777777" w:rsidR="00CC678E" w:rsidRDefault="00CC678E" w:rsidP="00DF6858">
      <w:pPr>
        <w:pStyle w:val="ANormal"/>
      </w:pPr>
    </w:p>
    <w:p w14:paraId="31233DA7" w14:textId="3766D9B4" w:rsidR="00CC678E" w:rsidRDefault="00CC678E" w:rsidP="00DF6858">
      <w:pPr>
        <w:pStyle w:val="ANormal"/>
      </w:pPr>
      <w:r>
        <w:tab/>
        <w:t>Denna lag träder i kraft den</w:t>
      </w:r>
      <w:r w:rsidR="00623D44">
        <w:t xml:space="preserve">    </w:t>
      </w:r>
      <w:r w:rsidR="0069166C" w:rsidRPr="00A32ECE">
        <w:t>.</w:t>
      </w:r>
      <w:r w:rsidR="00623D44">
        <w:t xml:space="preserve"> </w:t>
      </w:r>
      <w:r>
        <w:t>Bestämmelserna i 16</w:t>
      </w:r>
      <w:r w:rsidR="00404B77">
        <w:t> §</w:t>
      </w:r>
      <w:r>
        <w:t xml:space="preserve"> 3</w:t>
      </w:r>
      <w:r w:rsidR="00404B77">
        <w:t> mom.</w:t>
      </w:r>
      <w:r>
        <w:t xml:space="preserve"> i denna lag träder </w:t>
      </w:r>
      <w:r w:rsidR="00E418D7">
        <w:t xml:space="preserve">dock </w:t>
      </w:r>
      <w:r>
        <w:t>i kraft den 1 januari 2026.</w:t>
      </w:r>
    </w:p>
    <w:p w14:paraId="752ABC55" w14:textId="77777777" w:rsidR="00240878" w:rsidRDefault="00240878" w:rsidP="00DF6858">
      <w:pPr>
        <w:pStyle w:val="ANormal"/>
      </w:pPr>
    </w:p>
    <w:p w14:paraId="61E09977" w14:textId="00190340" w:rsidR="00AF3004" w:rsidRDefault="00CC678E" w:rsidP="00D51702">
      <w:pPr>
        <w:pStyle w:val="ANormal"/>
        <w:jc w:val="center"/>
      </w:pPr>
      <w:hyperlink w:anchor="_top" w:tooltip="Klicka för att gå till toppen av dokumentet" w:history="1">
        <w:r>
          <w:rPr>
            <w:rStyle w:val="Hyperlnk"/>
          </w:rPr>
          <w:t>__________________</w:t>
        </w:r>
      </w:hyperlink>
    </w:p>
    <w:p w14:paraId="0806DA89" w14:textId="77777777" w:rsidR="00D51702" w:rsidRDefault="00D51702" w:rsidP="00D51702">
      <w:pPr>
        <w:pStyle w:val="ANormal"/>
      </w:pPr>
    </w:p>
    <w:p w14:paraId="64A5D96E" w14:textId="77777777" w:rsidR="00D51702" w:rsidRDefault="00D51702" w:rsidP="00D51702">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14:paraId="107DA3AF" w14:textId="77777777">
        <w:trPr>
          <w:cantSplit/>
        </w:trPr>
        <w:tc>
          <w:tcPr>
            <w:tcW w:w="7931" w:type="dxa"/>
            <w:gridSpan w:val="2"/>
          </w:tcPr>
          <w:p w14:paraId="58BAC753" w14:textId="2B0572D3" w:rsidR="00AF3004" w:rsidRDefault="00AF3004">
            <w:pPr>
              <w:pStyle w:val="ANormal"/>
              <w:keepNext/>
            </w:pPr>
            <w:r>
              <w:t xml:space="preserve">Mariehamn </w:t>
            </w:r>
            <w:r w:rsidR="001B6C6D">
              <w:t>den 27 mars 2025</w:t>
            </w:r>
          </w:p>
        </w:tc>
      </w:tr>
      <w:tr w:rsidR="00AF3004" w14:paraId="299F04CE" w14:textId="77777777">
        <w:tc>
          <w:tcPr>
            <w:tcW w:w="4454" w:type="dxa"/>
            <w:vAlign w:val="bottom"/>
          </w:tcPr>
          <w:p w14:paraId="3EFD1810" w14:textId="77777777" w:rsidR="00AF3004" w:rsidRDefault="00AF3004">
            <w:pPr>
              <w:pStyle w:val="ANormal"/>
              <w:keepNext/>
            </w:pPr>
          </w:p>
          <w:p w14:paraId="0E90ED17" w14:textId="77777777" w:rsidR="00AF3004" w:rsidRDefault="00AF3004">
            <w:pPr>
              <w:pStyle w:val="ANormal"/>
              <w:keepNext/>
            </w:pPr>
          </w:p>
          <w:p w14:paraId="68E44593" w14:textId="77777777" w:rsidR="00AF3004" w:rsidRDefault="00AF3004">
            <w:pPr>
              <w:pStyle w:val="ANormal"/>
              <w:keepNext/>
            </w:pPr>
            <w:r>
              <w:t>L a n t r å d</w:t>
            </w:r>
          </w:p>
        </w:tc>
        <w:tc>
          <w:tcPr>
            <w:tcW w:w="3477" w:type="dxa"/>
            <w:vAlign w:val="bottom"/>
          </w:tcPr>
          <w:p w14:paraId="184DF76A" w14:textId="77777777" w:rsidR="00AF3004" w:rsidRDefault="00AF3004">
            <w:pPr>
              <w:pStyle w:val="ANormal"/>
              <w:keepNext/>
            </w:pPr>
          </w:p>
          <w:p w14:paraId="02195D47" w14:textId="77777777" w:rsidR="00AF3004" w:rsidRDefault="00AF3004">
            <w:pPr>
              <w:pStyle w:val="ANormal"/>
              <w:keepNext/>
            </w:pPr>
          </w:p>
          <w:p w14:paraId="221C1003" w14:textId="034DA136" w:rsidR="00AF3004" w:rsidRDefault="001B6C6D">
            <w:pPr>
              <w:pStyle w:val="ANormal"/>
              <w:keepNext/>
            </w:pPr>
            <w:r>
              <w:t>Katrin Sjögren</w:t>
            </w:r>
          </w:p>
        </w:tc>
      </w:tr>
      <w:tr w:rsidR="00AF3004" w14:paraId="2315ED1C" w14:textId="77777777">
        <w:tc>
          <w:tcPr>
            <w:tcW w:w="4454" w:type="dxa"/>
            <w:vAlign w:val="bottom"/>
          </w:tcPr>
          <w:p w14:paraId="548828C7" w14:textId="77777777" w:rsidR="00AF3004" w:rsidRDefault="00AF3004">
            <w:pPr>
              <w:pStyle w:val="ANormal"/>
              <w:keepNext/>
            </w:pPr>
          </w:p>
          <w:p w14:paraId="06914140" w14:textId="77777777" w:rsidR="00AF3004" w:rsidRDefault="00AF3004">
            <w:pPr>
              <w:pStyle w:val="ANormal"/>
              <w:keepNext/>
            </w:pPr>
          </w:p>
          <w:p w14:paraId="0D80D765" w14:textId="21AAFAAA" w:rsidR="00AF3004" w:rsidRDefault="00AF3004">
            <w:pPr>
              <w:pStyle w:val="ANormal"/>
              <w:keepNext/>
            </w:pPr>
            <w:r>
              <w:t xml:space="preserve">Föredragande </w:t>
            </w:r>
            <w:r w:rsidR="00F8040C">
              <w:t>minister</w:t>
            </w:r>
          </w:p>
        </w:tc>
        <w:tc>
          <w:tcPr>
            <w:tcW w:w="3477" w:type="dxa"/>
            <w:vAlign w:val="bottom"/>
          </w:tcPr>
          <w:p w14:paraId="22D3F870" w14:textId="77777777" w:rsidR="00AF3004" w:rsidRDefault="00AF3004">
            <w:pPr>
              <w:pStyle w:val="ANormal"/>
              <w:keepNext/>
            </w:pPr>
          </w:p>
          <w:p w14:paraId="38EEA3C0" w14:textId="77777777" w:rsidR="00AF3004" w:rsidRDefault="00AF3004">
            <w:pPr>
              <w:pStyle w:val="ANormal"/>
              <w:keepNext/>
            </w:pPr>
          </w:p>
          <w:p w14:paraId="360CC608" w14:textId="1A0680BD" w:rsidR="00AF3004" w:rsidRDefault="001B6C6D">
            <w:pPr>
              <w:pStyle w:val="ANormal"/>
              <w:keepNext/>
            </w:pPr>
            <w:r>
              <w:t>Arsim Zekaj</w:t>
            </w:r>
          </w:p>
        </w:tc>
      </w:tr>
    </w:tbl>
    <w:p w14:paraId="1B361A99" w14:textId="77777777" w:rsidR="00AF3004" w:rsidRDefault="00AF3004">
      <w:pPr>
        <w:pStyle w:val="ANormal"/>
      </w:pPr>
    </w:p>
    <w:p w14:paraId="2756214D" w14:textId="2E48416B" w:rsidR="0069166C" w:rsidRDefault="0069166C">
      <w:pPr>
        <w:autoSpaceDE/>
        <w:autoSpaceDN/>
        <w:adjustRightInd/>
        <w:spacing w:line="240" w:lineRule="auto"/>
        <w:textAlignment w:val="auto"/>
        <w:rPr>
          <w:rFonts w:ascii="Times New Roman" w:eastAsia="Times New Roman" w:hAnsi="Times New Roman" w:cs="Times New Roman"/>
          <w:sz w:val="22"/>
          <w:lang w:eastAsia="sv-SE"/>
        </w:rPr>
      </w:pPr>
      <w:r>
        <w:br w:type="page"/>
      </w:r>
    </w:p>
    <w:p w14:paraId="25027EED" w14:textId="5A941928" w:rsidR="0069166C" w:rsidRDefault="0069166C" w:rsidP="0069166C">
      <w:pPr>
        <w:pStyle w:val="RubrikA"/>
      </w:pPr>
      <w:bookmarkStart w:id="37" w:name="_Toc193963331"/>
      <w:r>
        <w:lastRenderedPageBreak/>
        <w:t>Parallelltexter</w:t>
      </w:r>
      <w:bookmarkEnd w:id="37"/>
    </w:p>
    <w:p w14:paraId="5D7770DE" w14:textId="77777777" w:rsidR="0069166C" w:rsidRDefault="0069166C" w:rsidP="0069166C">
      <w:pPr>
        <w:pStyle w:val="Rubrikmellanrum"/>
      </w:pPr>
    </w:p>
    <w:p w14:paraId="73136B5B" w14:textId="6A426406" w:rsidR="0069166C" w:rsidRPr="0069166C" w:rsidRDefault="0069166C" w:rsidP="0069166C">
      <w:pPr>
        <w:pStyle w:val="ArendeUnderRubrik"/>
      </w:pPr>
      <w:r>
        <w:t xml:space="preserve">Parallelltexter till landskapsregeringens lagförslag nr </w:t>
      </w:r>
      <w:r w:rsidR="00226F2B">
        <w:t>18</w:t>
      </w:r>
      <w:r>
        <w:t>/2024-2025</w:t>
      </w:r>
    </w:p>
    <w:sectPr w:rsidR="0069166C" w:rsidRPr="0069166C">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084A7" w14:textId="77777777" w:rsidR="00675FF2" w:rsidRDefault="00675FF2">
      <w:r>
        <w:separator/>
      </w:r>
    </w:p>
  </w:endnote>
  <w:endnote w:type="continuationSeparator" w:id="0">
    <w:p w14:paraId="3F420E92" w14:textId="77777777" w:rsidR="00675FF2" w:rsidRDefault="0067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B95C9"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5DDBF" w14:textId="5D933818" w:rsidR="00AF3004" w:rsidRDefault="0069166C">
    <w:pPr>
      <w:pStyle w:val="Sidfot"/>
      <w:rPr>
        <w:lang w:val="fi-FI"/>
      </w:rPr>
    </w:pPr>
    <w:r>
      <w:t>LF</w:t>
    </w:r>
    <w:r w:rsidR="001B6C6D">
      <w:t>18</w:t>
    </w:r>
    <w:r>
      <w:t>20242025</w:t>
    </w:r>
    <w:r w:rsidR="002C2E9B">
      <w:t>.docx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E9E5E"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7CAEE" w14:textId="77777777" w:rsidR="00675FF2" w:rsidRDefault="00675FF2">
      <w:r>
        <w:separator/>
      </w:r>
    </w:p>
  </w:footnote>
  <w:footnote w:type="continuationSeparator" w:id="0">
    <w:p w14:paraId="0AC029F7" w14:textId="77777777" w:rsidR="00675FF2" w:rsidRDefault="00675FF2">
      <w:r>
        <w:continuationSeparator/>
      </w:r>
    </w:p>
  </w:footnote>
  <w:footnote w:id="1">
    <w:p w14:paraId="6650A77D" w14:textId="7A5F37AA" w:rsidR="00207C06" w:rsidRPr="00C631F5" w:rsidRDefault="00207C06" w:rsidP="00334720">
      <w:pPr>
        <w:pStyle w:val="Fotnotstext"/>
        <w:jc w:val="both"/>
        <w:rPr>
          <w:rFonts w:ascii="Times New Roman" w:hAnsi="Times New Roman" w:cs="Times New Roman"/>
          <w:color w:val="000000" w:themeColor="text1"/>
        </w:rPr>
      </w:pPr>
      <w:r w:rsidRPr="00334720">
        <w:rPr>
          <w:rStyle w:val="Fotnotsreferens"/>
          <w:rFonts w:ascii="Times New Roman" w:hAnsi="Times New Roman" w:cs="Times New Roman"/>
        </w:rPr>
        <w:footnoteRef/>
      </w:r>
      <w:r w:rsidRPr="00334720">
        <w:rPr>
          <w:rFonts w:ascii="Times New Roman" w:hAnsi="Times New Roman" w:cs="Times New Roman"/>
        </w:rPr>
        <w:t xml:space="preserve"> </w:t>
      </w:r>
      <w:r w:rsidRPr="00C631F5">
        <w:rPr>
          <w:rFonts w:ascii="Times New Roman" w:hAnsi="Times New Roman" w:cs="Times New Roman"/>
          <w:color w:val="000000" w:themeColor="text1"/>
        </w:rPr>
        <w:t xml:space="preserve">Enligt </w:t>
      </w:r>
      <w:r w:rsidR="008C335E" w:rsidRPr="00C631F5">
        <w:rPr>
          <w:rFonts w:ascii="Times New Roman" w:hAnsi="Times New Roman" w:cs="Times New Roman"/>
          <w:color w:val="000000" w:themeColor="text1"/>
        </w:rPr>
        <w:t>beslut</w:t>
      </w:r>
      <w:r w:rsidRPr="00C631F5">
        <w:rPr>
          <w:rFonts w:ascii="Times New Roman" w:hAnsi="Times New Roman" w:cs="Times New Roman"/>
          <w:color w:val="000000" w:themeColor="text1"/>
        </w:rPr>
        <w:t xml:space="preserve"> LTB 25/2024 träder lagen i kraft den 1 januari 2025 och tillämpas första gången vid kommunalbeskattningen som gäller skatteåret 2025.</w:t>
      </w:r>
    </w:p>
  </w:footnote>
  <w:footnote w:id="2">
    <w:p w14:paraId="7BCF6DF3" w14:textId="08C0B2FF" w:rsidR="00334720" w:rsidRPr="00C631F5" w:rsidRDefault="00334720" w:rsidP="00334720">
      <w:pPr>
        <w:pStyle w:val="Fotnotstext"/>
        <w:jc w:val="both"/>
        <w:rPr>
          <w:rFonts w:ascii="Times New Roman" w:hAnsi="Times New Roman" w:cs="Times New Roman"/>
          <w:color w:val="000000" w:themeColor="text1"/>
        </w:rPr>
      </w:pPr>
      <w:r w:rsidRPr="00C631F5">
        <w:rPr>
          <w:rStyle w:val="Fotnotsreferens"/>
          <w:rFonts w:ascii="Times New Roman" w:hAnsi="Times New Roman" w:cs="Times New Roman"/>
          <w:color w:val="000000" w:themeColor="text1"/>
        </w:rPr>
        <w:footnoteRef/>
      </w:r>
      <w:r w:rsidRPr="00C631F5">
        <w:rPr>
          <w:rFonts w:ascii="Times New Roman" w:hAnsi="Times New Roman" w:cs="Times New Roman"/>
          <w:color w:val="000000" w:themeColor="text1"/>
        </w:rPr>
        <w:t xml:space="preserve"> Se landskapsregeringens lagförslag LF 32/2022–2023.</w:t>
      </w:r>
    </w:p>
  </w:footnote>
  <w:footnote w:id="3">
    <w:p w14:paraId="77A70874" w14:textId="6D09B702" w:rsidR="00C40D26" w:rsidRPr="009629EF" w:rsidRDefault="00C40D26" w:rsidP="00C40D26">
      <w:pPr>
        <w:pStyle w:val="Fotnotstext"/>
        <w:rPr>
          <w:rFonts w:ascii="Times New Roman" w:hAnsi="Times New Roman" w:cs="Times New Roman"/>
        </w:rPr>
      </w:pPr>
      <w:r w:rsidRPr="00C631F5">
        <w:rPr>
          <w:rStyle w:val="Fotnotsreferens"/>
          <w:rFonts w:ascii="Times New Roman" w:hAnsi="Times New Roman" w:cs="Times New Roman"/>
          <w:color w:val="000000" w:themeColor="text1"/>
        </w:rPr>
        <w:footnoteRef/>
      </w:r>
      <w:r w:rsidRPr="00C631F5">
        <w:rPr>
          <w:color w:val="000000" w:themeColor="text1"/>
        </w:rPr>
        <w:t xml:space="preserve"> </w:t>
      </w:r>
      <w:r w:rsidRPr="00C631F5">
        <w:rPr>
          <w:rFonts w:ascii="Times New Roman" w:hAnsi="Times New Roman" w:cs="Times New Roman"/>
          <w:color w:val="000000" w:themeColor="text1"/>
        </w:rPr>
        <w:t>Se förslaget till Ålands budget för år 2025, sid. 11 som den 16 december 2024 antagits av Ålands lagting (</w:t>
      </w:r>
      <w:r w:rsidR="008C335E" w:rsidRPr="00C631F5">
        <w:rPr>
          <w:rFonts w:ascii="Times New Roman" w:hAnsi="Times New Roman" w:cs="Times New Roman"/>
          <w:color w:val="000000" w:themeColor="text1"/>
        </w:rPr>
        <w:t>beslut</w:t>
      </w:r>
      <w:r w:rsidRPr="00C631F5">
        <w:rPr>
          <w:rFonts w:ascii="Times New Roman" w:hAnsi="Times New Roman" w:cs="Times New Roman"/>
          <w:color w:val="000000" w:themeColor="text1"/>
        </w:rPr>
        <w:t xml:space="preserve"> LTB </w:t>
      </w:r>
      <w:r w:rsidRPr="009629EF">
        <w:rPr>
          <w:rFonts w:ascii="Times New Roman" w:hAnsi="Times New Roman" w:cs="Times New Roman"/>
        </w:rPr>
        <w:t>50/2024</w:t>
      </w:r>
      <w:r>
        <w:rPr>
          <w:rFonts w:ascii="Times New Roman" w:hAnsi="Times New Roman" w:cs="Times New Roman"/>
        </w:rPr>
        <w:t>.</w:t>
      </w:r>
      <w:r w:rsidRPr="009629EF">
        <w:rPr>
          <w:rFonts w:ascii="Times New Roman" w:hAnsi="Times New Roman" w:cs="Times New Roman"/>
        </w:rPr>
        <w:t>)</w:t>
      </w:r>
    </w:p>
  </w:footnote>
  <w:footnote w:id="4">
    <w:p w14:paraId="72AD0B83" w14:textId="77777777" w:rsidR="00C939B6" w:rsidRPr="00954AF4" w:rsidRDefault="00C939B6" w:rsidP="00C939B6">
      <w:pPr>
        <w:pStyle w:val="Fotnotstext"/>
        <w:rPr>
          <w:rFonts w:ascii="Times New Roman" w:hAnsi="Times New Roman" w:cs="Times New Roman"/>
          <w:lang w:val="sv-FI"/>
        </w:rPr>
      </w:pPr>
      <w:r w:rsidRPr="001F53B8">
        <w:rPr>
          <w:rStyle w:val="Fotnotsreferens"/>
          <w:rFonts w:ascii="Times New Roman" w:hAnsi="Times New Roman" w:cs="Times New Roman"/>
        </w:rPr>
        <w:footnoteRef/>
      </w:r>
      <w:r w:rsidRPr="00954AF4">
        <w:rPr>
          <w:rFonts w:ascii="Times New Roman" w:hAnsi="Times New Roman" w:cs="Times New Roman"/>
          <w:lang w:val="sv-FI"/>
        </w:rPr>
        <w:t xml:space="preserve"> Se LF 32/2022–2023 </w:t>
      </w:r>
      <w:r w:rsidRPr="009126A9">
        <w:rPr>
          <w:rFonts w:ascii="Times New Roman" w:hAnsi="Times New Roman" w:cs="Times New Roman"/>
          <w:lang w:val="sv-FI"/>
        </w:rPr>
        <w:t>i avsnitt 4.1.</w:t>
      </w:r>
      <w:r>
        <w:rPr>
          <w:rFonts w:ascii="Times New Roman" w:hAnsi="Times New Roman" w:cs="Times New Roman"/>
          <w:lang w:val="sv-FI"/>
        </w:rPr>
        <w:t>4</w:t>
      </w:r>
      <w:r w:rsidRPr="009126A9">
        <w:rPr>
          <w:rFonts w:ascii="Times New Roman" w:hAnsi="Times New Roman" w:cs="Times New Roman"/>
          <w:lang w:val="sv-FI"/>
        </w:rPr>
        <w:t xml:space="preserve"> sid. </w:t>
      </w:r>
      <w:r>
        <w:rPr>
          <w:rFonts w:ascii="Times New Roman" w:hAnsi="Times New Roman" w:cs="Times New Roman"/>
          <w:lang w:val="sv-FI"/>
        </w:rPr>
        <w:t>7</w:t>
      </w:r>
      <w:r w:rsidRPr="00954AF4">
        <w:rPr>
          <w:rFonts w:ascii="Times New Roman" w:hAnsi="Times New Roman" w:cs="Times New Roman"/>
          <w:lang w:val="sv-FI"/>
        </w:rPr>
        <w:t>.</w:t>
      </w:r>
    </w:p>
  </w:footnote>
  <w:footnote w:id="5">
    <w:p w14:paraId="739F98FF" w14:textId="77777777" w:rsidR="00C939B6" w:rsidRPr="009126A9" w:rsidRDefault="00C939B6" w:rsidP="00C939B6">
      <w:pPr>
        <w:pStyle w:val="Fotnotstext"/>
        <w:rPr>
          <w:lang w:val="sv-FI"/>
        </w:rPr>
      </w:pPr>
      <w:r>
        <w:rPr>
          <w:rStyle w:val="Fotnotsreferens"/>
        </w:rPr>
        <w:footnoteRef/>
      </w:r>
      <w:r w:rsidRPr="009126A9">
        <w:rPr>
          <w:lang w:val="sv-FI"/>
        </w:rPr>
        <w:t xml:space="preserve"> </w:t>
      </w:r>
      <w:r w:rsidRPr="009126A9">
        <w:rPr>
          <w:rFonts w:ascii="Times New Roman" w:hAnsi="Times New Roman" w:cs="Times New Roman"/>
          <w:lang w:val="sv-FI"/>
        </w:rPr>
        <w:t>Se LF 32/2022–2023 i avsnitt 4.1.7 sid. 8</w:t>
      </w:r>
      <w:r>
        <w:rPr>
          <w:rFonts w:ascii="Times New Roman" w:hAnsi="Times New Roman" w:cs="Times New Roman"/>
          <w:lang w:val="sv-FI"/>
        </w:rPr>
        <w:t>.</w:t>
      </w:r>
    </w:p>
  </w:footnote>
  <w:footnote w:id="6">
    <w:p w14:paraId="2BD3CEF5" w14:textId="15ED2282" w:rsidR="00091CDA" w:rsidRPr="00CA17DB" w:rsidRDefault="00091CDA">
      <w:pPr>
        <w:pStyle w:val="Fotnotstext"/>
        <w:rPr>
          <w:rFonts w:ascii="Times New Roman" w:hAnsi="Times New Roman" w:cs="Times New Roman"/>
          <w:lang w:val="sv-FI"/>
        </w:rPr>
      </w:pPr>
      <w:r>
        <w:rPr>
          <w:rStyle w:val="Fotnotsreferens"/>
        </w:rPr>
        <w:footnoteRef/>
      </w:r>
      <w:r>
        <w:t xml:space="preserve"> </w:t>
      </w:r>
      <w:r w:rsidR="00CA17DB" w:rsidRPr="00CA17DB">
        <w:rPr>
          <w:rFonts w:ascii="Times New Roman" w:hAnsi="Times New Roman" w:cs="Times New Roman"/>
          <w:lang w:val="sv-FI"/>
        </w:rPr>
        <w:t>Lagstiftningspromemoria gällande förslag till en landskapslag om klientavgifter inom socialvården och landskapsregeringens lagförslag om ny klientavgiftslagstiftning (LF 28/2021–2022) innehåller en konsekvensbedömning endast gällande de bestämmelser vilka innebär en föreslagen ändring.</w:t>
      </w:r>
    </w:p>
  </w:footnote>
  <w:footnote w:id="7">
    <w:p w14:paraId="39459FBC" w14:textId="77777777" w:rsidR="00A10778" w:rsidRPr="00E46BB6" w:rsidRDefault="00A10778" w:rsidP="00A10778">
      <w:pPr>
        <w:pStyle w:val="Fotnotstext"/>
        <w:jc w:val="both"/>
        <w:rPr>
          <w:lang w:val="sv-FI"/>
        </w:rPr>
      </w:pPr>
      <w:r w:rsidRPr="00E46BB6">
        <w:rPr>
          <w:rStyle w:val="Fotnotsreferens"/>
          <w:rFonts w:ascii="Times New Roman" w:hAnsi="Times New Roman" w:cs="Times New Roman"/>
        </w:rPr>
        <w:footnoteRef/>
      </w:r>
      <w:r w:rsidRPr="00E46BB6">
        <w:rPr>
          <w:rFonts w:ascii="Times New Roman" w:hAnsi="Times New Roman" w:cs="Times New Roman"/>
        </w:rPr>
        <w:t xml:space="preserve"> </w:t>
      </w:r>
      <w:r w:rsidRPr="00E46BB6">
        <w:rPr>
          <w:rFonts w:ascii="Times New Roman" w:hAnsi="Times New Roman" w:cs="Times New Roman"/>
          <w:lang w:val="sv-FI"/>
        </w:rPr>
        <w:t>Se vidare</w:t>
      </w:r>
      <w:r>
        <w:rPr>
          <w:rFonts w:ascii="Times New Roman" w:hAnsi="Times New Roman" w:cs="Times New Roman"/>
          <w:lang w:val="sv-FI"/>
        </w:rPr>
        <w:t xml:space="preserve"> </w:t>
      </w:r>
      <w:r w:rsidRPr="00000768">
        <w:rPr>
          <w:rFonts w:ascii="Times New Roman" w:hAnsi="Times New Roman" w:cs="Times New Roman"/>
        </w:rPr>
        <w:t>GrUU 39/1996 rd, GrUU 8/1999 rd och GrUU 10/2009 rd</w:t>
      </w:r>
      <w:r>
        <w:rPr>
          <w:rFonts w:ascii="Times New Roman" w:hAnsi="Times New Roman" w:cs="Times New Roman"/>
        </w:rPr>
        <w:t>.</w:t>
      </w:r>
    </w:p>
  </w:footnote>
  <w:footnote w:id="8">
    <w:p w14:paraId="3F0DB3A2" w14:textId="36D647E3" w:rsidR="00A10778" w:rsidRPr="007A3F18" w:rsidRDefault="00A10778" w:rsidP="00A10778">
      <w:pPr>
        <w:pStyle w:val="Fotnotstext"/>
        <w:jc w:val="both"/>
        <w:rPr>
          <w:rFonts w:ascii="Times New Roman" w:hAnsi="Times New Roman" w:cs="Times New Roman"/>
          <w:lang w:val="sv-FI"/>
        </w:rPr>
      </w:pPr>
      <w:r w:rsidRPr="007A3F18">
        <w:rPr>
          <w:rStyle w:val="Fotnotsreferens"/>
          <w:rFonts w:ascii="Times New Roman" w:hAnsi="Times New Roman" w:cs="Times New Roman"/>
        </w:rPr>
        <w:footnoteRef/>
      </w:r>
      <w:r>
        <w:t xml:space="preserve"> </w:t>
      </w:r>
      <w:r w:rsidRPr="007A3F18">
        <w:rPr>
          <w:rFonts w:ascii="Times New Roman" w:hAnsi="Times New Roman" w:cs="Times New Roman"/>
          <w:lang w:val="sv-FI"/>
        </w:rPr>
        <w:t xml:space="preserve">I </w:t>
      </w:r>
      <w:r>
        <w:rPr>
          <w:rFonts w:ascii="Times New Roman" w:hAnsi="Times New Roman" w:cs="Times New Roman"/>
          <w:lang w:val="sv-FI"/>
        </w:rPr>
        <w:t>grundlagens 19</w:t>
      </w:r>
      <w:r w:rsidR="00404B77">
        <w:rPr>
          <w:rFonts w:ascii="Times New Roman" w:hAnsi="Times New Roman" w:cs="Times New Roman"/>
          <w:lang w:val="sv-FI"/>
        </w:rPr>
        <w:t> §</w:t>
      </w:r>
      <w:r>
        <w:rPr>
          <w:rFonts w:ascii="Times New Roman" w:hAnsi="Times New Roman" w:cs="Times New Roman"/>
          <w:lang w:val="sv-FI"/>
        </w:rPr>
        <w:t xml:space="preserve"> 1</w:t>
      </w:r>
      <w:r w:rsidR="00404B77">
        <w:rPr>
          <w:rFonts w:ascii="Times New Roman" w:hAnsi="Times New Roman" w:cs="Times New Roman"/>
          <w:lang w:val="sv-FI"/>
        </w:rPr>
        <w:t> mom.</w:t>
      </w:r>
      <w:r>
        <w:rPr>
          <w:rFonts w:ascii="Times New Roman" w:hAnsi="Times New Roman" w:cs="Times New Roman"/>
          <w:lang w:val="sv-FI"/>
        </w:rPr>
        <w:t xml:space="preserve"> förskrivs att </w:t>
      </w:r>
      <w:r w:rsidRPr="00355B90">
        <w:rPr>
          <w:rFonts w:ascii="Times New Roman" w:hAnsi="Times New Roman" w:cs="Times New Roman"/>
          <w:i/>
          <w:iCs/>
          <w:lang w:val="sv-FI"/>
        </w:rPr>
        <w:t>”Alla som inte förmår skaffa sig den trygghet som behövs för ett människovärdigt liv har rätt till oundgänglig försörjning och omsorg.”</w:t>
      </w:r>
      <w:r>
        <w:rPr>
          <w:rFonts w:ascii="Times New Roman" w:hAnsi="Times New Roman" w:cs="Times New Roman"/>
          <w:lang w:val="sv-FI"/>
        </w:rPr>
        <w:t xml:space="preserve"> Vidare förskrivs i grundlagens 19</w:t>
      </w:r>
      <w:r w:rsidR="00404B77">
        <w:rPr>
          <w:rFonts w:ascii="Times New Roman" w:hAnsi="Times New Roman" w:cs="Times New Roman"/>
          <w:lang w:val="sv-FI"/>
        </w:rPr>
        <w:t> §</w:t>
      </w:r>
      <w:r>
        <w:rPr>
          <w:rFonts w:ascii="Times New Roman" w:hAnsi="Times New Roman" w:cs="Times New Roman"/>
          <w:lang w:val="sv-FI"/>
        </w:rPr>
        <w:t xml:space="preserve"> 3</w:t>
      </w:r>
      <w:r w:rsidR="00404B77">
        <w:rPr>
          <w:rFonts w:ascii="Times New Roman" w:hAnsi="Times New Roman" w:cs="Times New Roman"/>
          <w:lang w:val="sv-FI"/>
        </w:rPr>
        <w:t> mom.</w:t>
      </w:r>
      <w:r>
        <w:rPr>
          <w:rFonts w:ascii="Times New Roman" w:hAnsi="Times New Roman" w:cs="Times New Roman"/>
          <w:lang w:val="sv-FI"/>
        </w:rPr>
        <w:t xml:space="preserve"> att </w:t>
      </w:r>
      <w:r w:rsidRPr="00355B90">
        <w:rPr>
          <w:rFonts w:ascii="Times New Roman" w:hAnsi="Times New Roman" w:cs="Times New Roman"/>
          <w:i/>
          <w:iCs/>
          <w:lang w:val="sv-FI"/>
        </w:rPr>
        <w:t>”Det allmänna skall, enligt vad som närmare bestäms genom lag, tillförsäkra var och en tillräckliga social-, hälsovårds- och sjukvårdstjänster samt främja befolkningens hälsa. Det allmänna skall också stödja familjerna och andra som svarar för omsorgen om barn så att de har möjligheter att trygga barnens välfärd och individuella uppväxt.”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74C94"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794192D1"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C938"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71602"/>
    <w:multiLevelType w:val="multilevel"/>
    <w:tmpl w:val="DB04B0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C0793D"/>
    <w:multiLevelType w:val="multilevel"/>
    <w:tmpl w:val="DB04B0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841772140">
    <w:abstractNumId w:val="6"/>
  </w:num>
  <w:num w:numId="2" w16cid:durableId="326205269">
    <w:abstractNumId w:val="3"/>
  </w:num>
  <w:num w:numId="3" w16cid:durableId="1154564624">
    <w:abstractNumId w:val="2"/>
  </w:num>
  <w:num w:numId="4" w16cid:durableId="829638985">
    <w:abstractNumId w:val="1"/>
  </w:num>
  <w:num w:numId="5" w16cid:durableId="1239441420">
    <w:abstractNumId w:val="0"/>
  </w:num>
  <w:num w:numId="6" w16cid:durableId="40984335">
    <w:abstractNumId w:val="7"/>
  </w:num>
  <w:num w:numId="7" w16cid:durableId="247349072">
    <w:abstractNumId w:val="5"/>
  </w:num>
  <w:num w:numId="8" w16cid:durableId="384720965">
    <w:abstractNumId w:val="4"/>
  </w:num>
  <w:num w:numId="9" w16cid:durableId="38743390">
    <w:abstractNumId w:val="10"/>
  </w:num>
  <w:num w:numId="10" w16cid:durableId="451630251">
    <w:abstractNumId w:val="13"/>
  </w:num>
  <w:num w:numId="11" w16cid:durableId="1678802098">
    <w:abstractNumId w:val="12"/>
  </w:num>
  <w:num w:numId="12" w16cid:durableId="316232214">
    <w:abstractNumId w:val="17"/>
  </w:num>
  <w:num w:numId="13" w16cid:durableId="1558131497">
    <w:abstractNumId w:val="11"/>
  </w:num>
  <w:num w:numId="14" w16cid:durableId="1603107453">
    <w:abstractNumId w:val="16"/>
  </w:num>
  <w:num w:numId="15" w16cid:durableId="1501970405">
    <w:abstractNumId w:val="9"/>
  </w:num>
  <w:num w:numId="16" w16cid:durableId="1699701699">
    <w:abstractNumId w:val="23"/>
  </w:num>
  <w:num w:numId="17" w16cid:durableId="2006322783">
    <w:abstractNumId w:val="8"/>
  </w:num>
  <w:num w:numId="18" w16cid:durableId="2074770037">
    <w:abstractNumId w:val="18"/>
  </w:num>
  <w:num w:numId="19" w16cid:durableId="668413972">
    <w:abstractNumId w:val="21"/>
  </w:num>
  <w:num w:numId="20" w16cid:durableId="899897928">
    <w:abstractNumId w:val="25"/>
  </w:num>
  <w:num w:numId="21" w16cid:durableId="1151406447">
    <w:abstractNumId w:val="24"/>
  </w:num>
  <w:num w:numId="22" w16cid:durableId="16470161">
    <w:abstractNumId w:val="15"/>
  </w:num>
  <w:num w:numId="23" w16cid:durableId="401098988">
    <w:abstractNumId w:val="19"/>
  </w:num>
  <w:num w:numId="24" w16cid:durableId="1026516688">
    <w:abstractNumId w:val="19"/>
  </w:num>
  <w:num w:numId="25" w16cid:durableId="276723540">
    <w:abstractNumId w:val="20"/>
  </w:num>
  <w:num w:numId="26" w16cid:durableId="747575869">
    <w:abstractNumId w:val="15"/>
  </w:num>
  <w:num w:numId="27" w16cid:durableId="1406294466">
    <w:abstractNumId w:val="15"/>
  </w:num>
  <w:num w:numId="28" w16cid:durableId="1011445239">
    <w:abstractNumId w:val="15"/>
  </w:num>
  <w:num w:numId="29" w16cid:durableId="1845437914">
    <w:abstractNumId w:val="15"/>
  </w:num>
  <w:num w:numId="30" w16cid:durableId="1562400105">
    <w:abstractNumId w:val="15"/>
  </w:num>
  <w:num w:numId="31" w16cid:durableId="1868518992">
    <w:abstractNumId w:val="15"/>
  </w:num>
  <w:num w:numId="32" w16cid:durableId="76364263">
    <w:abstractNumId w:val="15"/>
  </w:num>
  <w:num w:numId="33" w16cid:durableId="49696215">
    <w:abstractNumId w:val="15"/>
  </w:num>
  <w:num w:numId="34" w16cid:durableId="1683241925">
    <w:abstractNumId w:val="15"/>
  </w:num>
  <w:num w:numId="35" w16cid:durableId="1101802638">
    <w:abstractNumId w:val="19"/>
  </w:num>
  <w:num w:numId="36" w16cid:durableId="92436255">
    <w:abstractNumId w:val="20"/>
  </w:num>
  <w:num w:numId="37" w16cid:durableId="980311597">
    <w:abstractNumId w:val="15"/>
  </w:num>
  <w:num w:numId="38" w16cid:durableId="931745622">
    <w:abstractNumId w:val="15"/>
  </w:num>
  <w:num w:numId="39" w16cid:durableId="1297643804">
    <w:abstractNumId w:val="15"/>
  </w:num>
  <w:num w:numId="40" w16cid:durableId="1900550222">
    <w:abstractNumId w:val="15"/>
  </w:num>
  <w:num w:numId="41" w16cid:durableId="673872593">
    <w:abstractNumId w:val="15"/>
  </w:num>
  <w:num w:numId="42" w16cid:durableId="1895778473">
    <w:abstractNumId w:val="15"/>
  </w:num>
  <w:num w:numId="43" w16cid:durableId="1213082968">
    <w:abstractNumId w:val="15"/>
  </w:num>
  <w:num w:numId="44" w16cid:durableId="1023284461">
    <w:abstractNumId w:val="15"/>
  </w:num>
  <w:num w:numId="45" w16cid:durableId="154927511">
    <w:abstractNumId w:val="15"/>
  </w:num>
  <w:num w:numId="46" w16cid:durableId="1863974997">
    <w:abstractNumId w:val="14"/>
  </w:num>
  <w:num w:numId="47" w16cid:durableId="19934117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F2"/>
    <w:rsid w:val="00000768"/>
    <w:rsid w:val="00007BC7"/>
    <w:rsid w:val="00016835"/>
    <w:rsid w:val="00033629"/>
    <w:rsid w:val="00053CE4"/>
    <w:rsid w:val="0005429B"/>
    <w:rsid w:val="000542F9"/>
    <w:rsid w:val="000548CD"/>
    <w:rsid w:val="00063B2B"/>
    <w:rsid w:val="00064541"/>
    <w:rsid w:val="00081AD2"/>
    <w:rsid w:val="00090E5F"/>
    <w:rsid w:val="00091CDA"/>
    <w:rsid w:val="000A2028"/>
    <w:rsid w:val="000A72D0"/>
    <w:rsid w:val="000B28F8"/>
    <w:rsid w:val="000B72A7"/>
    <w:rsid w:val="000C082C"/>
    <w:rsid w:val="000D7D41"/>
    <w:rsid w:val="000E762F"/>
    <w:rsid w:val="00104BD4"/>
    <w:rsid w:val="001062A8"/>
    <w:rsid w:val="00106403"/>
    <w:rsid w:val="0013292B"/>
    <w:rsid w:val="0013571C"/>
    <w:rsid w:val="00137FDD"/>
    <w:rsid w:val="001402FF"/>
    <w:rsid w:val="00146FB1"/>
    <w:rsid w:val="00156677"/>
    <w:rsid w:val="001726DC"/>
    <w:rsid w:val="00172F60"/>
    <w:rsid w:val="00173086"/>
    <w:rsid w:val="00174BD4"/>
    <w:rsid w:val="001815B8"/>
    <w:rsid w:val="0018516A"/>
    <w:rsid w:val="00187683"/>
    <w:rsid w:val="00190F6D"/>
    <w:rsid w:val="0019726E"/>
    <w:rsid w:val="001B3945"/>
    <w:rsid w:val="001B58B1"/>
    <w:rsid w:val="001B6C6D"/>
    <w:rsid w:val="001C026F"/>
    <w:rsid w:val="001D1627"/>
    <w:rsid w:val="001D285B"/>
    <w:rsid w:val="001E2DB2"/>
    <w:rsid w:val="001E3F9B"/>
    <w:rsid w:val="001E49EB"/>
    <w:rsid w:val="001E5B9C"/>
    <w:rsid w:val="001F53B8"/>
    <w:rsid w:val="00202894"/>
    <w:rsid w:val="002061CE"/>
    <w:rsid w:val="00207C06"/>
    <w:rsid w:val="00213B4C"/>
    <w:rsid w:val="00221FDD"/>
    <w:rsid w:val="00223759"/>
    <w:rsid w:val="00224C2A"/>
    <w:rsid w:val="00226F2B"/>
    <w:rsid w:val="00237697"/>
    <w:rsid w:val="00240878"/>
    <w:rsid w:val="00250051"/>
    <w:rsid w:val="00253E50"/>
    <w:rsid w:val="002575F2"/>
    <w:rsid w:val="0025795B"/>
    <w:rsid w:val="00260072"/>
    <w:rsid w:val="00266FAD"/>
    <w:rsid w:val="002673BD"/>
    <w:rsid w:val="00267904"/>
    <w:rsid w:val="00270448"/>
    <w:rsid w:val="00272855"/>
    <w:rsid w:val="00284E09"/>
    <w:rsid w:val="00284EF9"/>
    <w:rsid w:val="002A3905"/>
    <w:rsid w:val="002A40AF"/>
    <w:rsid w:val="002B1FF4"/>
    <w:rsid w:val="002C2E9B"/>
    <w:rsid w:val="002C5FDB"/>
    <w:rsid w:val="002C668A"/>
    <w:rsid w:val="002D2600"/>
    <w:rsid w:val="002F164D"/>
    <w:rsid w:val="002F1EC7"/>
    <w:rsid w:val="002F28DF"/>
    <w:rsid w:val="002F50DE"/>
    <w:rsid w:val="002F5202"/>
    <w:rsid w:val="00301CE6"/>
    <w:rsid w:val="00305A1F"/>
    <w:rsid w:val="00320F4E"/>
    <w:rsid w:val="0032234C"/>
    <w:rsid w:val="00327A57"/>
    <w:rsid w:val="003317BC"/>
    <w:rsid w:val="00334720"/>
    <w:rsid w:val="0033514F"/>
    <w:rsid w:val="003355C0"/>
    <w:rsid w:val="003365D6"/>
    <w:rsid w:val="00337B64"/>
    <w:rsid w:val="00342FC4"/>
    <w:rsid w:val="003433B6"/>
    <w:rsid w:val="00355B90"/>
    <w:rsid w:val="00362153"/>
    <w:rsid w:val="00362413"/>
    <w:rsid w:val="00366C74"/>
    <w:rsid w:val="003765A8"/>
    <w:rsid w:val="00391923"/>
    <w:rsid w:val="00392C9D"/>
    <w:rsid w:val="00392D0E"/>
    <w:rsid w:val="0039353F"/>
    <w:rsid w:val="0039662D"/>
    <w:rsid w:val="003B00EF"/>
    <w:rsid w:val="003B7462"/>
    <w:rsid w:val="003C0084"/>
    <w:rsid w:val="003C227A"/>
    <w:rsid w:val="003C3593"/>
    <w:rsid w:val="003C760C"/>
    <w:rsid w:val="003D2E69"/>
    <w:rsid w:val="003D5CE2"/>
    <w:rsid w:val="003D5EB2"/>
    <w:rsid w:val="003F1D06"/>
    <w:rsid w:val="003F7CF9"/>
    <w:rsid w:val="004035A0"/>
    <w:rsid w:val="00404B77"/>
    <w:rsid w:val="004121B8"/>
    <w:rsid w:val="004134FE"/>
    <w:rsid w:val="00425CA7"/>
    <w:rsid w:val="004262A9"/>
    <w:rsid w:val="00464E03"/>
    <w:rsid w:val="00472D4F"/>
    <w:rsid w:val="00473540"/>
    <w:rsid w:val="00474C0F"/>
    <w:rsid w:val="004800A9"/>
    <w:rsid w:val="00480C14"/>
    <w:rsid w:val="004829E2"/>
    <w:rsid w:val="00483CC6"/>
    <w:rsid w:val="0049305D"/>
    <w:rsid w:val="004942B3"/>
    <w:rsid w:val="004959E4"/>
    <w:rsid w:val="004964C1"/>
    <w:rsid w:val="004A6BA1"/>
    <w:rsid w:val="004B08FC"/>
    <w:rsid w:val="004B4C37"/>
    <w:rsid w:val="004B6A97"/>
    <w:rsid w:val="004D5379"/>
    <w:rsid w:val="004F4384"/>
    <w:rsid w:val="0050264F"/>
    <w:rsid w:val="005071E7"/>
    <w:rsid w:val="005155CB"/>
    <w:rsid w:val="00517CF7"/>
    <w:rsid w:val="00534EFE"/>
    <w:rsid w:val="005355C0"/>
    <w:rsid w:val="00541FAE"/>
    <w:rsid w:val="0054208E"/>
    <w:rsid w:val="00543A7A"/>
    <w:rsid w:val="005532D2"/>
    <w:rsid w:val="00562B8C"/>
    <w:rsid w:val="00567437"/>
    <w:rsid w:val="005A3966"/>
    <w:rsid w:val="005A49D8"/>
    <w:rsid w:val="005C30E9"/>
    <w:rsid w:val="005C3336"/>
    <w:rsid w:val="005C6E05"/>
    <w:rsid w:val="005F1DF9"/>
    <w:rsid w:val="006127BA"/>
    <w:rsid w:val="00620FAA"/>
    <w:rsid w:val="00623700"/>
    <w:rsid w:val="00623D44"/>
    <w:rsid w:val="0064273B"/>
    <w:rsid w:val="006447D4"/>
    <w:rsid w:val="006504B6"/>
    <w:rsid w:val="0066024B"/>
    <w:rsid w:val="006641DA"/>
    <w:rsid w:val="00665319"/>
    <w:rsid w:val="006653B7"/>
    <w:rsid w:val="00675FF2"/>
    <w:rsid w:val="006906AC"/>
    <w:rsid w:val="0069166C"/>
    <w:rsid w:val="0069704E"/>
    <w:rsid w:val="00697161"/>
    <w:rsid w:val="006B633C"/>
    <w:rsid w:val="006C0AEF"/>
    <w:rsid w:val="006C14FE"/>
    <w:rsid w:val="006C7599"/>
    <w:rsid w:val="006D1B34"/>
    <w:rsid w:val="006E5CFF"/>
    <w:rsid w:val="006E5FC9"/>
    <w:rsid w:val="006E7FDD"/>
    <w:rsid w:val="006F48DC"/>
    <w:rsid w:val="006F4E53"/>
    <w:rsid w:val="006F4F0F"/>
    <w:rsid w:val="006F777C"/>
    <w:rsid w:val="00706E51"/>
    <w:rsid w:val="00710CE7"/>
    <w:rsid w:val="0071657B"/>
    <w:rsid w:val="00722128"/>
    <w:rsid w:val="00723834"/>
    <w:rsid w:val="00731794"/>
    <w:rsid w:val="0075360B"/>
    <w:rsid w:val="00766BA9"/>
    <w:rsid w:val="007809B6"/>
    <w:rsid w:val="00785176"/>
    <w:rsid w:val="0079407C"/>
    <w:rsid w:val="007A122D"/>
    <w:rsid w:val="007A3F18"/>
    <w:rsid w:val="007A64C2"/>
    <w:rsid w:val="007A7CAA"/>
    <w:rsid w:val="007B4D79"/>
    <w:rsid w:val="007D7500"/>
    <w:rsid w:val="007E2101"/>
    <w:rsid w:val="007E6432"/>
    <w:rsid w:val="00801816"/>
    <w:rsid w:val="00814D2A"/>
    <w:rsid w:val="00821749"/>
    <w:rsid w:val="008300EC"/>
    <w:rsid w:val="00830565"/>
    <w:rsid w:val="0083285C"/>
    <w:rsid w:val="00840C71"/>
    <w:rsid w:val="008450DA"/>
    <w:rsid w:val="008474C8"/>
    <w:rsid w:val="00856382"/>
    <w:rsid w:val="00876D4A"/>
    <w:rsid w:val="00877EC8"/>
    <w:rsid w:val="00880463"/>
    <w:rsid w:val="008874D9"/>
    <w:rsid w:val="0089124C"/>
    <w:rsid w:val="0089254E"/>
    <w:rsid w:val="008B337C"/>
    <w:rsid w:val="008C03F0"/>
    <w:rsid w:val="008C0EBD"/>
    <w:rsid w:val="008C2407"/>
    <w:rsid w:val="008C335E"/>
    <w:rsid w:val="008F2A18"/>
    <w:rsid w:val="008F4E2C"/>
    <w:rsid w:val="009007F7"/>
    <w:rsid w:val="00903D7B"/>
    <w:rsid w:val="009126A9"/>
    <w:rsid w:val="00917B31"/>
    <w:rsid w:val="009362FA"/>
    <w:rsid w:val="009502AE"/>
    <w:rsid w:val="00954AF4"/>
    <w:rsid w:val="009629EF"/>
    <w:rsid w:val="0096503C"/>
    <w:rsid w:val="00994DF5"/>
    <w:rsid w:val="00997272"/>
    <w:rsid w:val="009A1F44"/>
    <w:rsid w:val="009A58AB"/>
    <w:rsid w:val="009A6E46"/>
    <w:rsid w:val="009C1226"/>
    <w:rsid w:val="009C372B"/>
    <w:rsid w:val="009C573D"/>
    <w:rsid w:val="009C68E6"/>
    <w:rsid w:val="009C7EE0"/>
    <w:rsid w:val="009D2515"/>
    <w:rsid w:val="009D4B81"/>
    <w:rsid w:val="009D508C"/>
    <w:rsid w:val="009E0645"/>
    <w:rsid w:val="009E4BE1"/>
    <w:rsid w:val="009F15BC"/>
    <w:rsid w:val="009F7D34"/>
    <w:rsid w:val="00A1004F"/>
    <w:rsid w:val="00A10778"/>
    <w:rsid w:val="00A13A74"/>
    <w:rsid w:val="00A14F20"/>
    <w:rsid w:val="00A26D11"/>
    <w:rsid w:val="00A31F66"/>
    <w:rsid w:val="00A31F70"/>
    <w:rsid w:val="00A32351"/>
    <w:rsid w:val="00A32ECE"/>
    <w:rsid w:val="00A34328"/>
    <w:rsid w:val="00A422E1"/>
    <w:rsid w:val="00A60744"/>
    <w:rsid w:val="00A65363"/>
    <w:rsid w:val="00A655EC"/>
    <w:rsid w:val="00A66663"/>
    <w:rsid w:val="00A71AEE"/>
    <w:rsid w:val="00A76A66"/>
    <w:rsid w:val="00A81253"/>
    <w:rsid w:val="00A87412"/>
    <w:rsid w:val="00A95E8C"/>
    <w:rsid w:val="00AA299C"/>
    <w:rsid w:val="00AA5061"/>
    <w:rsid w:val="00AC6A64"/>
    <w:rsid w:val="00AC7997"/>
    <w:rsid w:val="00AD3691"/>
    <w:rsid w:val="00AF3004"/>
    <w:rsid w:val="00AF73E5"/>
    <w:rsid w:val="00B01A18"/>
    <w:rsid w:val="00B02368"/>
    <w:rsid w:val="00B06B3B"/>
    <w:rsid w:val="00B11E7A"/>
    <w:rsid w:val="00B200D9"/>
    <w:rsid w:val="00B30E27"/>
    <w:rsid w:val="00B35BAA"/>
    <w:rsid w:val="00B36C00"/>
    <w:rsid w:val="00B419C4"/>
    <w:rsid w:val="00B44DAC"/>
    <w:rsid w:val="00B60BE4"/>
    <w:rsid w:val="00B76FCC"/>
    <w:rsid w:val="00B97AE6"/>
    <w:rsid w:val="00BA1B61"/>
    <w:rsid w:val="00BA2C7C"/>
    <w:rsid w:val="00BB74D7"/>
    <w:rsid w:val="00BB7FB3"/>
    <w:rsid w:val="00BC5E55"/>
    <w:rsid w:val="00BE3E1A"/>
    <w:rsid w:val="00BF0871"/>
    <w:rsid w:val="00C06FC4"/>
    <w:rsid w:val="00C1136F"/>
    <w:rsid w:val="00C11D59"/>
    <w:rsid w:val="00C17130"/>
    <w:rsid w:val="00C26B84"/>
    <w:rsid w:val="00C306AC"/>
    <w:rsid w:val="00C33E1B"/>
    <w:rsid w:val="00C355B0"/>
    <w:rsid w:val="00C36CD4"/>
    <w:rsid w:val="00C40D26"/>
    <w:rsid w:val="00C4319F"/>
    <w:rsid w:val="00C43663"/>
    <w:rsid w:val="00C473B0"/>
    <w:rsid w:val="00C631F5"/>
    <w:rsid w:val="00C742E2"/>
    <w:rsid w:val="00C74918"/>
    <w:rsid w:val="00C83299"/>
    <w:rsid w:val="00C86A97"/>
    <w:rsid w:val="00C9260B"/>
    <w:rsid w:val="00C9278F"/>
    <w:rsid w:val="00C939B6"/>
    <w:rsid w:val="00C95A14"/>
    <w:rsid w:val="00CA17DB"/>
    <w:rsid w:val="00CA5FE1"/>
    <w:rsid w:val="00CB49FB"/>
    <w:rsid w:val="00CC41A2"/>
    <w:rsid w:val="00CC4EE9"/>
    <w:rsid w:val="00CC58EA"/>
    <w:rsid w:val="00CC5D37"/>
    <w:rsid w:val="00CC678E"/>
    <w:rsid w:val="00CF33CA"/>
    <w:rsid w:val="00CF4602"/>
    <w:rsid w:val="00CF5DB2"/>
    <w:rsid w:val="00CF7B3D"/>
    <w:rsid w:val="00D03C87"/>
    <w:rsid w:val="00D10F8F"/>
    <w:rsid w:val="00D1456D"/>
    <w:rsid w:val="00D2060D"/>
    <w:rsid w:val="00D22DF1"/>
    <w:rsid w:val="00D405DC"/>
    <w:rsid w:val="00D504F9"/>
    <w:rsid w:val="00D51702"/>
    <w:rsid w:val="00D55839"/>
    <w:rsid w:val="00D57E97"/>
    <w:rsid w:val="00D70DD1"/>
    <w:rsid w:val="00D82188"/>
    <w:rsid w:val="00D86CD4"/>
    <w:rsid w:val="00D92941"/>
    <w:rsid w:val="00DA0ACF"/>
    <w:rsid w:val="00DB2501"/>
    <w:rsid w:val="00DB2EBC"/>
    <w:rsid w:val="00DC5D32"/>
    <w:rsid w:val="00DD3AFA"/>
    <w:rsid w:val="00DD5E39"/>
    <w:rsid w:val="00DD626D"/>
    <w:rsid w:val="00DD7399"/>
    <w:rsid w:val="00DE62C2"/>
    <w:rsid w:val="00DF3925"/>
    <w:rsid w:val="00DF6858"/>
    <w:rsid w:val="00E06B26"/>
    <w:rsid w:val="00E14CC9"/>
    <w:rsid w:val="00E3176E"/>
    <w:rsid w:val="00E4146C"/>
    <w:rsid w:val="00E418D7"/>
    <w:rsid w:val="00E447F8"/>
    <w:rsid w:val="00E46BB6"/>
    <w:rsid w:val="00E5209C"/>
    <w:rsid w:val="00E52CFB"/>
    <w:rsid w:val="00E6142E"/>
    <w:rsid w:val="00E654DE"/>
    <w:rsid w:val="00EB1915"/>
    <w:rsid w:val="00EB21AE"/>
    <w:rsid w:val="00EB28AD"/>
    <w:rsid w:val="00EC6F19"/>
    <w:rsid w:val="00EC7972"/>
    <w:rsid w:val="00ED5683"/>
    <w:rsid w:val="00EE2180"/>
    <w:rsid w:val="00EE54C6"/>
    <w:rsid w:val="00F01BDC"/>
    <w:rsid w:val="00F04974"/>
    <w:rsid w:val="00F076B8"/>
    <w:rsid w:val="00F11D3B"/>
    <w:rsid w:val="00F129B9"/>
    <w:rsid w:val="00F147E8"/>
    <w:rsid w:val="00F16600"/>
    <w:rsid w:val="00F313B5"/>
    <w:rsid w:val="00F37DDF"/>
    <w:rsid w:val="00F407FE"/>
    <w:rsid w:val="00F439A6"/>
    <w:rsid w:val="00F61325"/>
    <w:rsid w:val="00F62E10"/>
    <w:rsid w:val="00F63E56"/>
    <w:rsid w:val="00F669A6"/>
    <w:rsid w:val="00F67536"/>
    <w:rsid w:val="00F8040C"/>
    <w:rsid w:val="00F8066B"/>
    <w:rsid w:val="00F9328C"/>
    <w:rsid w:val="00F96DA9"/>
    <w:rsid w:val="00FB57BB"/>
    <w:rsid w:val="00FC46A6"/>
    <w:rsid w:val="00FD6149"/>
    <w:rsid w:val="00FD6449"/>
    <w:rsid w:val="00FE4623"/>
    <w:rsid w:val="00FF29B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0DE80"/>
  <w15:chartTrackingRefBased/>
  <w15:docId w15:val="{2FA4E9B3-D5F8-4A55-B85C-608654A0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2F"/>
    <w:pPr>
      <w:autoSpaceDE w:val="0"/>
      <w:autoSpaceDN w:val="0"/>
      <w:adjustRightInd w:val="0"/>
      <w:spacing w:line="300" w:lineRule="auto"/>
      <w:textAlignment w:val="center"/>
    </w:pPr>
    <w:rPr>
      <w:rFonts w:asciiTheme="minorHAnsi" w:eastAsiaTheme="minorHAnsi" w:hAnsiTheme="minorHAnsi" w:cs="Open Sans"/>
      <w:lang w:val="sv-SE" w:eastAsia="en-US"/>
    </w:rPr>
  </w:style>
  <w:style w:type="paragraph" w:styleId="Rubrik1">
    <w:name w:val="heading 1"/>
    <w:basedOn w:val="Normal"/>
    <w:next w:val="Normal"/>
    <w:link w:val="Rubrik1Char"/>
    <w:uiPriority w:val="9"/>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link w:val="Rubrik5Char"/>
    <w:uiPriority w:val="9"/>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Rubrik1Char">
    <w:name w:val="Rubrik 1 Char"/>
    <w:basedOn w:val="Standardstycketeckensnitt"/>
    <w:link w:val="Rubrik1"/>
    <w:uiPriority w:val="9"/>
    <w:rsid w:val="000E762F"/>
    <w:rPr>
      <w:rFonts w:ascii="Arial" w:hAnsi="Arial" w:cs="Arial"/>
      <w:b/>
      <w:bCs/>
      <w:kern w:val="32"/>
      <w:sz w:val="32"/>
      <w:szCs w:val="32"/>
      <w:lang w:val="sv-SE" w:eastAsia="sv-SE"/>
    </w:rPr>
  </w:style>
  <w:style w:type="character" w:customStyle="1" w:styleId="Rubrik2Char">
    <w:name w:val="Rubrik 2 Char"/>
    <w:basedOn w:val="Standardstycketeckensnitt"/>
    <w:link w:val="Rubrik2"/>
    <w:uiPriority w:val="9"/>
    <w:rsid w:val="000E762F"/>
    <w:rPr>
      <w:rFonts w:ascii="Arial" w:hAnsi="Arial" w:cs="Arial"/>
      <w:b/>
      <w:bCs/>
      <w:i/>
      <w:iCs/>
      <w:sz w:val="28"/>
      <w:szCs w:val="28"/>
      <w:lang w:val="sv-SE" w:eastAsia="sv-SE"/>
    </w:rPr>
  </w:style>
  <w:style w:type="character" w:customStyle="1" w:styleId="Rubrik3Char">
    <w:name w:val="Rubrik 3 Char"/>
    <w:basedOn w:val="Standardstycketeckensnitt"/>
    <w:link w:val="Rubrik3"/>
    <w:uiPriority w:val="9"/>
    <w:rsid w:val="000E762F"/>
    <w:rPr>
      <w:rFonts w:ascii="Arial" w:hAnsi="Arial" w:cs="Arial"/>
      <w:b/>
      <w:bCs/>
      <w:sz w:val="26"/>
      <w:szCs w:val="26"/>
      <w:lang w:val="sv-SE" w:eastAsia="sv-SE"/>
    </w:rPr>
  </w:style>
  <w:style w:type="character" w:customStyle="1" w:styleId="Rubrik5Char">
    <w:name w:val="Rubrik 5 Char"/>
    <w:basedOn w:val="Standardstycketeckensnitt"/>
    <w:link w:val="Rubrik5"/>
    <w:uiPriority w:val="9"/>
    <w:rsid w:val="000E762F"/>
    <w:rPr>
      <w:b/>
      <w:bCs/>
      <w:i/>
      <w:iCs/>
      <w:sz w:val="26"/>
      <w:szCs w:val="26"/>
      <w:lang w:val="sv-SE" w:eastAsia="sv-SE"/>
    </w:rPr>
  </w:style>
  <w:style w:type="paragraph" w:styleId="Fotnotstext">
    <w:name w:val="footnote text"/>
    <w:basedOn w:val="Normal"/>
    <w:link w:val="FotnotstextChar"/>
    <w:uiPriority w:val="99"/>
    <w:semiHidden/>
    <w:unhideWhenUsed/>
    <w:rsid w:val="000E762F"/>
    <w:pPr>
      <w:spacing w:line="240" w:lineRule="auto"/>
    </w:pPr>
  </w:style>
  <w:style w:type="character" w:customStyle="1" w:styleId="FotnotstextChar">
    <w:name w:val="Fotnotstext Char"/>
    <w:basedOn w:val="Standardstycketeckensnitt"/>
    <w:link w:val="Fotnotstext"/>
    <w:uiPriority w:val="99"/>
    <w:semiHidden/>
    <w:rsid w:val="000E762F"/>
    <w:rPr>
      <w:rFonts w:asciiTheme="minorHAnsi" w:eastAsiaTheme="minorHAnsi" w:hAnsiTheme="minorHAnsi" w:cs="Open Sans"/>
      <w:lang w:val="sv-SE" w:eastAsia="en-US"/>
    </w:rPr>
  </w:style>
  <w:style w:type="character" w:styleId="Fotnotsreferens">
    <w:name w:val="footnote reference"/>
    <w:basedOn w:val="Standardstycketeckensnitt"/>
    <w:uiPriority w:val="99"/>
    <w:semiHidden/>
    <w:unhideWhenUsed/>
    <w:rsid w:val="000E762F"/>
    <w:rPr>
      <w:vertAlign w:val="superscript"/>
    </w:rPr>
  </w:style>
  <w:style w:type="paragraph" w:styleId="Normalwebb">
    <w:name w:val="Normal (Web)"/>
    <w:basedOn w:val="Normal"/>
    <w:uiPriority w:val="99"/>
    <w:semiHidden/>
    <w:unhideWhenUsed/>
    <w:rsid w:val="000E762F"/>
    <w:pPr>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lang w:val="sv-FI" w:eastAsia="sv-FI"/>
    </w:rPr>
  </w:style>
  <w:style w:type="table" w:styleId="Tabellrutnt">
    <w:name w:val="Table Grid"/>
    <w:basedOn w:val="Normaltabell"/>
    <w:uiPriority w:val="59"/>
    <w:rsid w:val="00393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4">
    <w:name w:val="Plain Table 4"/>
    <w:basedOn w:val="Normaltabell"/>
    <w:uiPriority w:val="44"/>
    <w:rsid w:val="007A7CA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1">
    <w:name w:val="Plain Table 1"/>
    <w:basedOn w:val="Normaltabell"/>
    <w:uiPriority w:val="41"/>
    <w:rsid w:val="00CA5F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rutntljust">
    <w:name w:val="Grid Table Light"/>
    <w:basedOn w:val="Normaltabell"/>
    <w:uiPriority w:val="40"/>
    <w:rsid w:val="00CA5F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2">
    <w:name w:val="Plain Table 2"/>
    <w:basedOn w:val="Normaltabell"/>
    <w:uiPriority w:val="42"/>
    <w:rsid w:val="00CA5FE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A5FE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5">
    <w:name w:val="Plain Table 5"/>
    <w:basedOn w:val="Normaltabell"/>
    <w:uiPriority w:val="45"/>
    <w:rsid w:val="00CA5FE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1ljus">
    <w:name w:val="Grid Table 1 Light"/>
    <w:basedOn w:val="Normaltabell"/>
    <w:uiPriority w:val="46"/>
    <w:rsid w:val="00CA5FE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CA5FE1"/>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2FD64-1166-4919-9AF7-624DFCE2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1</TotalTime>
  <Pages>13</Pages>
  <Words>4521</Words>
  <Characters>27791</Characters>
  <Application>Microsoft Office Word</Application>
  <DocSecurity>0</DocSecurity>
  <Lines>231</Lines>
  <Paragraphs>64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32248</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Mathias Lundqvist</dc:creator>
  <cp:keywords/>
  <dc:description/>
  <cp:lastModifiedBy>Jessica Laaksonen</cp:lastModifiedBy>
  <cp:revision>2</cp:revision>
  <cp:lastPrinted>2025-02-18T07:17:00Z</cp:lastPrinted>
  <dcterms:created xsi:type="dcterms:W3CDTF">2025-03-27T10:14:00Z</dcterms:created>
  <dcterms:modified xsi:type="dcterms:W3CDTF">2025-03-27T10:14:00Z</dcterms:modified>
</cp:coreProperties>
</file>