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E023D9" w14:paraId="6FCB3D57" w14:textId="77777777">
        <w:trPr>
          <w:cantSplit/>
          <w:trHeight w:val="20"/>
        </w:trPr>
        <w:tc>
          <w:tcPr>
            <w:tcW w:w="861" w:type="dxa"/>
            <w:vMerge w:val="restart"/>
          </w:tcPr>
          <w:p w14:paraId="3286B2E7" w14:textId="6393AB6D" w:rsidR="00E023D9" w:rsidRDefault="007A6670">
            <w:pPr>
              <w:pStyle w:val="xLedtext"/>
              <w:rPr>
                <w:noProof/>
              </w:rPr>
            </w:pPr>
            <w:r>
              <w:rPr>
                <w:noProof/>
              </w:rPr>
              <w:drawing>
                <wp:anchor distT="0" distB="0" distL="114300" distR="114300" simplePos="0" relativeHeight="251657728" behindDoc="0" locked="0" layoutInCell="1" allowOverlap="1" wp14:anchorId="7F99FC7F" wp14:editId="33245E79">
                  <wp:simplePos x="0" y="0"/>
                  <wp:positionH relativeFrom="column">
                    <wp:posOffset>-31115</wp:posOffset>
                  </wp:positionH>
                  <wp:positionV relativeFrom="paragraph">
                    <wp:posOffset>635</wp:posOffset>
                  </wp:positionV>
                  <wp:extent cx="2647950" cy="685800"/>
                  <wp:effectExtent l="0" t="0" r="0" b="0"/>
                  <wp:wrapNone/>
                  <wp:docPr id="3" name="Bild 2" descr="regeringen_svartv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regeringen_svartvi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7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36" w:type="dxa"/>
            <w:gridSpan w:val="3"/>
            <w:vAlign w:val="bottom"/>
          </w:tcPr>
          <w:p w14:paraId="748A116B" w14:textId="01086E46" w:rsidR="00E023D9" w:rsidRDefault="007A6670">
            <w:pPr>
              <w:pStyle w:val="xMellanrum"/>
            </w:pPr>
            <w:r w:rsidRPr="0038504B">
              <w:rPr>
                <w:noProof/>
              </w:rPr>
              <w:drawing>
                <wp:inline distT="0" distB="0" distL="0" distR="0" wp14:anchorId="51788547" wp14:editId="5F16996A">
                  <wp:extent cx="47625" cy="47625"/>
                  <wp:effectExtent l="0" t="0" r="0" b="0"/>
                  <wp:docPr id="1" name="Bild 1"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E023D9" w14:paraId="2D151DE5" w14:textId="77777777">
        <w:trPr>
          <w:cantSplit/>
          <w:trHeight w:val="299"/>
        </w:trPr>
        <w:tc>
          <w:tcPr>
            <w:tcW w:w="861" w:type="dxa"/>
            <w:vMerge/>
          </w:tcPr>
          <w:p w14:paraId="62FD1C07" w14:textId="77777777" w:rsidR="00E023D9" w:rsidRDefault="00E023D9">
            <w:pPr>
              <w:pStyle w:val="xLedtext"/>
            </w:pPr>
          </w:p>
        </w:tc>
        <w:tc>
          <w:tcPr>
            <w:tcW w:w="4448" w:type="dxa"/>
            <w:vAlign w:val="bottom"/>
          </w:tcPr>
          <w:p w14:paraId="23292843" w14:textId="77777777" w:rsidR="00E023D9" w:rsidRDefault="00E023D9">
            <w:pPr>
              <w:pStyle w:val="xAvsandare1"/>
            </w:pPr>
          </w:p>
        </w:tc>
        <w:tc>
          <w:tcPr>
            <w:tcW w:w="4288" w:type="dxa"/>
            <w:gridSpan w:val="2"/>
            <w:vAlign w:val="bottom"/>
          </w:tcPr>
          <w:p w14:paraId="7CFA6582" w14:textId="77777777" w:rsidR="00E023D9" w:rsidRDefault="00E023D9">
            <w:pPr>
              <w:pStyle w:val="xDokTypNr"/>
            </w:pPr>
            <w:r>
              <w:t>PARALLELLTEXTER</w:t>
            </w:r>
          </w:p>
        </w:tc>
      </w:tr>
      <w:tr w:rsidR="00E023D9" w14:paraId="707D0282" w14:textId="77777777">
        <w:trPr>
          <w:cantSplit/>
          <w:trHeight w:val="238"/>
        </w:trPr>
        <w:tc>
          <w:tcPr>
            <w:tcW w:w="861" w:type="dxa"/>
            <w:vMerge/>
          </w:tcPr>
          <w:p w14:paraId="1E28A2CD" w14:textId="77777777" w:rsidR="00E023D9" w:rsidRDefault="00E023D9">
            <w:pPr>
              <w:pStyle w:val="xLedtext"/>
            </w:pPr>
          </w:p>
        </w:tc>
        <w:tc>
          <w:tcPr>
            <w:tcW w:w="4448" w:type="dxa"/>
            <w:vAlign w:val="bottom"/>
          </w:tcPr>
          <w:p w14:paraId="17FA4653" w14:textId="77777777" w:rsidR="00E023D9" w:rsidRDefault="00E023D9">
            <w:pPr>
              <w:pStyle w:val="xLedtext"/>
            </w:pPr>
          </w:p>
        </w:tc>
        <w:tc>
          <w:tcPr>
            <w:tcW w:w="1725" w:type="dxa"/>
            <w:vAlign w:val="bottom"/>
          </w:tcPr>
          <w:p w14:paraId="7768AC4D" w14:textId="77777777" w:rsidR="00E023D9" w:rsidRDefault="00E023D9">
            <w:pPr>
              <w:pStyle w:val="xLedtext"/>
            </w:pPr>
            <w:r>
              <w:t>Datum</w:t>
            </w:r>
          </w:p>
        </w:tc>
        <w:tc>
          <w:tcPr>
            <w:tcW w:w="2563" w:type="dxa"/>
            <w:vAlign w:val="bottom"/>
          </w:tcPr>
          <w:p w14:paraId="05A6F120" w14:textId="77777777" w:rsidR="00E023D9" w:rsidRDefault="00E023D9">
            <w:pPr>
              <w:pStyle w:val="xLedtext"/>
            </w:pPr>
          </w:p>
        </w:tc>
      </w:tr>
      <w:tr w:rsidR="00E023D9" w14:paraId="7D266D74" w14:textId="77777777">
        <w:trPr>
          <w:cantSplit/>
          <w:trHeight w:val="238"/>
        </w:trPr>
        <w:tc>
          <w:tcPr>
            <w:tcW w:w="861" w:type="dxa"/>
            <w:vMerge/>
          </w:tcPr>
          <w:p w14:paraId="06D623AD" w14:textId="77777777" w:rsidR="00E023D9" w:rsidRDefault="00E023D9">
            <w:pPr>
              <w:pStyle w:val="xAvsandare2"/>
            </w:pPr>
          </w:p>
        </w:tc>
        <w:tc>
          <w:tcPr>
            <w:tcW w:w="4448" w:type="dxa"/>
            <w:vAlign w:val="center"/>
          </w:tcPr>
          <w:p w14:paraId="60234D6E" w14:textId="77777777" w:rsidR="00E023D9" w:rsidRDefault="00E023D9">
            <w:pPr>
              <w:pStyle w:val="xAvsandare2"/>
            </w:pPr>
          </w:p>
        </w:tc>
        <w:tc>
          <w:tcPr>
            <w:tcW w:w="1725" w:type="dxa"/>
            <w:vAlign w:val="center"/>
          </w:tcPr>
          <w:p w14:paraId="455E6DE5" w14:textId="6BA4DDD1" w:rsidR="00E023D9" w:rsidRDefault="00E023D9">
            <w:pPr>
              <w:pStyle w:val="xDatum1"/>
            </w:pPr>
            <w:r>
              <w:t>20</w:t>
            </w:r>
            <w:r w:rsidR="00212769">
              <w:t>2</w:t>
            </w:r>
            <w:r w:rsidR="001B7B39">
              <w:t>5</w:t>
            </w:r>
            <w:r>
              <w:t>-</w:t>
            </w:r>
            <w:r w:rsidR="006B08DC">
              <w:t>03-13</w:t>
            </w:r>
          </w:p>
        </w:tc>
        <w:tc>
          <w:tcPr>
            <w:tcW w:w="2563" w:type="dxa"/>
            <w:vAlign w:val="center"/>
          </w:tcPr>
          <w:p w14:paraId="52AACA79" w14:textId="77777777" w:rsidR="00E023D9" w:rsidRDefault="00E023D9">
            <w:pPr>
              <w:pStyle w:val="xBeteckning1"/>
            </w:pPr>
          </w:p>
        </w:tc>
      </w:tr>
      <w:tr w:rsidR="00E023D9" w14:paraId="12394A42" w14:textId="77777777">
        <w:trPr>
          <w:cantSplit/>
          <w:trHeight w:val="238"/>
        </w:trPr>
        <w:tc>
          <w:tcPr>
            <w:tcW w:w="861" w:type="dxa"/>
            <w:vMerge/>
          </w:tcPr>
          <w:p w14:paraId="4641F1C1" w14:textId="77777777" w:rsidR="00E023D9" w:rsidRDefault="00E023D9">
            <w:pPr>
              <w:pStyle w:val="xLedtext"/>
            </w:pPr>
          </w:p>
        </w:tc>
        <w:tc>
          <w:tcPr>
            <w:tcW w:w="4448" w:type="dxa"/>
            <w:vAlign w:val="bottom"/>
          </w:tcPr>
          <w:p w14:paraId="6AE44144" w14:textId="77777777" w:rsidR="00E023D9" w:rsidRDefault="00E023D9">
            <w:pPr>
              <w:pStyle w:val="xLedtext"/>
            </w:pPr>
          </w:p>
        </w:tc>
        <w:tc>
          <w:tcPr>
            <w:tcW w:w="1725" w:type="dxa"/>
            <w:vAlign w:val="bottom"/>
          </w:tcPr>
          <w:p w14:paraId="51A8CAD5" w14:textId="77777777" w:rsidR="00E023D9" w:rsidRDefault="00E023D9">
            <w:pPr>
              <w:pStyle w:val="xLedtext"/>
            </w:pPr>
          </w:p>
        </w:tc>
        <w:tc>
          <w:tcPr>
            <w:tcW w:w="2563" w:type="dxa"/>
            <w:vAlign w:val="bottom"/>
          </w:tcPr>
          <w:p w14:paraId="537A3468" w14:textId="77777777" w:rsidR="00E023D9" w:rsidRDefault="00E023D9">
            <w:pPr>
              <w:pStyle w:val="xLedtext"/>
            </w:pPr>
          </w:p>
        </w:tc>
      </w:tr>
      <w:tr w:rsidR="00E023D9" w14:paraId="30FA77E6" w14:textId="77777777">
        <w:trPr>
          <w:cantSplit/>
          <w:trHeight w:val="238"/>
        </w:trPr>
        <w:tc>
          <w:tcPr>
            <w:tcW w:w="861" w:type="dxa"/>
            <w:vMerge/>
            <w:tcBorders>
              <w:bottom w:val="single" w:sz="4" w:space="0" w:color="auto"/>
            </w:tcBorders>
          </w:tcPr>
          <w:p w14:paraId="3AE27C9A" w14:textId="77777777" w:rsidR="00E023D9" w:rsidRDefault="00E023D9">
            <w:pPr>
              <w:pStyle w:val="xAvsandare3"/>
            </w:pPr>
          </w:p>
        </w:tc>
        <w:tc>
          <w:tcPr>
            <w:tcW w:w="4448" w:type="dxa"/>
            <w:tcBorders>
              <w:bottom w:val="single" w:sz="4" w:space="0" w:color="auto"/>
            </w:tcBorders>
            <w:vAlign w:val="center"/>
          </w:tcPr>
          <w:p w14:paraId="1DD2E362" w14:textId="77777777" w:rsidR="00E023D9" w:rsidRDefault="00E023D9">
            <w:pPr>
              <w:pStyle w:val="xAvsandare3"/>
            </w:pPr>
          </w:p>
        </w:tc>
        <w:tc>
          <w:tcPr>
            <w:tcW w:w="1725" w:type="dxa"/>
            <w:tcBorders>
              <w:bottom w:val="single" w:sz="4" w:space="0" w:color="auto"/>
            </w:tcBorders>
            <w:vAlign w:val="center"/>
          </w:tcPr>
          <w:p w14:paraId="3E69EC5C" w14:textId="77777777" w:rsidR="00E023D9" w:rsidRDefault="00E023D9">
            <w:pPr>
              <w:pStyle w:val="xDatum2"/>
            </w:pPr>
          </w:p>
        </w:tc>
        <w:tc>
          <w:tcPr>
            <w:tcW w:w="2563" w:type="dxa"/>
            <w:tcBorders>
              <w:bottom w:val="single" w:sz="4" w:space="0" w:color="auto"/>
            </w:tcBorders>
            <w:vAlign w:val="center"/>
          </w:tcPr>
          <w:p w14:paraId="009D6363" w14:textId="77777777" w:rsidR="00E023D9" w:rsidRDefault="00E023D9">
            <w:pPr>
              <w:pStyle w:val="xBeteckning2"/>
            </w:pPr>
          </w:p>
        </w:tc>
      </w:tr>
      <w:tr w:rsidR="00E023D9" w14:paraId="70BD381A" w14:textId="77777777">
        <w:trPr>
          <w:cantSplit/>
          <w:trHeight w:val="238"/>
        </w:trPr>
        <w:tc>
          <w:tcPr>
            <w:tcW w:w="861" w:type="dxa"/>
            <w:tcBorders>
              <w:top w:val="single" w:sz="4" w:space="0" w:color="auto"/>
            </w:tcBorders>
            <w:vAlign w:val="bottom"/>
          </w:tcPr>
          <w:p w14:paraId="13D68F78" w14:textId="77777777" w:rsidR="00E023D9" w:rsidRDefault="00E023D9">
            <w:pPr>
              <w:pStyle w:val="xLedtext"/>
            </w:pPr>
          </w:p>
        </w:tc>
        <w:tc>
          <w:tcPr>
            <w:tcW w:w="4448" w:type="dxa"/>
            <w:tcBorders>
              <w:top w:val="single" w:sz="4" w:space="0" w:color="auto"/>
            </w:tcBorders>
            <w:vAlign w:val="bottom"/>
          </w:tcPr>
          <w:p w14:paraId="294AB690" w14:textId="77777777" w:rsidR="00E023D9" w:rsidRDefault="00E023D9">
            <w:pPr>
              <w:pStyle w:val="xLedtext"/>
            </w:pPr>
          </w:p>
        </w:tc>
        <w:tc>
          <w:tcPr>
            <w:tcW w:w="4288" w:type="dxa"/>
            <w:gridSpan w:val="2"/>
            <w:tcBorders>
              <w:top w:val="single" w:sz="4" w:space="0" w:color="auto"/>
            </w:tcBorders>
            <w:vAlign w:val="bottom"/>
          </w:tcPr>
          <w:p w14:paraId="324A8AD7" w14:textId="77777777" w:rsidR="00E023D9" w:rsidRDefault="00E023D9">
            <w:pPr>
              <w:pStyle w:val="xLedtext"/>
            </w:pPr>
          </w:p>
        </w:tc>
      </w:tr>
    </w:tbl>
    <w:p w14:paraId="261E2569" w14:textId="77777777" w:rsidR="00E023D9" w:rsidRDefault="00E023D9">
      <w:pPr>
        <w:rPr>
          <w:b/>
          <w:bCs/>
        </w:rPr>
        <w:sectPr w:rsidR="00E023D9">
          <w:footerReference w:type="even" r:id="rId9"/>
          <w:footerReference w:type="default" r:id="rId10"/>
          <w:pgSz w:w="11906" w:h="16838" w:code="9"/>
          <w:pgMar w:top="567" w:right="1134" w:bottom="1418" w:left="1191" w:header="624" w:footer="851" w:gutter="0"/>
          <w:cols w:space="708"/>
          <w:docGrid w:linePitch="360"/>
        </w:sectPr>
      </w:pPr>
    </w:p>
    <w:p w14:paraId="6D8DF4D9" w14:textId="073DE0EF" w:rsidR="00E023D9" w:rsidRDefault="00E023D9">
      <w:pPr>
        <w:pStyle w:val="ArendeOverRubrik"/>
      </w:pPr>
      <w:r>
        <w:t xml:space="preserve">Parallelltexter till landskapsregeringens </w:t>
      </w:r>
      <w:r w:rsidR="00212769">
        <w:t>lagförslag</w:t>
      </w:r>
    </w:p>
    <w:p w14:paraId="79F72283" w14:textId="18B24E38" w:rsidR="00E023D9" w:rsidRPr="003C69F0" w:rsidRDefault="003C69F0" w:rsidP="003C69F0">
      <w:pPr>
        <w:pStyle w:val="ANormal"/>
        <w:jc w:val="left"/>
        <w:rPr>
          <w:rFonts w:ascii="Arial" w:hAnsi="Arial" w:cs="Arial"/>
          <w:b/>
          <w:bCs/>
          <w:sz w:val="26"/>
          <w:szCs w:val="26"/>
        </w:rPr>
      </w:pPr>
      <w:r>
        <w:rPr>
          <w:rFonts w:ascii="Arial" w:hAnsi="Arial" w:cs="Arial"/>
          <w:b/>
          <w:bCs/>
          <w:sz w:val="26"/>
          <w:szCs w:val="26"/>
        </w:rPr>
        <w:t>Å</w:t>
      </w:r>
      <w:r w:rsidRPr="007A34DD">
        <w:rPr>
          <w:rFonts w:ascii="Arial" w:hAnsi="Arial" w:cs="Arial"/>
          <w:b/>
          <w:bCs/>
          <w:sz w:val="26"/>
          <w:szCs w:val="26"/>
        </w:rPr>
        <w:t>terinför</w:t>
      </w:r>
      <w:r w:rsidR="002A28A5">
        <w:rPr>
          <w:rFonts w:ascii="Arial" w:hAnsi="Arial" w:cs="Arial"/>
          <w:b/>
          <w:bCs/>
          <w:sz w:val="26"/>
          <w:szCs w:val="26"/>
        </w:rPr>
        <w:t>ande</w:t>
      </w:r>
      <w:r>
        <w:rPr>
          <w:rFonts w:ascii="Arial" w:hAnsi="Arial" w:cs="Arial"/>
          <w:b/>
          <w:bCs/>
          <w:sz w:val="26"/>
          <w:szCs w:val="26"/>
        </w:rPr>
        <w:t xml:space="preserve"> av</w:t>
      </w:r>
      <w:r w:rsidRPr="007A34DD">
        <w:rPr>
          <w:rFonts w:ascii="Arial" w:hAnsi="Arial" w:cs="Arial"/>
          <w:b/>
          <w:bCs/>
          <w:sz w:val="26"/>
          <w:szCs w:val="26"/>
        </w:rPr>
        <w:t xml:space="preserve"> utkomststöd för ägarbostäder inom det grundläggande utkomststödet</w:t>
      </w:r>
    </w:p>
    <w:p w14:paraId="18F3FB32" w14:textId="708BB53D" w:rsidR="00E023D9" w:rsidRDefault="00E023D9">
      <w:pPr>
        <w:pStyle w:val="ArendeUnderRubrik"/>
      </w:pPr>
      <w:r>
        <w:t xml:space="preserve">Landskapsregeringens </w:t>
      </w:r>
      <w:r w:rsidR="00212769">
        <w:t>lagförslag</w:t>
      </w:r>
      <w:r>
        <w:t xml:space="preserve"> nr </w:t>
      </w:r>
      <w:r w:rsidR="006B08DC">
        <w:t>17</w:t>
      </w:r>
      <w:r>
        <w:t>/</w:t>
      </w:r>
      <w:proofErr w:type="gramStart"/>
      <w:r>
        <w:t>20</w:t>
      </w:r>
      <w:r w:rsidR="006B08DC">
        <w:t>24</w:t>
      </w:r>
      <w:r>
        <w:t>-20</w:t>
      </w:r>
      <w:r w:rsidR="006B08DC">
        <w:t>25</w:t>
      </w:r>
      <w:proofErr w:type="gramEnd"/>
    </w:p>
    <w:p w14:paraId="62F86D87" w14:textId="77777777" w:rsidR="00E023D9" w:rsidRDefault="00E023D9">
      <w:pPr>
        <w:pStyle w:val="ANormal"/>
      </w:pPr>
    </w:p>
    <w:p w14:paraId="6F8EAF01" w14:textId="77777777" w:rsidR="00E023D9" w:rsidRDefault="00E023D9">
      <w:pPr>
        <w:pStyle w:val="Innehll1"/>
      </w:pPr>
      <w:r>
        <w:t>INNEHÅLL</w:t>
      </w:r>
    </w:p>
    <w:p w14:paraId="5C7BD6DC" w14:textId="56B0AAD3" w:rsidR="003C69F0" w:rsidRDefault="00E023D9">
      <w:pPr>
        <w:pStyle w:val="Innehll1"/>
        <w:rPr>
          <w:rFonts w:asciiTheme="minorHAnsi" w:eastAsiaTheme="minorEastAsia" w:hAnsiTheme="minorHAnsi" w:cstheme="minorBidi"/>
          <w:kern w:val="2"/>
          <w:sz w:val="24"/>
          <w:szCs w:val="24"/>
          <w:lang w:val="en-GB" w:eastAsia="en-GB"/>
          <w14:ligatures w14:val="standardContextual"/>
        </w:rPr>
      </w:pPr>
      <w:r>
        <w:fldChar w:fldCharType="begin"/>
      </w:r>
      <w:r>
        <w:instrText xml:space="preserve"> TOC \o "1-1" \h \z \t "LagHuvRubr;1" </w:instrText>
      </w:r>
      <w:r>
        <w:fldChar w:fldCharType="separate"/>
      </w:r>
      <w:hyperlink w:anchor="_Toc189656289" w:history="1">
        <w:r w:rsidR="003C69F0" w:rsidRPr="00EB49F4">
          <w:rPr>
            <w:rStyle w:val="Hyperlnk"/>
          </w:rPr>
          <w:t>L A N D S K A P S L A G om ändring av landskapslagen om tillämpning i landskapet Åland av lagen om utkomststöd</w:t>
        </w:r>
        <w:r w:rsidR="003C69F0">
          <w:rPr>
            <w:webHidden/>
          </w:rPr>
          <w:tab/>
        </w:r>
        <w:r w:rsidR="003C69F0">
          <w:rPr>
            <w:webHidden/>
          </w:rPr>
          <w:fldChar w:fldCharType="begin"/>
        </w:r>
        <w:r w:rsidR="003C69F0">
          <w:rPr>
            <w:webHidden/>
          </w:rPr>
          <w:instrText xml:space="preserve"> PAGEREF _Toc189656289 \h </w:instrText>
        </w:r>
        <w:r w:rsidR="003C69F0">
          <w:rPr>
            <w:webHidden/>
          </w:rPr>
        </w:r>
        <w:r w:rsidR="003C69F0">
          <w:rPr>
            <w:webHidden/>
          </w:rPr>
          <w:fldChar w:fldCharType="separate"/>
        </w:r>
        <w:r w:rsidR="003C69F0">
          <w:rPr>
            <w:webHidden/>
          </w:rPr>
          <w:t>1</w:t>
        </w:r>
        <w:r w:rsidR="003C69F0">
          <w:rPr>
            <w:webHidden/>
          </w:rPr>
          <w:fldChar w:fldCharType="end"/>
        </w:r>
      </w:hyperlink>
    </w:p>
    <w:p w14:paraId="15EEABF0" w14:textId="3A7BF420" w:rsidR="003C69F0" w:rsidRDefault="003C69F0">
      <w:pPr>
        <w:pStyle w:val="Innehll1"/>
        <w:rPr>
          <w:rFonts w:asciiTheme="minorHAnsi" w:eastAsiaTheme="minorEastAsia" w:hAnsiTheme="minorHAnsi" w:cstheme="minorBidi"/>
          <w:kern w:val="2"/>
          <w:sz w:val="24"/>
          <w:szCs w:val="24"/>
          <w:lang w:val="en-GB" w:eastAsia="en-GB"/>
          <w14:ligatures w14:val="standardContextual"/>
        </w:rPr>
      </w:pPr>
      <w:hyperlink w:anchor="_Toc189656290" w:history="1">
        <w:r w:rsidRPr="00EB49F4">
          <w:rPr>
            <w:rStyle w:val="Hyperlnk"/>
          </w:rPr>
          <w:t>L A N D S K A P S L A G om ändring av landskapslagen om tillämpning på Åland av lagen om allmänt bostadsbidrag</w:t>
        </w:r>
        <w:r>
          <w:rPr>
            <w:webHidden/>
          </w:rPr>
          <w:tab/>
        </w:r>
        <w:r>
          <w:rPr>
            <w:webHidden/>
          </w:rPr>
          <w:fldChar w:fldCharType="begin"/>
        </w:r>
        <w:r>
          <w:rPr>
            <w:webHidden/>
          </w:rPr>
          <w:instrText xml:space="preserve"> PAGEREF _Toc189656290 \h </w:instrText>
        </w:r>
        <w:r>
          <w:rPr>
            <w:webHidden/>
          </w:rPr>
        </w:r>
        <w:r>
          <w:rPr>
            <w:webHidden/>
          </w:rPr>
          <w:fldChar w:fldCharType="separate"/>
        </w:r>
        <w:r>
          <w:rPr>
            <w:webHidden/>
          </w:rPr>
          <w:t>3</w:t>
        </w:r>
        <w:r>
          <w:rPr>
            <w:webHidden/>
          </w:rPr>
          <w:fldChar w:fldCharType="end"/>
        </w:r>
      </w:hyperlink>
    </w:p>
    <w:p w14:paraId="1690C3EE" w14:textId="0046CCE4" w:rsidR="00E023D9" w:rsidRDefault="00E023D9">
      <w:pPr>
        <w:pStyle w:val="ANormal"/>
        <w:tabs>
          <w:tab w:val="right" w:leader="dot" w:pos="7809"/>
        </w:tabs>
        <w:rPr>
          <w:rFonts w:ascii="Verdana" w:hAnsi="Verdana"/>
          <w:noProof/>
          <w:sz w:val="16"/>
          <w:szCs w:val="36"/>
        </w:rPr>
      </w:pPr>
      <w:r>
        <w:rPr>
          <w:rFonts w:ascii="Verdana" w:hAnsi="Verdana"/>
          <w:noProof/>
          <w:sz w:val="16"/>
          <w:szCs w:val="36"/>
        </w:rPr>
        <w:fldChar w:fldCharType="end"/>
      </w:r>
    </w:p>
    <w:p w14:paraId="4AB93AA2" w14:textId="77777777" w:rsidR="00E023D9" w:rsidRDefault="00E023D9">
      <w:pPr>
        <w:pStyle w:val="ANormal"/>
        <w:rPr>
          <w:noProof/>
        </w:rPr>
      </w:pPr>
    </w:p>
    <w:p w14:paraId="3F0B2308" w14:textId="77777777" w:rsidR="00E023D9" w:rsidRPr="001B7B39" w:rsidRDefault="00505C57">
      <w:pPr>
        <w:pStyle w:val="ANormal"/>
      </w:pPr>
      <w:r w:rsidRPr="001B7B39">
        <w:t>1</w:t>
      </w:r>
      <w:r w:rsidR="00262245" w:rsidRPr="001B7B39">
        <w:t>.</w:t>
      </w:r>
    </w:p>
    <w:p w14:paraId="294BBD01" w14:textId="58FAB6EE" w:rsidR="00E023D9" w:rsidRPr="00212769" w:rsidRDefault="00E023D9">
      <w:pPr>
        <w:pStyle w:val="LagHuvRubr"/>
      </w:pPr>
      <w:bookmarkStart w:id="0" w:name="_Toc500921111"/>
      <w:bookmarkStart w:id="1" w:name="_Toc528640435"/>
      <w:bookmarkStart w:id="2" w:name="_Toc189656289"/>
      <w:r w:rsidRPr="001B7B39">
        <w:t>L A N D S K A P S L A G</w:t>
      </w:r>
      <w:r w:rsidRPr="001B7B39">
        <w:br/>
      </w:r>
      <w:r w:rsidRPr="00212769">
        <w:t>om</w:t>
      </w:r>
      <w:bookmarkEnd w:id="0"/>
      <w:bookmarkEnd w:id="1"/>
      <w:r w:rsidR="00212769" w:rsidRPr="00212769">
        <w:t xml:space="preserve"> ändring av landskapslagen om </w:t>
      </w:r>
      <w:r w:rsidR="001B7B39">
        <w:t>tillämpning i landskapet Åland av lagen om utkomststöd</w:t>
      </w:r>
      <w:bookmarkEnd w:id="2"/>
    </w:p>
    <w:p w14:paraId="599E93B2" w14:textId="77777777" w:rsidR="00E023D9" w:rsidRDefault="00E023D9">
      <w:pPr>
        <w:pStyle w:val="ANormal"/>
      </w:pPr>
    </w:p>
    <w:p w14:paraId="702253C7" w14:textId="77777777" w:rsidR="00F25FB3" w:rsidRPr="00212769" w:rsidRDefault="00F25FB3">
      <w:pPr>
        <w:pStyle w:val="ANormal"/>
      </w:pPr>
    </w:p>
    <w:p w14:paraId="488393F4" w14:textId="1ABEBD5D" w:rsidR="00212769" w:rsidRDefault="00212769">
      <w:pPr>
        <w:pStyle w:val="ANormal"/>
      </w:pPr>
      <w:r w:rsidRPr="00212769">
        <w:tab/>
        <w:t>I enlighet med lagtingets beslut</w:t>
      </w:r>
      <w:r w:rsidR="001B7B39">
        <w:t xml:space="preserve"> </w:t>
      </w:r>
      <w:r w:rsidRPr="00D93292">
        <w:rPr>
          <w:b/>
          <w:bCs/>
        </w:rPr>
        <w:t>fogas</w:t>
      </w:r>
      <w:r w:rsidRPr="00212769">
        <w:t xml:space="preserve"> till landskapsl</w:t>
      </w:r>
      <w:r>
        <w:t>a</w:t>
      </w:r>
      <w:r w:rsidRPr="00212769">
        <w:t>gen (</w:t>
      </w:r>
      <w:r w:rsidR="001B7B39">
        <w:t>1998:66</w:t>
      </w:r>
      <w:r w:rsidRPr="00212769">
        <w:t xml:space="preserve">) om </w:t>
      </w:r>
      <w:r w:rsidR="001B7B39">
        <w:t>tillämpning i landskapet Åland av lagen om utkomststöd</w:t>
      </w:r>
      <w:r w:rsidRPr="00212769">
        <w:t xml:space="preserve"> </w:t>
      </w:r>
      <w:r w:rsidR="001B7B39">
        <w:t xml:space="preserve">en </w:t>
      </w:r>
      <w:r w:rsidRPr="00212769">
        <w:t>ny 2a</w:t>
      </w:r>
      <w:r w:rsidR="00726E0C">
        <w:t> §</w:t>
      </w:r>
      <w:r w:rsidR="00994F63" w:rsidRPr="00874C4C">
        <w:t>,</w:t>
      </w:r>
      <w:r w:rsidRPr="00874C4C">
        <w:t xml:space="preserve"> som</w:t>
      </w:r>
      <w:r w:rsidRPr="00212769">
        <w:t xml:space="preserve"> följer</w:t>
      </w:r>
      <w:r w:rsidR="00994F63">
        <w:t>:</w:t>
      </w:r>
    </w:p>
    <w:p w14:paraId="0C38B5C4" w14:textId="77777777" w:rsidR="00212769" w:rsidRPr="00212769" w:rsidRDefault="00212769">
      <w:pPr>
        <w:pStyle w:val="ANormal"/>
      </w:pPr>
    </w:p>
    <w:p w14:paraId="339506AE" w14:textId="77777777" w:rsidR="00E023D9" w:rsidRPr="00212769" w:rsidRDefault="00E023D9">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E023D9" w14:paraId="6436A7DE" w14:textId="77777777" w:rsidTr="00726E0C">
        <w:tc>
          <w:tcPr>
            <w:tcW w:w="2426" w:type="pct"/>
          </w:tcPr>
          <w:p w14:paraId="772E1414" w14:textId="77777777" w:rsidR="00E023D9" w:rsidRDefault="00E023D9">
            <w:pPr>
              <w:pStyle w:val="xCelltext"/>
              <w:jc w:val="center"/>
            </w:pPr>
            <w:r>
              <w:t>Gällande lydelse</w:t>
            </w:r>
          </w:p>
        </w:tc>
        <w:tc>
          <w:tcPr>
            <w:tcW w:w="146" w:type="pct"/>
          </w:tcPr>
          <w:p w14:paraId="3DC53F6C" w14:textId="77777777" w:rsidR="00E023D9" w:rsidRDefault="00E023D9">
            <w:pPr>
              <w:pStyle w:val="xCelltext"/>
              <w:jc w:val="center"/>
            </w:pPr>
          </w:p>
        </w:tc>
        <w:tc>
          <w:tcPr>
            <w:tcW w:w="2428" w:type="pct"/>
          </w:tcPr>
          <w:p w14:paraId="531EEB53" w14:textId="77777777" w:rsidR="00E023D9" w:rsidRDefault="00E023D9">
            <w:pPr>
              <w:pStyle w:val="xCelltext"/>
              <w:jc w:val="center"/>
            </w:pPr>
            <w:r>
              <w:t>Föreslagen lydelse</w:t>
            </w:r>
          </w:p>
        </w:tc>
      </w:tr>
      <w:tr w:rsidR="00675CB3" w:rsidRPr="006D139F" w14:paraId="4A7FF092" w14:textId="77777777" w:rsidTr="00726E0C">
        <w:tc>
          <w:tcPr>
            <w:tcW w:w="2426" w:type="pct"/>
          </w:tcPr>
          <w:p w14:paraId="1FD2CBE3" w14:textId="77777777" w:rsidR="00E023D9" w:rsidRDefault="00E023D9">
            <w:pPr>
              <w:pStyle w:val="ANormal"/>
            </w:pPr>
          </w:p>
          <w:p w14:paraId="6E1832AC" w14:textId="77777777" w:rsidR="00212769" w:rsidRDefault="00212769" w:rsidP="00212769">
            <w:pPr>
              <w:pStyle w:val="ANormal"/>
            </w:pPr>
          </w:p>
          <w:p w14:paraId="72E1F788" w14:textId="50F8A67F" w:rsidR="00E023D9" w:rsidRPr="00212769" w:rsidRDefault="00212769" w:rsidP="00212769">
            <w:pPr>
              <w:pStyle w:val="ANormal"/>
              <w:rPr>
                <w:i/>
                <w:iCs/>
              </w:rPr>
            </w:pPr>
            <w:r>
              <w:tab/>
            </w:r>
            <w:r w:rsidRPr="00212769">
              <w:rPr>
                <w:i/>
                <w:iCs/>
              </w:rPr>
              <w:t>Ny paragraf</w:t>
            </w:r>
          </w:p>
          <w:p w14:paraId="74E48DF1" w14:textId="349CA2EC" w:rsidR="00212769" w:rsidRDefault="00212769" w:rsidP="00212769">
            <w:pPr>
              <w:pStyle w:val="ANormal"/>
            </w:pPr>
          </w:p>
        </w:tc>
        <w:tc>
          <w:tcPr>
            <w:tcW w:w="146" w:type="pct"/>
          </w:tcPr>
          <w:p w14:paraId="7F264584" w14:textId="77777777" w:rsidR="00E023D9" w:rsidRPr="00D544C3" w:rsidRDefault="00E023D9">
            <w:pPr>
              <w:pStyle w:val="ANormal"/>
            </w:pPr>
          </w:p>
        </w:tc>
        <w:tc>
          <w:tcPr>
            <w:tcW w:w="2428" w:type="pct"/>
          </w:tcPr>
          <w:p w14:paraId="679F6730" w14:textId="10155506" w:rsidR="00E023D9" w:rsidRPr="006D139F" w:rsidRDefault="00E023D9" w:rsidP="003C69F0">
            <w:pPr>
              <w:pStyle w:val="LagParagraf"/>
              <w:jc w:val="left"/>
              <w:rPr>
                <w:b/>
                <w:bCs/>
              </w:rPr>
            </w:pPr>
          </w:p>
          <w:p w14:paraId="1E3CB5E4" w14:textId="3F817491" w:rsidR="003C69F0" w:rsidRPr="006D139F" w:rsidRDefault="003C69F0" w:rsidP="003C69F0">
            <w:pPr>
              <w:pStyle w:val="LagParagraf"/>
              <w:rPr>
                <w:b/>
                <w:bCs/>
              </w:rPr>
            </w:pPr>
            <w:r w:rsidRPr="006D139F">
              <w:rPr>
                <w:b/>
                <w:bCs/>
              </w:rPr>
              <w:t>2a</w:t>
            </w:r>
            <w:r w:rsidR="00726E0C">
              <w:rPr>
                <w:b/>
                <w:bCs/>
              </w:rPr>
              <w:t> §</w:t>
            </w:r>
          </w:p>
          <w:p w14:paraId="1A1ABD0E" w14:textId="77777777" w:rsidR="003C69F0" w:rsidRPr="006D139F" w:rsidRDefault="003C69F0" w:rsidP="003C69F0">
            <w:pPr>
              <w:pStyle w:val="ANormal"/>
              <w:jc w:val="center"/>
              <w:rPr>
                <w:b/>
                <w:bCs/>
              </w:rPr>
            </w:pPr>
            <w:r w:rsidRPr="006D139F">
              <w:rPr>
                <w:b/>
                <w:bCs/>
                <w:i/>
                <w:iCs/>
              </w:rPr>
              <w:t>Ytterligare godtagbara boendeutgifter</w:t>
            </w:r>
          </w:p>
          <w:p w14:paraId="7A4CF340" w14:textId="1325CAC8" w:rsidR="00C96015" w:rsidRPr="00726E0C" w:rsidRDefault="003C69F0" w:rsidP="00726E0C">
            <w:pPr>
              <w:pStyle w:val="ANormal"/>
              <w:rPr>
                <w:b/>
                <w:bCs/>
              </w:rPr>
            </w:pPr>
            <w:r w:rsidRPr="00726E0C">
              <w:rPr>
                <w:b/>
                <w:bCs/>
              </w:rPr>
              <w:tab/>
            </w:r>
            <w:r w:rsidR="00C96015" w:rsidRPr="00726E0C">
              <w:rPr>
                <w:b/>
                <w:bCs/>
              </w:rPr>
              <w:t>Utöver de godtagbara boendeavgifter som föreskrivs i 9</w:t>
            </w:r>
            <w:r w:rsidR="00726E0C" w:rsidRPr="00726E0C">
              <w:rPr>
                <w:b/>
                <w:bCs/>
              </w:rPr>
              <w:t> §</w:t>
            </w:r>
            <w:r w:rsidR="00C96015" w:rsidRPr="00726E0C">
              <w:rPr>
                <w:b/>
                <w:bCs/>
              </w:rPr>
              <w:t xml:space="preserve"> i rikets lag om allmänt bostadsbidrag som är tillämplig på Åland enligt landskapslagen om tillämpning på Åland av lagen om allmänt bostadsbidrag ska även boendeutgifter för ett hushåll som bor i en ägarbostad godkännas.</w:t>
            </w:r>
          </w:p>
          <w:p w14:paraId="64189A33" w14:textId="1EE07324" w:rsidR="00726E0C" w:rsidRPr="00726E0C" w:rsidRDefault="00C96015" w:rsidP="00726E0C">
            <w:pPr>
              <w:pStyle w:val="ANormal"/>
              <w:rPr>
                <w:b/>
                <w:bCs/>
              </w:rPr>
            </w:pPr>
            <w:r w:rsidRPr="00726E0C">
              <w:rPr>
                <w:b/>
                <w:bCs/>
              </w:rPr>
              <w:tab/>
              <w:t>Som boendeutgifter för ett hushåll som bor i en ägarbostad godkänns underhålls- och finansieringsutgifterna för bostaden. Som underhållsutgifter för en aktiebostad godkänns vederlaget samt separat betalda vattenavgifter och uppvärmningskostnader. Som separat betalda vattenavgifter och uppvärmningskostnader beaktas de belopp som föreskrivs i 9</w:t>
            </w:r>
            <w:r w:rsidR="00726E0C" w:rsidRPr="00726E0C">
              <w:rPr>
                <w:b/>
                <w:bCs/>
              </w:rPr>
              <w:t> §</w:t>
            </w:r>
            <w:r w:rsidRPr="00726E0C">
              <w:rPr>
                <w:b/>
                <w:bCs/>
              </w:rPr>
              <w:t xml:space="preserve"> i rikets lag om allmänt bostadsbidrag som är tillämplig på Åland enligt landskapslagen om tillämpning på Åland av lagen om allmänt bostadsbidrag</w:t>
            </w:r>
            <w:r w:rsidR="00726E0C" w:rsidRPr="00726E0C">
              <w:rPr>
                <w:b/>
                <w:bCs/>
              </w:rPr>
              <w:t>.</w:t>
            </w:r>
          </w:p>
          <w:p w14:paraId="216962A0" w14:textId="0015EC58" w:rsidR="00DA0CC3" w:rsidRPr="00726E0C" w:rsidRDefault="003C69F0" w:rsidP="00726E0C">
            <w:pPr>
              <w:pStyle w:val="ANormal"/>
              <w:rPr>
                <w:b/>
                <w:bCs/>
              </w:rPr>
            </w:pPr>
            <w:r w:rsidRPr="00726E0C">
              <w:rPr>
                <w:b/>
                <w:bCs/>
              </w:rPr>
              <w:tab/>
              <w:t>Som underhållsutgifter för andra ägarbostäder än aktiebostäder godkänns följande:</w:t>
            </w:r>
          </w:p>
          <w:tbl>
            <w:tblPr>
              <w:tblW w:w="3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23"/>
              <w:gridCol w:w="1655"/>
            </w:tblGrid>
            <w:tr w:rsidR="00675CB3" w:rsidRPr="006D139F" w14:paraId="539B1D21" w14:textId="77777777" w:rsidTr="00F54F24">
              <w:tc>
                <w:tcPr>
                  <w:tcW w:w="1559" w:type="dxa"/>
                  <w:shd w:val="clear" w:color="auto" w:fill="FFFFFF"/>
                  <w:tcMar>
                    <w:top w:w="105" w:type="dxa"/>
                    <w:left w:w="150" w:type="dxa"/>
                    <w:bottom w:w="105" w:type="dxa"/>
                    <w:right w:w="150" w:type="dxa"/>
                  </w:tcMar>
                  <w:hideMark/>
                </w:tcPr>
                <w:p w14:paraId="50546F79" w14:textId="34C3E3DA" w:rsidR="00DA0CC3" w:rsidRPr="006D139F" w:rsidRDefault="00DA0CC3" w:rsidP="00DA0CC3">
                  <w:pPr>
                    <w:pStyle w:val="Tabelltext"/>
                    <w:rPr>
                      <w:rFonts w:ascii="Times New Roman" w:eastAsia="Calibri" w:hAnsi="Times New Roman" w:cs="Times New Roman"/>
                      <w:b/>
                      <w:bCs/>
                      <w:sz w:val="22"/>
                      <w:szCs w:val="22"/>
                      <w:lang w:val="sv-FI" w:eastAsia="sv-FI"/>
                    </w:rPr>
                  </w:pPr>
                  <w:r w:rsidRPr="006D139F">
                    <w:rPr>
                      <w:rFonts w:ascii="Times New Roman" w:hAnsi="Times New Roman" w:cs="Times New Roman"/>
                      <w:b/>
                      <w:bCs/>
                      <w:sz w:val="22"/>
                      <w:szCs w:val="22"/>
                    </w:rPr>
                    <w:lastRenderedPageBreak/>
                    <w:t>Hushållets storlek, personer</w:t>
                  </w:r>
                </w:p>
              </w:tc>
              <w:tc>
                <w:tcPr>
                  <w:tcW w:w="1276" w:type="dxa"/>
                  <w:shd w:val="clear" w:color="auto" w:fill="FFFFFF"/>
                  <w:tcMar>
                    <w:top w:w="105" w:type="dxa"/>
                    <w:left w:w="150" w:type="dxa"/>
                    <w:bottom w:w="105" w:type="dxa"/>
                    <w:right w:w="150" w:type="dxa"/>
                  </w:tcMar>
                  <w:hideMark/>
                </w:tcPr>
                <w:p w14:paraId="49260BAF" w14:textId="2FFD3B53" w:rsidR="00DA0CC3" w:rsidRPr="006D139F" w:rsidRDefault="00DA0CC3" w:rsidP="00DA0CC3">
                  <w:pPr>
                    <w:pStyle w:val="Tabelltext"/>
                    <w:rPr>
                      <w:rFonts w:ascii="Times New Roman" w:eastAsia="Calibri" w:hAnsi="Times New Roman" w:cs="Times New Roman"/>
                      <w:b/>
                      <w:bCs/>
                      <w:sz w:val="22"/>
                      <w:szCs w:val="22"/>
                      <w:lang w:val="sv-FI" w:eastAsia="sv-FI"/>
                    </w:rPr>
                  </w:pPr>
                  <w:r w:rsidRPr="006D139F">
                    <w:rPr>
                      <w:rFonts w:ascii="Times New Roman" w:hAnsi="Times New Roman" w:cs="Times New Roman"/>
                      <w:b/>
                      <w:bCs/>
                      <w:sz w:val="22"/>
                      <w:szCs w:val="22"/>
                    </w:rPr>
                    <w:t>Underhållsutgifter som ska beaktas</w:t>
                  </w:r>
                  <w:r w:rsidR="004562DD">
                    <w:rPr>
                      <w:rFonts w:ascii="Times New Roman" w:hAnsi="Times New Roman" w:cs="Times New Roman"/>
                      <w:b/>
                      <w:bCs/>
                      <w:sz w:val="22"/>
                      <w:szCs w:val="22"/>
                    </w:rPr>
                    <w:t xml:space="preserve"> i euro</w:t>
                  </w:r>
                  <w:r w:rsidRPr="006D139F">
                    <w:rPr>
                      <w:rFonts w:ascii="Times New Roman" w:hAnsi="Times New Roman" w:cs="Times New Roman"/>
                      <w:b/>
                      <w:bCs/>
                      <w:sz w:val="22"/>
                      <w:szCs w:val="22"/>
                    </w:rPr>
                    <w:t xml:space="preserve"> /månad</w:t>
                  </w:r>
                </w:p>
              </w:tc>
            </w:tr>
            <w:tr w:rsidR="00675CB3" w:rsidRPr="006D139F" w14:paraId="1B9634AB" w14:textId="77777777" w:rsidTr="00F54F24">
              <w:tc>
                <w:tcPr>
                  <w:tcW w:w="1559" w:type="dxa"/>
                  <w:tcMar>
                    <w:top w:w="105" w:type="dxa"/>
                    <w:left w:w="150" w:type="dxa"/>
                    <w:bottom w:w="105" w:type="dxa"/>
                    <w:right w:w="150" w:type="dxa"/>
                  </w:tcMar>
                  <w:hideMark/>
                </w:tcPr>
                <w:p w14:paraId="00B94BB1" w14:textId="7D9FAB1E" w:rsidR="00DA0CC3" w:rsidRPr="006D139F" w:rsidRDefault="00DA0CC3" w:rsidP="00DA0CC3">
                  <w:pPr>
                    <w:pStyle w:val="Tabelltext"/>
                    <w:rPr>
                      <w:rFonts w:ascii="Times New Roman" w:eastAsia="Calibri" w:hAnsi="Times New Roman" w:cs="Times New Roman"/>
                      <w:b/>
                      <w:bCs/>
                      <w:sz w:val="22"/>
                      <w:szCs w:val="22"/>
                      <w:lang w:val="sv-FI" w:eastAsia="sv-FI"/>
                    </w:rPr>
                  </w:pPr>
                  <w:r w:rsidRPr="006D139F">
                    <w:rPr>
                      <w:rFonts w:ascii="Times New Roman" w:eastAsia="Calibri" w:hAnsi="Times New Roman" w:cs="Times New Roman"/>
                      <w:b/>
                      <w:bCs/>
                      <w:sz w:val="22"/>
                      <w:szCs w:val="22"/>
                      <w:lang w:val="sv-FI" w:eastAsia="sv-FI"/>
                    </w:rPr>
                    <w:t>1</w:t>
                  </w:r>
                </w:p>
              </w:tc>
              <w:tc>
                <w:tcPr>
                  <w:tcW w:w="1276" w:type="dxa"/>
                  <w:tcMar>
                    <w:top w:w="105" w:type="dxa"/>
                    <w:left w:w="150" w:type="dxa"/>
                    <w:bottom w:w="105" w:type="dxa"/>
                    <w:right w:w="150" w:type="dxa"/>
                  </w:tcMar>
                  <w:hideMark/>
                </w:tcPr>
                <w:p w14:paraId="5F996A77" w14:textId="59D850FD" w:rsidR="00DA0CC3" w:rsidRPr="006D139F" w:rsidRDefault="00907B3B" w:rsidP="00DA0CC3">
                  <w:pPr>
                    <w:pStyle w:val="Tabelltext"/>
                    <w:rPr>
                      <w:rFonts w:ascii="Times New Roman" w:eastAsia="Calibri" w:hAnsi="Times New Roman" w:cs="Times New Roman"/>
                      <w:b/>
                      <w:bCs/>
                      <w:strike/>
                      <w:sz w:val="22"/>
                      <w:szCs w:val="22"/>
                      <w:lang w:val="sv-FI" w:eastAsia="sv-FI"/>
                    </w:rPr>
                  </w:pPr>
                  <w:r w:rsidRPr="006D139F">
                    <w:rPr>
                      <w:rFonts w:ascii="Times New Roman" w:eastAsia="Calibri" w:hAnsi="Times New Roman" w:cs="Times New Roman"/>
                      <w:b/>
                      <w:bCs/>
                      <w:sz w:val="22"/>
                      <w:szCs w:val="22"/>
                      <w:lang w:val="sv-FI" w:eastAsia="sv-FI"/>
                    </w:rPr>
                    <w:t>107</w:t>
                  </w:r>
                </w:p>
              </w:tc>
            </w:tr>
            <w:tr w:rsidR="00675CB3" w:rsidRPr="006D139F" w14:paraId="7E167012" w14:textId="77777777" w:rsidTr="00F54F24">
              <w:tc>
                <w:tcPr>
                  <w:tcW w:w="1559" w:type="dxa"/>
                  <w:tcMar>
                    <w:top w:w="105" w:type="dxa"/>
                    <w:left w:w="150" w:type="dxa"/>
                    <w:bottom w:w="105" w:type="dxa"/>
                    <w:right w:w="150" w:type="dxa"/>
                  </w:tcMar>
                </w:tcPr>
                <w:p w14:paraId="3B286BB4" w14:textId="7BA044E0" w:rsidR="00DA0CC3" w:rsidRPr="006D139F" w:rsidRDefault="00DA0CC3" w:rsidP="00DA0CC3">
                  <w:pPr>
                    <w:pStyle w:val="Tabelltext"/>
                    <w:rPr>
                      <w:rFonts w:ascii="Times New Roman" w:eastAsia="Calibri" w:hAnsi="Times New Roman" w:cs="Times New Roman"/>
                      <w:b/>
                      <w:bCs/>
                      <w:sz w:val="22"/>
                      <w:szCs w:val="22"/>
                      <w:lang w:val="sv-FI" w:eastAsia="sv-FI"/>
                    </w:rPr>
                  </w:pPr>
                  <w:r w:rsidRPr="006D139F">
                    <w:rPr>
                      <w:rFonts w:ascii="Times New Roman" w:eastAsia="Calibri" w:hAnsi="Times New Roman" w:cs="Times New Roman"/>
                      <w:b/>
                      <w:bCs/>
                      <w:sz w:val="22"/>
                      <w:szCs w:val="22"/>
                      <w:lang w:val="sv-FI" w:eastAsia="sv-FI"/>
                    </w:rPr>
                    <w:t>2</w:t>
                  </w:r>
                </w:p>
              </w:tc>
              <w:tc>
                <w:tcPr>
                  <w:tcW w:w="1276" w:type="dxa"/>
                  <w:tcMar>
                    <w:top w:w="105" w:type="dxa"/>
                    <w:left w:w="150" w:type="dxa"/>
                    <w:bottom w:w="105" w:type="dxa"/>
                    <w:right w:w="150" w:type="dxa"/>
                  </w:tcMar>
                </w:tcPr>
                <w:p w14:paraId="18B8A173" w14:textId="27004C9F" w:rsidR="00DA0CC3" w:rsidRPr="006D139F" w:rsidRDefault="00907B3B" w:rsidP="00DA0CC3">
                  <w:pPr>
                    <w:pStyle w:val="Tabelltext"/>
                    <w:rPr>
                      <w:rFonts w:ascii="Times New Roman" w:eastAsia="Calibri" w:hAnsi="Times New Roman" w:cs="Times New Roman"/>
                      <w:b/>
                      <w:bCs/>
                      <w:strike/>
                      <w:sz w:val="22"/>
                      <w:szCs w:val="22"/>
                      <w:lang w:val="sv-FI" w:eastAsia="sv-FI"/>
                    </w:rPr>
                  </w:pPr>
                  <w:r w:rsidRPr="006D139F">
                    <w:rPr>
                      <w:rFonts w:ascii="Times New Roman" w:eastAsia="Calibri" w:hAnsi="Times New Roman" w:cs="Times New Roman"/>
                      <w:b/>
                      <w:bCs/>
                      <w:sz w:val="22"/>
                      <w:szCs w:val="22"/>
                      <w:lang w:val="sv-FI" w:eastAsia="sv-FI"/>
                    </w:rPr>
                    <w:t>129</w:t>
                  </w:r>
                </w:p>
              </w:tc>
            </w:tr>
            <w:tr w:rsidR="00675CB3" w:rsidRPr="006D139F" w14:paraId="2E10AAE4" w14:textId="77777777" w:rsidTr="00F54F24">
              <w:tc>
                <w:tcPr>
                  <w:tcW w:w="1559" w:type="dxa"/>
                  <w:tcMar>
                    <w:top w:w="105" w:type="dxa"/>
                    <w:left w:w="150" w:type="dxa"/>
                    <w:bottom w:w="105" w:type="dxa"/>
                    <w:right w:w="150" w:type="dxa"/>
                  </w:tcMar>
                </w:tcPr>
                <w:p w14:paraId="0C1A1BAF" w14:textId="40BD813F" w:rsidR="00DA0CC3" w:rsidRPr="006D139F" w:rsidRDefault="00DA0CC3" w:rsidP="00DA0CC3">
                  <w:pPr>
                    <w:pStyle w:val="Tabelltext"/>
                    <w:rPr>
                      <w:rFonts w:ascii="Times New Roman" w:eastAsia="Calibri" w:hAnsi="Times New Roman" w:cs="Times New Roman"/>
                      <w:b/>
                      <w:bCs/>
                      <w:sz w:val="22"/>
                      <w:szCs w:val="22"/>
                      <w:lang w:val="sv-FI" w:eastAsia="sv-FI"/>
                    </w:rPr>
                  </w:pPr>
                  <w:r w:rsidRPr="006D139F">
                    <w:rPr>
                      <w:rFonts w:ascii="Times New Roman" w:eastAsia="Calibri" w:hAnsi="Times New Roman" w:cs="Times New Roman"/>
                      <w:b/>
                      <w:bCs/>
                      <w:sz w:val="22"/>
                      <w:szCs w:val="22"/>
                      <w:lang w:val="sv-FI" w:eastAsia="sv-FI"/>
                    </w:rPr>
                    <w:t>3</w:t>
                  </w:r>
                </w:p>
              </w:tc>
              <w:tc>
                <w:tcPr>
                  <w:tcW w:w="1276" w:type="dxa"/>
                  <w:tcMar>
                    <w:top w:w="105" w:type="dxa"/>
                    <w:left w:w="150" w:type="dxa"/>
                    <w:bottom w:w="105" w:type="dxa"/>
                    <w:right w:w="150" w:type="dxa"/>
                  </w:tcMar>
                </w:tcPr>
                <w:p w14:paraId="60A4D1C7" w14:textId="40F6EC24" w:rsidR="00DA0CC3" w:rsidRPr="006D139F" w:rsidRDefault="00907B3B" w:rsidP="00DA0CC3">
                  <w:pPr>
                    <w:pStyle w:val="Tabelltext"/>
                    <w:rPr>
                      <w:rFonts w:ascii="Times New Roman" w:eastAsia="Calibri" w:hAnsi="Times New Roman" w:cs="Times New Roman"/>
                      <w:b/>
                      <w:bCs/>
                      <w:sz w:val="22"/>
                      <w:szCs w:val="22"/>
                      <w:lang w:val="sv-FI" w:eastAsia="sv-FI"/>
                    </w:rPr>
                  </w:pPr>
                  <w:r w:rsidRPr="006D139F">
                    <w:rPr>
                      <w:rFonts w:ascii="Times New Roman" w:eastAsia="Calibri" w:hAnsi="Times New Roman" w:cs="Times New Roman"/>
                      <w:b/>
                      <w:bCs/>
                      <w:sz w:val="22"/>
                      <w:szCs w:val="22"/>
                      <w:lang w:val="sv-FI" w:eastAsia="sv-FI"/>
                    </w:rPr>
                    <w:t>162</w:t>
                  </w:r>
                </w:p>
              </w:tc>
            </w:tr>
            <w:tr w:rsidR="00675CB3" w:rsidRPr="006D139F" w14:paraId="70F6A24E" w14:textId="77777777" w:rsidTr="00F54F24">
              <w:tc>
                <w:tcPr>
                  <w:tcW w:w="1559" w:type="dxa"/>
                  <w:tcMar>
                    <w:top w:w="105" w:type="dxa"/>
                    <w:left w:w="150" w:type="dxa"/>
                    <w:bottom w:w="105" w:type="dxa"/>
                    <w:right w:w="150" w:type="dxa"/>
                  </w:tcMar>
                </w:tcPr>
                <w:p w14:paraId="10CF0953" w14:textId="411431EB" w:rsidR="00DA0CC3" w:rsidRPr="006D139F" w:rsidRDefault="00DA0CC3" w:rsidP="00DA0CC3">
                  <w:pPr>
                    <w:pStyle w:val="Tabelltext"/>
                    <w:rPr>
                      <w:rFonts w:ascii="Times New Roman" w:eastAsia="Calibri" w:hAnsi="Times New Roman" w:cs="Times New Roman"/>
                      <w:b/>
                      <w:bCs/>
                      <w:sz w:val="22"/>
                      <w:szCs w:val="22"/>
                      <w:lang w:val="sv-FI" w:eastAsia="sv-FI"/>
                    </w:rPr>
                  </w:pPr>
                  <w:r w:rsidRPr="006D139F">
                    <w:rPr>
                      <w:rFonts w:ascii="Times New Roman" w:eastAsia="Calibri" w:hAnsi="Times New Roman" w:cs="Times New Roman"/>
                      <w:b/>
                      <w:bCs/>
                      <w:sz w:val="22"/>
                      <w:szCs w:val="22"/>
                      <w:lang w:val="sv-FI" w:eastAsia="sv-FI"/>
                    </w:rPr>
                    <w:t>4</w:t>
                  </w:r>
                </w:p>
              </w:tc>
              <w:tc>
                <w:tcPr>
                  <w:tcW w:w="1276" w:type="dxa"/>
                  <w:tcMar>
                    <w:top w:w="105" w:type="dxa"/>
                    <w:left w:w="150" w:type="dxa"/>
                    <w:bottom w:w="105" w:type="dxa"/>
                    <w:right w:w="150" w:type="dxa"/>
                  </w:tcMar>
                </w:tcPr>
                <w:p w14:paraId="71A563E8" w14:textId="49AA501B" w:rsidR="00DA0CC3" w:rsidRPr="006D139F" w:rsidRDefault="00907B3B" w:rsidP="00DA0CC3">
                  <w:pPr>
                    <w:pStyle w:val="Tabelltext"/>
                    <w:rPr>
                      <w:rFonts w:ascii="Times New Roman" w:eastAsia="Calibri" w:hAnsi="Times New Roman" w:cs="Times New Roman"/>
                      <w:b/>
                      <w:bCs/>
                      <w:sz w:val="22"/>
                      <w:szCs w:val="22"/>
                      <w:lang w:val="sv-FI" w:eastAsia="sv-FI"/>
                    </w:rPr>
                  </w:pPr>
                  <w:r w:rsidRPr="006D139F">
                    <w:rPr>
                      <w:rFonts w:ascii="Times New Roman" w:eastAsia="Calibri" w:hAnsi="Times New Roman" w:cs="Times New Roman"/>
                      <w:b/>
                      <w:bCs/>
                      <w:sz w:val="22"/>
                      <w:szCs w:val="22"/>
                      <w:lang w:val="sv-FI" w:eastAsia="sv-FI"/>
                    </w:rPr>
                    <w:t>191</w:t>
                  </w:r>
                </w:p>
              </w:tc>
            </w:tr>
          </w:tbl>
          <w:p w14:paraId="6F7A4BD8" w14:textId="77777777" w:rsidR="00DA0CC3" w:rsidRPr="00726E0C" w:rsidRDefault="00DA0CC3" w:rsidP="00726E0C">
            <w:pPr>
              <w:pStyle w:val="ANormal"/>
              <w:rPr>
                <w:b/>
                <w:bCs/>
              </w:rPr>
            </w:pPr>
          </w:p>
          <w:p w14:paraId="4524C9F5" w14:textId="54455775" w:rsidR="003C69F0" w:rsidRPr="00726E0C" w:rsidRDefault="003C69F0" w:rsidP="00726E0C">
            <w:pPr>
              <w:pStyle w:val="ANormal"/>
              <w:rPr>
                <w:b/>
                <w:bCs/>
              </w:rPr>
            </w:pPr>
            <w:r w:rsidRPr="00726E0C">
              <w:rPr>
                <w:b/>
                <w:bCs/>
              </w:rPr>
              <w:tab/>
              <w:t xml:space="preserve">Om ett hushåll består av fler än fyra personer, höjs underhållsutgifterna för andra ägarbostäder än aktiebostäder med </w:t>
            </w:r>
            <w:r w:rsidR="00907B3B" w:rsidRPr="00726E0C">
              <w:rPr>
                <w:b/>
                <w:bCs/>
              </w:rPr>
              <w:t xml:space="preserve">59 </w:t>
            </w:r>
            <w:r w:rsidRPr="00726E0C">
              <w:rPr>
                <w:b/>
                <w:bCs/>
              </w:rPr>
              <w:t>euro för den medlem eller de medlemmar av hushållet som överstiger fyra personer.</w:t>
            </w:r>
          </w:p>
          <w:p w14:paraId="1B0690A7" w14:textId="020ED0E0" w:rsidR="003C69F0" w:rsidRPr="00726E0C" w:rsidRDefault="003C69F0" w:rsidP="00726E0C">
            <w:pPr>
              <w:pStyle w:val="ANormal"/>
              <w:rPr>
                <w:b/>
                <w:bCs/>
              </w:rPr>
            </w:pPr>
            <w:r w:rsidRPr="00726E0C">
              <w:rPr>
                <w:b/>
                <w:bCs/>
              </w:rPr>
              <w:tab/>
              <w:t>Som finansieringsutgifter för ett hushåll som bor i en ägarbostad godkänns 73 procent av de månatliga räntorna på personliga lån som tagits för att skaffa och bygga om bostaden. Som utgifter för en bostadsrättsbostad godkänns 73 procent av de månatliga räntorna på personliga lån som tagits för att skaffa bostadsrätten.</w:t>
            </w:r>
            <w:r w:rsidR="00F54F08" w:rsidRPr="00726E0C">
              <w:rPr>
                <w:b/>
                <w:bCs/>
              </w:rPr>
              <w:t xml:space="preserve"> </w:t>
            </w:r>
            <w:r w:rsidRPr="00726E0C">
              <w:rPr>
                <w:b/>
                <w:bCs/>
              </w:rPr>
              <w:t>Ovannämnda lån ska ha beviljats av en kommun, en församling eller en kreditinrättning som står under offentlig tillsyn och som bedriver kreditverksamhet.</w:t>
            </w:r>
          </w:p>
          <w:p w14:paraId="54A3E1AE" w14:textId="4758A125" w:rsidR="002B5C2A" w:rsidRPr="00726E0C" w:rsidRDefault="002B5C2A" w:rsidP="00726E0C">
            <w:pPr>
              <w:pStyle w:val="ANormal"/>
              <w:rPr>
                <w:b/>
                <w:bCs/>
              </w:rPr>
            </w:pPr>
            <w:r w:rsidRPr="00726E0C">
              <w:rPr>
                <w:b/>
                <w:bCs/>
              </w:rPr>
              <w:tab/>
            </w:r>
            <w:r w:rsidR="00A30119" w:rsidRPr="00726E0C">
              <w:rPr>
                <w:b/>
                <w:bCs/>
              </w:rPr>
              <w:t>Av de boendeutgifter för ett hushåll som är godtagbara för ägarbostäder beaktas högst beloppen enligt 3</w:t>
            </w:r>
            <w:r w:rsidR="00726E0C" w:rsidRPr="00726E0C">
              <w:rPr>
                <w:b/>
                <w:bCs/>
              </w:rPr>
              <w:t> §</w:t>
            </w:r>
            <w:r w:rsidR="00A30119" w:rsidRPr="00726E0C">
              <w:rPr>
                <w:b/>
                <w:bCs/>
              </w:rPr>
              <w:t xml:space="preserve"> 20</w:t>
            </w:r>
            <w:r w:rsidR="00726E0C" w:rsidRPr="00726E0C">
              <w:rPr>
                <w:b/>
                <w:bCs/>
              </w:rPr>
              <w:t> mom.</w:t>
            </w:r>
            <w:r w:rsidR="00A30119" w:rsidRPr="00726E0C">
              <w:rPr>
                <w:b/>
                <w:bCs/>
              </w:rPr>
              <w:t xml:space="preserve"> i landskapslagen om tillämpning på Åland av lagen om allmänt bostadsbidrag. </w:t>
            </w:r>
            <w:r w:rsidR="003C69F0" w:rsidRPr="00726E0C">
              <w:rPr>
                <w:b/>
                <w:bCs/>
              </w:rPr>
              <w:t>Av de i 2</w:t>
            </w:r>
            <w:r w:rsidR="00726E0C" w:rsidRPr="00726E0C">
              <w:rPr>
                <w:b/>
                <w:bCs/>
              </w:rPr>
              <w:t> mom.</w:t>
            </w:r>
            <w:r w:rsidR="003C69F0" w:rsidRPr="00726E0C">
              <w:rPr>
                <w:b/>
                <w:bCs/>
              </w:rPr>
              <w:t xml:space="preserve"> avsedda underhållsutgifterna för ett hushåll som bor i en aktiebostad beaktas som maximal underhållsutgift högst ett belopp som är 30 procent av de maximala boendeutgifter som avses i 3</w:t>
            </w:r>
            <w:r w:rsidR="00726E0C" w:rsidRPr="00726E0C">
              <w:rPr>
                <w:b/>
                <w:bCs/>
              </w:rPr>
              <w:t> §</w:t>
            </w:r>
            <w:r w:rsidR="003C69F0" w:rsidRPr="00726E0C">
              <w:rPr>
                <w:b/>
                <w:bCs/>
              </w:rPr>
              <w:t xml:space="preserve"> 20</w:t>
            </w:r>
            <w:r w:rsidR="00726E0C" w:rsidRPr="00726E0C">
              <w:rPr>
                <w:b/>
                <w:bCs/>
              </w:rPr>
              <w:t> mom.</w:t>
            </w:r>
            <w:r w:rsidR="003C69F0" w:rsidRPr="00726E0C">
              <w:rPr>
                <w:b/>
                <w:bCs/>
              </w:rPr>
              <w:t xml:space="preserve"> i landskapslagen om tillämpning på Åland av lagen om allmänt bostadsbidrag och som maximal finansieringsutgift högst ett belopp som är 70 procent av hushållets maximala boendeutgifter. Om underhållsutgifterna överstiger de maximala underhållsutgifterna, beaktas av den överskjutande delen 73 procent som godtagbara finansieringsutgifter för bostaden.</w:t>
            </w:r>
          </w:p>
          <w:p w14:paraId="7F02A1BB" w14:textId="7EA251DC" w:rsidR="003C69F0" w:rsidRPr="00726E0C" w:rsidRDefault="002B5C2A" w:rsidP="00726E0C">
            <w:pPr>
              <w:pStyle w:val="ANormal"/>
              <w:rPr>
                <w:b/>
                <w:bCs/>
              </w:rPr>
            </w:pPr>
            <w:r w:rsidRPr="00726E0C">
              <w:rPr>
                <w:b/>
                <w:bCs/>
              </w:rPr>
              <w:tab/>
            </w:r>
            <w:r w:rsidR="003C69F0" w:rsidRPr="00726E0C">
              <w:rPr>
                <w:b/>
                <w:bCs/>
              </w:rPr>
              <w:t xml:space="preserve">Om ett hushåll som bor på hyra har en underhyresgäst, avdras från de i denna paragraf avsedda boendeutgifterna för hushållet det hyresbelopp som </w:t>
            </w:r>
            <w:r w:rsidR="003C69F0" w:rsidRPr="00726E0C">
              <w:rPr>
                <w:b/>
                <w:bCs/>
              </w:rPr>
              <w:lastRenderedPageBreak/>
              <w:t>underhyresgästen betalar. I fråga om hushåll som bor i en ägarbostad avdras den hyra som underhyresgästen betalar från underhållsutgifterna och ett eventuellt resterande belopp från finansieringsutgifterna.</w:t>
            </w:r>
          </w:p>
          <w:p w14:paraId="5A5475AB" w14:textId="4CB011F0" w:rsidR="003C69F0" w:rsidRPr="00726E0C" w:rsidRDefault="002B5C2A" w:rsidP="00726E0C">
            <w:pPr>
              <w:pStyle w:val="ANormal"/>
              <w:rPr>
                <w:b/>
                <w:bCs/>
              </w:rPr>
            </w:pPr>
            <w:r w:rsidRPr="00726E0C">
              <w:rPr>
                <w:b/>
                <w:bCs/>
              </w:rPr>
              <w:tab/>
            </w:r>
            <w:r w:rsidR="003C69F0" w:rsidRPr="00726E0C">
              <w:rPr>
                <w:b/>
                <w:bCs/>
              </w:rPr>
              <w:t>De eurobelopp som anges i 3</w:t>
            </w:r>
            <w:r w:rsidR="00726E0C" w:rsidRPr="00726E0C">
              <w:rPr>
                <w:b/>
                <w:bCs/>
              </w:rPr>
              <w:t> mom.</w:t>
            </w:r>
            <w:r w:rsidR="003C69F0" w:rsidRPr="00726E0C">
              <w:rPr>
                <w:b/>
                <w:bCs/>
              </w:rPr>
              <w:t xml:space="preserve"> </w:t>
            </w:r>
            <w:r w:rsidR="00114F32" w:rsidRPr="00726E0C">
              <w:rPr>
                <w:b/>
                <w:bCs/>
              </w:rPr>
              <w:t>och 4</w:t>
            </w:r>
            <w:r w:rsidR="00726E0C" w:rsidRPr="00726E0C">
              <w:rPr>
                <w:b/>
                <w:bCs/>
              </w:rPr>
              <w:t> mom.</w:t>
            </w:r>
            <w:r w:rsidR="00114F32" w:rsidRPr="00726E0C">
              <w:rPr>
                <w:b/>
                <w:bCs/>
              </w:rPr>
              <w:t xml:space="preserve"> </w:t>
            </w:r>
            <w:r w:rsidR="003C69F0" w:rsidRPr="00726E0C">
              <w:rPr>
                <w:b/>
                <w:bCs/>
              </w:rPr>
              <w:t xml:space="preserve">justeras första gången </w:t>
            </w:r>
            <w:r w:rsidR="00114F32" w:rsidRPr="00726E0C">
              <w:rPr>
                <w:b/>
                <w:bCs/>
              </w:rPr>
              <w:t>år</w:t>
            </w:r>
            <w:r w:rsidR="003C69F0" w:rsidRPr="00726E0C">
              <w:rPr>
                <w:b/>
                <w:bCs/>
              </w:rPr>
              <w:t xml:space="preserve"> 2028 och därefter årligen utifrån förändringen i det konsumentprisindex för Åland som fastställs av Ålands statistisk- och utredningsbyrå för föregående år. De nya beloppen fastställs årligen på basis av föregående </w:t>
            </w:r>
            <w:proofErr w:type="gramStart"/>
            <w:r w:rsidR="003C69F0" w:rsidRPr="00726E0C">
              <w:rPr>
                <w:b/>
                <w:bCs/>
              </w:rPr>
              <w:t>års belopp</w:t>
            </w:r>
            <w:proofErr w:type="gramEnd"/>
            <w:r w:rsidR="003C69F0" w:rsidRPr="00726E0C">
              <w:rPr>
                <w:b/>
                <w:bCs/>
              </w:rPr>
              <w:t xml:space="preserve">. Till föregående </w:t>
            </w:r>
            <w:proofErr w:type="gramStart"/>
            <w:r w:rsidR="003C69F0" w:rsidRPr="00726E0C">
              <w:rPr>
                <w:b/>
                <w:bCs/>
              </w:rPr>
              <w:t>års belopp</w:t>
            </w:r>
            <w:proofErr w:type="gramEnd"/>
            <w:r w:rsidR="003C69F0" w:rsidRPr="00726E0C">
              <w:rPr>
                <w:b/>
                <w:bCs/>
              </w:rPr>
              <w:t xml:space="preserve"> läggs den ändring i det konsumentprisindex för Åland som fastställts av Ålands statistik- och utredningsbyrå och som ägde rum under det föregående kalenderåret. De indexjusterade beloppen tillämpas från och med februari månad och fastställs av landskapsregeringen före utgången av januari månad.</w:t>
            </w:r>
          </w:p>
          <w:p w14:paraId="6D291462" w14:textId="36C1123C" w:rsidR="00212769" w:rsidRPr="00726E0C" w:rsidRDefault="00212769" w:rsidP="00726E0C">
            <w:pPr>
              <w:pStyle w:val="ANormal"/>
              <w:rPr>
                <w:b/>
                <w:bCs/>
              </w:rPr>
            </w:pPr>
            <w:r w:rsidRPr="00726E0C">
              <w:rPr>
                <w:b/>
                <w:bCs/>
              </w:rPr>
              <w:tab/>
            </w:r>
            <w:r w:rsidR="00114F32" w:rsidRPr="00726E0C">
              <w:rPr>
                <w:b/>
                <w:bCs/>
              </w:rPr>
              <w:t>Beloppen enligt 2</w:t>
            </w:r>
            <w:r w:rsidR="00726E0C" w:rsidRPr="00726E0C">
              <w:rPr>
                <w:b/>
                <w:bCs/>
              </w:rPr>
              <w:t> mom.</w:t>
            </w:r>
            <w:r w:rsidR="00114F32" w:rsidRPr="00726E0C">
              <w:rPr>
                <w:b/>
                <w:bCs/>
              </w:rPr>
              <w:t xml:space="preserve"> och 6</w:t>
            </w:r>
            <w:r w:rsidR="00726E0C" w:rsidRPr="00726E0C">
              <w:rPr>
                <w:b/>
                <w:bCs/>
              </w:rPr>
              <w:t> mom.</w:t>
            </w:r>
            <w:r w:rsidR="00114F32" w:rsidRPr="00726E0C">
              <w:rPr>
                <w:b/>
                <w:bCs/>
              </w:rPr>
              <w:t xml:space="preserve"> justeras årligen såsom föreskrivs i rikslagstiftningen beträffande dessa belopp i riket.</w:t>
            </w:r>
          </w:p>
          <w:p w14:paraId="64B9E480" w14:textId="152C1F7E" w:rsidR="00212769" w:rsidRPr="006D139F" w:rsidRDefault="00212769" w:rsidP="00212769">
            <w:pPr>
              <w:pStyle w:val="ANormal"/>
              <w:rPr>
                <w:b/>
                <w:bCs/>
              </w:rPr>
            </w:pPr>
          </w:p>
        </w:tc>
      </w:tr>
      <w:tr w:rsidR="00212769" w14:paraId="46EBC129" w14:textId="77777777" w:rsidTr="00726E0C">
        <w:tc>
          <w:tcPr>
            <w:tcW w:w="2426" w:type="pct"/>
          </w:tcPr>
          <w:p w14:paraId="4F33C899" w14:textId="77777777" w:rsidR="00212769" w:rsidRDefault="00212769">
            <w:pPr>
              <w:pStyle w:val="ANormal"/>
            </w:pPr>
          </w:p>
        </w:tc>
        <w:tc>
          <w:tcPr>
            <w:tcW w:w="146" w:type="pct"/>
          </w:tcPr>
          <w:p w14:paraId="10A375F1" w14:textId="77777777" w:rsidR="00212769" w:rsidRPr="006D139F" w:rsidRDefault="00212769">
            <w:pPr>
              <w:pStyle w:val="ANormal"/>
              <w:rPr>
                <w:b/>
                <w:bCs/>
              </w:rPr>
            </w:pPr>
          </w:p>
        </w:tc>
        <w:tc>
          <w:tcPr>
            <w:tcW w:w="2428" w:type="pct"/>
          </w:tcPr>
          <w:p w14:paraId="7BBFEAF8" w14:textId="77777777" w:rsidR="00212769" w:rsidRPr="00726E0C" w:rsidRDefault="00212769" w:rsidP="00726E0C">
            <w:pPr>
              <w:pStyle w:val="ANormal"/>
            </w:pPr>
          </w:p>
          <w:p w14:paraId="2361CF4C" w14:textId="77777777" w:rsidR="00726E0C" w:rsidRDefault="00726E0C">
            <w:pPr>
              <w:pStyle w:val="ANormal"/>
              <w:jc w:val="center"/>
            </w:pPr>
            <w:hyperlink w:anchor="_top" w:tooltip="Klicka för att gå till toppen av dokumentet" w:history="1">
              <w:r>
                <w:rPr>
                  <w:rStyle w:val="Hyperlnk"/>
                </w:rPr>
                <w:t>__________________</w:t>
              </w:r>
            </w:hyperlink>
          </w:p>
          <w:p w14:paraId="46682B09" w14:textId="77777777" w:rsidR="00C96015" w:rsidRPr="00726E0C" w:rsidRDefault="00C96015" w:rsidP="00726E0C">
            <w:pPr>
              <w:pStyle w:val="ANormal"/>
            </w:pPr>
          </w:p>
          <w:p w14:paraId="1F38A976" w14:textId="17C95FAA" w:rsidR="00212769" w:rsidRPr="00726E0C" w:rsidRDefault="00726E0C" w:rsidP="00726E0C">
            <w:pPr>
              <w:pStyle w:val="ANormal"/>
            </w:pPr>
            <w:r>
              <w:tab/>
            </w:r>
            <w:r w:rsidR="00212769" w:rsidRPr="00726E0C">
              <w:t>Denna lag träder i kraft den</w:t>
            </w:r>
          </w:p>
          <w:p w14:paraId="4E8B16E5" w14:textId="77777777" w:rsidR="00C96015" w:rsidRPr="00726E0C" w:rsidRDefault="00C96015" w:rsidP="00726E0C">
            <w:pPr>
              <w:pStyle w:val="ANormal"/>
            </w:pPr>
          </w:p>
          <w:p w14:paraId="2367C4D7" w14:textId="77777777" w:rsidR="00726E0C" w:rsidRDefault="00726E0C">
            <w:pPr>
              <w:pStyle w:val="ANormal"/>
              <w:jc w:val="center"/>
            </w:pPr>
            <w:hyperlink w:anchor="_top" w:tooltip="Klicka för att gå till toppen av dokumentet" w:history="1">
              <w:r>
                <w:rPr>
                  <w:rStyle w:val="Hyperlnk"/>
                </w:rPr>
                <w:t>__________________</w:t>
              </w:r>
            </w:hyperlink>
          </w:p>
          <w:p w14:paraId="69F068A7" w14:textId="0D12E0C7" w:rsidR="00212769" w:rsidRPr="006D139F" w:rsidRDefault="00212769">
            <w:pPr>
              <w:pStyle w:val="ANormal"/>
              <w:rPr>
                <w:b/>
                <w:bCs/>
              </w:rPr>
            </w:pPr>
          </w:p>
        </w:tc>
      </w:tr>
    </w:tbl>
    <w:p w14:paraId="30747ADB" w14:textId="77777777" w:rsidR="00E023D9" w:rsidRDefault="00E023D9">
      <w:pPr>
        <w:pStyle w:val="ANormal"/>
      </w:pPr>
    </w:p>
    <w:p w14:paraId="20022E68" w14:textId="77777777" w:rsidR="00212769" w:rsidRDefault="00212769">
      <w:pPr>
        <w:pStyle w:val="ANormal"/>
        <w:jc w:val="center"/>
      </w:pPr>
      <w:hyperlink w:anchor="_top" w:tooltip="Klicka för att gå till toppen av dokumentet" w:history="1">
        <w:r>
          <w:rPr>
            <w:rStyle w:val="Hyperlnk"/>
          </w:rPr>
          <w:t>__________________</w:t>
        </w:r>
      </w:hyperlink>
    </w:p>
    <w:p w14:paraId="05797821" w14:textId="77777777" w:rsidR="00212769" w:rsidRDefault="00212769">
      <w:pPr>
        <w:pStyle w:val="ANormal"/>
      </w:pPr>
    </w:p>
    <w:p w14:paraId="006DB449" w14:textId="0BA9FAD0" w:rsidR="00726E0C" w:rsidRDefault="00726E0C">
      <w:pPr>
        <w:autoSpaceDE/>
        <w:autoSpaceDN/>
        <w:adjustRightInd/>
        <w:spacing w:line="240" w:lineRule="auto"/>
        <w:textAlignment w:val="auto"/>
        <w:rPr>
          <w:rFonts w:ascii="Times New Roman" w:eastAsia="Times New Roman" w:hAnsi="Times New Roman" w:cs="Times New Roman"/>
          <w:sz w:val="22"/>
          <w:lang w:eastAsia="sv-SE"/>
        </w:rPr>
      </w:pPr>
      <w:r>
        <w:br w:type="page"/>
      </w:r>
    </w:p>
    <w:p w14:paraId="1307AA13" w14:textId="77777777" w:rsidR="00726E0C" w:rsidRDefault="00726E0C">
      <w:pPr>
        <w:pStyle w:val="ANormal"/>
      </w:pPr>
    </w:p>
    <w:p w14:paraId="6DBF625E" w14:textId="39733987" w:rsidR="00212769" w:rsidRDefault="00212769">
      <w:pPr>
        <w:pStyle w:val="ANormal"/>
      </w:pPr>
      <w:r>
        <w:t xml:space="preserve">2. </w:t>
      </w:r>
    </w:p>
    <w:p w14:paraId="1187027C" w14:textId="5ED747E1" w:rsidR="00212769" w:rsidRDefault="00212769" w:rsidP="00212769">
      <w:pPr>
        <w:pStyle w:val="LagHuvRubr"/>
      </w:pPr>
      <w:bookmarkStart w:id="3" w:name="_Toc189656290"/>
      <w:r>
        <w:t>L A N D S K A P S L A G</w:t>
      </w:r>
      <w:r>
        <w:br/>
        <w:t xml:space="preserve">om ändring av </w:t>
      </w:r>
      <w:r w:rsidR="002B5C2A">
        <w:t>3</w:t>
      </w:r>
      <w:r w:rsidR="00726E0C">
        <w:t> §</w:t>
      </w:r>
      <w:r w:rsidR="002B5C2A">
        <w:t xml:space="preserve"> </w:t>
      </w:r>
      <w:r>
        <w:t xml:space="preserve">landskapslagen om </w:t>
      </w:r>
      <w:r w:rsidR="00E6708C">
        <w:t>tillämpning på Åland av lagen om allmänt bostadsbidrag</w:t>
      </w:r>
      <w:bookmarkEnd w:id="3"/>
      <w:r w:rsidR="00E6708C">
        <w:t xml:space="preserve"> </w:t>
      </w:r>
    </w:p>
    <w:p w14:paraId="362E7733" w14:textId="32083BFF" w:rsidR="00C96015" w:rsidRDefault="00C96015" w:rsidP="00212769">
      <w:pPr>
        <w:pStyle w:val="ANormal"/>
      </w:pPr>
    </w:p>
    <w:p w14:paraId="11D7DE66" w14:textId="1545D209" w:rsidR="00AF62F1" w:rsidRPr="00AB7711" w:rsidRDefault="00AF62F1" w:rsidP="00AF62F1">
      <w:pPr>
        <w:pStyle w:val="ANormal"/>
      </w:pPr>
      <w:r w:rsidRPr="00AB7711">
        <w:tab/>
        <w:t>I enlighet med lagtingets beslut</w:t>
      </w:r>
    </w:p>
    <w:p w14:paraId="217BA2E8" w14:textId="076B57FB" w:rsidR="00AF62F1" w:rsidRDefault="00AF62F1" w:rsidP="00AF62F1">
      <w:pPr>
        <w:pStyle w:val="ANormal"/>
        <w:rPr>
          <w:b/>
          <w:bCs/>
        </w:rPr>
      </w:pPr>
      <w:r w:rsidRPr="00AB7711">
        <w:rPr>
          <w:b/>
          <w:bCs/>
        </w:rPr>
        <w:tab/>
        <w:t>upphävs</w:t>
      </w:r>
      <w:r w:rsidRPr="00AB7711">
        <w:t xml:space="preserve"> 3</w:t>
      </w:r>
      <w:r w:rsidR="00726E0C">
        <w:t> §</w:t>
      </w:r>
      <w:r w:rsidRPr="00AB7711">
        <w:t xml:space="preserve"> 2</w:t>
      </w:r>
      <w:r w:rsidR="00726E0C">
        <w:t> </w:t>
      </w:r>
      <w:r w:rsidRPr="00AB7711">
        <w:t>mom</w:t>
      </w:r>
      <w:r w:rsidR="00726E0C">
        <w:t>.</w:t>
      </w:r>
      <w:r w:rsidRPr="00DE4B53">
        <w:t xml:space="preserve"> </w:t>
      </w:r>
      <w:r w:rsidR="00DE4B53" w:rsidRPr="00DE4B53">
        <w:t>i</w:t>
      </w:r>
      <w:r w:rsidR="00DE4B53">
        <w:rPr>
          <w:b/>
          <w:bCs/>
        </w:rPr>
        <w:t xml:space="preserve"> </w:t>
      </w:r>
      <w:r w:rsidRPr="00AB7711">
        <w:t>landskapslagen (2015:4) om tillämpning på Åland av lagen om allmänt bostadsbidrag</w:t>
      </w:r>
      <w:r>
        <w:t>,</w:t>
      </w:r>
      <w:r w:rsidR="006D139F">
        <w:t xml:space="preserve"> samt</w:t>
      </w:r>
    </w:p>
    <w:p w14:paraId="2659933F" w14:textId="260D79D2" w:rsidR="00AF62F1" w:rsidRDefault="00AF62F1" w:rsidP="00AF62F1">
      <w:pPr>
        <w:pStyle w:val="ANormal"/>
      </w:pPr>
      <w:r>
        <w:rPr>
          <w:b/>
          <w:bCs/>
        </w:rPr>
        <w:tab/>
      </w:r>
      <w:r w:rsidRPr="00AB7711">
        <w:rPr>
          <w:b/>
          <w:bCs/>
        </w:rPr>
        <w:t xml:space="preserve">ändras </w:t>
      </w:r>
      <w:r w:rsidR="006D139F" w:rsidRPr="006D139F">
        <w:t>lagens</w:t>
      </w:r>
      <w:r w:rsidR="006D139F">
        <w:rPr>
          <w:b/>
          <w:bCs/>
        </w:rPr>
        <w:t xml:space="preserve"> </w:t>
      </w:r>
      <w:r w:rsidRPr="00AB7711">
        <w:t>3</w:t>
      </w:r>
      <w:r w:rsidR="00726E0C">
        <w:t> §</w:t>
      </w:r>
      <w:r w:rsidRPr="00AB7711">
        <w:t xml:space="preserve"> 20</w:t>
      </w:r>
      <w:r w:rsidR="00726E0C">
        <w:t> mom.</w:t>
      </w:r>
      <w:r w:rsidR="006D139F">
        <w:t>,</w:t>
      </w:r>
      <w:r w:rsidR="00DE4B53">
        <w:t xml:space="preserve"> </w:t>
      </w:r>
      <w:r w:rsidRPr="00AB7711">
        <w:t>sådant det lyder i landskapslagen 2016/92, som följer</w:t>
      </w:r>
      <w:r>
        <w:t>:</w:t>
      </w:r>
    </w:p>
    <w:p w14:paraId="476DEFC4" w14:textId="77777777" w:rsidR="0016325D" w:rsidRDefault="0016325D" w:rsidP="00212769">
      <w:pPr>
        <w:pStyle w:val="ANormal"/>
      </w:pPr>
    </w:p>
    <w:p w14:paraId="136B29DD" w14:textId="77777777" w:rsidR="0016325D" w:rsidRDefault="0016325D">
      <w:pPr>
        <w:pStyle w:val="ANormal"/>
      </w:pPr>
    </w:p>
    <w:tbl>
      <w:tblPr>
        <w:tblW w:w="5000" w:type="pct"/>
        <w:tblLayout w:type="fixed"/>
        <w:tblCellMar>
          <w:left w:w="0" w:type="dxa"/>
          <w:right w:w="0" w:type="dxa"/>
        </w:tblCellMar>
        <w:tblLook w:val="0000" w:firstRow="0" w:lastRow="0" w:firstColumn="0" w:lastColumn="0" w:noHBand="0" w:noVBand="0"/>
      </w:tblPr>
      <w:tblGrid>
        <w:gridCol w:w="3797"/>
        <w:gridCol w:w="228"/>
        <w:gridCol w:w="3799"/>
      </w:tblGrid>
      <w:tr w:rsidR="0016325D" w14:paraId="50148D26" w14:textId="77777777" w:rsidTr="00726E0C">
        <w:tc>
          <w:tcPr>
            <w:tcW w:w="2426" w:type="pct"/>
          </w:tcPr>
          <w:p w14:paraId="1131C573" w14:textId="77777777" w:rsidR="0016325D" w:rsidRDefault="0016325D">
            <w:pPr>
              <w:pStyle w:val="xCelltext"/>
              <w:jc w:val="center"/>
            </w:pPr>
            <w:r>
              <w:t>Gällande lydelse</w:t>
            </w:r>
          </w:p>
        </w:tc>
        <w:tc>
          <w:tcPr>
            <w:tcW w:w="146" w:type="pct"/>
          </w:tcPr>
          <w:p w14:paraId="3D708F2A" w14:textId="77777777" w:rsidR="0016325D" w:rsidRDefault="0016325D">
            <w:pPr>
              <w:pStyle w:val="xCelltext"/>
              <w:jc w:val="center"/>
            </w:pPr>
          </w:p>
        </w:tc>
        <w:tc>
          <w:tcPr>
            <w:tcW w:w="2428" w:type="pct"/>
          </w:tcPr>
          <w:p w14:paraId="2231158D" w14:textId="77777777" w:rsidR="0016325D" w:rsidRDefault="0016325D">
            <w:pPr>
              <w:pStyle w:val="xCelltext"/>
              <w:jc w:val="center"/>
            </w:pPr>
            <w:r>
              <w:t>Föreslagen lydelse</w:t>
            </w:r>
          </w:p>
        </w:tc>
      </w:tr>
      <w:tr w:rsidR="0016325D" w14:paraId="521850F6" w14:textId="77777777" w:rsidTr="00726E0C">
        <w:tc>
          <w:tcPr>
            <w:tcW w:w="2426" w:type="pct"/>
          </w:tcPr>
          <w:p w14:paraId="3F77DD38" w14:textId="77777777" w:rsidR="0016325D" w:rsidRDefault="0016325D">
            <w:pPr>
              <w:pStyle w:val="ANormal"/>
            </w:pPr>
          </w:p>
          <w:p w14:paraId="760F7239" w14:textId="56A5E814" w:rsidR="0016325D" w:rsidRDefault="00E6708C">
            <w:pPr>
              <w:pStyle w:val="LagParagraf"/>
            </w:pPr>
            <w:r>
              <w:t>3</w:t>
            </w:r>
            <w:r w:rsidR="00726E0C">
              <w:t> §</w:t>
            </w:r>
          </w:p>
          <w:p w14:paraId="71F52E6B" w14:textId="3B2F8A5C" w:rsidR="0016325D" w:rsidRDefault="00E6708C" w:rsidP="0016325D">
            <w:pPr>
              <w:pStyle w:val="LagPararubrik"/>
            </w:pPr>
            <w:r>
              <w:t>Avvikelser och särskilda bestämmelser</w:t>
            </w:r>
          </w:p>
          <w:p w14:paraId="6602AAFE" w14:textId="77777777" w:rsidR="0016325D" w:rsidRDefault="0016325D">
            <w:pPr>
              <w:pStyle w:val="ANormal"/>
            </w:pPr>
            <w:r>
              <w:t>- - - - - - - - - - - - - - - - - - - - - - - - - - - - - -</w:t>
            </w:r>
          </w:p>
          <w:p w14:paraId="408D4ACA" w14:textId="77777777" w:rsidR="00C96015" w:rsidRDefault="0016325D" w:rsidP="00C96015">
            <w:pPr>
              <w:pStyle w:val="ANormal"/>
              <w:rPr>
                <w:b/>
                <w:bCs/>
              </w:rPr>
            </w:pPr>
            <w:r>
              <w:tab/>
            </w:r>
            <w:r w:rsidR="00E6708C" w:rsidRPr="002B5C2A">
              <w:rPr>
                <w:b/>
                <w:bCs/>
              </w:rPr>
              <w:t>Kommunerna på Åland hör till kommungrupp III.</w:t>
            </w:r>
          </w:p>
          <w:p w14:paraId="06AE3539" w14:textId="77777777" w:rsidR="0016325D" w:rsidRDefault="00E6708C" w:rsidP="00C96015">
            <w:pPr>
              <w:pStyle w:val="ANormal"/>
            </w:pPr>
            <w:r>
              <w:t>- - - - - - - - - - - - - - - - - - - - - - - - - - - - - -</w:t>
            </w:r>
          </w:p>
          <w:p w14:paraId="46AADB00" w14:textId="69E6F61E" w:rsidR="00726E0C" w:rsidRDefault="00726E0C" w:rsidP="00726E0C">
            <w:pPr>
              <w:pStyle w:val="ANormal"/>
            </w:pPr>
            <w:r>
              <w:tab/>
            </w:r>
            <w:r w:rsidRPr="00CA60EE">
              <w:t xml:space="preserve">Bestämmelsen i </w:t>
            </w:r>
            <w:proofErr w:type="spellStart"/>
            <w:r w:rsidRPr="00CA60EE">
              <w:t>rikslagens</w:t>
            </w:r>
            <w:proofErr w:type="spellEnd"/>
            <w:r w:rsidRPr="00CA60EE">
              <w:t xml:space="preserve"> 10</w:t>
            </w:r>
            <w:r>
              <w:t> §</w:t>
            </w:r>
            <w:r w:rsidRPr="00CA60EE">
              <w:t xml:space="preserve"> ska på Åland tillämpas i den lydelse den har i lagen om allmänt bostadsbidrag (FFS 938/2014) den 31 december 2016.</w:t>
            </w:r>
          </w:p>
          <w:p w14:paraId="6BDDCA77" w14:textId="77777777" w:rsidR="00726E0C" w:rsidRDefault="00726E0C" w:rsidP="00726E0C">
            <w:pPr>
              <w:pStyle w:val="ANormal"/>
            </w:pPr>
          </w:p>
          <w:p w14:paraId="2E00B166" w14:textId="77777777" w:rsidR="00726E0C" w:rsidRDefault="00726E0C" w:rsidP="00726E0C">
            <w:pPr>
              <w:pStyle w:val="ANormal"/>
            </w:pPr>
          </w:p>
          <w:p w14:paraId="5243CF02" w14:textId="77777777" w:rsidR="00726E0C" w:rsidRDefault="00726E0C" w:rsidP="00726E0C">
            <w:pPr>
              <w:pStyle w:val="ANormal"/>
            </w:pPr>
          </w:p>
          <w:p w14:paraId="7C52CDB0" w14:textId="77777777" w:rsidR="00726E0C" w:rsidRDefault="00726E0C" w:rsidP="00726E0C">
            <w:pPr>
              <w:pStyle w:val="ANormal"/>
            </w:pPr>
          </w:p>
          <w:p w14:paraId="0007E255" w14:textId="77777777" w:rsidR="00726E0C" w:rsidRDefault="00726E0C" w:rsidP="00726E0C">
            <w:pPr>
              <w:pStyle w:val="ANormal"/>
            </w:pPr>
          </w:p>
          <w:p w14:paraId="2F367FEA" w14:textId="77777777" w:rsidR="00726E0C" w:rsidRDefault="00726E0C" w:rsidP="00726E0C">
            <w:pPr>
              <w:pStyle w:val="ANormal"/>
            </w:pPr>
          </w:p>
          <w:p w14:paraId="26B2F172" w14:textId="77777777" w:rsidR="00726E0C" w:rsidRDefault="00726E0C" w:rsidP="00726E0C">
            <w:pPr>
              <w:pStyle w:val="ANormal"/>
            </w:pPr>
          </w:p>
          <w:p w14:paraId="318F55CC" w14:textId="77777777" w:rsidR="00726E0C" w:rsidRDefault="00726E0C" w:rsidP="00726E0C">
            <w:pPr>
              <w:pStyle w:val="ANormal"/>
            </w:pPr>
          </w:p>
          <w:p w14:paraId="1232374E" w14:textId="77777777" w:rsidR="00726E0C" w:rsidRDefault="00726E0C" w:rsidP="00726E0C">
            <w:pPr>
              <w:pStyle w:val="ANormal"/>
            </w:pPr>
          </w:p>
          <w:p w14:paraId="795A255B" w14:textId="77777777" w:rsidR="00726E0C" w:rsidRDefault="00726E0C" w:rsidP="00726E0C">
            <w:pPr>
              <w:pStyle w:val="ANormal"/>
            </w:pPr>
          </w:p>
          <w:p w14:paraId="590DF480" w14:textId="77777777" w:rsidR="00726E0C" w:rsidRDefault="00726E0C" w:rsidP="00726E0C">
            <w:pPr>
              <w:pStyle w:val="ANormal"/>
            </w:pPr>
          </w:p>
          <w:p w14:paraId="7E7ADAF4" w14:textId="77777777" w:rsidR="00726E0C" w:rsidRDefault="00726E0C" w:rsidP="00726E0C">
            <w:pPr>
              <w:pStyle w:val="ANormal"/>
            </w:pPr>
          </w:p>
          <w:p w14:paraId="7BDF2DB4" w14:textId="77777777" w:rsidR="00726E0C" w:rsidRDefault="00726E0C" w:rsidP="00726E0C">
            <w:pPr>
              <w:pStyle w:val="ANormal"/>
            </w:pPr>
          </w:p>
          <w:p w14:paraId="6924AE4F" w14:textId="77777777" w:rsidR="00726E0C" w:rsidRDefault="00726E0C">
            <w:pPr>
              <w:pStyle w:val="ANormal"/>
            </w:pPr>
            <w:r>
              <w:t>- - - - - - - - - - - - - - - - - - - - - - - - - - - - - -</w:t>
            </w:r>
          </w:p>
          <w:p w14:paraId="746E9531" w14:textId="59CA4A32" w:rsidR="00726E0C" w:rsidRPr="0016325D" w:rsidRDefault="00726E0C" w:rsidP="00C96015">
            <w:pPr>
              <w:pStyle w:val="ANormal"/>
            </w:pPr>
          </w:p>
        </w:tc>
        <w:tc>
          <w:tcPr>
            <w:tcW w:w="146" w:type="pct"/>
          </w:tcPr>
          <w:p w14:paraId="515E6F90" w14:textId="77777777" w:rsidR="0016325D" w:rsidRDefault="0016325D">
            <w:pPr>
              <w:pStyle w:val="ANormal"/>
            </w:pPr>
          </w:p>
        </w:tc>
        <w:tc>
          <w:tcPr>
            <w:tcW w:w="2428" w:type="pct"/>
          </w:tcPr>
          <w:p w14:paraId="2EEABD68" w14:textId="77777777" w:rsidR="0016325D" w:rsidRDefault="0016325D">
            <w:pPr>
              <w:pStyle w:val="ANormal"/>
            </w:pPr>
          </w:p>
          <w:p w14:paraId="4FE77878" w14:textId="67DB8BBC" w:rsidR="0016325D" w:rsidRDefault="00E6708C">
            <w:pPr>
              <w:pStyle w:val="LagParagraf"/>
            </w:pPr>
            <w:r>
              <w:t>3</w:t>
            </w:r>
            <w:r w:rsidR="00726E0C">
              <w:t> §</w:t>
            </w:r>
          </w:p>
          <w:p w14:paraId="00E156CC" w14:textId="77777777" w:rsidR="00E6708C" w:rsidRDefault="00E6708C" w:rsidP="00E6708C">
            <w:pPr>
              <w:pStyle w:val="LagPararubrik"/>
            </w:pPr>
            <w:r>
              <w:t>Avvikelser och särskilda bestämmelser</w:t>
            </w:r>
          </w:p>
          <w:p w14:paraId="6E3D27CA" w14:textId="77777777" w:rsidR="0016325D" w:rsidRDefault="0016325D">
            <w:pPr>
              <w:pStyle w:val="ANormal"/>
            </w:pPr>
            <w:r>
              <w:t>- - - - - - - - - - - - - - - - - - - - - - - - - - - - - -</w:t>
            </w:r>
          </w:p>
          <w:p w14:paraId="4E055D8D" w14:textId="0C110724" w:rsidR="0016325D" w:rsidRPr="00AF62F1" w:rsidRDefault="00EC5C34" w:rsidP="0016325D">
            <w:pPr>
              <w:pStyle w:val="ANormal"/>
              <w:rPr>
                <w:i/>
                <w:iCs/>
                <w:color w:val="000000" w:themeColor="text1"/>
              </w:rPr>
            </w:pPr>
            <w:r>
              <w:tab/>
            </w:r>
            <w:r w:rsidR="00AF62F1" w:rsidRPr="00AF62F1">
              <w:rPr>
                <w:i/>
                <w:iCs/>
                <w:color w:val="000000" w:themeColor="text1"/>
              </w:rPr>
              <w:t>Momentet upphävs</w:t>
            </w:r>
          </w:p>
          <w:p w14:paraId="11E57C2C" w14:textId="77777777" w:rsidR="00C96015" w:rsidRPr="00726E0C" w:rsidRDefault="00C96015" w:rsidP="0016325D">
            <w:pPr>
              <w:pStyle w:val="ANormal"/>
              <w:rPr>
                <w:color w:val="000000" w:themeColor="text1"/>
              </w:rPr>
            </w:pPr>
          </w:p>
          <w:p w14:paraId="01CDC9E5" w14:textId="77777777" w:rsidR="00E6708C" w:rsidRDefault="00E6708C" w:rsidP="0016325D">
            <w:pPr>
              <w:pStyle w:val="ANormal"/>
            </w:pPr>
            <w:r w:rsidRPr="00C96015">
              <w:rPr>
                <w:color w:val="000000" w:themeColor="text1"/>
              </w:rPr>
              <w:t xml:space="preserve">- - - - - - - - - - - - - - - - </w:t>
            </w:r>
            <w:r>
              <w:t>- - - - - - - - - - - - -</w:t>
            </w:r>
          </w:p>
          <w:p w14:paraId="637DB08D" w14:textId="13B8C272" w:rsidR="00726E0C" w:rsidRPr="00C96015" w:rsidRDefault="00726E0C" w:rsidP="00726E0C">
            <w:pPr>
              <w:pStyle w:val="ANormal"/>
              <w:rPr>
                <w:b/>
                <w:bCs/>
              </w:rPr>
            </w:pPr>
            <w:r>
              <w:tab/>
            </w:r>
            <w:r w:rsidRPr="00CA60EE">
              <w:t xml:space="preserve">Bestämmelsen i </w:t>
            </w:r>
            <w:proofErr w:type="spellStart"/>
            <w:r w:rsidRPr="00CA60EE">
              <w:t>rikslagens</w:t>
            </w:r>
            <w:proofErr w:type="spellEnd"/>
            <w:r w:rsidRPr="00CA60EE">
              <w:t xml:space="preserve"> 10</w:t>
            </w:r>
            <w:r>
              <w:t> §</w:t>
            </w:r>
            <w:r w:rsidRPr="00CA60EE">
              <w:t xml:space="preserve"> ska på Åland tillämpas i den lydelse den har i lagen om allmänt bostadsbidrag (FFS 938/2014) den 31 december 2016.</w:t>
            </w:r>
            <w:r>
              <w:t xml:space="preserve"> </w:t>
            </w:r>
            <w:hyperlink r:id="rId11" w:anchor="an_201692" w:history="1"/>
            <w:r w:rsidRPr="00C96015">
              <w:rPr>
                <w:b/>
                <w:bCs/>
              </w:rPr>
              <w:t>De åländska kommunerna utgör en egen kommungrupp</w:t>
            </w:r>
            <w:r>
              <w:rPr>
                <w:b/>
                <w:bCs/>
              </w:rPr>
              <w:t>. D</w:t>
            </w:r>
            <w:r w:rsidRPr="00C96015">
              <w:rPr>
                <w:b/>
                <w:bCs/>
              </w:rPr>
              <w:t xml:space="preserve">e högsta </w:t>
            </w:r>
            <w:hyperlink r:id="rId12" w:anchor="an_201692" w:history="1"/>
            <w:r w:rsidRPr="00C96015">
              <w:rPr>
                <w:b/>
                <w:bCs/>
              </w:rPr>
              <w:t>belopp som beaktas per månad för gruppen är från och med den 1 juni 2024:</w:t>
            </w:r>
          </w:p>
          <w:tbl>
            <w:tblPr>
              <w:tblStyle w:val="Tabellrutnt"/>
              <w:tblW w:w="0" w:type="auto"/>
              <w:tblLook w:val="04A0" w:firstRow="1" w:lastRow="0" w:firstColumn="1" w:lastColumn="0" w:noHBand="0" w:noVBand="1"/>
            </w:tblPr>
            <w:tblGrid>
              <w:gridCol w:w="1894"/>
              <w:gridCol w:w="1895"/>
            </w:tblGrid>
            <w:tr w:rsidR="00726E0C" w:rsidRPr="00C96015" w14:paraId="604FD778" w14:textId="77777777" w:rsidTr="00C643D5">
              <w:tc>
                <w:tcPr>
                  <w:tcW w:w="1894" w:type="dxa"/>
                </w:tcPr>
                <w:p w14:paraId="67EAF134" w14:textId="77777777" w:rsidR="00726E0C" w:rsidRPr="00C96015" w:rsidRDefault="00726E0C" w:rsidP="00726E0C">
                  <w:pPr>
                    <w:pStyle w:val="ANormal"/>
                    <w:rPr>
                      <w:b/>
                      <w:bCs/>
                    </w:rPr>
                  </w:pPr>
                  <w:r w:rsidRPr="00C96015">
                    <w:rPr>
                      <w:b/>
                      <w:bCs/>
                    </w:rPr>
                    <w:t>Hushållets storlek</w:t>
                  </w:r>
                </w:p>
              </w:tc>
              <w:tc>
                <w:tcPr>
                  <w:tcW w:w="1895" w:type="dxa"/>
                </w:tcPr>
                <w:p w14:paraId="3B344BE1" w14:textId="58E1DEF9" w:rsidR="00726E0C" w:rsidRPr="00C96015" w:rsidRDefault="00726E0C" w:rsidP="00726E0C">
                  <w:pPr>
                    <w:pStyle w:val="ANormal"/>
                    <w:rPr>
                      <w:b/>
                      <w:bCs/>
                    </w:rPr>
                  </w:pPr>
                  <w:r w:rsidRPr="00C96015">
                    <w:rPr>
                      <w:b/>
                      <w:bCs/>
                    </w:rPr>
                    <w:t>Belopp</w:t>
                  </w:r>
                  <w:r w:rsidR="004562DD">
                    <w:rPr>
                      <w:b/>
                      <w:bCs/>
                    </w:rPr>
                    <w:t xml:space="preserve"> i euro/månad</w:t>
                  </w:r>
                </w:p>
              </w:tc>
            </w:tr>
            <w:tr w:rsidR="00726E0C" w:rsidRPr="00C96015" w14:paraId="1C18C139" w14:textId="77777777" w:rsidTr="00C643D5">
              <w:tc>
                <w:tcPr>
                  <w:tcW w:w="1894" w:type="dxa"/>
                </w:tcPr>
                <w:p w14:paraId="720A0389" w14:textId="77777777" w:rsidR="00726E0C" w:rsidRPr="00C96015" w:rsidRDefault="00726E0C" w:rsidP="00726E0C">
                  <w:pPr>
                    <w:pStyle w:val="ANormal"/>
                    <w:rPr>
                      <w:b/>
                      <w:bCs/>
                    </w:rPr>
                  </w:pPr>
                  <w:r w:rsidRPr="00C96015">
                    <w:rPr>
                      <w:b/>
                      <w:bCs/>
                    </w:rPr>
                    <w:t>1 person</w:t>
                  </w:r>
                </w:p>
              </w:tc>
              <w:tc>
                <w:tcPr>
                  <w:tcW w:w="1895" w:type="dxa"/>
                </w:tcPr>
                <w:p w14:paraId="0536A306" w14:textId="77777777" w:rsidR="00726E0C" w:rsidRPr="00C96015" w:rsidRDefault="00726E0C" w:rsidP="00726E0C">
                  <w:pPr>
                    <w:pStyle w:val="ANormal"/>
                    <w:rPr>
                      <w:b/>
                      <w:bCs/>
                    </w:rPr>
                  </w:pPr>
                  <w:r w:rsidRPr="00C96015">
                    <w:rPr>
                      <w:b/>
                      <w:bCs/>
                    </w:rPr>
                    <w:t>470</w:t>
                  </w:r>
                </w:p>
              </w:tc>
            </w:tr>
            <w:tr w:rsidR="00726E0C" w:rsidRPr="00C96015" w14:paraId="78BC052F" w14:textId="77777777" w:rsidTr="00C643D5">
              <w:tc>
                <w:tcPr>
                  <w:tcW w:w="1894" w:type="dxa"/>
                </w:tcPr>
                <w:p w14:paraId="7CB96957" w14:textId="77777777" w:rsidR="00726E0C" w:rsidRPr="00C96015" w:rsidRDefault="00726E0C" w:rsidP="00726E0C">
                  <w:pPr>
                    <w:pStyle w:val="ANormal"/>
                    <w:rPr>
                      <w:b/>
                      <w:bCs/>
                    </w:rPr>
                  </w:pPr>
                  <w:r w:rsidRPr="00C81A60">
                    <w:rPr>
                      <w:b/>
                      <w:bCs/>
                    </w:rPr>
                    <w:t>2 personer</w:t>
                  </w:r>
                </w:p>
              </w:tc>
              <w:tc>
                <w:tcPr>
                  <w:tcW w:w="1895" w:type="dxa"/>
                </w:tcPr>
                <w:p w14:paraId="700B334D" w14:textId="77777777" w:rsidR="00726E0C" w:rsidRPr="00C96015" w:rsidRDefault="00726E0C" w:rsidP="00726E0C">
                  <w:pPr>
                    <w:pStyle w:val="ANormal"/>
                    <w:rPr>
                      <w:b/>
                      <w:bCs/>
                    </w:rPr>
                  </w:pPr>
                  <w:r w:rsidRPr="00C81A60">
                    <w:rPr>
                      <w:b/>
                      <w:bCs/>
                    </w:rPr>
                    <w:t>687</w:t>
                  </w:r>
                </w:p>
              </w:tc>
            </w:tr>
            <w:tr w:rsidR="00726E0C" w:rsidRPr="00C96015" w14:paraId="41F2E2CC" w14:textId="77777777" w:rsidTr="00C643D5">
              <w:tc>
                <w:tcPr>
                  <w:tcW w:w="1894" w:type="dxa"/>
                </w:tcPr>
                <w:p w14:paraId="601FD1C9" w14:textId="77777777" w:rsidR="00726E0C" w:rsidRPr="00C96015" w:rsidRDefault="00726E0C" w:rsidP="00726E0C">
                  <w:pPr>
                    <w:pStyle w:val="ANormal"/>
                    <w:rPr>
                      <w:b/>
                      <w:bCs/>
                    </w:rPr>
                  </w:pPr>
                  <w:r w:rsidRPr="00C81A60">
                    <w:rPr>
                      <w:b/>
                      <w:bCs/>
                    </w:rPr>
                    <w:t>3 personer</w:t>
                  </w:r>
                </w:p>
              </w:tc>
              <w:tc>
                <w:tcPr>
                  <w:tcW w:w="1895" w:type="dxa"/>
                </w:tcPr>
                <w:p w14:paraId="3FBFF3A5" w14:textId="77777777" w:rsidR="00726E0C" w:rsidRPr="00C96015" w:rsidRDefault="00726E0C" w:rsidP="00726E0C">
                  <w:pPr>
                    <w:pStyle w:val="ANormal"/>
                    <w:rPr>
                      <w:b/>
                      <w:bCs/>
                    </w:rPr>
                  </w:pPr>
                  <w:r w:rsidRPr="00C81A60">
                    <w:rPr>
                      <w:b/>
                      <w:bCs/>
                    </w:rPr>
                    <w:t>871</w:t>
                  </w:r>
                </w:p>
              </w:tc>
            </w:tr>
            <w:tr w:rsidR="00726E0C" w:rsidRPr="00C96015" w14:paraId="6E954733" w14:textId="77777777" w:rsidTr="00C643D5">
              <w:tc>
                <w:tcPr>
                  <w:tcW w:w="1894" w:type="dxa"/>
                </w:tcPr>
                <w:p w14:paraId="1DF38E7E" w14:textId="77777777" w:rsidR="00726E0C" w:rsidRPr="00C96015" w:rsidRDefault="00726E0C" w:rsidP="00726E0C">
                  <w:pPr>
                    <w:pStyle w:val="ANormal"/>
                    <w:rPr>
                      <w:b/>
                      <w:bCs/>
                    </w:rPr>
                  </w:pPr>
                  <w:r w:rsidRPr="00C81A60">
                    <w:rPr>
                      <w:b/>
                      <w:bCs/>
                    </w:rPr>
                    <w:t>4 personer</w:t>
                  </w:r>
                </w:p>
              </w:tc>
              <w:tc>
                <w:tcPr>
                  <w:tcW w:w="1895" w:type="dxa"/>
                </w:tcPr>
                <w:p w14:paraId="23AE3E35" w14:textId="77777777" w:rsidR="00726E0C" w:rsidRPr="00C96015" w:rsidRDefault="00726E0C" w:rsidP="00726E0C">
                  <w:pPr>
                    <w:pStyle w:val="ANormal"/>
                    <w:rPr>
                      <w:b/>
                      <w:bCs/>
                    </w:rPr>
                  </w:pPr>
                  <w:r w:rsidRPr="00C81A60">
                    <w:rPr>
                      <w:b/>
                      <w:bCs/>
                    </w:rPr>
                    <w:t>1 032</w:t>
                  </w:r>
                </w:p>
              </w:tc>
            </w:tr>
          </w:tbl>
          <w:p w14:paraId="6FD96876" w14:textId="77777777" w:rsidR="00726E0C" w:rsidRPr="00C96015" w:rsidRDefault="00726E0C" w:rsidP="00726E0C">
            <w:pPr>
              <w:pStyle w:val="ANormal"/>
              <w:rPr>
                <w:b/>
                <w:bCs/>
              </w:rPr>
            </w:pPr>
            <w:r w:rsidRPr="00C96015">
              <w:rPr>
                <w:b/>
                <w:bCs/>
              </w:rPr>
              <w:t xml:space="preserve">Om hushållet består av fler än fyra </w:t>
            </w:r>
            <w:r w:rsidRPr="00C81A60">
              <w:rPr>
                <w:b/>
                <w:bCs/>
              </w:rPr>
              <w:t>personer</w:t>
            </w:r>
            <w:r w:rsidRPr="00C96015">
              <w:rPr>
                <w:b/>
                <w:bCs/>
              </w:rPr>
              <w:t xml:space="preserve">, höjs beloppet </w:t>
            </w:r>
            <w:r w:rsidRPr="00C81A60">
              <w:rPr>
                <w:b/>
                <w:bCs/>
              </w:rPr>
              <w:t xml:space="preserve">1 032 </w:t>
            </w:r>
            <w:r w:rsidRPr="00C96015">
              <w:rPr>
                <w:b/>
                <w:bCs/>
              </w:rPr>
              <w:t xml:space="preserve">med </w:t>
            </w:r>
            <w:r w:rsidRPr="00C81A60">
              <w:rPr>
                <w:b/>
                <w:bCs/>
              </w:rPr>
              <w:t xml:space="preserve">141 </w:t>
            </w:r>
            <w:r>
              <w:rPr>
                <w:b/>
                <w:bCs/>
              </w:rPr>
              <w:t xml:space="preserve">euro </w:t>
            </w:r>
            <w:r w:rsidRPr="00C81A60">
              <w:rPr>
                <w:b/>
                <w:bCs/>
              </w:rPr>
              <w:t>för varje ytterligare person.</w:t>
            </w:r>
          </w:p>
          <w:p w14:paraId="00F28267" w14:textId="77777777" w:rsidR="00726E0C" w:rsidRDefault="00726E0C">
            <w:pPr>
              <w:pStyle w:val="ANormal"/>
            </w:pPr>
            <w:r>
              <w:t>- - - - - - - - - - - - - - - - - - - - - - - - - - - - - -</w:t>
            </w:r>
          </w:p>
          <w:p w14:paraId="7E710D4D" w14:textId="0EADC663" w:rsidR="00726E0C" w:rsidRPr="0016325D" w:rsidRDefault="00726E0C" w:rsidP="0016325D">
            <w:pPr>
              <w:pStyle w:val="ANormal"/>
            </w:pPr>
          </w:p>
        </w:tc>
      </w:tr>
      <w:tr w:rsidR="0016325D" w14:paraId="443D00A4" w14:textId="77777777" w:rsidTr="00726E0C">
        <w:tc>
          <w:tcPr>
            <w:tcW w:w="2426" w:type="pct"/>
          </w:tcPr>
          <w:p w14:paraId="21315B77" w14:textId="77777777" w:rsidR="0016325D" w:rsidRDefault="0016325D">
            <w:pPr>
              <w:pStyle w:val="ANormal"/>
            </w:pPr>
          </w:p>
        </w:tc>
        <w:tc>
          <w:tcPr>
            <w:tcW w:w="146" w:type="pct"/>
          </w:tcPr>
          <w:p w14:paraId="7D8E9EE5" w14:textId="77777777" w:rsidR="0016325D" w:rsidRDefault="0016325D">
            <w:pPr>
              <w:pStyle w:val="ANormal"/>
            </w:pPr>
          </w:p>
        </w:tc>
        <w:tc>
          <w:tcPr>
            <w:tcW w:w="2428" w:type="pct"/>
          </w:tcPr>
          <w:p w14:paraId="04F84E68" w14:textId="77777777" w:rsidR="0016325D" w:rsidRDefault="0016325D">
            <w:pPr>
              <w:pStyle w:val="ANormal"/>
            </w:pPr>
          </w:p>
          <w:p w14:paraId="44E49B5C" w14:textId="77777777" w:rsidR="00384BA0" w:rsidRDefault="00384BA0">
            <w:pPr>
              <w:pStyle w:val="ANormal"/>
              <w:jc w:val="center"/>
            </w:pPr>
            <w:hyperlink w:anchor="_top" w:tooltip="Klicka för att gå till toppen av dokumentet" w:history="1">
              <w:r>
                <w:rPr>
                  <w:rStyle w:val="Hyperlnk"/>
                </w:rPr>
                <w:t>__________________</w:t>
              </w:r>
            </w:hyperlink>
          </w:p>
          <w:p w14:paraId="23835B5A" w14:textId="77777777" w:rsidR="00C96015" w:rsidRDefault="00C96015" w:rsidP="00EC5C34">
            <w:pPr>
              <w:pStyle w:val="ANormal"/>
            </w:pPr>
          </w:p>
          <w:p w14:paraId="2FC32951" w14:textId="06FFAB1C" w:rsidR="00EC5C34" w:rsidRDefault="00726E0C" w:rsidP="00EC5C34">
            <w:pPr>
              <w:pStyle w:val="ANormal"/>
            </w:pPr>
            <w:r>
              <w:tab/>
            </w:r>
            <w:r w:rsidR="00EC5C34">
              <w:t>Denna lag träder i kraft den</w:t>
            </w:r>
          </w:p>
          <w:p w14:paraId="4A56C0C8" w14:textId="6D14E542" w:rsidR="00384BA0" w:rsidRDefault="00384BA0">
            <w:pPr>
              <w:pStyle w:val="ANormal"/>
            </w:pPr>
          </w:p>
          <w:p w14:paraId="7D2E87B4" w14:textId="77777777" w:rsidR="00384BA0" w:rsidRDefault="00384BA0">
            <w:pPr>
              <w:pStyle w:val="ANormal"/>
              <w:jc w:val="center"/>
            </w:pPr>
            <w:hyperlink w:anchor="_top" w:tooltip="Klicka för att gå till toppen av dokumentet" w:history="1">
              <w:r>
                <w:rPr>
                  <w:rStyle w:val="Hyperlnk"/>
                </w:rPr>
                <w:t>__________________</w:t>
              </w:r>
            </w:hyperlink>
          </w:p>
          <w:p w14:paraId="6372C002" w14:textId="433B7CBC" w:rsidR="00384BA0" w:rsidRDefault="00384BA0">
            <w:pPr>
              <w:pStyle w:val="ANormal"/>
            </w:pPr>
          </w:p>
        </w:tc>
      </w:tr>
    </w:tbl>
    <w:p w14:paraId="09E6CF4D" w14:textId="77777777" w:rsidR="0016325D" w:rsidRDefault="0016325D">
      <w:pPr>
        <w:pStyle w:val="ANormal"/>
      </w:pPr>
    </w:p>
    <w:p w14:paraId="0BEDB384" w14:textId="77777777" w:rsidR="000307D3" w:rsidRDefault="000307D3">
      <w:pPr>
        <w:pStyle w:val="ANormal"/>
        <w:jc w:val="center"/>
      </w:pPr>
      <w:hyperlink w:anchor="_top" w:tooltip="Klicka för att gå till toppen av dokumentet" w:history="1">
        <w:r>
          <w:rPr>
            <w:rStyle w:val="Hyperlnk"/>
          </w:rPr>
          <w:t>__________________</w:t>
        </w:r>
      </w:hyperlink>
    </w:p>
    <w:p w14:paraId="00CDF639" w14:textId="0E2ECB29" w:rsidR="00212769" w:rsidRDefault="00212769" w:rsidP="00212769">
      <w:pPr>
        <w:pStyle w:val="ANormal"/>
      </w:pPr>
    </w:p>
    <w:p w14:paraId="2D3FCE73" w14:textId="77777777" w:rsidR="000307D3" w:rsidRPr="00212769" w:rsidRDefault="000307D3" w:rsidP="00212769">
      <w:pPr>
        <w:pStyle w:val="ANormal"/>
      </w:pPr>
    </w:p>
    <w:sectPr w:rsidR="000307D3" w:rsidRPr="00212769">
      <w:headerReference w:type="even" r:id="rId13"/>
      <w:headerReference w:type="default" r:id="rId14"/>
      <w:footerReference w:type="default" r:id="rId15"/>
      <w:type w:val="continuous"/>
      <w:pgSz w:w="11906" w:h="16838" w:code="9"/>
      <w:pgMar w:top="1134" w:right="2041"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4DB82" w14:textId="77777777" w:rsidR="00212769" w:rsidRDefault="00212769">
      <w:r>
        <w:separator/>
      </w:r>
    </w:p>
  </w:endnote>
  <w:endnote w:type="continuationSeparator" w:id="0">
    <w:p w14:paraId="787D236F" w14:textId="77777777" w:rsidR="00212769" w:rsidRDefault="00212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478AE" w14:textId="77777777" w:rsidR="00E023D9" w:rsidRDefault="00E023D9">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8655D" w14:textId="47EC316E" w:rsidR="00E023D9" w:rsidRPr="00675CB3" w:rsidRDefault="007A6670">
    <w:pPr>
      <w:pStyle w:val="Sidfot"/>
    </w:pPr>
    <w:r>
      <w:t>LFxx202</w:t>
    </w:r>
    <w:r w:rsidR="003D2A39">
      <w:t>4</w:t>
    </w:r>
    <w:r>
      <w:t>2202</w:t>
    </w:r>
    <w:r w:rsidR="003D2A39">
      <w:t>5</w:t>
    </w:r>
    <w:r>
      <w:t>-P_</w:t>
    </w:r>
    <w:r w:rsidR="006D139F">
      <w:t>1003</w:t>
    </w:r>
    <w:r>
      <w:t>2</w:t>
    </w:r>
    <w:r w:rsidR="003D2A39">
      <w:t>5</w:t>
    </w:r>
    <w:r>
      <w:t>.docx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07235" w14:textId="77777777" w:rsidR="00E023D9" w:rsidRDefault="00E023D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ADBE7" w14:textId="77777777" w:rsidR="00212769" w:rsidRDefault="00212769">
      <w:r>
        <w:separator/>
      </w:r>
    </w:p>
  </w:footnote>
  <w:footnote w:type="continuationSeparator" w:id="0">
    <w:p w14:paraId="5823F1F6" w14:textId="77777777" w:rsidR="00212769" w:rsidRDefault="002127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D20C" w14:textId="77777777" w:rsidR="00E023D9" w:rsidRDefault="00E023D9">
    <w:pPr>
      <w:pStyle w:val="Sidhuvud"/>
      <w:ind w:left="-912"/>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5BAD8D3" w14:textId="77777777" w:rsidR="00E023D9" w:rsidRDefault="00E023D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CBE08" w14:textId="77777777" w:rsidR="00E023D9" w:rsidRDefault="00E023D9">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04315656">
    <w:abstractNumId w:val="6"/>
  </w:num>
  <w:num w:numId="2" w16cid:durableId="1027213522">
    <w:abstractNumId w:val="3"/>
  </w:num>
  <w:num w:numId="3" w16cid:durableId="2140100180">
    <w:abstractNumId w:val="2"/>
  </w:num>
  <w:num w:numId="4" w16cid:durableId="775516223">
    <w:abstractNumId w:val="1"/>
  </w:num>
  <w:num w:numId="5" w16cid:durableId="1794598124">
    <w:abstractNumId w:val="0"/>
  </w:num>
  <w:num w:numId="6" w16cid:durableId="131677157">
    <w:abstractNumId w:val="7"/>
  </w:num>
  <w:num w:numId="7" w16cid:durableId="57873154">
    <w:abstractNumId w:val="5"/>
  </w:num>
  <w:num w:numId="8" w16cid:durableId="1495603247">
    <w:abstractNumId w:val="4"/>
  </w:num>
  <w:num w:numId="9" w16cid:durableId="1759593413">
    <w:abstractNumId w:val="10"/>
  </w:num>
  <w:num w:numId="10" w16cid:durableId="248076993">
    <w:abstractNumId w:val="13"/>
  </w:num>
  <w:num w:numId="11" w16cid:durableId="1926839186">
    <w:abstractNumId w:val="12"/>
  </w:num>
  <w:num w:numId="12" w16cid:durableId="38210907">
    <w:abstractNumId w:val="16"/>
  </w:num>
  <w:num w:numId="13" w16cid:durableId="289628209">
    <w:abstractNumId w:val="11"/>
  </w:num>
  <w:num w:numId="14" w16cid:durableId="1900364868">
    <w:abstractNumId w:val="15"/>
  </w:num>
  <w:num w:numId="15" w16cid:durableId="833227271">
    <w:abstractNumId w:val="9"/>
  </w:num>
  <w:num w:numId="16" w16cid:durableId="1563637972">
    <w:abstractNumId w:val="21"/>
  </w:num>
  <w:num w:numId="17" w16cid:durableId="1694530284">
    <w:abstractNumId w:val="8"/>
  </w:num>
  <w:num w:numId="18" w16cid:durableId="156115437">
    <w:abstractNumId w:val="17"/>
  </w:num>
  <w:num w:numId="19" w16cid:durableId="645358065">
    <w:abstractNumId w:val="20"/>
  </w:num>
  <w:num w:numId="20" w16cid:durableId="327370339">
    <w:abstractNumId w:val="23"/>
  </w:num>
  <w:num w:numId="21" w16cid:durableId="76288365">
    <w:abstractNumId w:val="22"/>
  </w:num>
  <w:num w:numId="22" w16cid:durableId="842816177">
    <w:abstractNumId w:val="14"/>
  </w:num>
  <w:num w:numId="23" w16cid:durableId="1990279634">
    <w:abstractNumId w:val="18"/>
  </w:num>
  <w:num w:numId="24" w16cid:durableId="1751728339">
    <w:abstractNumId w:val="18"/>
  </w:num>
  <w:num w:numId="25" w16cid:durableId="481964757">
    <w:abstractNumId w:val="19"/>
  </w:num>
  <w:num w:numId="26" w16cid:durableId="1642267864">
    <w:abstractNumId w:val="14"/>
  </w:num>
  <w:num w:numId="27" w16cid:durableId="1980105443">
    <w:abstractNumId w:val="14"/>
  </w:num>
  <w:num w:numId="28" w16cid:durableId="1834372953">
    <w:abstractNumId w:val="14"/>
  </w:num>
  <w:num w:numId="29" w16cid:durableId="1183518160">
    <w:abstractNumId w:val="14"/>
  </w:num>
  <w:num w:numId="30" w16cid:durableId="226653254">
    <w:abstractNumId w:val="14"/>
  </w:num>
  <w:num w:numId="31" w16cid:durableId="1711607288">
    <w:abstractNumId w:val="14"/>
  </w:num>
  <w:num w:numId="32" w16cid:durableId="586429400">
    <w:abstractNumId w:val="14"/>
  </w:num>
  <w:num w:numId="33" w16cid:durableId="560560765">
    <w:abstractNumId w:val="14"/>
  </w:num>
  <w:num w:numId="34" w16cid:durableId="1408841685">
    <w:abstractNumId w:val="14"/>
  </w:num>
  <w:num w:numId="35" w16cid:durableId="633220872">
    <w:abstractNumId w:val="18"/>
  </w:num>
  <w:num w:numId="36" w16cid:durableId="1946886649">
    <w:abstractNumId w:val="19"/>
  </w:num>
  <w:num w:numId="37" w16cid:durableId="271018195">
    <w:abstractNumId w:val="14"/>
  </w:num>
  <w:num w:numId="38" w16cid:durableId="1183322166">
    <w:abstractNumId w:val="14"/>
  </w:num>
  <w:num w:numId="39" w16cid:durableId="448092507">
    <w:abstractNumId w:val="14"/>
  </w:num>
  <w:num w:numId="40" w16cid:durableId="1178546677">
    <w:abstractNumId w:val="14"/>
  </w:num>
  <w:num w:numId="41" w16cid:durableId="1381897548">
    <w:abstractNumId w:val="14"/>
  </w:num>
  <w:num w:numId="42" w16cid:durableId="1022970978">
    <w:abstractNumId w:val="14"/>
  </w:num>
  <w:num w:numId="43" w16cid:durableId="575283815">
    <w:abstractNumId w:val="14"/>
  </w:num>
  <w:num w:numId="44" w16cid:durableId="1898855515">
    <w:abstractNumId w:val="14"/>
  </w:num>
  <w:num w:numId="45" w16cid:durableId="10272903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69"/>
    <w:rsid w:val="00006950"/>
    <w:rsid w:val="00007788"/>
    <w:rsid w:val="00024A04"/>
    <w:rsid w:val="000307D3"/>
    <w:rsid w:val="0006453A"/>
    <w:rsid w:val="00114F32"/>
    <w:rsid w:val="00116827"/>
    <w:rsid w:val="00116ECC"/>
    <w:rsid w:val="001610EB"/>
    <w:rsid w:val="0016325D"/>
    <w:rsid w:val="00172E07"/>
    <w:rsid w:val="001B7B39"/>
    <w:rsid w:val="001C2893"/>
    <w:rsid w:val="001F0F5A"/>
    <w:rsid w:val="0020448E"/>
    <w:rsid w:val="00212769"/>
    <w:rsid w:val="00215E06"/>
    <w:rsid w:val="00262245"/>
    <w:rsid w:val="00285A07"/>
    <w:rsid w:val="002A28A5"/>
    <w:rsid w:val="002B5C2A"/>
    <w:rsid w:val="002E7F84"/>
    <w:rsid w:val="002F6B0D"/>
    <w:rsid w:val="003145AA"/>
    <w:rsid w:val="00355A81"/>
    <w:rsid w:val="00384BA0"/>
    <w:rsid w:val="003A681E"/>
    <w:rsid w:val="003C69F0"/>
    <w:rsid w:val="003D2A39"/>
    <w:rsid w:val="003D58C0"/>
    <w:rsid w:val="00400FC4"/>
    <w:rsid w:val="00407EFE"/>
    <w:rsid w:val="00411F65"/>
    <w:rsid w:val="00434B3D"/>
    <w:rsid w:val="004429CB"/>
    <w:rsid w:val="004562DD"/>
    <w:rsid w:val="004B6352"/>
    <w:rsid w:val="00505C57"/>
    <w:rsid w:val="005118FD"/>
    <w:rsid w:val="005313F9"/>
    <w:rsid w:val="00531C88"/>
    <w:rsid w:val="0055591F"/>
    <w:rsid w:val="005A16FF"/>
    <w:rsid w:val="005C2B6D"/>
    <w:rsid w:val="005C64B6"/>
    <w:rsid w:val="005F4036"/>
    <w:rsid w:val="00632B0C"/>
    <w:rsid w:val="00675CB3"/>
    <w:rsid w:val="006A4795"/>
    <w:rsid w:val="006B08DC"/>
    <w:rsid w:val="006D139F"/>
    <w:rsid w:val="006F1636"/>
    <w:rsid w:val="006F3F21"/>
    <w:rsid w:val="006F7FA0"/>
    <w:rsid w:val="00700BAE"/>
    <w:rsid w:val="007112A2"/>
    <w:rsid w:val="00725DCF"/>
    <w:rsid w:val="00726E0C"/>
    <w:rsid w:val="00735EA1"/>
    <w:rsid w:val="00781C98"/>
    <w:rsid w:val="007A6670"/>
    <w:rsid w:val="00806136"/>
    <w:rsid w:val="0085154E"/>
    <w:rsid w:val="00874C4C"/>
    <w:rsid w:val="00875896"/>
    <w:rsid w:val="008B07D4"/>
    <w:rsid w:val="00907B3B"/>
    <w:rsid w:val="00923D35"/>
    <w:rsid w:val="009571FD"/>
    <w:rsid w:val="00971B4F"/>
    <w:rsid w:val="00994F63"/>
    <w:rsid w:val="009B0CB6"/>
    <w:rsid w:val="009C6215"/>
    <w:rsid w:val="009E66C0"/>
    <w:rsid w:val="00A30119"/>
    <w:rsid w:val="00A60838"/>
    <w:rsid w:val="00A62183"/>
    <w:rsid w:val="00AF62F1"/>
    <w:rsid w:val="00B3491F"/>
    <w:rsid w:val="00BA12D9"/>
    <w:rsid w:val="00BC79F1"/>
    <w:rsid w:val="00BD235E"/>
    <w:rsid w:val="00C62512"/>
    <w:rsid w:val="00C76D0E"/>
    <w:rsid w:val="00C8022F"/>
    <w:rsid w:val="00C96015"/>
    <w:rsid w:val="00CA60EE"/>
    <w:rsid w:val="00CB0272"/>
    <w:rsid w:val="00D13B66"/>
    <w:rsid w:val="00D27AD4"/>
    <w:rsid w:val="00D544C3"/>
    <w:rsid w:val="00D93292"/>
    <w:rsid w:val="00DA0CC3"/>
    <w:rsid w:val="00DC0BF4"/>
    <w:rsid w:val="00DE0F7A"/>
    <w:rsid w:val="00DE4B53"/>
    <w:rsid w:val="00E023D9"/>
    <w:rsid w:val="00E0293F"/>
    <w:rsid w:val="00E05BAD"/>
    <w:rsid w:val="00E37175"/>
    <w:rsid w:val="00E6708C"/>
    <w:rsid w:val="00EC5C34"/>
    <w:rsid w:val="00F25FB3"/>
    <w:rsid w:val="00F54F08"/>
    <w:rsid w:val="00FC70E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9CB93"/>
  <w15:chartTrackingRefBased/>
  <w15:docId w15:val="{62F266A7-D167-42B6-A3D5-E93606452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6015"/>
    <w:pPr>
      <w:autoSpaceDE w:val="0"/>
      <w:autoSpaceDN w:val="0"/>
      <w:adjustRightInd w:val="0"/>
      <w:spacing w:line="300" w:lineRule="auto"/>
      <w:textAlignment w:val="center"/>
    </w:pPr>
    <w:rPr>
      <w:rFonts w:asciiTheme="minorHAnsi" w:eastAsiaTheme="minorHAnsi" w:hAnsiTheme="minorHAnsi" w:cs="Open Sans"/>
      <w:lang w:val="sv-SE" w:eastAsia="en-US"/>
    </w:rPr>
  </w:style>
  <w:style w:type="paragraph" w:styleId="Rubrik1">
    <w:name w:val="heading 1"/>
    <w:basedOn w:val="Normal"/>
    <w:next w:val="Normal"/>
    <w:qFormat/>
    <w:pPr>
      <w:keepNext/>
      <w:numPr>
        <w:numId w:val="37"/>
      </w:numPr>
      <w:autoSpaceDE/>
      <w:autoSpaceDN/>
      <w:adjustRightInd/>
      <w:spacing w:before="240" w:after="60" w:line="240" w:lineRule="auto"/>
      <w:textAlignment w:val="auto"/>
      <w:outlineLvl w:val="0"/>
    </w:pPr>
    <w:rPr>
      <w:rFonts w:ascii="Arial" w:eastAsia="Times New Roman" w:hAnsi="Arial" w:cs="Arial"/>
      <w:b/>
      <w:bCs/>
      <w:kern w:val="32"/>
      <w:sz w:val="32"/>
      <w:szCs w:val="32"/>
      <w:lang w:eastAsia="sv-SE"/>
    </w:rPr>
  </w:style>
  <w:style w:type="paragraph" w:styleId="Rubrik2">
    <w:name w:val="heading 2"/>
    <w:basedOn w:val="Normal"/>
    <w:next w:val="Normal"/>
    <w:qFormat/>
    <w:pPr>
      <w:keepNext/>
      <w:numPr>
        <w:ilvl w:val="1"/>
        <w:numId w:val="38"/>
      </w:numPr>
      <w:autoSpaceDE/>
      <w:autoSpaceDN/>
      <w:adjustRightInd/>
      <w:spacing w:before="240" w:after="60" w:line="240" w:lineRule="auto"/>
      <w:textAlignment w:val="auto"/>
      <w:outlineLvl w:val="1"/>
    </w:pPr>
    <w:rPr>
      <w:rFonts w:ascii="Arial" w:eastAsia="Times New Roman" w:hAnsi="Arial" w:cs="Arial"/>
      <w:b/>
      <w:bCs/>
      <w:i/>
      <w:iCs/>
      <w:sz w:val="28"/>
      <w:szCs w:val="28"/>
      <w:lang w:eastAsia="sv-SE"/>
    </w:rPr>
  </w:style>
  <w:style w:type="paragraph" w:styleId="Rubrik3">
    <w:name w:val="heading 3"/>
    <w:basedOn w:val="Normal"/>
    <w:next w:val="Normal"/>
    <w:qFormat/>
    <w:pPr>
      <w:keepNext/>
      <w:numPr>
        <w:ilvl w:val="2"/>
        <w:numId w:val="39"/>
      </w:numPr>
      <w:autoSpaceDE/>
      <w:autoSpaceDN/>
      <w:adjustRightInd/>
      <w:spacing w:before="240" w:after="60" w:line="240" w:lineRule="auto"/>
      <w:textAlignment w:val="auto"/>
      <w:outlineLvl w:val="2"/>
    </w:pPr>
    <w:rPr>
      <w:rFonts w:ascii="Arial" w:eastAsia="Times New Roman" w:hAnsi="Arial" w:cs="Arial"/>
      <w:b/>
      <w:bCs/>
      <w:sz w:val="26"/>
      <w:szCs w:val="26"/>
      <w:lang w:eastAsia="sv-SE"/>
    </w:rPr>
  </w:style>
  <w:style w:type="paragraph" w:styleId="Rubrik4">
    <w:name w:val="heading 4"/>
    <w:basedOn w:val="Normal"/>
    <w:next w:val="Normal"/>
    <w:qFormat/>
    <w:pPr>
      <w:keepNext/>
      <w:numPr>
        <w:ilvl w:val="3"/>
        <w:numId w:val="40"/>
      </w:numPr>
      <w:autoSpaceDE/>
      <w:autoSpaceDN/>
      <w:adjustRightInd/>
      <w:spacing w:before="240" w:after="60" w:line="240" w:lineRule="auto"/>
      <w:textAlignment w:val="auto"/>
      <w:outlineLvl w:val="3"/>
    </w:pPr>
    <w:rPr>
      <w:rFonts w:ascii="Times New Roman" w:eastAsia="Times New Roman" w:hAnsi="Times New Roman" w:cs="Times New Roman"/>
      <w:b/>
      <w:bCs/>
      <w:sz w:val="28"/>
      <w:szCs w:val="28"/>
      <w:lang w:eastAsia="sv-SE"/>
    </w:rPr>
  </w:style>
  <w:style w:type="paragraph" w:styleId="Rubrik5">
    <w:name w:val="heading 5"/>
    <w:basedOn w:val="Normal"/>
    <w:next w:val="Normal"/>
    <w:qFormat/>
    <w:pPr>
      <w:numPr>
        <w:ilvl w:val="4"/>
        <w:numId w:val="41"/>
      </w:numPr>
      <w:autoSpaceDE/>
      <w:autoSpaceDN/>
      <w:adjustRightInd/>
      <w:spacing w:before="240" w:after="60" w:line="240" w:lineRule="auto"/>
      <w:textAlignment w:val="auto"/>
      <w:outlineLvl w:val="4"/>
    </w:pPr>
    <w:rPr>
      <w:rFonts w:ascii="Times New Roman" w:eastAsia="Times New Roman" w:hAnsi="Times New Roman" w:cs="Times New Roman"/>
      <w:b/>
      <w:bCs/>
      <w:i/>
      <w:iCs/>
      <w:sz w:val="26"/>
      <w:szCs w:val="26"/>
      <w:lang w:eastAsia="sv-SE"/>
    </w:rPr>
  </w:style>
  <w:style w:type="paragraph" w:styleId="Rubrik6">
    <w:name w:val="heading 6"/>
    <w:basedOn w:val="Normal"/>
    <w:next w:val="Normal"/>
    <w:qFormat/>
    <w:pPr>
      <w:numPr>
        <w:ilvl w:val="5"/>
        <w:numId w:val="42"/>
      </w:numPr>
      <w:autoSpaceDE/>
      <w:autoSpaceDN/>
      <w:adjustRightInd/>
      <w:spacing w:before="240" w:after="60" w:line="240" w:lineRule="auto"/>
      <w:textAlignment w:val="auto"/>
      <w:outlineLvl w:val="5"/>
    </w:pPr>
    <w:rPr>
      <w:rFonts w:ascii="Times New Roman" w:eastAsia="Times New Roman" w:hAnsi="Times New Roman" w:cs="Times New Roman"/>
      <w:b/>
      <w:bCs/>
      <w:sz w:val="22"/>
      <w:szCs w:val="22"/>
      <w:lang w:eastAsia="sv-SE"/>
    </w:rPr>
  </w:style>
  <w:style w:type="paragraph" w:styleId="Rubrik7">
    <w:name w:val="heading 7"/>
    <w:basedOn w:val="Normal"/>
    <w:next w:val="Normal"/>
    <w:qFormat/>
    <w:pPr>
      <w:numPr>
        <w:ilvl w:val="6"/>
        <w:numId w:val="43"/>
      </w:numPr>
      <w:autoSpaceDE/>
      <w:autoSpaceDN/>
      <w:adjustRightInd/>
      <w:spacing w:before="240" w:after="60" w:line="240" w:lineRule="auto"/>
      <w:textAlignment w:val="auto"/>
      <w:outlineLvl w:val="6"/>
    </w:pPr>
    <w:rPr>
      <w:rFonts w:ascii="Times New Roman" w:eastAsia="Times New Roman" w:hAnsi="Times New Roman" w:cs="Times New Roman"/>
      <w:sz w:val="24"/>
      <w:szCs w:val="24"/>
      <w:lang w:eastAsia="sv-SE"/>
    </w:rPr>
  </w:style>
  <w:style w:type="paragraph" w:styleId="Rubrik8">
    <w:name w:val="heading 8"/>
    <w:basedOn w:val="Normal"/>
    <w:next w:val="Normal"/>
    <w:qFormat/>
    <w:pPr>
      <w:numPr>
        <w:ilvl w:val="7"/>
        <w:numId w:val="44"/>
      </w:numPr>
      <w:autoSpaceDE/>
      <w:autoSpaceDN/>
      <w:adjustRightInd/>
      <w:spacing w:before="240" w:after="60" w:line="240" w:lineRule="auto"/>
      <w:textAlignment w:val="auto"/>
      <w:outlineLvl w:val="7"/>
    </w:pPr>
    <w:rPr>
      <w:rFonts w:ascii="Times New Roman" w:eastAsia="Times New Roman" w:hAnsi="Times New Roman" w:cs="Times New Roman"/>
      <w:i/>
      <w:iCs/>
      <w:sz w:val="24"/>
      <w:szCs w:val="24"/>
      <w:lang w:eastAsia="sv-SE"/>
    </w:rPr>
  </w:style>
  <w:style w:type="paragraph" w:styleId="Rubrik9">
    <w:name w:val="heading 9"/>
    <w:basedOn w:val="Normal"/>
    <w:next w:val="Normal"/>
    <w:qFormat/>
    <w:pPr>
      <w:numPr>
        <w:ilvl w:val="8"/>
        <w:numId w:val="45"/>
      </w:numPr>
      <w:autoSpaceDE/>
      <w:autoSpaceDN/>
      <w:adjustRightInd/>
      <w:spacing w:before="240" w:after="60" w:line="240" w:lineRule="auto"/>
      <w:textAlignment w:val="auto"/>
      <w:outlineLvl w:val="8"/>
    </w:pPr>
    <w:rPr>
      <w:rFonts w:ascii="Arial" w:eastAsia="Times New Roman" w:hAnsi="Arial" w:cs="Arial"/>
      <w:sz w:val="22"/>
      <w:szCs w:val="22"/>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dstrike w:val="0"/>
      <w:color w:val="0000FF"/>
      <w:u w:val="none"/>
      <w:effect w:val="none"/>
    </w:rPr>
  </w:style>
  <w:style w:type="paragraph" w:styleId="Punktlista3">
    <w:name w:val="List Bullet 3"/>
    <w:basedOn w:val="Normal"/>
    <w:autoRedefine/>
    <w:pPr>
      <w:numPr>
        <w:numId w:val="8"/>
      </w:numPr>
      <w:autoSpaceDE/>
      <w:autoSpaceDN/>
      <w:adjustRightInd/>
      <w:spacing w:line="240" w:lineRule="auto"/>
      <w:textAlignment w:val="auto"/>
    </w:pPr>
    <w:rPr>
      <w:rFonts w:ascii="Times New Roman" w:eastAsia="Times New Roman" w:hAnsi="Times New Roman" w:cs="Times New Roman"/>
      <w:sz w:val="24"/>
      <w:szCs w:val="24"/>
      <w:lang w:eastAsia="sv-SE"/>
    </w:rPr>
  </w:style>
  <w:style w:type="paragraph" w:styleId="Brdtextmedindrag">
    <w:name w:val="Body Text Indent"/>
    <w:basedOn w:val="Normal"/>
    <w:pPr>
      <w:autoSpaceDE/>
      <w:autoSpaceDN/>
      <w:adjustRightInd/>
      <w:spacing w:after="120" w:line="240" w:lineRule="auto"/>
      <w:ind w:left="283"/>
      <w:textAlignment w:val="auto"/>
    </w:pPr>
    <w:rPr>
      <w:rFonts w:ascii="Times New Roman" w:eastAsia="Times New Roman" w:hAnsi="Times New Roman" w:cs="Times New Roman"/>
      <w:sz w:val="24"/>
      <w:szCs w:val="24"/>
      <w:lang w:eastAsia="sv-SE"/>
    </w:r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autoSpaceDE/>
      <w:autoSpaceDN/>
      <w:adjustRightInd/>
      <w:spacing w:line="240" w:lineRule="auto"/>
      <w:textAlignment w:val="auto"/>
    </w:pPr>
    <w:rPr>
      <w:rFonts w:ascii="Arial" w:eastAsia="Times New Roman" w:hAnsi="Arial" w:cs="Arial"/>
      <w:sz w:val="16"/>
      <w:szCs w:val="24"/>
      <w:lang w:eastAsia="sv-SE"/>
    </w:rPr>
  </w:style>
  <w:style w:type="paragraph" w:styleId="Sidfot">
    <w:name w:val="footer"/>
    <w:basedOn w:val="Normal"/>
    <w:pPr>
      <w:tabs>
        <w:tab w:val="right" w:pos="8165"/>
      </w:tabs>
      <w:autoSpaceDE/>
      <w:autoSpaceDN/>
      <w:adjustRightInd/>
      <w:spacing w:line="240" w:lineRule="auto"/>
      <w:textAlignment w:val="auto"/>
    </w:pPr>
    <w:rPr>
      <w:rFonts w:ascii="Verdana" w:eastAsia="Times New Roman" w:hAnsi="Verdana" w:cs="Arial"/>
      <w:sz w:val="14"/>
      <w:szCs w:val="24"/>
      <w:lang w:eastAsia="sv-SE"/>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7938"/>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spacing w:line="288" w:lineRule="auto"/>
      <w:jc w:val="both"/>
      <w:textAlignment w:val="auto"/>
    </w:pPr>
    <w:rPr>
      <w:rFonts w:ascii="Times New Roman" w:eastAsia="Times New Roman" w:hAnsi="Times New Roman" w:cs="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locked/>
    <w:rsid w:val="00212769"/>
    <w:rPr>
      <w:sz w:val="22"/>
      <w:lang w:val="sv-SE" w:eastAsia="sv-SE"/>
    </w:rPr>
  </w:style>
  <w:style w:type="paragraph" w:styleId="Revision">
    <w:name w:val="Revision"/>
    <w:hidden/>
    <w:uiPriority w:val="99"/>
    <w:semiHidden/>
    <w:rsid w:val="003A681E"/>
    <w:rPr>
      <w:sz w:val="24"/>
      <w:szCs w:val="24"/>
      <w:lang w:val="sv-SE" w:eastAsia="sv-SE"/>
    </w:rPr>
  </w:style>
  <w:style w:type="character" w:styleId="Kommentarsreferens">
    <w:name w:val="annotation reference"/>
    <w:basedOn w:val="Standardstycketeckensnitt"/>
    <w:uiPriority w:val="99"/>
    <w:unhideWhenUsed/>
    <w:rsid w:val="003C69F0"/>
    <w:rPr>
      <w:sz w:val="16"/>
      <w:szCs w:val="16"/>
    </w:rPr>
  </w:style>
  <w:style w:type="paragraph" w:styleId="Kommentarer">
    <w:name w:val="annotation text"/>
    <w:basedOn w:val="Normal"/>
    <w:link w:val="KommentarerChar"/>
    <w:uiPriority w:val="99"/>
    <w:unhideWhenUsed/>
    <w:rsid w:val="003C69F0"/>
    <w:pPr>
      <w:spacing w:line="240" w:lineRule="auto"/>
    </w:pPr>
  </w:style>
  <w:style w:type="character" w:customStyle="1" w:styleId="KommentarerChar">
    <w:name w:val="Kommentarer Char"/>
    <w:basedOn w:val="Standardstycketeckensnitt"/>
    <w:link w:val="Kommentarer"/>
    <w:uiPriority w:val="99"/>
    <w:rsid w:val="003C69F0"/>
    <w:rPr>
      <w:rFonts w:asciiTheme="minorHAnsi" w:eastAsiaTheme="minorHAnsi" w:hAnsiTheme="minorHAnsi" w:cs="Open Sans"/>
      <w:lang w:val="sv-SE" w:eastAsia="en-US"/>
    </w:rPr>
  </w:style>
  <w:style w:type="character" w:styleId="Olstomnmnande">
    <w:name w:val="Unresolved Mention"/>
    <w:basedOn w:val="Standardstycketeckensnitt"/>
    <w:uiPriority w:val="99"/>
    <w:semiHidden/>
    <w:unhideWhenUsed/>
    <w:rsid w:val="00CA60EE"/>
    <w:rPr>
      <w:color w:val="605E5C"/>
      <w:shd w:val="clear" w:color="auto" w:fill="E1DFDD"/>
    </w:rPr>
  </w:style>
  <w:style w:type="table" w:styleId="Tabellrutnt">
    <w:name w:val="Table Grid"/>
    <w:basedOn w:val="Normaltabell"/>
    <w:uiPriority w:val="59"/>
    <w:rsid w:val="00C96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geringen.ax/alandsk-lagstiftning/alex/201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eringen.ax/alandsk-lagstiftning/alex/20154"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Lagberedning\LS-Paralle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LS-Parallell.dot</Template>
  <TotalTime>0</TotalTime>
  <Pages>4</Pages>
  <Words>1091</Words>
  <Characters>5785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NyLS-Parallell</vt:lpstr>
    </vt:vector>
  </TitlesOfParts>
  <Company>Ålands landskapsstyrelse</Company>
  <LinksUpToDate>false</LinksUpToDate>
  <CharactersWithSpaces>6863</CharactersWithSpaces>
  <SharedDoc>false</SharedDoc>
  <HLinks>
    <vt:vector size="12" baseType="variant">
      <vt:variant>
        <vt:i4>1310783</vt:i4>
      </vt:variant>
      <vt:variant>
        <vt:i4>8</vt:i4>
      </vt:variant>
      <vt:variant>
        <vt:i4>0</vt:i4>
      </vt:variant>
      <vt:variant>
        <vt:i4>5</vt:i4>
      </vt:variant>
      <vt:variant>
        <vt:lpwstr/>
      </vt:variant>
      <vt:variant>
        <vt:lpwstr>_Toc530991380</vt:lpwstr>
      </vt:variant>
      <vt:variant>
        <vt:i4>1769535</vt:i4>
      </vt:variant>
      <vt:variant>
        <vt:i4>2</vt:i4>
      </vt:variant>
      <vt:variant>
        <vt:i4>0</vt:i4>
      </vt:variant>
      <vt:variant>
        <vt:i4>5</vt:i4>
      </vt:variant>
      <vt:variant>
        <vt:lpwstr/>
      </vt:variant>
      <vt:variant>
        <vt:lpwstr>_Toc530991379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NyLS-Parallell</dc:title>
  <dc:subject>Ny parallellmall</dc:subject>
  <dc:creator>Pia Grüssner</dc:creator>
  <cp:keywords/>
  <dc:description/>
  <cp:lastModifiedBy>Jessica Laaksonen</cp:lastModifiedBy>
  <cp:revision>2</cp:revision>
  <cp:lastPrinted>2024-09-17T11:00:00Z</cp:lastPrinted>
  <dcterms:created xsi:type="dcterms:W3CDTF">2025-03-13T12:36:00Z</dcterms:created>
  <dcterms:modified xsi:type="dcterms:W3CDTF">2025-03-13T12:36:00Z</dcterms:modified>
</cp:coreProperties>
</file>