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14:paraId="1593C978" w14:textId="77777777">
        <w:trPr>
          <w:cantSplit/>
          <w:trHeight w:val="20"/>
        </w:trPr>
        <w:tc>
          <w:tcPr>
            <w:tcW w:w="861" w:type="dxa"/>
            <w:vMerge w:val="restart"/>
          </w:tcPr>
          <w:p w14:paraId="5F5B24FF" w14:textId="3C4CDAFF" w:rsidR="002401D0" w:rsidRDefault="00C93DA2">
            <w:pPr>
              <w:pStyle w:val="xLedtext"/>
              <w:rPr>
                <w:noProof/>
              </w:rPr>
            </w:pPr>
            <w:bookmarkStart w:id="0" w:name="_top"/>
            <w:bookmarkEnd w:id="0"/>
            <w:r>
              <w:rPr>
                <w:noProof/>
              </w:rPr>
              <w:drawing>
                <wp:inline distT="0" distB="0" distL="0" distR="0" wp14:anchorId="1BB95F9D" wp14:editId="6B7A367C">
                  <wp:extent cx="47625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46A72719" w14:textId="18CFD8CE" w:rsidR="002401D0" w:rsidRDefault="00C93DA2">
            <w:pPr>
              <w:pStyle w:val="xMellanrum"/>
            </w:pPr>
            <w:r>
              <w:rPr>
                <w:noProof/>
              </w:rPr>
              <w:drawing>
                <wp:inline distT="0" distB="0" distL="0" distR="0" wp14:anchorId="3195B98A" wp14:editId="0990F33B">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2401D0" w14:paraId="2FC977AD" w14:textId="77777777">
        <w:trPr>
          <w:cantSplit/>
          <w:trHeight w:val="299"/>
        </w:trPr>
        <w:tc>
          <w:tcPr>
            <w:tcW w:w="861" w:type="dxa"/>
            <w:vMerge/>
          </w:tcPr>
          <w:p w14:paraId="61A4BCD6" w14:textId="77777777" w:rsidR="002401D0" w:rsidRDefault="002401D0">
            <w:pPr>
              <w:pStyle w:val="xLedtext"/>
            </w:pPr>
          </w:p>
        </w:tc>
        <w:tc>
          <w:tcPr>
            <w:tcW w:w="4448" w:type="dxa"/>
            <w:vAlign w:val="bottom"/>
          </w:tcPr>
          <w:p w14:paraId="07ED3915" w14:textId="77777777" w:rsidR="002401D0" w:rsidRDefault="002401D0">
            <w:pPr>
              <w:pStyle w:val="xAvsandare1"/>
            </w:pPr>
            <w:r>
              <w:t>Ålands lagting</w:t>
            </w:r>
          </w:p>
        </w:tc>
        <w:tc>
          <w:tcPr>
            <w:tcW w:w="4288" w:type="dxa"/>
            <w:gridSpan w:val="2"/>
            <w:vAlign w:val="bottom"/>
          </w:tcPr>
          <w:p w14:paraId="32B39E37" w14:textId="031EDE6D" w:rsidR="002401D0" w:rsidRDefault="002401D0" w:rsidP="00B36A8F">
            <w:pPr>
              <w:pStyle w:val="xDokTypNr"/>
            </w:pPr>
            <w:r>
              <w:t xml:space="preserve">BETÄNKANDE nr </w:t>
            </w:r>
            <w:r w:rsidR="00187663">
              <w:t>1</w:t>
            </w:r>
            <w:r>
              <w:t>/</w:t>
            </w:r>
            <w:proofErr w:type="gramStart"/>
            <w:r>
              <w:t>20</w:t>
            </w:r>
            <w:r w:rsidR="00C93DA2">
              <w:t>2</w:t>
            </w:r>
            <w:r w:rsidR="000F3810">
              <w:t>5</w:t>
            </w:r>
            <w:r w:rsidR="0015337C">
              <w:t>-20</w:t>
            </w:r>
            <w:r w:rsidR="00C93DA2">
              <w:t>2</w:t>
            </w:r>
            <w:r w:rsidR="000F3810">
              <w:t>6</w:t>
            </w:r>
            <w:proofErr w:type="gramEnd"/>
          </w:p>
        </w:tc>
      </w:tr>
      <w:tr w:rsidR="002401D0" w14:paraId="39463A17" w14:textId="77777777">
        <w:trPr>
          <w:cantSplit/>
          <w:trHeight w:val="238"/>
        </w:trPr>
        <w:tc>
          <w:tcPr>
            <w:tcW w:w="861" w:type="dxa"/>
            <w:vMerge/>
          </w:tcPr>
          <w:p w14:paraId="5F00FD90" w14:textId="77777777" w:rsidR="002401D0" w:rsidRDefault="002401D0">
            <w:pPr>
              <w:pStyle w:val="xLedtext"/>
            </w:pPr>
          </w:p>
        </w:tc>
        <w:tc>
          <w:tcPr>
            <w:tcW w:w="4448" w:type="dxa"/>
            <w:vAlign w:val="bottom"/>
          </w:tcPr>
          <w:p w14:paraId="440C75B9" w14:textId="77777777" w:rsidR="002401D0" w:rsidRDefault="002401D0">
            <w:pPr>
              <w:pStyle w:val="xLedtext"/>
            </w:pPr>
          </w:p>
        </w:tc>
        <w:tc>
          <w:tcPr>
            <w:tcW w:w="1725" w:type="dxa"/>
            <w:vAlign w:val="bottom"/>
          </w:tcPr>
          <w:p w14:paraId="2D0D1014" w14:textId="77777777" w:rsidR="002401D0" w:rsidRDefault="002401D0">
            <w:pPr>
              <w:pStyle w:val="xLedtext"/>
            </w:pPr>
            <w:r>
              <w:t>Datum</w:t>
            </w:r>
          </w:p>
        </w:tc>
        <w:tc>
          <w:tcPr>
            <w:tcW w:w="2563" w:type="dxa"/>
            <w:vAlign w:val="bottom"/>
          </w:tcPr>
          <w:p w14:paraId="692E88E2" w14:textId="77777777" w:rsidR="002401D0" w:rsidRDefault="002401D0">
            <w:pPr>
              <w:pStyle w:val="xLedtext"/>
            </w:pPr>
          </w:p>
        </w:tc>
      </w:tr>
      <w:tr w:rsidR="002401D0" w14:paraId="7CF69955" w14:textId="77777777">
        <w:trPr>
          <w:cantSplit/>
          <w:trHeight w:val="238"/>
        </w:trPr>
        <w:tc>
          <w:tcPr>
            <w:tcW w:w="861" w:type="dxa"/>
            <w:vMerge/>
          </w:tcPr>
          <w:p w14:paraId="562F6516" w14:textId="77777777" w:rsidR="002401D0" w:rsidRDefault="002401D0">
            <w:pPr>
              <w:pStyle w:val="xAvsandare2"/>
            </w:pPr>
          </w:p>
        </w:tc>
        <w:tc>
          <w:tcPr>
            <w:tcW w:w="4448" w:type="dxa"/>
            <w:vAlign w:val="center"/>
          </w:tcPr>
          <w:p w14:paraId="7345E9EF" w14:textId="46B9F23D" w:rsidR="002401D0" w:rsidRDefault="00C93DA2">
            <w:pPr>
              <w:pStyle w:val="xAvsandare2"/>
            </w:pPr>
            <w:r>
              <w:t>Social-och miljö</w:t>
            </w:r>
            <w:r w:rsidR="002401D0">
              <w:t>utskottet</w:t>
            </w:r>
          </w:p>
        </w:tc>
        <w:tc>
          <w:tcPr>
            <w:tcW w:w="1725" w:type="dxa"/>
            <w:vAlign w:val="center"/>
          </w:tcPr>
          <w:p w14:paraId="5C2C7A12" w14:textId="75AA2DAB" w:rsidR="002401D0" w:rsidRDefault="002401D0">
            <w:pPr>
              <w:pStyle w:val="xDatum1"/>
            </w:pPr>
            <w:r>
              <w:t>20</w:t>
            </w:r>
            <w:r w:rsidR="00C93DA2">
              <w:t>25-</w:t>
            </w:r>
            <w:r w:rsidR="000F3810">
              <w:t>1</w:t>
            </w:r>
            <w:r w:rsidR="000B09AE">
              <w:t>2</w:t>
            </w:r>
            <w:r w:rsidR="00C93DA2">
              <w:t>-</w:t>
            </w:r>
            <w:r w:rsidR="00187663">
              <w:t>04</w:t>
            </w:r>
          </w:p>
        </w:tc>
        <w:tc>
          <w:tcPr>
            <w:tcW w:w="2563" w:type="dxa"/>
            <w:vAlign w:val="center"/>
          </w:tcPr>
          <w:p w14:paraId="3153F54F" w14:textId="77777777" w:rsidR="002401D0" w:rsidRDefault="002401D0">
            <w:pPr>
              <w:pStyle w:val="xBeteckning1"/>
            </w:pPr>
          </w:p>
        </w:tc>
      </w:tr>
      <w:tr w:rsidR="002401D0" w14:paraId="18318F30" w14:textId="77777777">
        <w:trPr>
          <w:cantSplit/>
          <w:trHeight w:val="238"/>
        </w:trPr>
        <w:tc>
          <w:tcPr>
            <w:tcW w:w="861" w:type="dxa"/>
            <w:vMerge/>
          </w:tcPr>
          <w:p w14:paraId="1B655694" w14:textId="77777777" w:rsidR="002401D0" w:rsidRDefault="002401D0">
            <w:pPr>
              <w:pStyle w:val="xLedtext"/>
            </w:pPr>
          </w:p>
        </w:tc>
        <w:tc>
          <w:tcPr>
            <w:tcW w:w="4448" w:type="dxa"/>
            <w:vAlign w:val="bottom"/>
          </w:tcPr>
          <w:p w14:paraId="19B7399E" w14:textId="77777777" w:rsidR="002401D0" w:rsidRDefault="002401D0">
            <w:pPr>
              <w:pStyle w:val="xLedtext"/>
            </w:pPr>
          </w:p>
        </w:tc>
        <w:tc>
          <w:tcPr>
            <w:tcW w:w="1725" w:type="dxa"/>
            <w:vAlign w:val="bottom"/>
          </w:tcPr>
          <w:p w14:paraId="252A31AD" w14:textId="77777777" w:rsidR="002401D0" w:rsidRDefault="002401D0">
            <w:pPr>
              <w:pStyle w:val="xLedtext"/>
            </w:pPr>
          </w:p>
        </w:tc>
        <w:tc>
          <w:tcPr>
            <w:tcW w:w="2563" w:type="dxa"/>
            <w:vAlign w:val="bottom"/>
          </w:tcPr>
          <w:p w14:paraId="5EC07411" w14:textId="77777777" w:rsidR="002401D0" w:rsidRDefault="002401D0">
            <w:pPr>
              <w:pStyle w:val="xLedtext"/>
            </w:pPr>
          </w:p>
        </w:tc>
      </w:tr>
      <w:tr w:rsidR="002401D0" w14:paraId="7ADBB340" w14:textId="77777777">
        <w:trPr>
          <w:cantSplit/>
          <w:trHeight w:val="238"/>
        </w:trPr>
        <w:tc>
          <w:tcPr>
            <w:tcW w:w="861" w:type="dxa"/>
            <w:vMerge/>
            <w:tcBorders>
              <w:bottom w:val="single" w:sz="4" w:space="0" w:color="auto"/>
            </w:tcBorders>
          </w:tcPr>
          <w:p w14:paraId="404EE434" w14:textId="77777777" w:rsidR="002401D0" w:rsidRDefault="002401D0">
            <w:pPr>
              <w:pStyle w:val="xAvsandare3"/>
            </w:pPr>
          </w:p>
        </w:tc>
        <w:tc>
          <w:tcPr>
            <w:tcW w:w="4448" w:type="dxa"/>
            <w:tcBorders>
              <w:bottom w:val="single" w:sz="4" w:space="0" w:color="auto"/>
            </w:tcBorders>
            <w:vAlign w:val="center"/>
          </w:tcPr>
          <w:p w14:paraId="2D956879" w14:textId="77777777" w:rsidR="002401D0" w:rsidRDefault="002401D0">
            <w:pPr>
              <w:pStyle w:val="xAvsandare3"/>
            </w:pPr>
          </w:p>
        </w:tc>
        <w:tc>
          <w:tcPr>
            <w:tcW w:w="1725" w:type="dxa"/>
            <w:tcBorders>
              <w:bottom w:val="single" w:sz="4" w:space="0" w:color="auto"/>
            </w:tcBorders>
            <w:vAlign w:val="center"/>
          </w:tcPr>
          <w:p w14:paraId="57D5ABAB" w14:textId="77777777" w:rsidR="002401D0" w:rsidRDefault="002401D0">
            <w:pPr>
              <w:pStyle w:val="xDatum2"/>
            </w:pPr>
          </w:p>
        </w:tc>
        <w:tc>
          <w:tcPr>
            <w:tcW w:w="2563" w:type="dxa"/>
            <w:tcBorders>
              <w:bottom w:val="single" w:sz="4" w:space="0" w:color="auto"/>
            </w:tcBorders>
            <w:vAlign w:val="center"/>
          </w:tcPr>
          <w:p w14:paraId="3B27A46D" w14:textId="77777777" w:rsidR="002401D0" w:rsidRDefault="002401D0">
            <w:pPr>
              <w:pStyle w:val="xBeteckning2"/>
            </w:pPr>
          </w:p>
        </w:tc>
      </w:tr>
      <w:tr w:rsidR="002401D0" w14:paraId="44380937" w14:textId="77777777">
        <w:trPr>
          <w:cantSplit/>
          <w:trHeight w:val="238"/>
        </w:trPr>
        <w:tc>
          <w:tcPr>
            <w:tcW w:w="861" w:type="dxa"/>
            <w:tcBorders>
              <w:top w:val="single" w:sz="4" w:space="0" w:color="auto"/>
            </w:tcBorders>
            <w:vAlign w:val="bottom"/>
          </w:tcPr>
          <w:p w14:paraId="59788D4B" w14:textId="77777777" w:rsidR="002401D0" w:rsidRDefault="002401D0">
            <w:pPr>
              <w:pStyle w:val="xLedtext"/>
            </w:pPr>
          </w:p>
        </w:tc>
        <w:tc>
          <w:tcPr>
            <w:tcW w:w="4448" w:type="dxa"/>
            <w:tcBorders>
              <w:top w:val="single" w:sz="4" w:space="0" w:color="auto"/>
            </w:tcBorders>
            <w:vAlign w:val="bottom"/>
          </w:tcPr>
          <w:p w14:paraId="00D15795" w14:textId="77777777" w:rsidR="002401D0" w:rsidRDefault="002401D0">
            <w:pPr>
              <w:pStyle w:val="xLedtext"/>
            </w:pPr>
          </w:p>
        </w:tc>
        <w:tc>
          <w:tcPr>
            <w:tcW w:w="4288" w:type="dxa"/>
            <w:gridSpan w:val="2"/>
            <w:tcBorders>
              <w:top w:val="single" w:sz="4" w:space="0" w:color="auto"/>
            </w:tcBorders>
            <w:vAlign w:val="bottom"/>
          </w:tcPr>
          <w:p w14:paraId="7A19A0BA" w14:textId="77777777" w:rsidR="002401D0" w:rsidRDefault="002401D0">
            <w:pPr>
              <w:pStyle w:val="xLedtext"/>
            </w:pPr>
          </w:p>
        </w:tc>
      </w:tr>
      <w:tr w:rsidR="002401D0" w14:paraId="08135946" w14:textId="77777777">
        <w:trPr>
          <w:cantSplit/>
          <w:trHeight w:val="238"/>
        </w:trPr>
        <w:tc>
          <w:tcPr>
            <w:tcW w:w="861" w:type="dxa"/>
          </w:tcPr>
          <w:p w14:paraId="34C65BEC" w14:textId="77777777" w:rsidR="002401D0" w:rsidRDefault="002401D0">
            <w:pPr>
              <w:pStyle w:val="xCelltext"/>
            </w:pPr>
          </w:p>
        </w:tc>
        <w:tc>
          <w:tcPr>
            <w:tcW w:w="4448" w:type="dxa"/>
            <w:vMerge w:val="restart"/>
          </w:tcPr>
          <w:p w14:paraId="38C13783" w14:textId="77777777" w:rsidR="002401D0" w:rsidRDefault="002401D0">
            <w:pPr>
              <w:pStyle w:val="xMottagare1"/>
            </w:pPr>
            <w:r>
              <w:t>Till Ålands lagting</w:t>
            </w:r>
          </w:p>
        </w:tc>
        <w:tc>
          <w:tcPr>
            <w:tcW w:w="4288" w:type="dxa"/>
            <w:gridSpan w:val="2"/>
            <w:vMerge w:val="restart"/>
          </w:tcPr>
          <w:p w14:paraId="677B8111" w14:textId="77777777" w:rsidR="002401D0" w:rsidRDefault="002401D0">
            <w:pPr>
              <w:pStyle w:val="xMottagare1"/>
              <w:tabs>
                <w:tab w:val="left" w:pos="2349"/>
              </w:tabs>
            </w:pPr>
          </w:p>
        </w:tc>
      </w:tr>
      <w:tr w:rsidR="002401D0" w14:paraId="6B1E7D8E" w14:textId="77777777">
        <w:trPr>
          <w:cantSplit/>
          <w:trHeight w:val="238"/>
        </w:trPr>
        <w:tc>
          <w:tcPr>
            <w:tcW w:w="861" w:type="dxa"/>
          </w:tcPr>
          <w:p w14:paraId="69547BB7" w14:textId="77777777" w:rsidR="002401D0" w:rsidRDefault="002401D0">
            <w:pPr>
              <w:pStyle w:val="xCelltext"/>
            </w:pPr>
          </w:p>
        </w:tc>
        <w:tc>
          <w:tcPr>
            <w:tcW w:w="4448" w:type="dxa"/>
            <w:vMerge/>
            <w:vAlign w:val="center"/>
          </w:tcPr>
          <w:p w14:paraId="691AF88A" w14:textId="77777777" w:rsidR="002401D0" w:rsidRDefault="002401D0">
            <w:pPr>
              <w:pStyle w:val="xCelltext"/>
            </w:pPr>
          </w:p>
        </w:tc>
        <w:tc>
          <w:tcPr>
            <w:tcW w:w="4288" w:type="dxa"/>
            <w:gridSpan w:val="2"/>
            <w:vMerge/>
            <w:vAlign w:val="center"/>
          </w:tcPr>
          <w:p w14:paraId="4ABDB6E6" w14:textId="77777777" w:rsidR="002401D0" w:rsidRDefault="002401D0">
            <w:pPr>
              <w:pStyle w:val="xCelltext"/>
            </w:pPr>
          </w:p>
        </w:tc>
      </w:tr>
      <w:tr w:rsidR="002401D0" w14:paraId="3D244DC9" w14:textId="77777777">
        <w:trPr>
          <w:cantSplit/>
          <w:trHeight w:val="238"/>
        </w:trPr>
        <w:tc>
          <w:tcPr>
            <w:tcW w:w="861" w:type="dxa"/>
          </w:tcPr>
          <w:p w14:paraId="0BC38EED" w14:textId="77777777" w:rsidR="002401D0" w:rsidRDefault="002401D0">
            <w:pPr>
              <w:pStyle w:val="xCelltext"/>
            </w:pPr>
          </w:p>
        </w:tc>
        <w:tc>
          <w:tcPr>
            <w:tcW w:w="4448" w:type="dxa"/>
            <w:vMerge/>
            <w:vAlign w:val="center"/>
          </w:tcPr>
          <w:p w14:paraId="684EC195" w14:textId="77777777" w:rsidR="002401D0" w:rsidRDefault="002401D0">
            <w:pPr>
              <w:pStyle w:val="xCelltext"/>
            </w:pPr>
          </w:p>
        </w:tc>
        <w:tc>
          <w:tcPr>
            <w:tcW w:w="4288" w:type="dxa"/>
            <w:gridSpan w:val="2"/>
            <w:vMerge/>
            <w:vAlign w:val="center"/>
          </w:tcPr>
          <w:p w14:paraId="306566C5" w14:textId="77777777" w:rsidR="002401D0" w:rsidRDefault="002401D0">
            <w:pPr>
              <w:pStyle w:val="xCelltext"/>
            </w:pPr>
          </w:p>
        </w:tc>
      </w:tr>
      <w:tr w:rsidR="002401D0" w14:paraId="66F372E3" w14:textId="77777777">
        <w:trPr>
          <w:cantSplit/>
          <w:trHeight w:val="238"/>
        </w:trPr>
        <w:tc>
          <w:tcPr>
            <w:tcW w:w="861" w:type="dxa"/>
          </w:tcPr>
          <w:p w14:paraId="34C8F708" w14:textId="77777777" w:rsidR="002401D0" w:rsidRDefault="002401D0">
            <w:pPr>
              <w:pStyle w:val="xCelltext"/>
            </w:pPr>
          </w:p>
        </w:tc>
        <w:tc>
          <w:tcPr>
            <w:tcW w:w="4448" w:type="dxa"/>
            <w:vMerge/>
            <w:vAlign w:val="center"/>
          </w:tcPr>
          <w:p w14:paraId="1CB9ADAC" w14:textId="77777777" w:rsidR="002401D0" w:rsidRDefault="002401D0">
            <w:pPr>
              <w:pStyle w:val="xCelltext"/>
            </w:pPr>
          </w:p>
        </w:tc>
        <w:tc>
          <w:tcPr>
            <w:tcW w:w="4288" w:type="dxa"/>
            <w:gridSpan w:val="2"/>
            <w:vMerge/>
            <w:vAlign w:val="center"/>
          </w:tcPr>
          <w:p w14:paraId="1A486911" w14:textId="77777777" w:rsidR="002401D0" w:rsidRDefault="002401D0">
            <w:pPr>
              <w:pStyle w:val="xCelltext"/>
            </w:pPr>
          </w:p>
        </w:tc>
      </w:tr>
      <w:tr w:rsidR="002401D0" w14:paraId="16488426" w14:textId="77777777">
        <w:trPr>
          <w:cantSplit/>
          <w:trHeight w:val="238"/>
        </w:trPr>
        <w:tc>
          <w:tcPr>
            <w:tcW w:w="861" w:type="dxa"/>
          </w:tcPr>
          <w:p w14:paraId="248B53C5" w14:textId="77777777" w:rsidR="002401D0" w:rsidRDefault="002401D0">
            <w:pPr>
              <w:pStyle w:val="xCelltext"/>
            </w:pPr>
          </w:p>
        </w:tc>
        <w:tc>
          <w:tcPr>
            <w:tcW w:w="4448" w:type="dxa"/>
            <w:vMerge/>
            <w:vAlign w:val="center"/>
          </w:tcPr>
          <w:p w14:paraId="10197639" w14:textId="77777777" w:rsidR="002401D0" w:rsidRDefault="002401D0">
            <w:pPr>
              <w:pStyle w:val="xCelltext"/>
            </w:pPr>
          </w:p>
        </w:tc>
        <w:tc>
          <w:tcPr>
            <w:tcW w:w="4288" w:type="dxa"/>
            <w:gridSpan w:val="2"/>
            <w:vMerge/>
            <w:vAlign w:val="center"/>
          </w:tcPr>
          <w:p w14:paraId="3BD93163" w14:textId="77777777" w:rsidR="002401D0" w:rsidRDefault="002401D0">
            <w:pPr>
              <w:pStyle w:val="xCelltext"/>
            </w:pPr>
          </w:p>
        </w:tc>
      </w:tr>
    </w:tbl>
    <w:p w14:paraId="77026FD5" w14:textId="77777777" w:rsidR="002401D0" w:rsidRDefault="002401D0">
      <w:pPr>
        <w:rPr>
          <w:b/>
          <w:bCs/>
        </w:rPr>
        <w:sectPr w:rsidR="002401D0">
          <w:footerReference w:type="even" r:id="rId12"/>
          <w:footerReference w:type="default" r:id="rId13"/>
          <w:pgSz w:w="11906" w:h="16838" w:code="9"/>
          <w:pgMar w:top="567" w:right="1134" w:bottom="1134" w:left="1191" w:header="624" w:footer="737" w:gutter="0"/>
          <w:cols w:space="708"/>
          <w:docGrid w:linePitch="360"/>
        </w:sectPr>
      </w:pPr>
    </w:p>
    <w:p w14:paraId="338929E7" w14:textId="02AA8C29" w:rsidR="002401D0" w:rsidRDefault="00C93DA2">
      <w:pPr>
        <w:pStyle w:val="ArendeOverRubrik"/>
      </w:pPr>
      <w:r>
        <w:t>Social- och miljö</w:t>
      </w:r>
      <w:r w:rsidR="002401D0">
        <w:t>utskottets betänkande</w:t>
      </w:r>
    </w:p>
    <w:p w14:paraId="30194F92" w14:textId="28C60EE6" w:rsidR="002401D0" w:rsidRDefault="00C93DA2">
      <w:pPr>
        <w:pStyle w:val="ArendeRubrik"/>
      </w:pPr>
      <w:r>
        <w:t>Ändring av tobakslagen</w:t>
      </w:r>
    </w:p>
    <w:p w14:paraId="560E66E9" w14:textId="786B5BD4" w:rsidR="002401D0" w:rsidRDefault="00C93DA2">
      <w:pPr>
        <w:pStyle w:val="ArendeUnderRubrik"/>
      </w:pPr>
      <w:r>
        <w:t>Landskapsregeringens lagförslag LF 16/</w:t>
      </w:r>
      <w:proofErr w:type="gramStart"/>
      <w:r>
        <w:t>2024-2025</w:t>
      </w:r>
      <w:proofErr w:type="gramEnd"/>
    </w:p>
    <w:p w14:paraId="018ECE71" w14:textId="77777777" w:rsidR="002401D0" w:rsidRDefault="002401D0">
      <w:pPr>
        <w:pStyle w:val="ANormal"/>
      </w:pPr>
    </w:p>
    <w:p w14:paraId="5E9277B3" w14:textId="77777777" w:rsidR="002401D0" w:rsidRDefault="002401D0">
      <w:pPr>
        <w:pStyle w:val="Innehll1"/>
      </w:pPr>
      <w:r>
        <w:t>INNEHÅLL</w:t>
      </w:r>
    </w:p>
    <w:p w14:paraId="0BBFC174" w14:textId="28F187DE" w:rsidR="00AB7515" w:rsidRDefault="002401D0">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"1-1" \h \z \t "Rubrik 2;2;Rubrik 3;3;RubrikB;2;RubrikC;3" </w:instrText>
      </w:r>
      <w:r>
        <w:fldChar w:fldCharType="separate"/>
      </w:r>
      <w:hyperlink w:anchor="_Toc215826774" w:history="1">
        <w:r w:rsidR="00AB7515" w:rsidRPr="00CA66E5">
          <w:rPr>
            <w:rStyle w:val="Hyperlnk"/>
          </w:rPr>
          <w:t>Sammanfattning</w:t>
        </w:r>
        <w:r w:rsidR="00AB7515">
          <w:rPr>
            <w:webHidden/>
          </w:rPr>
          <w:tab/>
        </w:r>
        <w:r w:rsidR="00AB7515">
          <w:rPr>
            <w:webHidden/>
          </w:rPr>
          <w:fldChar w:fldCharType="begin"/>
        </w:r>
        <w:r w:rsidR="00AB7515">
          <w:rPr>
            <w:webHidden/>
          </w:rPr>
          <w:instrText xml:space="preserve"> PAGEREF _Toc215826774 \h </w:instrText>
        </w:r>
        <w:r w:rsidR="00AB7515">
          <w:rPr>
            <w:webHidden/>
          </w:rPr>
        </w:r>
        <w:r w:rsidR="00AB7515">
          <w:rPr>
            <w:webHidden/>
          </w:rPr>
          <w:fldChar w:fldCharType="separate"/>
        </w:r>
        <w:r w:rsidR="00AB7515">
          <w:rPr>
            <w:webHidden/>
          </w:rPr>
          <w:t>1</w:t>
        </w:r>
        <w:r w:rsidR="00AB7515">
          <w:rPr>
            <w:webHidden/>
          </w:rPr>
          <w:fldChar w:fldCharType="end"/>
        </w:r>
      </w:hyperlink>
    </w:p>
    <w:p w14:paraId="566D2D12" w14:textId="6B4A632E" w:rsidR="00AB7515" w:rsidRDefault="00AB7515">
      <w:pPr>
        <w:pStyle w:val="Innehll2"/>
        <w:rPr>
          <w:rFonts w:asciiTheme="minorHAnsi" w:eastAsiaTheme="minorEastAsia" w:hAnsiTheme="minorHAnsi" w:cstheme="minorBidi"/>
          <w:kern w:val="2"/>
          <w:sz w:val="24"/>
          <w:szCs w:val="24"/>
          <w:lang w:val="sv-FI" w:eastAsia="sv-FI"/>
          <w14:ligatures w14:val="standardContextual"/>
        </w:rPr>
      </w:pPr>
      <w:hyperlink w:anchor="_Toc215826775" w:history="1">
        <w:r w:rsidRPr="00CA66E5">
          <w:rPr>
            <w:rStyle w:val="Hyperlnk"/>
          </w:rPr>
          <w:t>Landskapsregeringens förslag</w:t>
        </w:r>
        <w:r>
          <w:rPr>
            <w:webHidden/>
          </w:rPr>
          <w:tab/>
        </w:r>
        <w:r>
          <w:rPr>
            <w:webHidden/>
          </w:rPr>
          <w:fldChar w:fldCharType="begin"/>
        </w:r>
        <w:r>
          <w:rPr>
            <w:webHidden/>
          </w:rPr>
          <w:instrText xml:space="preserve"> PAGEREF _Toc215826775 \h </w:instrText>
        </w:r>
        <w:r>
          <w:rPr>
            <w:webHidden/>
          </w:rPr>
        </w:r>
        <w:r>
          <w:rPr>
            <w:webHidden/>
          </w:rPr>
          <w:fldChar w:fldCharType="separate"/>
        </w:r>
        <w:r>
          <w:rPr>
            <w:webHidden/>
          </w:rPr>
          <w:t>1</w:t>
        </w:r>
        <w:r>
          <w:rPr>
            <w:webHidden/>
          </w:rPr>
          <w:fldChar w:fldCharType="end"/>
        </w:r>
      </w:hyperlink>
    </w:p>
    <w:p w14:paraId="3566F2A4" w14:textId="66372600" w:rsidR="00AB7515" w:rsidRDefault="00AB7515">
      <w:pPr>
        <w:pStyle w:val="Innehll2"/>
        <w:rPr>
          <w:rFonts w:asciiTheme="minorHAnsi" w:eastAsiaTheme="minorEastAsia" w:hAnsiTheme="minorHAnsi" w:cstheme="minorBidi"/>
          <w:kern w:val="2"/>
          <w:sz w:val="24"/>
          <w:szCs w:val="24"/>
          <w:lang w:val="sv-FI" w:eastAsia="sv-FI"/>
          <w14:ligatures w14:val="standardContextual"/>
        </w:rPr>
      </w:pPr>
      <w:hyperlink w:anchor="_Toc215826776" w:history="1">
        <w:r w:rsidRPr="00CA66E5">
          <w:rPr>
            <w:rStyle w:val="Hyperlnk"/>
          </w:rPr>
          <w:t>Utskottets förslag</w:t>
        </w:r>
        <w:r>
          <w:rPr>
            <w:webHidden/>
          </w:rPr>
          <w:tab/>
        </w:r>
        <w:r>
          <w:rPr>
            <w:webHidden/>
          </w:rPr>
          <w:fldChar w:fldCharType="begin"/>
        </w:r>
        <w:r>
          <w:rPr>
            <w:webHidden/>
          </w:rPr>
          <w:instrText xml:space="preserve"> PAGEREF _Toc215826776 \h </w:instrText>
        </w:r>
        <w:r>
          <w:rPr>
            <w:webHidden/>
          </w:rPr>
        </w:r>
        <w:r>
          <w:rPr>
            <w:webHidden/>
          </w:rPr>
          <w:fldChar w:fldCharType="separate"/>
        </w:r>
        <w:r>
          <w:rPr>
            <w:webHidden/>
          </w:rPr>
          <w:t>1</w:t>
        </w:r>
        <w:r>
          <w:rPr>
            <w:webHidden/>
          </w:rPr>
          <w:fldChar w:fldCharType="end"/>
        </w:r>
      </w:hyperlink>
    </w:p>
    <w:p w14:paraId="49775505" w14:textId="2CAD2F25" w:rsidR="00AB7515" w:rsidRDefault="00AB7515">
      <w:pPr>
        <w:pStyle w:val="Innehll1"/>
        <w:rPr>
          <w:rFonts w:asciiTheme="minorHAnsi" w:eastAsiaTheme="minorEastAsia" w:hAnsiTheme="minorHAnsi" w:cstheme="minorBidi"/>
          <w:kern w:val="2"/>
          <w:sz w:val="24"/>
          <w:szCs w:val="24"/>
          <w:lang w:val="sv-FI" w:eastAsia="sv-FI"/>
          <w14:ligatures w14:val="standardContextual"/>
        </w:rPr>
      </w:pPr>
      <w:hyperlink w:anchor="_Toc215826777" w:history="1">
        <w:r w:rsidRPr="00CA66E5">
          <w:rPr>
            <w:rStyle w:val="Hyperlnk"/>
          </w:rPr>
          <w:t>Utskottets synpunkter</w:t>
        </w:r>
        <w:r>
          <w:rPr>
            <w:webHidden/>
          </w:rPr>
          <w:tab/>
        </w:r>
        <w:r>
          <w:rPr>
            <w:webHidden/>
          </w:rPr>
          <w:fldChar w:fldCharType="begin"/>
        </w:r>
        <w:r>
          <w:rPr>
            <w:webHidden/>
          </w:rPr>
          <w:instrText xml:space="preserve"> PAGEREF _Toc215826777 \h </w:instrText>
        </w:r>
        <w:r>
          <w:rPr>
            <w:webHidden/>
          </w:rPr>
        </w:r>
        <w:r>
          <w:rPr>
            <w:webHidden/>
          </w:rPr>
          <w:fldChar w:fldCharType="separate"/>
        </w:r>
        <w:r>
          <w:rPr>
            <w:webHidden/>
          </w:rPr>
          <w:t>1</w:t>
        </w:r>
        <w:r>
          <w:rPr>
            <w:webHidden/>
          </w:rPr>
          <w:fldChar w:fldCharType="end"/>
        </w:r>
      </w:hyperlink>
    </w:p>
    <w:p w14:paraId="020579AF" w14:textId="2AE485AD" w:rsidR="00AB7515" w:rsidRDefault="00AB7515">
      <w:pPr>
        <w:pStyle w:val="Innehll2"/>
        <w:rPr>
          <w:rFonts w:asciiTheme="minorHAnsi" w:eastAsiaTheme="minorEastAsia" w:hAnsiTheme="minorHAnsi" w:cstheme="minorBidi"/>
          <w:kern w:val="2"/>
          <w:sz w:val="24"/>
          <w:szCs w:val="24"/>
          <w:lang w:val="sv-FI" w:eastAsia="sv-FI"/>
          <w14:ligatures w14:val="standardContextual"/>
        </w:rPr>
      </w:pPr>
      <w:hyperlink w:anchor="_Toc215826778" w:history="1">
        <w:r w:rsidRPr="00CA66E5">
          <w:rPr>
            <w:rStyle w:val="Hyperlnk"/>
          </w:rPr>
          <w:t>Allmän motivering</w:t>
        </w:r>
        <w:r>
          <w:rPr>
            <w:webHidden/>
          </w:rPr>
          <w:tab/>
        </w:r>
        <w:r>
          <w:rPr>
            <w:webHidden/>
          </w:rPr>
          <w:fldChar w:fldCharType="begin"/>
        </w:r>
        <w:r>
          <w:rPr>
            <w:webHidden/>
          </w:rPr>
          <w:instrText xml:space="preserve"> PAGEREF _Toc215826778 \h </w:instrText>
        </w:r>
        <w:r>
          <w:rPr>
            <w:webHidden/>
          </w:rPr>
        </w:r>
        <w:r>
          <w:rPr>
            <w:webHidden/>
          </w:rPr>
          <w:fldChar w:fldCharType="separate"/>
        </w:r>
        <w:r>
          <w:rPr>
            <w:webHidden/>
          </w:rPr>
          <w:t>1</w:t>
        </w:r>
        <w:r>
          <w:rPr>
            <w:webHidden/>
          </w:rPr>
          <w:fldChar w:fldCharType="end"/>
        </w:r>
      </w:hyperlink>
    </w:p>
    <w:p w14:paraId="2719F263" w14:textId="572A9906" w:rsidR="00AB7515" w:rsidRDefault="00AB7515">
      <w:pPr>
        <w:pStyle w:val="Innehll2"/>
        <w:rPr>
          <w:rFonts w:asciiTheme="minorHAnsi" w:eastAsiaTheme="minorEastAsia" w:hAnsiTheme="minorHAnsi" w:cstheme="minorBidi"/>
          <w:kern w:val="2"/>
          <w:sz w:val="24"/>
          <w:szCs w:val="24"/>
          <w:lang w:val="sv-FI" w:eastAsia="sv-FI"/>
          <w14:ligatures w14:val="standardContextual"/>
        </w:rPr>
      </w:pPr>
      <w:hyperlink w:anchor="_Toc215826779" w:history="1">
        <w:r w:rsidRPr="00CA66E5">
          <w:rPr>
            <w:rStyle w:val="Hyperlnk"/>
          </w:rPr>
          <w:t>Detaljmotivering</w:t>
        </w:r>
        <w:r>
          <w:rPr>
            <w:webHidden/>
          </w:rPr>
          <w:tab/>
        </w:r>
        <w:r>
          <w:rPr>
            <w:webHidden/>
          </w:rPr>
          <w:fldChar w:fldCharType="begin"/>
        </w:r>
        <w:r>
          <w:rPr>
            <w:webHidden/>
          </w:rPr>
          <w:instrText xml:space="preserve"> PAGEREF _Toc215826779 \h </w:instrText>
        </w:r>
        <w:r>
          <w:rPr>
            <w:webHidden/>
          </w:rPr>
        </w:r>
        <w:r>
          <w:rPr>
            <w:webHidden/>
          </w:rPr>
          <w:fldChar w:fldCharType="separate"/>
        </w:r>
        <w:r>
          <w:rPr>
            <w:webHidden/>
          </w:rPr>
          <w:t>4</w:t>
        </w:r>
        <w:r>
          <w:rPr>
            <w:webHidden/>
          </w:rPr>
          <w:fldChar w:fldCharType="end"/>
        </w:r>
      </w:hyperlink>
    </w:p>
    <w:p w14:paraId="29748235" w14:textId="05AE1E93" w:rsidR="00AB7515" w:rsidRDefault="00AB7515">
      <w:pPr>
        <w:pStyle w:val="Innehll1"/>
        <w:rPr>
          <w:rFonts w:asciiTheme="minorHAnsi" w:eastAsiaTheme="minorEastAsia" w:hAnsiTheme="minorHAnsi" w:cstheme="minorBidi"/>
          <w:kern w:val="2"/>
          <w:sz w:val="24"/>
          <w:szCs w:val="24"/>
          <w:lang w:val="sv-FI" w:eastAsia="sv-FI"/>
          <w14:ligatures w14:val="standardContextual"/>
        </w:rPr>
      </w:pPr>
      <w:hyperlink w:anchor="_Toc215826780" w:history="1">
        <w:r w:rsidRPr="00CA66E5">
          <w:rPr>
            <w:rStyle w:val="Hyperlnk"/>
          </w:rPr>
          <w:t>Ärendets behandling</w:t>
        </w:r>
        <w:r>
          <w:rPr>
            <w:webHidden/>
          </w:rPr>
          <w:tab/>
        </w:r>
        <w:r>
          <w:rPr>
            <w:webHidden/>
          </w:rPr>
          <w:fldChar w:fldCharType="begin"/>
        </w:r>
        <w:r>
          <w:rPr>
            <w:webHidden/>
          </w:rPr>
          <w:instrText xml:space="preserve"> PAGEREF _Toc215826780 \h </w:instrText>
        </w:r>
        <w:r>
          <w:rPr>
            <w:webHidden/>
          </w:rPr>
        </w:r>
        <w:r>
          <w:rPr>
            <w:webHidden/>
          </w:rPr>
          <w:fldChar w:fldCharType="separate"/>
        </w:r>
        <w:r>
          <w:rPr>
            <w:webHidden/>
          </w:rPr>
          <w:t>4</w:t>
        </w:r>
        <w:r>
          <w:rPr>
            <w:webHidden/>
          </w:rPr>
          <w:fldChar w:fldCharType="end"/>
        </w:r>
      </w:hyperlink>
    </w:p>
    <w:p w14:paraId="75B3E53F" w14:textId="04D30BEE" w:rsidR="00AB7515" w:rsidRDefault="00AB7515">
      <w:pPr>
        <w:pStyle w:val="Innehll2"/>
        <w:rPr>
          <w:rFonts w:asciiTheme="minorHAnsi" w:eastAsiaTheme="minorEastAsia" w:hAnsiTheme="minorHAnsi" w:cstheme="minorBidi"/>
          <w:kern w:val="2"/>
          <w:sz w:val="24"/>
          <w:szCs w:val="24"/>
          <w:lang w:val="sv-FI" w:eastAsia="sv-FI"/>
          <w14:ligatures w14:val="standardContextual"/>
        </w:rPr>
      </w:pPr>
      <w:hyperlink w:anchor="_Toc215826781" w:history="1">
        <w:r w:rsidRPr="00CA66E5">
          <w:rPr>
            <w:rStyle w:val="Hyperlnk"/>
          </w:rPr>
          <w:t>Reservationer</w:t>
        </w:r>
        <w:r>
          <w:rPr>
            <w:webHidden/>
          </w:rPr>
          <w:tab/>
        </w:r>
        <w:r>
          <w:rPr>
            <w:webHidden/>
          </w:rPr>
          <w:fldChar w:fldCharType="begin"/>
        </w:r>
        <w:r>
          <w:rPr>
            <w:webHidden/>
          </w:rPr>
          <w:instrText xml:space="preserve"> PAGEREF _Toc215826781 \h </w:instrText>
        </w:r>
        <w:r>
          <w:rPr>
            <w:webHidden/>
          </w:rPr>
        </w:r>
        <w:r>
          <w:rPr>
            <w:webHidden/>
          </w:rPr>
          <w:fldChar w:fldCharType="separate"/>
        </w:r>
        <w:r>
          <w:rPr>
            <w:webHidden/>
          </w:rPr>
          <w:t>4</w:t>
        </w:r>
        <w:r>
          <w:rPr>
            <w:webHidden/>
          </w:rPr>
          <w:fldChar w:fldCharType="end"/>
        </w:r>
      </w:hyperlink>
    </w:p>
    <w:p w14:paraId="116E925B" w14:textId="747D9639" w:rsidR="00AB7515" w:rsidRDefault="00AB7515">
      <w:pPr>
        <w:pStyle w:val="Innehll1"/>
        <w:rPr>
          <w:rFonts w:asciiTheme="minorHAnsi" w:eastAsiaTheme="minorEastAsia" w:hAnsiTheme="minorHAnsi" w:cstheme="minorBidi"/>
          <w:kern w:val="2"/>
          <w:sz w:val="24"/>
          <w:szCs w:val="24"/>
          <w:lang w:val="sv-FI" w:eastAsia="sv-FI"/>
          <w14:ligatures w14:val="standardContextual"/>
        </w:rPr>
      </w:pPr>
      <w:hyperlink w:anchor="_Toc215826782" w:history="1">
        <w:r w:rsidRPr="00CA66E5">
          <w:rPr>
            <w:rStyle w:val="Hyperlnk"/>
          </w:rPr>
          <w:t>Utskottets förslag</w:t>
        </w:r>
        <w:r>
          <w:rPr>
            <w:webHidden/>
          </w:rPr>
          <w:tab/>
        </w:r>
        <w:r>
          <w:rPr>
            <w:webHidden/>
          </w:rPr>
          <w:fldChar w:fldCharType="begin"/>
        </w:r>
        <w:r>
          <w:rPr>
            <w:webHidden/>
          </w:rPr>
          <w:instrText xml:space="preserve"> PAGEREF _Toc215826782 \h </w:instrText>
        </w:r>
        <w:r>
          <w:rPr>
            <w:webHidden/>
          </w:rPr>
        </w:r>
        <w:r>
          <w:rPr>
            <w:webHidden/>
          </w:rPr>
          <w:fldChar w:fldCharType="separate"/>
        </w:r>
        <w:r>
          <w:rPr>
            <w:webHidden/>
          </w:rPr>
          <w:t>5</w:t>
        </w:r>
        <w:r>
          <w:rPr>
            <w:webHidden/>
          </w:rPr>
          <w:fldChar w:fldCharType="end"/>
        </w:r>
      </w:hyperlink>
    </w:p>
    <w:p w14:paraId="486DF330" w14:textId="59F17942" w:rsidR="002401D0" w:rsidRDefault="002401D0">
      <w:pPr>
        <w:pStyle w:val="ANormal"/>
        <w:rPr>
          <w:noProof/>
        </w:rPr>
      </w:pPr>
      <w:r>
        <w:rPr>
          <w:rFonts w:ascii="Verdana" w:hAnsi="Verdana"/>
          <w:noProof/>
          <w:sz w:val="16"/>
          <w:szCs w:val="36"/>
        </w:rPr>
        <w:fldChar w:fldCharType="end"/>
      </w:r>
    </w:p>
    <w:p w14:paraId="3D174803" w14:textId="77777777" w:rsidR="002401D0" w:rsidRDefault="002401D0">
      <w:pPr>
        <w:pStyle w:val="ANormal"/>
      </w:pPr>
    </w:p>
    <w:p w14:paraId="4132712F" w14:textId="77777777" w:rsidR="002401D0" w:rsidRDefault="002401D0">
      <w:pPr>
        <w:pStyle w:val="RubrikA"/>
      </w:pPr>
      <w:bookmarkStart w:id="1" w:name="_Toc529800932"/>
      <w:bookmarkStart w:id="2" w:name="_Toc215826774"/>
      <w:r>
        <w:t>Sammanfattning</w:t>
      </w:r>
      <w:bookmarkEnd w:id="1"/>
      <w:bookmarkEnd w:id="2"/>
    </w:p>
    <w:p w14:paraId="472CE699" w14:textId="77777777" w:rsidR="002401D0" w:rsidRDefault="002401D0">
      <w:pPr>
        <w:pStyle w:val="Rubrikmellanrum"/>
      </w:pPr>
    </w:p>
    <w:p w14:paraId="20976336" w14:textId="78B87568" w:rsidR="002401D0" w:rsidRDefault="00C93DA2">
      <w:pPr>
        <w:pStyle w:val="RubrikB"/>
      </w:pPr>
      <w:bookmarkStart w:id="3" w:name="_Toc529800933"/>
      <w:bookmarkStart w:id="4" w:name="_Toc215826775"/>
      <w:r>
        <w:t>Landskapsregeringens</w:t>
      </w:r>
      <w:r w:rsidR="002401D0">
        <w:t xml:space="preserve"> förslag</w:t>
      </w:r>
      <w:bookmarkEnd w:id="3"/>
      <w:bookmarkEnd w:id="4"/>
    </w:p>
    <w:p w14:paraId="6AC5CA1C" w14:textId="77777777" w:rsidR="002401D0" w:rsidRDefault="002401D0">
      <w:pPr>
        <w:pStyle w:val="Rubrikmellanrum"/>
      </w:pPr>
    </w:p>
    <w:p w14:paraId="7FD9CF4C" w14:textId="77777777" w:rsidR="00C93DA2" w:rsidRDefault="00C93DA2" w:rsidP="00C93DA2">
      <w:pPr>
        <w:pStyle w:val="ANormal"/>
      </w:pPr>
      <w:r>
        <w:t xml:space="preserve">Landskapslagen om tobak och relaterade produkter föreslås ändrad för att utöka de områden där rökning är förbjuden, införa krav på neutrala förpackningar och begränsa </w:t>
      </w:r>
      <w:r w:rsidRPr="039C8948">
        <w:t>försäljningen</w:t>
      </w:r>
      <w:r w:rsidRPr="00D20A56">
        <w:t xml:space="preserve"> av </w:t>
      </w:r>
      <w:r>
        <w:t>och</w:t>
      </w:r>
      <w:r w:rsidRPr="00D20A56">
        <w:t xml:space="preserve"> innehåll</w:t>
      </w:r>
      <w:r>
        <w:t>et</w:t>
      </w:r>
      <w:r w:rsidRPr="00D20A56">
        <w:t xml:space="preserve"> i</w:t>
      </w:r>
      <w:r>
        <w:t xml:space="preserve"> rökfria nikotinprodukter.</w:t>
      </w:r>
    </w:p>
    <w:p w14:paraId="0ABBEC19" w14:textId="77777777" w:rsidR="002401D0" w:rsidRDefault="002401D0">
      <w:pPr>
        <w:pStyle w:val="ANormal"/>
      </w:pPr>
    </w:p>
    <w:p w14:paraId="665D2BA2" w14:textId="77777777" w:rsidR="002401D0" w:rsidRDefault="002401D0">
      <w:pPr>
        <w:pStyle w:val="RubrikB"/>
      </w:pPr>
      <w:bookmarkStart w:id="5" w:name="_Toc529800934"/>
      <w:bookmarkStart w:id="6" w:name="_Toc215826776"/>
      <w:r>
        <w:t>Utskottets förslag</w:t>
      </w:r>
      <w:bookmarkEnd w:id="5"/>
      <w:bookmarkEnd w:id="6"/>
    </w:p>
    <w:p w14:paraId="1F5FDAAB" w14:textId="77777777" w:rsidR="002401D0" w:rsidRDefault="002401D0">
      <w:pPr>
        <w:pStyle w:val="Rubrikmellanrum"/>
      </w:pPr>
    </w:p>
    <w:p w14:paraId="3B548C6A" w14:textId="0E3B4397" w:rsidR="002401D0" w:rsidRDefault="000F3810">
      <w:pPr>
        <w:pStyle w:val="ANormal"/>
      </w:pPr>
      <w:r>
        <w:t xml:space="preserve">Utskottet föreslår att lagförslaget antas med ändringar. </w:t>
      </w:r>
    </w:p>
    <w:p w14:paraId="359BA47C" w14:textId="77777777" w:rsidR="002401D0" w:rsidRDefault="002401D0">
      <w:pPr>
        <w:pStyle w:val="ANormal"/>
      </w:pPr>
    </w:p>
    <w:p w14:paraId="2F020B0E" w14:textId="77777777" w:rsidR="002401D0" w:rsidRDefault="002401D0">
      <w:pPr>
        <w:pStyle w:val="RubrikA"/>
      </w:pPr>
      <w:bookmarkStart w:id="7" w:name="_Toc529800935"/>
      <w:bookmarkStart w:id="8" w:name="_Toc215826777"/>
      <w:r>
        <w:t>Utskottets synpunkter</w:t>
      </w:r>
      <w:bookmarkEnd w:id="7"/>
      <w:bookmarkEnd w:id="8"/>
    </w:p>
    <w:p w14:paraId="5C5DF36B" w14:textId="77777777" w:rsidR="005578AA" w:rsidRPr="005578AA" w:rsidRDefault="005578AA" w:rsidP="005578AA">
      <w:pPr>
        <w:pStyle w:val="Rubrikmellanrum"/>
      </w:pPr>
    </w:p>
    <w:p w14:paraId="55F2D2B4" w14:textId="5D38D263" w:rsidR="005578AA" w:rsidRDefault="005578AA" w:rsidP="005578AA">
      <w:pPr>
        <w:pStyle w:val="RubrikB"/>
      </w:pPr>
      <w:bookmarkStart w:id="9" w:name="_Toc215826778"/>
      <w:r>
        <w:t>Allmän motivering</w:t>
      </w:r>
      <w:bookmarkEnd w:id="9"/>
    </w:p>
    <w:p w14:paraId="6E5151CB" w14:textId="77777777" w:rsidR="005578AA" w:rsidRDefault="005578AA" w:rsidP="005578AA">
      <w:pPr>
        <w:pStyle w:val="Rubrikmellanrum"/>
      </w:pPr>
    </w:p>
    <w:p w14:paraId="3B803075" w14:textId="06E9E3DB" w:rsidR="005578AA" w:rsidRPr="005578AA" w:rsidRDefault="005578AA" w:rsidP="005578AA">
      <w:pPr>
        <w:pStyle w:val="ANormal"/>
        <w:rPr>
          <w:i/>
          <w:iCs/>
        </w:rPr>
      </w:pPr>
      <w:r w:rsidRPr="005578AA">
        <w:rPr>
          <w:i/>
          <w:iCs/>
        </w:rPr>
        <w:t>Ungas tobaks- och nikotinvanor</w:t>
      </w:r>
    </w:p>
    <w:p w14:paraId="6E2AC129" w14:textId="77777777" w:rsidR="005578AA" w:rsidRPr="005578AA" w:rsidRDefault="005578AA" w:rsidP="005578AA">
      <w:pPr>
        <w:pStyle w:val="Rubrikmellanrum"/>
      </w:pPr>
    </w:p>
    <w:p w14:paraId="79FDD650" w14:textId="75D7DA7D" w:rsidR="005578AA" w:rsidRPr="005578AA" w:rsidRDefault="005578AA" w:rsidP="49DC6399">
      <w:pPr>
        <w:pStyle w:val="ANormal"/>
        <w:spacing w:line="259" w:lineRule="auto"/>
      </w:pPr>
      <w:r>
        <w:t>Landskapsregeringen</w:t>
      </w:r>
      <w:r w:rsidR="00CF13F4">
        <w:t>s lagförslag</w:t>
      </w:r>
      <w:r>
        <w:t xml:space="preserve"> </w:t>
      </w:r>
      <w:r w:rsidR="00CF13F4">
        <w:t>introducerar</w:t>
      </w:r>
      <w:r>
        <w:t xml:space="preserve"> en definition av rökfria nik</w:t>
      </w:r>
      <w:r w:rsidR="007A3024">
        <w:t>o</w:t>
      </w:r>
      <w:r>
        <w:t>tinprodukter</w:t>
      </w:r>
      <w:r w:rsidR="008926AD">
        <w:t>,</w:t>
      </w:r>
      <w:r>
        <w:t xml:space="preserve"> samt ett försäljningsförbud för dessa produkter i lik</w:t>
      </w:r>
      <w:r w:rsidR="436BED46">
        <w:t>h</w:t>
      </w:r>
      <w:r>
        <w:t>et med tobaksprodukter</w:t>
      </w:r>
      <w:r w:rsidR="00D97262">
        <w:t>. D</w:t>
      </w:r>
      <w:r>
        <w:t>e föreslagna ändringarna</w:t>
      </w:r>
      <w:r w:rsidR="00D97262">
        <w:t xml:space="preserve"> </w:t>
      </w:r>
      <w:r>
        <w:t xml:space="preserve">innebär </w:t>
      </w:r>
      <w:r w:rsidR="00D97262">
        <w:t xml:space="preserve">att </w:t>
      </w:r>
      <w:r>
        <w:t xml:space="preserve">en åldersgräns på 18 år </w:t>
      </w:r>
      <w:r w:rsidR="00D97262">
        <w:t xml:space="preserve">införs </w:t>
      </w:r>
      <w:r>
        <w:t>även för överlåtelse av rökfria nikotinprodukter, där inräknat nikotinpåsar eller så kallat vitt snus</w:t>
      </w:r>
      <w:r w:rsidR="00D97262">
        <w:t xml:space="preserve">. </w:t>
      </w:r>
      <w:r w:rsidR="00BD1A39">
        <w:t>Nikotinpåsar omfattas inte av EU</w:t>
      </w:r>
      <w:r w:rsidR="007E0373">
        <w:t>:s tobaksdirektiv</w:t>
      </w:r>
      <w:r w:rsidR="00BD1A39">
        <w:t xml:space="preserve"> och det är därmed upp till varje medlemsstat att utforma </w:t>
      </w:r>
      <w:r w:rsidR="00153F92">
        <w:t xml:space="preserve">regler </w:t>
      </w:r>
      <w:r w:rsidR="00633F81">
        <w:t>för dessa</w:t>
      </w:r>
      <w:r w:rsidR="007A3024">
        <w:t xml:space="preserve"> </w:t>
      </w:r>
      <w:r w:rsidR="00633F81">
        <w:t>produkter</w:t>
      </w:r>
      <w:r w:rsidR="00BD1A39">
        <w:t xml:space="preserve">. </w:t>
      </w:r>
      <w:r w:rsidR="2034A929">
        <w:t xml:space="preserve">Idag finns en rekommendation att detaljhandlare på Åland inte säljer nikotinpåsar till personer under 18 år. </w:t>
      </w:r>
      <w:r w:rsidR="00BD1A39">
        <w:t xml:space="preserve">En </w:t>
      </w:r>
      <w:r>
        <w:t xml:space="preserve">åldersgräns </w:t>
      </w:r>
      <w:r w:rsidR="00BD1A39">
        <w:t xml:space="preserve">på 18 år </w:t>
      </w:r>
      <w:r>
        <w:t xml:space="preserve">för nikotinpåsar finns i Finland och Sverige och </w:t>
      </w:r>
      <w:r w:rsidR="00BD1A39">
        <w:t xml:space="preserve">utskottet understryker vikten </w:t>
      </w:r>
      <w:r w:rsidR="53722465">
        <w:t>av</w:t>
      </w:r>
      <w:r w:rsidR="00BD1A39">
        <w:t xml:space="preserve"> att </w:t>
      </w:r>
      <w:r>
        <w:t xml:space="preserve">landskapsregeringens förslag harmoniserar med närregionen. Vitt snus har enligt vad utskottet erfarit blivit populärt särskilt bland unga som inte tidigare använt tobaksprodukter. En åldersgräns på 18 år är enligt utskottet viktig för att minska </w:t>
      </w:r>
      <w:r w:rsidR="007A3024">
        <w:t xml:space="preserve">risken för </w:t>
      </w:r>
      <w:r>
        <w:t xml:space="preserve">nikotinberoende i ung ålder.  </w:t>
      </w:r>
    </w:p>
    <w:p w14:paraId="2B88A1C3" w14:textId="2084F269" w:rsidR="005578AA" w:rsidRDefault="005578AA" w:rsidP="005578AA">
      <w:pPr>
        <w:pStyle w:val="ANormal"/>
      </w:pPr>
      <w:r>
        <w:tab/>
      </w:r>
      <w:r w:rsidR="00153F92">
        <w:t>Ålands statistik</w:t>
      </w:r>
      <w:r w:rsidR="00FE4B43">
        <w:t>- och utredningsbyrå (</w:t>
      </w:r>
      <w:r w:rsidRPr="005578AA">
        <w:t>ÅSUB</w:t>
      </w:r>
      <w:r w:rsidR="00FE4B43">
        <w:t>)</w:t>
      </w:r>
      <w:r w:rsidRPr="005578AA">
        <w:t xml:space="preserve"> och Folkhälsan på Ålan</w:t>
      </w:r>
      <w:r w:rsidR="00FE4B43">
        <w:t>d</w:t>
      </w:r>
      <w:r w:rsidRPr="005578AA">
        <w:t xml:space="preserve"> sammanställer en årlig ungdomsundersökning om ANDTS-vanor (Alkohol, Narkotika, Dopning, Tobak, Spel och Digitala vanor). Undersökningen 2022 </w:t>
      </w:r>
      <w:r w:rsidRPr="005578AA">
        <w:lastRenderedPageBreak/>
        <w:t xml:space="preserve">visade att användningen av e-cigaretter bland unga ökat medan </w:t>
      </w:r>
      <w:r w:rsidR="4108779C" w:rsidRPr="005578AA">
        <w:t xml:space="preserve">användningen av </w:t>
      </w:r>
      <w:r w:rsidRPr="005578AA">
        <w:t>tobaksprodukter minskade något. I följande års under</w:t>
      </w:r>
      <w:r w:rsidR="00B6432F">
        <w:t>s</w:t>
      </w:r>
      <w:r w:rsidRPr="005578AA">
        <w:t>ökning minskade användningen av tobaks- och nikotinprodukter i gymnasiet men ökade något bland högstadieungdomar. I undersökningarna från 2024 och 2025 anges att användning av nikotinpåsar är relativt utbre</w:t>
      </w:r>
      <w:r w:rsidR="20B36D6D" w:rsidRPr="005578AA">
        <w:t>dd</w:t>
      </w:r>
      <w:r w:rsidRPr="005578AA">
        <w:t xml:space="preserve"> bland unga. Utskottet anser att statistiken understryker behovet av fortsatt förebyggande arbete riktat mot unga, och att lagstiftningen bör följas upp med nya undersökningar för att utvärdera effekterna på ungas tobaks- och nikotinvanor</w:t>
      </w:r>
      <w:r w:rsidR="004A0A72">
        <w:t xml:space="preserve"> på Åland</w:t>
      </w:r>
      <w:r w:rsidRPr="005578AA">
        <w:t>.</w:t>
      </w:r>
    </w:p>
    <w:p w14:paraId="64580649" w14:textId="77777777" w:rsidR="005578AA" w:rsidRDefault="005578AA" w:rsidP="005578AA">
      <w:pPr>
        <w:pStyle w:val="ANormal"/>
      </w:pPr>
    </w:p>
    <w:p w14:paraId="3B4E2732" w14:textId="637623B1" w:rsidR="005578AA" w:rsidRDefault="005578AA" w:rsidP="005578AA">
      <w:pPr>
        <w:pStyle w:val="ANormal"/>
        <w:rPr>
          <w:i/>
          <w:iCs/>
        </w:rPr>
      </w:pPr>
      <w:r w:rsidRPr="00146D2E">
        <w:rPr>
          <w:i/>
          <w:iCs/>
        </w:rPr>
        <w:t>G</w:t>
      </w:r>
      <w:r w:rsidR="00146D2E">
        <w:rPr>
          <w:i/>
          <w:iCs/>
        </w:rPr>
        <w:t>eografisk och juridisk g</w:t>
      </w:r>
      <w:r w:rsidRPr="00146D2E">
        <w:rPr>
          <w:i/>
          <w:iCs/>
        </w:rPr>
        <w:t>räns</w:t>
      </w:r>
      <w:r w:rsidR="003E5C84" w:rsidRPr="00146D2E">
        <w:rPr>
          <w:i/>
          <w:iCs/>
        </w:rPr>
        <w:t>region</w:t>
      </w:r>
      <w:r w:rsidRPr="00146D2E">
        <w:rPr>
          <w:i/>
          <w:iCs/>
        </w:rPr>
        <w:t xml:space="preserve"> </w:t>
      </w:r>
    </w:p>
    <w:p w14:paraId="23A12540" w14:textId="77777777" w:rsidR="00146D2E" w:rsidRPr="00146D2E" w:rsidRDefault="00146D2E" w:rsidP="00146D2E">
      <w:pPr>
        <w:pStyle w:val="Rubrikmellanrum"/>
      </w:pPr>
    </w:p>
    <w:p w14:paraId="72C65862" w14:textId="162FA6DD" w:rsidR="00166638" w:rsidRDefault="00146D2E" w:rsidP="005578AA">
      <w:pPr>
        <w:pStyle w:val="ANormal"/>
      </w:pPr>
      <w:r w:rsidRPr="005A4CDF">
        <w:t xml:space="preserve">Utskottet understryker behovet av att </w:t>
      </w:r>
      <w:r w:rsidR="00353CD5">
        <w:t xml:space="preserve">i den aktuella lagstiftningen </w:t>
      </w:r>
      <w:r w:rsidRPr="005A4CDF">
        <w:t xml:space="preserve">väga folkhälsomålen mot näringslivets konkurrensvillkor. </w:t>
      </w:r>
      <w:r>
        <w:t xml:space="preserve">Vad gäller det senare konstaterar utskottet att det i sammanhanget finns </w:t>
      </w:r>
      <w:r w:rsidR="00166638">
        <w:t>flera</w:t>
      </w:r>
      <w:r>
        <w:t xml:space="preserve"> relevanta aspekter. </w:t>
      </w:r>
    </w:p>
    <w:p w14:paraId="2E9D91F2" w14:textId="4D40D83D" w:rsidR="00BB3C92" w:rsidRDefault="00166638" w:rsidP="005578AA">
      <w:pPr>
        <w:pStyle w:val="ANormal"/>
      </w:pPr>
      <w:r>
        <w:tab/>
      </w:r>
      <w:r w:rsidR="00973E61">
        <w:t>L</w:t>
      </w:r>
      <w:r>
        <w:t xml:space="preserve">andskapsregeringen </w:t>
      </w:r>
      <w:r w:rsidR="000857D0">
        <w:t>föreslår</w:t>
      </w:r>
      <w:r>
        <w:t xml:space="preserve"> </w:t>
      </w:r>
      <w:r w:rsidR="000857D0">
        <w:t xml:space="preserve">flera nya förbud; </w:t>
      </w:r>
      <w:r>
        <w:t xml:space="preserve">mot försäljning av tobaksprodukter och rökfria nikotinprodukter med smak, </w:t>
      </w:r>
      <w:r w:rsidR="003D3585">
        <w:t>mot</w:t>
      </w:r>
      <w:r>
        <w:t xml:space="preserve"> försäljning av </w:t>
      </w:r>
      <w:r w:rsidR="00F66EF7">
        <w:t>produkter</w:t>
      </w:r>
      <w:r>
        <w:t xml:space="preserve"> vars förpackning inte är neutral samt </w:t>
      </w:r>
      <w:r w:rsidR="000857D0">
        <w:t>mot</w:t>
      </w:r>
      <w:r>
        <w:t xml:space="preserve"> att hålla produkter synliga i detaljhandeln. Dessa förbud omfattar inte </w:t>
      </w:r>
      <w:r w:rsidR="00F66EF7">
        <w:t>försäljning på</w:t>
      </w:r>
      <w:r w:rsidR="00C93942">
        <w:t xml:space="preserve"> </w:t>
      </w:r>
      <w:r w:rsidR="00F66EF7">
        <w:t xml:space="preserve">fartyg som är hemmahörande på Åland och som huvudsakligen trafikerar internationellt. Utskottet </w:t>
      </w:r>
      <w:r w:rsidR="009803F7">
        <w:t xml:space="preserve">understryker att sjöfart är en global näring och att konkurrensneutralitet gentemot andra flaggstater är viktigt. Utskottet noterar att Finland och Sverige valt olika vägar att nationellt genomföra EU:s tobaksdirektiv och understryker vikten av enhetliga nordiska regler.  </w:t>
      </w:r>
    </w:p>
    <w:p w14:paraId="5B78CF34" w14:textId="5F10CD5D" w:rsidR="1649EA9C" w:rsidRPr="00187663" w:rsidRDefault="1649EA9C" w:rsidP="5C3FEC33">
      <w:pPr>
        <w:pStyle w:val="ANormal"/>
        <w:ind w:firstLine="283"/>
      </w:pPr>
      <w:r w:rsidRPr="00187663">
        <w:t>Landskapsregeringen ska genom förordning kunna avvika från förbuden om både smak och neutrala förpackningar.</w:t>
      </w:r>
      <w:r w:rsidR="18583F29" w:rsidRPr="00187663">
        <w:t xml:space="preserve"> </w:t>
      </w:r>
      <w:r w:rsidRPr="00187663">
        <w:t>Utskottet understryker att landskapsregeringen ska säkerställa att dessa förordningar träder i kraft samtidigt som den reviderade lagen för att säkerställa att detaljhandlare inte drabbas oskäligt.</w:t>
      </w:r>
      <w:r w:rsidR="6D455D61" w:rsidRPr="00187663">
        <w:t xml:space="preserve"> Utskottet understryker att landskapsregeringen </w:t>
      </w:r>
      <w:r w:rsidR="78003A3D" w:rsidRPr="00187663">
        <w:t xml:space="preserve">även </w:t>
      </w:r>
      <w:r w:rsidR="3CDE9418" w:rsidRPr="00187663">
        <w:t xml:space="preserve">i ikraftträdelsebestämmelser </w:t>
      </w:r>
      <w:r w:rsidR="373440DF" w:rsidRPr="00187663">
        <w:t>fastställe</w:t>
      </w:r>
      <w:r w:rsidR="3CDE9418" w:rsidRPr="00187663">
        <w:t xml:space="preserve">r en skälig övergångstid för </w:t>
      </w:r>
      <w:r w:rsidR="773FBB2B" w:rsidRPr="00187663">
        <w:t xml:space="preserve">detaljhandlare att anpassa sig till de nya reglerna. </w:t>
      </w:r>
    </w:p>
    <w:p w14:paraId="6700E300" w14:textId="74B73C31" w:rsidR="00166638" w:rsidRDefault="00BB3C92" w:rsidP="005578AA">
      <w:pPr>
        <w:pStyle w:val="ANormal"/>
      </w:pPr>
      <w:r>
        <w:tab/>
      </w:r>
      <w:r w:rsidR="007A3024">
        <w:t xml:space="preserve">År 2024 ställde </w:t>
      </w:r>
      <w:r w:rsidR="2EFD586A">
        <w:t xml:space="preserve">en </w:t>
      </w:r>
      <w:r w:rsidR="007A3024">
        <w:t>m</w:t>
      </w:r>
      <w:r w:rsidR="009803F7">
        <w:t>edlem av Nordiska rådet</w:t>
      </w:r>
      <w:r w:rsidR="007A3024">
        <w:t xml:space="preserve"> en</w:t>
      </w:r>
      <w:r w:rsidR="009803F7">
        <w:t xml:space="preserve"> fråga </w:t>
      </w:r>
      <w:r w:rsidR="007A3024">
        <w:t xml:space="preserve">till </w:t>
      </w:r>
      <w:r w:rsidR="009803F7">
        <w:t xml:space="preserve">de nordiska regeringarna </w:t>
      </w:r>
      <w:r w:rsidR="007A3024">
        <w:t xml:space="preserve">om </w:t>
      </w:r>
      <w:r w:rsidR="009803F7">
        <w:t xml:space="preserve">hur de samarbetar kring lagstiftning </w:t>
      </w:r>
      <w:r w:rsidR="007A3024">
        <w:t>om</w:t>
      </w:r>
      <w:r w:rsidR="009803F7">
        <w:t xml:space="preserve"> </w:t>
      </w:r>
      <w:r w:rsidR="00BD1A39">
        <w:t>vitt</w:t>
      </w:r>
      <w:r w:rsidR="009803F7">
        <w:t xml:space="preserve"> snus. </w:t>
      </w:r>
      <w:r w:rsidR="00BD1A39">
        <w:t xml:space="preserve">Utskottet noterar att landskapsregeringen i </w:t>
      </w:r>
      <w:r w:rsidR="007A3024">
        <w:t>sin del av</w:t>
      </w:r>
      <w:r w:rsidR="00BD1A39">
        <w:t xml:space="preserve"> svar</w:t>
      </w:r>
      <w:r w:rsidR="007A3024">
        <w:t>et</w:t>
      </w:r>
      <w:r w:rsidR="00BD1A39">
        <w:t xml:space="preserve"> underströk vikten av en gemensam nordisk linje för nikotinhalten i tobaksfria nikotinpåsar. </w:t>
      </w:r>
      <w:r w:rsidR="007A3024">
        <w:t>En</w:t>
      </w:r>
      <w:r w:rsidR="00BD1A39">
        <w:t xml:space="preserve"> </w:t>
      </w:r>
      <w:r w:rsidR="00B32265">
        <w:t>enhetlig</w:t>
      </w:r>
      <w:r w:rsidR="00BD1A39">
        <w:t xml:space="preserve"> nordisk linje i genomförandet av</w:t>
      </w:r>
      <w:r w:rsidR="00B32265">
        <w:t xml:space="preserve"> EU:s </w:t>
      </w:r>
      <w:r>
        <w:t>tobaksdirektiv</w:t>
      </w:r>
      <w:r w:rsidR="00B32265">
        <w:t xml:space="preserve"> skulle </w:t>
      </w:r>
      <w:r w:rsidR="007A3024">
        <w:t xml:space="preserve">enligt utskottet </w:t>
      </w:r>
      <w:r w:rsidR="00B32265">
        <w:t>vara viktig</w:t>
      </w:r>
      <w:r w:rsidR="252F72B8">
        <w:t>t</w:t>
      </w:r>
      <w:r w:rsidR="00B32265">
        <w:t xml:space="preserve"> för både den </w:t>
      </w:r>
      <w:r>
        <w:t>landbaserade</w:t>
      </w:r>
      <w:r w:rsidR="00B32265">
        <w:t xml:space="preserve"> detaljhandeln </w:t>
      </w:r>
      <w:r w:rsidR="00973E61">
        <w:t xml:space="preserve">i gränsregioner </w:t>
      </w:r>
      <w:r w:rsidR="00B32265">
        <w:t xml:space="preserve">som för handelssjöfarten på Östersjön. Utskottet </w:t>
      </w:r>
      <w:r>
        <w:t>konstatera</w:t>
      </w:r>
      <w:r w:rsidR="00E87E72">
        <w:t>r</w:t>
      </w:r>
      <w:r w:rsidR="00B32265">
        <w:t xml:space="preserve"> </w:t>
      </w:r>
      <w:r w:rsidR="007A3024">
        <w:t xml:space="preserve">dock </w:t>
      </w:r>
      <w:r w:rsidR="00B32265">
        <w:t xml:space="preserve">att en </w:t>
      </w:r>
      <w:r>
        <w:t>gemensam</w:t>
      </w:r>
      <w:r w:rsidR="00B32265">
        <w:t xml:space="preserve"> nordisk linje i fråga om </w:t>
      </w:r>
      <w:r w:rsidR="006F39B9">
        <w:t>tobaks</w:t>
      </w:r>
      <w:r w:rsidR="00B32265">
        <w:t xml:space="preserve">- och </w:t>
      </w:r>
      <w:r w:rsidR="006F39B9">
        <w:t>nikotinlagstiftning</w:t>
      </w:r>
      <w:r w:rsidR="00B32265">
        <w:t xml:space="preserve"> </w:t>
      </w:r>
      <w:r w:rsidR="007A3024">
        <w:t>ännu inte uppnåtts.</w:t>
      </w:r>
      <w:r w:rsidR="00B32265">
        <w:t xml:space="preserve"> </w:t>
      </w:r>
    </w:p>
    <w:p w14:paraId="13E1A33A" w14:textId="6EC38F25" w:rsidR="009F47B6" w:rsidRDefault="009F47B6" w:rsidP="005578AA">
      <w:pPr>
        <w:pStyle w:val="ANormal"/>
      </w:pPr>
      <w:r>
        <w:tab/>
      </w:r>
      <w:r w:rsidR="003E3B19" w:rsidRPr="00187663">
        <w:t>L</w:t>
      </w:r>
      <w:r w:rsidRPr="00187663">
        <w:t xml:space="preserve">agförslaget introducerar ett förbud att sälja rökfria nikotinprodukter, </w:t>
      </w:r>
      <w:r w:rsidR="003E3B19" w:rsidRPr="00187663">
        <w:t xml:space="preserve">till exempel </w:t>
      </w:r>
      <w:r w:rsidRPr="00187663">
        <w:t xml:space="preserve">vitt snus, med karakteristisk doft eller smak. Utskottet noterar att </w:t>
      </w:r>
      <w:r w:rsidR="00364923" w:rsidRPr="00187663">
        <w:t xml:space="preserve">den finska lagen </w:t>
      </w:r>
      <w:r w:rsidR="003E3B19" w:rsidRPr="00187663">
        <w:t xml:space="preserve">innefattar ett likadant förbud </w:t>
      </w:r>
      <w:r w:rsidR="3D645BF8" w:rsidRPr="00187663">
        <w:t xml:space="preserve">för annan smak än tobak </w:t>
      </w:r>
      <w:r w:rsidR="003E3B19" w:rsidRPr="00187663">
        <w:t xml:space="preserve">med undantag för mentol eller mintsmak. Den svenska tobakslagen har </w:t>
      </w:r>
      <w:r w:rsidR="0040521A" w:rsidRPr="00187663">
        <w:t>inte ett liknande förbu</w:t>
      </w:r>
      <w:r w:rsidR="003E3B19" w:rsidRPr="00187663">
        <w:t>d varför det i Sverige samt på svenskflaggade fartyg i internationell trafik finns ett stort utbud av rökfria nikotinprodukter med smak och doft. Med tanke på närheten till den svenska marknaden samt konkurrensneutraliteten för rederinäringen understryker utskottet vikten av att förbudet mot att sälja smaksatta rökfria nikotinprodukter inte ska gälla försäljning ombord dessa fartyg.</w:t>
      </w:r>
    </w:p>
    <w:p w14:paraId="1AE9B807" w14:textId="5CC0313E" w:rsidR="00146D2E" w:rsidRDefault="00752761" w:rsidP="005578AA">
      <w:pPr>
        <w:pStyle w:val="ANormal"/>
      </w:pPr>
      <w:r>
        <w:tab/>
      </w:r>
      <w:r w:rsidR="007A3024">
        <w:t>L</w:t>
      </w:r>
      <w:r>
        <w:t xml:space="preserve">andskapsregeringens förslag att införa krav på neutrala detaljhandelsförpackningar </w:t>
      </w:r>
      <w:r w:rsidR="007A3024">
        <w:t xml:space="preserve">är </w:t>
      </w:r>
      <w:r>
        <w:t xml:space="preserve">i stort baserat på en revidering av den finska tobakslagen (FFS 549/2016) antagen </w:t>
      </w:r>
      <w:r w:rsidR="00101A36">
        <w:t>av riksdagen hösten 2024</w:t>
      </w:r>
      <w:r>
        <w:t xml:space="preserve">. I Sverige har riksdagen däremot konstaterat att en </w:t>
      </w:r>
      <w:r w:rsidR="00452EC8">
        <w:t>motsvarande</w:t>
      </w:r>
      <w:r>
        <w:t xml:space="preserve"> restriktion skulle bryta mot </w:t>
      </w:r>
      <w:r w:rsidR="00452EC8">
        <w:t xml:space="preserve">den svenska </w:t>
      </w:r>
      <w:r>
        <w:t>tryckfrihetsförordningen och därför inte är aktuell.</w:t>
      </w:r>
      <w:r w:rsidR="00146D2E">
        <w:t xml:space="preserve"> </w:t>
      </w:r>
      <w:r w:rsidR="00452EC8">
        <w:t>Eftersom f</w:t>
      </w:r>
      <w:r w:rsidR="00146D2E" w:rsidRPr="00362BE5">
        <w:t xml:space="preserve">artygstrafik </w:t>
      </w:r>
      <w:r w:rsidR="00452EC8">
        <w:t>följer</w:t>
      </w:r>
      <w:r w:rsidR="00146D2E" w:rsidRPr="00362BE5">
        <w:t xml:space="preserve"> flaggstatsprincipen </w:t>
      </w:r>
      <w:r w:rsidR="00452EC8">
        <w:t xml:space="preserve">påverkas </w:t>
      </w:r>
      <w:r w:rsidR="00146D2E" w:rsidRPr="00362BE5">
        <w:t>försäljning och åtkomlighet i hög grad av vilket lands lagstiftning som tillämpas på fartygen</w:t>
      </w:r>
      <w:r w:rsidR="00146D2E">
        <w:t>.</w:t>
      </w:r>
      <w:r w:rsidR="00452EC8">
        <w:t xml:space="preserve"> Utskottet </w:t>
      </w:r>
      <w:r w:rsidR="00452EC8">
        <w:lastRenderedPageBreak/>
        <w:t xml:space="preserve">konstaterar att landskapsregeringens förslag lägger sig nära den finländska lagstiftningen. Utskottet </w:t>
      </w:r>
      <w:r w:rsidR="005F159B">
        <w:t>understryker</w:t>
      </w:r>
      <w:r w:rsidR="00452EC8">
        <w:t xml:space="preserve"> att det inte är ändamålsenligt att ha en åländsk lag som skiljer sig </w:t>
      </w:r>
      <w:r w:rsidR="11FD3DFC">
        <w:t xml:space="preserve">avsevärt </w:t>
      </w:r>
      <w:r w:rsidR="00452EC8">
        <w:t xml:space="preserve">från </w:t>
      </w:r>
      <w:r w:rsidR="005F159B">
        <w:t>närregionernas</w:t>
      </w:r>
      <w:r w:rsidR="00452EC8">
        <w:t xml:space="preserve"> då det </w:t>
      </w:r>
      <w:r w:rsidR="005F159B">
        <w:t>ger en oproportionerlig administrativ börda för näringsidkare</w:t>
      </w:r>
      <w:r w:rsidR="4D279841">
        <w:t xml:space="preserve"> och landskapets administration</w:t>
      </w:r>
      <w:r w:rsidR="005F159B">
        <w:t>. Däremot understryker</w:t>
      </w:r>
      <w:r w:rsidR="00452EC8">
        <w:t xml:space="preserve"> </w:t>
      </w:r>
      <w:r w:rsidR="005F159B">
        <w:t xml:space="preserve">utskottet att det åländska lagförslaget </w:t>
      </w:r>
      <w:r w:rsidR="00452EC8">
        <w:t>innebär en märkbar skillnad gentemot de svenska reglerna</w:t>
      </w:r>
      <w:r w:rsidR="005F159B">
        <w:t>. Det kan leda till att</w:t>
      </w:r>
      <w:r w:rsidR="00146D2E">
        <w:t xml:space="preserve"> </w:t>
      </w:r>
      <w:r w:rsidR="00146D2E" w:rsidRPr="00362BE5">
        <w:t>landbaserade näringsidkare på Åland kan få konkurrensnackdel avseende produktsortiment</w:t>
      </w:r>
      <w:r w:rsidR="00146D2E">
        <w:t xml:space="preserve"> </w:t>
      </w:r>
      <w:r w:rsidR="00146D2E" w:rsidRPr="00362BE5">
        <w:t>och förpackningskrav</w:t>
      </w:r>
      <w:r w:rsidR="005F159B">
        <w:t xml:space="preserve"> gentemot handeln på fartygen.</w:t>
      </w:r>
      <w:r w:rsidR="00146D2E" w:rsidRPr="00362BE5">
        <w:t xml:space="preserve"> Utskottet </w:t>
      </w:r>
      <w:r w:rsidR="00146D2E">
        <w:t>understryker</w:t>
      </w:r>
      <w:r w:rsidR="00146D2E" w:rsidRPr="00362BE5">
        <w:t xml:space="preserve"> att </w:t>
      </w:r>
      <w:r w:rsidR="00146D2E">
        <w:t xml:space="preserve">landskapsregeringens </w:t>
      </w:r>
      <w:r w:rsidR="00146D2E" w:rsidRPr="00362BE5">
        <w:t xml:space="preserve">strävan efter </w:t>
      </w:r>
      <w:r w:rsidR="00146D2E">
        <w:t xml:space="preserve">ökad </w:t>
      </w:r>
      <w:r w:rsidR="00146D2E" w:rsidRPr="00362BE5">
        <w:t xml:space="preserve">folkhälsa </w:t>
      </w:r>
      <w:r w:rsidR="00146D2E">
        <w:t xml:space="preserve">– och särskilt bland unga </w:t>
      </w:r>
      <w:r w:rsidR="006805F3">
        <w:t xml:space="preserve">som ännu inte har nikotinvanor </w:t>
      </w:r>
      <w:r w:rsidR="00146D2E">
        <w:t xml:space="preserve">– är mycket viktigt. Ålands geografiska läge är dock något som enligt utskottet bör tas hänsyn till när </w:t>
      </w:r>
      <w:r w:rsidR="00146D2E" w:rsidRPr="00362BE5">
        <w:t xml:space="preserve">konkurrensneutralitet </w:t>
      </w:r>
      <w:r w:rsidR="00146D2E">
        <w:t>vägs in i beslutsfattandet</w:t>
      </w:r>
      <w:r w:rsidR="005F159B">
        <w:t>.</w:t>
      </w:r>
      <w:r w:rsidR="00146D2E">
        <w:t xml:space="preserve"> </w:t>
      </w:r>
    </w:p>
    <w:p w14:paraId="5BE46502" w14:textId="77777777" w:rsidR="007A26D9" w:rsidRDefault="007A26D9" w:rsidP="005578AA">
      <w:pPr>
        <w:pStyle w:val="ANormal"/>
      </w:pPr>
    </w:p>
    <w:p w14:paraId="05B061FA" w14:textId="4B9DEE6F" w:rsidR="007A26D9" w:rsidRPr="007A26D9" w:rsidRDefault="007A26D9" w:rsidP="005578AA">
      <w:pPr>
        <w:pStyle w:val="ANormal"/>
        <w:rPr>
          <w:i/>
          <w:iCs/>
        </w:rPr>
      </w:pPr>
      <w:r w:rsidRPr="007A26D9">
        <w:rPr>
          <w:i/>
          <w:iCs/>
        </w:rPr>
        <w:t>Nedskräpning</w:t>
      </w:r>
    </w:p>
    <w:p w14:paraId="71B77489" w14:textId="77777777" w:rsidR="00146D2E" w:rsidRPr="005578AA" w:rsidRDefault="00146D2E" w:rsidP="007A26D9">
      <w:pPr>
        <w:pStyle w:val="Rubrikmellanrum"/>
      </w:pPr>
    </w:p>
    <w:p w14:paraId="6887F76A" w14:textId="432B8E46" w:rsidR="00BB4414" w:rsidRDefault="00DD7A5A" w:rsidP="005578AA">
      <w:pPr>
        <w:pStyle w:val="ANormal"/>
      </w:pPr>
      <w:r>
        <w:t>Utskottet konstaterar att tobaksrelaterat avfall, såsom cigarettfimpar, filter och använda nikotinprodukter utgör en återkommande nedskräpnings</w:t>
      </w:r>
      <w:r w:rsidR="00BB4414">
        <w:t>-</w:t>
      </w:r>
    </w:p>
    <w:p w14:paraId="5DBC1D77" w14:textId="331C93AB" w:rsidR="00DD7A5A" w:rsidRDefault="00DD7A5A" w:rsidP="005578AA">
      <w:pPr>
        <w:pStyle w:val="ANormal"/>
      </w:pPr>
      <w:r>
        <w:t>pr</w:t>
      </w:r>
      <w:r w:rsidR="00BB4414">
        <w:t>o</w:t>
      </w:r>
      <w:r>
        <w:t xml:space="preserve">blematik i såväl stadsmiljöer som längs stränder och kustlinjer. </w:t>
      </w:r>
      <w:r w:rsidR="0040687D">
        <w:t xml:space="preserve">Nedskräpning av nikotinpåsar har ökat i både Sverige och Finland, och utskottet har erfarit att samma trend kan ses på Åland. Vissa nikotinpåsar innehåller plast, </w:t>
      </w:r>
      <w:r w:rsidR="005F159B">
        <w:t>vilket</w:t>
      </w:r>
      <w:r w:rsidR="0040687D">
        <w:t xml:space="preserve"> är skadligt då materialet stannar kvar i miljön länge och bryts ner till mikroplast. </w:t>
      </w:r>
      <w:r w:rsidR="31BCA7BF">
        <w:t>N</w:t>
      </w:r>
      <w:r w:rsidR="0040687D">
        <w:t>ikotinpåsarna</w:t>
      </w:r>
      <w:r w:rsidR="00006BC8">
        <w:t xml:space="preserve"> och tobaksfimpar</w:t>
      </w:r>
      <w:r w:rsidR="0040687D">
        <w:t xml:space="preserve"> kan ha skadliga effekter på miljön och organismer som lever i vatten.</w:t>
      </w:r>
      <w:r w:rsidR="00006BC8">
        <w:t xml:space="preserve"> </w:t>
      </w:r>
      <w:r>
        <w:t xml:space="preserve">Utskottet noterar samtidigt att den påverkan som sådan nedskräpning har på vattenkvaliteten generellt bedöms vara begränsad i relation till andra utsläppskällor. Problemet är </w:t>
      </w:r>
      <w:r w:rsidR="005F159B">
        <w:t>främst</w:t>
      </w:r>
      <w:r w:rsidR="00F61FA2">
        <w:t xml:space="preserve"> </w:t>
      </w:r>
      <w:r>
        <w:t>ett ordnings- och renhållningsproblem samt långsiktig avfallsmängd i naturen.</w:t>
      </w:r>
    </w:p>
    <w:p w14:paraId="297A3C0B" w14:textId="77777777" w:rsidR="00771107" w:rsidRDefault="00771107" w:rsidP="005578AA">
      <w:pPr>
        <w:pStyle w:val="ANormal"/>
      </w:pPr>
    </w:p>
    <w:p w14:paraId="283CF1AD" w14:textId="59782FFD" w:rsidR="00771107" w:rsidRDefault="00771107" w:rsidP="005578AA">
      <w:pPr>
        <w:pStyle w:val="ANormal"/>
        <w:rPr>
          <w:i/>
          <w:iCs/>
        </w:rPr>
      </w:pPr>
      <w:r w:rsidRPr="00771107">
        <w:rPr>
          <w:i/>
          <w:iCs/>
        </w:rPr>
        <w:t>Rökning i bostadsammanslutningar</w:t>
      </w:r>
    </w:p>
    <w:p w14:paraId="1062D803" w14:textId="77777777" w:rsidR="00771107" w:rsidRPr="00771107" w:rsidRDefault="00771107" w:rsidP="00771107">
      <w:pPr>
        <w:pStyle w:val="Rubrikmellanrum"/>
      </w:pPr>
    </w:p>
    <w:p w14:paraId="3768BB46" w14:textId="0D01C1D2" w:rsidR="00B63FE4" w:rsidRDefault="00771107" w:rsidP="00771107">
      <w:pPr>
        <w:pStyle w:val="ANormal"/>
      </w:pPr>
      <w:r>
        <w:t>Landskapsregeringen föreslår att förbudet att röka utvidgas till att omfatta privata kommunikationsmedel</w:t>
      </w:r>
      <w:r w:rsidR="7F6E8539">
        <w:t xml:space="preserve"> </w:t>
      </w:r>
      <w:r w:rsidR="0C71F869">
        <w:t xml:space="preserve">där </w:t>
      </w:r>
      <w:r w:rsidR="7F6E8539">
        <w:t>en person under 15 år vist</w:t>
      </w:r>
      <w:r w:rsidR="21F6AB31">
        <w:t>a</w:t>
      </w:r>
      <w:r w:rsidR="7F6E8539">
        <w:t>s</w:t>
      </w:r>
      <w:r>
        <w:t xml:space="preserve">, bostadsammanslutningar, inhägnade utomhusområden för idrottsutövning, allmänna badstränder och allmänna utomhuslekplatser. Utskottet instämmer i </w:t>
      </w:r>
      <w:r w:rsidR="00B11DC5">
        <w:t>bild</w:t>
      </w:r>
      <w:r w:rsidR="005F159B">
        <w:t xml:space="preserve">en </w:t>
      </w:r>
      <w:r>
        <w:t xml:space="preserve">att förslagen minskar risken för att vuxna och barn utsätts för passiv rökning. Utskottet har erfarit att </w:t>
      </w:r>
      <w:r w:rsidR="0061691B">
        <w:t xml:space="preserve">störande </w:t>
      </w:r>
      <w:r>
        <w:t>rök</w:t>
      </w:r>
      <w:r w:rsidR="0061691B">
        <w:t>ning i bostäder är mycket svårt att åtgärda</w:t>
      </w:r>
      <w:r w:rsidR="00166638">
        <w:t xml:space="preserve"> och att boende som störs av andras rökning upplever att lagens skydd är otillräckligt. </w:t>
      </w:r>
      <w:r w:rsidR="0061691B">
        <w:t xml:space="preserve">Lagförslaget inför en möjlighet för bostadsammanslutningar att till </w:t>
      </w:r>
      <w:r w:rsidR="00B63FE4">
        <w:t xml:space="preserve">Ålands miljö- och hälsoskyddsmyndighet (ÅMHM) </w:t>
      </w:r>
      <w:r w:rsidR="0061691B">
        <w:t>lämna en ansökan om utfärdat rökförbud</w:t>
      </w:r>
      <w:r w:rsidR="00B63FE4">
        <w:t>.</w:t>
      </w:r>
      <w:r w:rsidR="0061691B">
        <w:t xml:space="preserve"> </w:t>
      </w:r>
    </w:p>
    <w:p w14:paraId="7D444263" w14:textId="7F99D694" w:rsidR="00B63FE4" w:rsidRDefault="00B63FE4" w:rsidP="00771107">
      <w:pPr>
        <w:pStyle w:val="ANormal"/>
      </w:pPr>
      <w:r>
        <w:tab/>
      </w:r>
      <w:r w:rsidR="005F159B">
        <w:t>B</w:t>
      </w:r>
      <w:r w:rsidR="00771107" w:rsidRPr="00D40271">
        <w:t xml:space="preserve">egreppet </w:t>
      </w:r>
      <w:r w:rsidR="00771107" w:rsidRPr="5C3FEC33">
        <w:rPr>
          <w:i/>
          <w:iCs/>
        </w:rPr>
        <w:t>bostadssammanslutning</w:t>
      </w:r>
      <w:r w:rsidR="00771107" w:rsidRPr="00D40271">
        <w:t xml:space="preserve"> definieras som bl</w:t>
      </w:r>
      <w:r w:rsidR="005F159B">
        <w:t>and annat</w:t>
      </w:r>
      <w:r w:rsidR="00771107" w:rsidRPr="00D40271">
        <w:t xml:space="preserve"> aktiebolag omfattade av lagen om bostadsaktiebolag (</w:t>
      </w:r>
      <w:r>
        <w:t xml:space="preserve">FFS </w:t>
      </w:r>
      <w:r w:rsidR="00771107" w:rsidRPr="00D40271">
        <w:t>1599/2009), bostadsandelslag, sådana hyreshus som avses i 2 § lagen om samförvaltning i hyreshus (</w:t>
      </w:r>
      <w:r>
        <w:t xml:space="preserve">FFS </w:t>
      </w:r>
      <w:r w:rsidR="00771107" w:rsidRPr="00D40271">
        <w:t>649/1990) samt annat hyreshusbestånd ägt av sammanslutningar. I det åländska lagförslaget utvidga</w:t>
      </w:r>
      <w:r w:rsidR="00FD0BDF">
        <w:t>s</w:t>
      </w:r>
      <w:r w:rsidR="00771107" w:rsidRPr="00D40271">
        <w:t xml:space="preserve"> </w:t>
      </w:r>
      <w:r>
        <w:t xml:space="preserve">definitionen </w:t>
      </w:r>
      <w:r w:rsidR="00771107" w:rsidRPr="00D40271">
        <w:t xml:space="preserve">till sammanslutningar och stiftelser enligt lagen om bostadsrättsbostäder (FFS 393/2021). </w:t>
      </w:r>
      <w:r w:rsidR="003E3B19" w:rsidRPr="5C3FEC33">
        <w:t xml:space="preserve">Utskottet betonar </w:t>
      </w:r>
      <w:r w:rsidR="00390370" w:rsidRPr="5C3FEC33">
        <w:t xml:space="preserve">att förslaget omfattar en stor del av bostadsbolagstyperna på Åland, som </w:t>
      </w:r>
      <w:r w:rsidR="003E3B19" w:rsidRPr="5C3FEC33">
        <w:t>fastighetsaktiebolag</w:t>
      </w:r>
      <w:r w:rsidR="00390370" w:rsidRPr="5C3FEC33">
        <w:t xml:space="preserve"> och bostadsaktiebolag.</w:t>
      </w:r>
      <w:r w:rsidR="00390370">
        <w:t xml:space="preserve"> </w:t>
      </w:r>
      <w:r w:rsidR="2FF31BD5" w:rsidRPr="00D40271">
        <w:t xml:space="preserve">Utskottet noterar </w:t>
      </w:r>
      <w:r w:rsidR="00390370">
        <w:t xml:space="preserve">dock </w:t>
      </w:r>
      <w:r w:rsidR="2FF31BD5" w:rsidRPr="00D40271">
        <w:t>att det från definitionerna är svårt att utläsa vilka typer av bostäder som o</w:t>
      </w:r>
      <w:r w:rsidR="5E4283A2" w:rsidRPr="00D40271">
        <w:t>mfat</w:t>
      </w:r>
      <w:r w:rsidR="2FF31BD5" w:rsidRPr="00D40271">
        <w:t>tas, och uppmanar landskapsregeringen att s</w:t>
      </w:r>
      <w:r w:rsidR="25436047" w:rsidRPr="00D40271">
        <w:t xml:space="preserve">ammanställa en för allmänheten lättläst tabell över bostadstyper och regelverk för rökning. </w:t>
      </w:r>
      <w:r w:rsidR="00771107" w:rsidRPr="00D40271">
        <w:t xml:space="preserve">Förslaget innebär ett förbud mot rökning i gemensamma och allmänna lokaler inom en bostadssammanslutning, </w:t>
      </w:r>
      <w:r w:rsidR="006145BF">
        <w:t xml:space="preserve">en </w:t>
      </w:r>
      <w:r w:rsidR="00771107" w:rsidRPr="00D40271">
        <w:t xml:space="preserve">möjlighet för </w:t>
      </w:r>
      <w:r w:rsidR="006145BF">
        <w:t>sammanslutningen</w:t>
      </w:r>
      <w:r w:rsidR="00771107" w:rsidRPr="00D40271">
        <w:t xml:space="preserve"> att förbjuda rökning på gemensamma </w:t>
      </w:r>
      <w:r>
        <w:t>utomhusområden</w:t>
      </w:r>
      <w:r w:rsidR="00771107" w:rsidRPr="00D40271">
        <w:t xml:space="preserve">, samt en möjlighet att ansöka hos ÅMHM om att få rökförbud på balkonger, </w:t>
      </w:r>
      <w:r w:rsidR="72901E4A" w:rsidRPr="00D40271">
        <w:t xml:space="preserve">privata </w:t>
      </w:r>
      <w:r w:rsidR="00771107" w:rsidRPr="00D40271">
        <w:t>uteområden och inne i lägenheterna</w:t>
      </w:r>
      <w:r w:rsidR="7AD1F14D" w:rsidRPr="00D40271">
        <w:t>.</w:t>
      </w:r>
      <w:r w:rsidR="00771107" w:rsidRPr="00D40271">
        <w:t xml:space="preserve"> </w:t>
      </w:r>
      <w:r w:rsidR="005F159B">
        <w:t>Tillsynsmyndigheten</w:t>
      </w:r>
      <w:r>
        <w:t xml:space="preserve"> ska utfärda </w:t>
      </w:r>
      <w:r w:rsidR="005F159B">
        <w:t>sådana förbud</w:t>
      </w:r>
      <w:r>
        <w:t xml:space="preserve"> givet vissa villkor, bland annat en byggnadsteknisk utredning.</w:t>
      </w:r>
    </w:p>
    <w:p w14:paraId="71EEDAD8" w14:textId="3268C78B" w:rsidR="00D40271" w:rsidRDefault="00B63FE4">
      <w:pPr>
        <w:pStyle w:val="ANormal"/>
      </w:pPr>
      <w:r>
        <w:tab/>
        <w:t xml:space="preserve">Utskottet konstaterar att utökad möjlighet att begränsa rökning är ett viktigt instrument för </w:t>
      </w:r>
      <w:r w:rsidR="005F159B">
        <w:t>boende</w:t>
      </w:r>
      <w:r>
        <w:t xml:space="preserve"> som störs av rökning, men understryk</w:t>
      </w:r>
      <w:r w:rsidR="005F159B">
        <w:t>er samtidigt</w:t>
      </w:r>
      <w:r>
        <w:t xml:space="preserve"> </w:t>
      </w:r>
      <w:r>
        <w:lastRenderedPageBreak/>
        <w:t>att processen blir betungande för tillsynsmyndigheten om många ansökningar inkommer samtidigt.</w:t>
      </w:r>
      <w:r w:rsidRPr="00D40271">
        <w:t xml:space="preserve"> </w:t>
      </w:r>
      <w:r w:rsidR="00D40271" w:rsidRPr="00D40271">
        <w:t xml:space="preserve">Utskottet påminner </w:t>
      </w:r>
      <w:r>
        <w:t xml:space="preserve">i sammanhanget </w:t>
      </w:r>
      <w:r w:rsidR="00D40271" w:rsidRPr="00D40271">
        <w:t>om att ÅMHM redan idag har begränsade resurser</w:t>
      </w:r>
      <w:r>
        <w:t xml:space="preserve"> och att inte </w:t>
      </w:r>
      <w:r w:rsidR="002F5089">
        <w:t>extra medel tillförs</w:t>
      </w:r>
      <w:r>
        <w:t xml:space="preserve"> </w:t>
      </w:r>
      <w:r w:rsidR="00166638">
        <w:t>för tillsynsuppgifterna.</w:t>
      </w:r>
      <w:r w:rsidR="00D40271" w:rsidRPr="00D40271">
        <w:t xml:space="preserve"> </w:t>
      </w:r>
    </w:p>
    <w:p w14:paraId="23668F7A" w14:textId="7F0B3AF8" w:rsidR="004758E9" w:rsidRDefault="004758E9">
      <w:pPr>
        <w:rPr>
          <w:sz w:val="22"/>
          <w:szCs w:val="20"/>
        </w:rPr>
      </w:pPr>
      <w:bookmarkStart w:id="10" w:name="_Hlk215063215"/>
    </w:p>
    <w:p w14:paraId="36987548" w14:textId="77777777" w:rsidR="00FC2F71" w:rsidRDefault="00FC2F71">
      <w:pPr>
        <w:pStyle w:val="ANormal"/>
      </w:pPr>
    </w:p>
    <w:p w14:paraId="435D530E" w14:textId="13CDF265" w:rsidR="00FC2F71" w:rsidRDefault="00FC2F71" w:rsidP="002C1F54">
      <w:pPr>
        <w:pStyle w:val="RubrikB"/>
      </w:pPr>
      <w:bookmarkStart w:id="11" w:name="_Toc215826779"/>
      <w:r>
        <w:t>Detaljmotivering</w:t>
      </w:r>
      <w:bookmarkEnd w:id="11"/>
    </w:p>
    <w:p w14:paraId="3BA1AB2F" w14:textId="77777777" w:rsidR="00FC2F71" w:rsidRDefault="00FC2F71">
      <w:pPr>
        <w:pStyle w:val="ANormal"/>
      </w:pPr>
    </w:p>
    <w:p w14:paraId="21017F86" w14:textId="77777777" w:rsidR="00FC2F71" w:rsidRDefault="00FC2F71" w:rsidP="00FC2F71">
      <w:pPr>
        <w:pStyle w:val="LagHuvRubr"/>
      </w:pPr>
      <w:r w:rsidRPr="00C93DA2">
        <w:rPr>
          <w:lang w:val="sv-FI"/>
        </w:rPr>
        <w:t>L A N D S K A P S L A G</w:t>
      </w:r>
      <w:r w:rsidRPr="00C93DA2">
        <w:rPr>
          <w:lang w:val="sv-FI"/>
        </w:rPr>
        <w:br/>
      </w:r>
      <w:r w:rsidRPr="00FD4F41">
        <w:t>om ändring av landskapslagen om tobak och relaterade produkter</w:t>
      </w:r>
    </w:p>
    <w:p w14:paraId="40824C57" w14:textId="77777777" w:rsidR="00FC2F71" w:rsidRPr="00FC2F71" w:rsidRDefault="00FC2F71" w:rsidP="00FC2F71">
      <w:pPr>
        <w:pStyle w:val="ANormal"/>
      </w:pPr>
    </w:p>
    <w:p w14:paraId="141294FB" w14:textId="054B4354" w:rsidR="00FC2F71" w:rsidRPr="00FC2F71" w:rsidRDefault="00FC2F71" w:rsidP="00FC2F71">
      <w:pPr>
        <w:pStyle w:val="ANormal"/>
        <w:rPr>
          <w:lang w:val="sv-FI"/>
        </w:rPr>
      </w:pPr>
      <w:r>
        <w:t xml:space="preserve">5a § </w:t>
      </w:r>
      <w:r w:rsidR="002C1F54">
        <w:t>11</w:t>
      </w:r>
      <w:r>
        <w:t xml:space="preserve"> mom. </w:t>
      </w:r>
      <w:r w:rsidRPr="00FC2F71">
        <w:rPr>
          <w:i/>
          <w:iCs/>
        </w:rPr>
        <w:t>Undantag</w:t>
      </w:r>
      <w:r>
        <w:t xml:space="preserve">. </w:t>
      </w:r>
      <w:r w:rsidRPr="00FC2F71">
        <w:t xml:space="preserve">Bestämmelserna i </w:t>
      </w:r>
      <w:r w:rsidR="002C1F54">
        <w:t>3</w:t>
      </w:r>
      <w:r w:rsidRPr="00FC2F71">
        <w:t xml:space="preserve"> mom. </w:t>
      </w:r>
      <w:proofErr w:type="gramStart"/>
      <w:r w:rsidR="002C1F54">
        <w:t>5-8</w:t>
      </w:r>
      <w:proofErr w:type="gramEnd"/>
      <w:r w:rsidR="002C1F54">
        <w:t xml:space="preserve"> punkterna </w:t>
      </w:r>
      <w:r w:rsidRPr="00FC2F71">
        <w:t>föreslås inte omfatta </w:t>
      </w:r>
      <w:r w:rsidRPr="00FC2F71">
        <w:rPr>
          <w:lang w:val="sv-FI"/>
        </w:rPr>
        <w:t>försäljning på fartyg som är hemmahörande på Åland och som huvudsakligen färdas i internationell trafik.</w:t>
      </w:r>
    </w:p>
    <w:p w14:paraId="24CC7813" w14:textId="27EA2B24" w:rsidR="00FC2F71" w:rsidRDefault="00FC2F71">
      <w:pPr>
        <w:pStyle w:val="ANormal"/>
      </w:pPr>
    </w:p>
    <w:p w14:paraId="400FC849" w14:textId="77777777" w:rsidR="002401D0" w:rsidRDefault="002401D0">
      <w:pPr>
        <w:pStyle w:val="ANormal"/>
      </w:pPr>
    </w:p>
    <w:p w14:paraId="388371FC" w14:textId="77777777" w:rsidR="002401D0" w:rsidRDefault="002401D0">
      <w:pPr>
        <w:pStyle w:val="RubrikA"/>
      </w:pPr>
      <w:bookmarkStart w:id="12" w:name="_Toc529800936"/>
      <w:bookmarkStart w:id="13" w:name="_Toc215826780"/>
      <w:bookmarkEnd w:id="10"/>
      <w:r>
        <w:t>Ärendets behandling</w:t>
      </w:r>
      <w:bookmarkEnd w:id="12"/>
      <w:bookmarkEnd w:id="13"/>
    </w:p>
    <w:p w14:paraId="25B8A5BE" w14:textId="77777777" w:rsidR="002401D0" w:rsidRDefault="002401D0">
      <w:pPr>
        <w:pStyle w:val="Rubrikmellanrum"/>
      </w:pPr>
    </w:p>
    <w:p w14:paraId="52828F5C" w14:textId="68748430" w:rsidR="00C93DA2" w:rsidRDefault="00C93DA2" w:rsidP="00C93DA2">
      <w:pPr>
        <w:pStyle w:val="ANormal"/>
      </w:pPr>
      <w:r>
        <w:t xml:space="preserve">Lagtinget har den </w:t>
      </w:r>
      <w:r w:rsidR="000F3810">
        <w:t>10</w:t>
      </w:r>
      <w:r>
        <w:t xml:space="preserve"> mars 2025 </w:t>
      </w:r>
      <w:proofErr w:type="spellStart"/>
      <w:r>
        <w:t>inbegärt</w:t>
      </w:r>
      <w:proofErr w:type="spellEnd"/>
      <w:r>
        <w:t xml:space="preserve"> social- och miljöutskottets yttrande i ärendet.</w:t>
      </w:r>
    </w:p>
    <w:p w14:paraId="7D8196B2" w14:textId="5C1655AF" w:rsidR="000F3810" w:rsidRDefault="00C93DA2" w:rsidP="00C93DA2">
      <w:pPr>
        <w:pStyle w:val="ANormal"/>
      </w:pPr>
      <w:r>
        <w:tab/>
        <w:t>Utskottet har i ärendet hört</w:t>
      </w:r>
      <w:r w:rsidR="000F3810">
        <w:t xml:space="preserve"> ministern Arsim Zekaj, landskapsläkaren Knut Lönnroth, lagberedaren Lotta Wikström, specialsakkunniga Christel Liljebäck, bolagsjuristen vid </w:t>
      </w:r>
      <w:proofErr w:type="spellStart"/>
      <w:r w:rsidR="000F3810">
        <w:t>Vikingline</w:t>
      </w:r>
      <w:proofErr w:type="spellEnd"/>
      <w:r w:rsidR="000F3810">
        <w:t xml:space="preserve"> Malin Ekroos, försäljningsansvarige vid </w:t>
      </w:r>
      <w:proofErr w:type="spellStart"/>
      <w:r w:rsidR="000F3810">
        <w:t>Vikingline</w:t>
      </w:r>
      <w:proofErr w:type="spellEnd"/>
      <w:r w:rsidR="000F3810">
        <w:t xml:space="preserve"> Carl </w:t>
      </w:r>
      <w:proofErr w:type="spellStart"/>
      <w:r w:rsidR="000F3810">
        <w:t>Mörn</w:t>
      </w:r>
      <w:proofErr w:type="spellEnd"/>
      <w:r w:rsidR="000F3810">
        <w:t xml:space="preserve">, inköpsdirektör vid Eckerölinjen Tor Rönnberg, myndighetsjuristen vid ÅMHM Jessica Eriksson, inspektör på livsmedel, tobak och alkohol vid ÅMHM Hanna Rintamäki, vd vid </w:t>
      </w:r>
      <w:proofErr w:type="spellStart"/>
      <w:r w:rsidR="000F3810">
        <w:t>Marstad</w:t>
      </w:r>
      <w:proofErr w:type="spellEnd"/>
      <w:r w:rsidR="000F3810">
        <w:t xml:space="preserve"> fastighetsbolag Jan Blomqvist, miljösamordnaren vid Mariehamns stad Ulf Simolin, t.f. verksamhetsledaren vid Folkhälsan på Åland Sandra Jourdan, </w:t>
      </w:r>
      <w:r w:rsidR="006434CD">
        <w:t xml:space="preserve">projektkoordinatorn vid Folkhälsan på Åland Emil Rönnberg, projektledaren vid Folkhälsan på Åland Julia Michelsson, </w:t>
      </w:r>
      <w:proofErr w:type="spellStart"/>
      <w:r w:rsidR="006434CD">
        <w:t>fältaren</w:t>
      </w:r>
      <w:proofErr w:type="spellEnd"/>
      <w:r w:rsidR="006434CD">
        <w:t xml:space="preserve"> Tony Johansson, </w:t>
      </w:r>
      <w:proofErr w:type="spellStart"/>
      <w:r w:rsidR="006434CD">
        <w:t>fältaren</w:t>
      </w:r>
      <w:proofErr w:type="spellEnd"/>
      <w:r w:rsidR="006434CD">
        <w:t xml:space="preserve"> Emma Segerfält, detaljhandlaren Kristoffer Mattson, detaljhandlaren Jan Andersson, Valentina Valestany vid enheten för tillsyn vid Folkhälsomyndigheten i Sverige, utredaren vid enheten för tillsyn Folkhälsomyndigheten i Sverige Per Hällström, samt utredaren vid enheten för NTS Folkhälsomyndigheten i Sverige Janini Edvinsson. </w:t>
      </w:r>
    </w:p>
    <w:p w14:paraId="73B7A45C" w14:textId="4F64C51B" w:rsidR="00C93DA2" w:rsidRDefault="00C93DA2" w:rsidP="5C3FEC33">
      <w:pPr>
        <w:pStyle w:val="ANormal"/>
        <w:rPr>
          <w:color w:val="000000" w:themeColor="text1"/>
        </w:rPr>
      </w:pPr>
      <w:r>
        <w:t xml:space="preserve"> </w:t>
      </w:r>
      <w:r>
        <w:tab/>
      </w:r>
      <w:r w:rsidRPr="5C3FEC33">
        <w:rPr>
          <w:color w:val="000000" w:themeColor="text1"/>
        </w:rPr>
        <w:t>I ärendets avgörande behandling deltog ordföranden Christian Wikström, viceordföranden Pernilla Söderlund, ledamöterna Annette Holmberg-Jansson, Mogens Lindén, Liz Mattsson, Benny Pettersson</w:t>
      </w:r>
      <w:r w:rsidR="1EB8087B" w:rsidRPr="5C3FEC33">
        <w:rPr>
          <w:color w:val="000000" w:themeColor="text1"/>
        </w:rPr>
        <w:t xml:space="preserve"> och Simon Påvals</w:t>
      </w:r>
      <w:r w:rsidRPr="5C3FEC33">
        <w:rPr>
          <w:color w:val="000000" w:themeColor="text1"/>
        </w:rPr>
        <w:t>.</w:t>
      </w:r>
    </w:p>
    <w:p w14:paraId="5DD41EE4" w14:textId="77777777" w:rsidR="00AB7515" w:rsidRDefault="00AB7515" w:rsidP="5C3FEC33">
      <w:pPr>
        <w:pStyle w:val="ANormal"/>
        <w:rPr>
          <w:color w:val="000000" w:themeColor="text1"/>
        </w:rPr>
      </w:pPr>
    </w:p>
    <w:p w14:paraId="1F2B0C40" w14:textId="2DA13991" w:rsidR="00AB7515" w:rsidRDefault="00AB7515" w:rsidP="00AB7515">
      <w:pPr>
        <w:pStyle w:val="RubrikB"/>
      </w:pPr>
      <w:bookmarkStart w:id="14" w:name="_Toc215826781"/>
      <w:r>
        <w:t>Reservationer</w:t>
      </w:r>
      <w:bookmarkEnd w:id="14"/>
    </w:p>
    <w:p w14:paraId="7933AB8E" w14:textId="77777777" w:rsidR="00AB7515" w:rsidRDefault="00AB7515" w:rsidP="00AB7515">
      <w:pPr>
        <w:pStyle w:val="Rubrikmellanrum"/>
      </w:pPr>
    </w:p>
    <w:p w14:paraId="1C0E4EEB" w14:textId="00AF3D6D" w:rsidR="6BACCC24" w:rsidRDefault="6BACCC24" w:rsidP="5C3FEC33">
      <w:pPr>
        <w:pStyle w:val="ANormal"/>
        <w:rPr>
          <w:color w:val="000000" w:themeColor="text1"/>
        </w:rPr>
      </w:pPr>
      <w:r w:rsidRPr="5C3FEC33">
        <w:rPr>
          <w:color w:val="000000" w:themeColor="text1"/>
        </w:rPr>
        <w:t xml:space="preserve">Ordföranden Christian Wikström och ledamoten Annette Holmberg-Jansson har inte kunnat omfatta utskottets betänkande och fogar därför reservationer till betänkandet. </w:t>
      </w:r>
    </w:p>
    <w:p w14:paraId="169DEEF9" w14:textId="1EABF8F7" w:rsidR="6BACCC24" w:rsidRDefault="00AB7515" w:rsidP="5C3FEC33">
      <w:pPr>
        <w:pStyle w:val="ANormal"/>
        <w:rPr>
          <w:color w:val="000000" w:themeColor="text1"/>
        </w:rPr>
      </w:pPr>
      <w:r>
        <w:rPr>
          <w:color w:val="000000" w:themeColor="text1"/>
        </w:rPr>
        <w:tab/>
      </w:r>
      <w:r w:rsidR="6BACCC24" w:rsidRPr="5C3FEC33">
        <w:rPr>
          <w:color w:val="000000" w:themeColor="text1"/>
        </w:rPr>
        <w:t xml:space="preserve">Viceordföranden Pernilla Söderlund utsågs att presentera betänkandet. </w:t>
      </w:r>
    </w:p>
    <w:p w14:paraId="170749FC" w14:textId="113DAF45" w:rsidR="1FF970CE" w:rsidRDefault="1FF970CE" w:rsidP="5C3FEC33">
      <w:pPr>
        <w:pStyle w:val="ANormal"/>
        <w:rPr>
          <w:color w:val="000000" w:themeColor="text1"/>
        </w:rPr>
      </w:pPr>
    </w:p>
    <w:p w14:paraId="37BB31A8" w14:textId="28B568CF" w:rsidR="002401D0" w:rsidRDefault="002401D0">
      <w:pPr>
        <w:pStyle w:val="ANormal"/>
      </w:pPr>
    </w:p>
    <w:p w14:paraId="236CC663" w14:textId="77777777" w:rsidR="002401D0" w:rsidRDefault="002401D0">
      <w:pPr>
        <w:pStyle w:val="ANormal"/>
      </w:pPr>
    </w:p>
    <w:p w14:paraId="3E4CC010" w14:textId="77777777" w:rsidR="000B09AE" w:rsidRDefault="000B09AE">
      <w:pPr>
        <w:rPr>
          <w:sz w:val="30"/>
          <w:szCs w:val="20"/>
        </w:rPr>
      </w:pPr>
      <w:bookmarkStart w:id="15" w:name="_Toc529800937"/>
      <w:r>
        <w:br w:type="page"/>
      </w:r>
    </w:p>
    <w:p w14:paraId="1F037AF7" w14:textId="6CE23D0B" w:rsidR="002401D0" w:rsidRDefault="002401D0">
      <w:pPr>
        <w:pStyle w:val="RubrikA"/>
      </w:pPr>
      <w:bookmarkStart w:id="16" w:name="_Toc215826782"/>
      <w:r>
        <w:lastRenderedPageBreak/>
        <w:t>Utskottets förslag</w:t>
      </w:r>
      <w:bookmarkEnd w:id="15"/>
      <w:bookmarkEnd w:id="16"/>
    </w:p>
    <w:p w14:paraId="639115A4" w14:textId="77777777" w:rsidR="002401D0" w:rsidRDefault="002401D0">
      <w:pPr>
        <w:pStyle w:val="Rubrikmellanrum"/>
      </w:pPr>
    </w:p>
    <w:p w14:paraId="4FF83275" w14:textId="77777777" w:rsidR="002401D0" w:rsidRDefault="002401D0">
      <w:pPr>
        <w:pStyle w:val="ANormal"/>
      </w:pPr>
      <w:r>
        <w:t>Med hänvisning till det anförda föreslår utskottet</w:t>
      </w:r>
    </w:p>
    <w:p w14:paraId="7FB49255" w14:textId="77777777" w:rsidR="002401D0" w:rsidRDefault="002401D0">
      <w:pPr>
        <w:pStyle w:val="ANormal"/>
      </w:pPr>
    </w:p>
    <w:p w14:paraId="4D5ED34B" w14:textId="4FB6FAF0" w:rsidR="002401D0" w:rsidRDefault="002401D0">
      <w:pPr>
        <w:pStyle w:val="Klam"/>
      </w:pPr>
      <w:r>
        <w:t>att lagtinget</w:t>
      </w:r>
      <w:r w:rsidR="00C93DA2">
        <w:t xml:space="preserve"> antar lagförslaget i följande lydelse:</w:t>
      </w:r>
    </w:p>
    <w:p w14:paraId="76DFA7D2" w14:textId="77777777" w:rsidR="00C93DA2" w:rsidRDefault="00C93DA2" w:rsidP="00C93DA2">
      <w:pPr>
        <w:pStyle w:val="ANormal"/>
      </w:pPr>
    </w:p>
    <w:p w14:paraId="6D9BBA41" w14:textId="77777777" w:rsidR="00C93DA2" w:rsidRPr="00FD4F41" w:rsidRDefault="00C93DA2" w:rsidP="00C93DA2">
      <w:pPr>
        <w:pStyle w:val="LagHuvRubr"/>
      </w:pPr>
      <w:bookmarkStart w:id="17" w:name="_Toc191542876"/>
      <w:r w:rsidRPr="00C93DA2">
        <w:rPr>
          <w:lang w:val="sv-FI"/>
        </w:rPr>
        <w:t>L A N D S K A P S L A G</w:t>
      </w:r>
      <w:r w:rsidRPr="00C93DA2">
        <w:rPr>
          <w:lang w:val="sv-FI"/>
        </w:rPr>
        <w:br/>
      </w:r>
      <w:r w:rsidRPr="00FD4F41">
        <w:t>om ändring av landskapslagen om tobak och relaterade produkter</w:t>
      </w:r>
      <w:bookmarkEnd w:id="17"/>
    </w:p>
    <w:p w14:paraId="0A4552BE" w14:textId="77777777" w:rsidR="00C93DA2" w:rsidRPr="00C93DA2" w:rsidRDefault="00C93DA2" w:rsidP="00C93DA2">
      <w:pPr>
        <w:pStyle w:val="ANormal"/>
        <w:rPr>
          <w:lang w:val="sv-FI"/>
        </w:rPr>
      </w:pPr>
    </w:p>
    <w:p w14:paraId="2083F1B5" w14:textId="77777777" w:rsidR="00C93DA2" w:rsidRPr="0096622A" w:rsidRDefault="00C93DA2" w:rsidP="00C93DA2">
      <w:pPr>
        <w:pStyle w:val="ANormal"/>
      </w:pPr>
      <w:r>
        <w:tab/>
      </w:r>
      <w:r w:rsidRPr="0096622A">
        <w:t>I enlighet med lagtingets beslut</w:t>
      </w:r>
    </w:p>
    <w:p w14:paraId="00DC6674" w14:textId="77777777" w:rsidR="00C93DA2" w:rsidRPr="0096622A" w:rsidRDefault="00C93DA2" w:rsidP="00C93DA2">
      <w:pPr>
        <w:pStyle w:val="ANormal"/>
      </w:pPr>
      <w:r w:rsidRPr="0096622A">
        <w:tab/>
      </w:r>
      <w:r w:rsidRPr="0096622A">
        <w:rPr>
          <w:b/>
          <w:bCs/>
        </w:rPr>
        <w:t xml:space="preserve">ändras </w:t>
      </w:r>
      <w:r w:rsidRPr="0096622A">
        <w:t>1a §, 2 § 1 mom., 2a §, 4 § 1 mom. 6 punkten</w:t>
      </w:r>
      <w:r>
        <w:t>, 5a § 2 mom. a och b punkterna samt</w:t>
      </w:r>
      <w:r w:rsidRPr="0096622A">
        <w:t xml:space="preserve"> 5a § 3 mom</w:t>
      </w:r>
      <w:r>
        <w:t>.</w:t>
      </w:r>
      <w:r w:rsidRPr="0096622A">
        <w:t xml:space="preserve"> landskapslagen (1978:52) om tobak och relaterade produkter, av dessa lagrum 1a § sådan de</w:t>
      </w:r>
      <w:r>
        <w:t>n</w:t>
      </w:r>
      <w:r w:rsidRPr="0096622A">
        <w:t xml:space="preserve"> lyder i landskapslagen 2016/52</w:t>
      </w:r>
      <w:r>
        <w:t>, 2 § 1 mom. sådant det lyder i landskapslagen 2020/111, 2a § sådan den lyder i landskapslagen 2007/101, 4 § 1 mom. 6 punkten sådan den lyder i landskapslagen 2007/4</w:t>
      </w:r>
      <w:r w:rsidRPr="0096622A">
        <w:t xml:space="preserve"> och </w:t>
      </w:r>
      <w:r>
        <w:t xml:space="preserve">5a § 2 mom. a och b punkterna </w:t>
      </w:r>
      <w:r w:rsidRPr="0096622A">
        <w:t>sådan</w:t>
      </w:r>
      <w:r>
        <w:t>a</w:t>
      </w:r>
      <w:r w:rsidRPr="0096622A">
        <w:t xml:space="preserve"> de lyder i landskapslagen </w:t>
      </w:r>
      <w:r>
        <w:t>2024/9</w:t>
      </w:r>
      <w:r w:rsidRPr="0096622A">
        <w:t>, samt</w:t>
      </w:r>
    </w:p>
    <w:p w14:paraId="22531E60" w14:textId="77777777" w:rsidR="00C93DA2" w:rsidRDefault="00C93DA2" w:rsidP="00C93DA2">
      <w:pPr>
        <w:pStyle w:val="ANormal"/>
      </w:pPr>
      <w:r w:rsidRPr="0096622A">
        <w:rPr>
          <w:b/>
          <w:bCs/>
        </w:rPr>
        <w:tab/>
        <w:t>fogas till</w:t>
      </w:r>
      <w:r w:rsidRPr="0096622A">
        <w:t xml:space="preserve"> 1 § 1 mom. nya </w:t>
      </w:r>
      <w:proofErr w:type="gramStart"/>
      <w:r w:rsidRPr="0096622A">
        <w:t>10-1</w:t>
      </w:r>
      <w:r>
        <w:t>3</w:t>
      </w:r>
      <w:proofErr w:type="gramEnd"/>
      <w:r w:rsidRPr="0096622A">
        <w:t xml:space="preserve"> punkter, till 4 § nya </w:t>
      </w:r>
      <w:proofErr w:type="gramStart"/>
      <w:r w:rsidRPr="0096622A">
        <w:t>7-10</w:t>
      </w:r>
      <w:proofErr w:type="gramEnd"/>
      <w:r w:rsidRPr="0096622A">
        <w:t xml:space="preserve"> punkter, till 5a § nya </w:t>
      </w:r>
      <w:proofErr w:type="gramStart"/>
      <w:r w:rsidRPr="0096622A">
        <w:t>6-</w:t>
      </w:r>
      <w:r>
        <w:t>10</w:t>
      </w:r>
      <w:proofErr w:type="gramEnd"/>
      <w:r w:rsidRPr="0096622A">
        <w:t xml:space="preserve"> mom. och till lagen </w:t>
      </w:r>
      <w:r>
        <w:t>nya</w:t>
      </w:r>
      <w:r w:rsidRPr="0096622A">
        <w:t xml:space="preserve"> 4e §</w:t>
      </w:r>
      <w:r>
        <w:t xml:space="preserve"> och 14 §</w:t>
      </w:r>
      <w:r w:rsidRPr="0096622A">
        <w:t xml:space="preserve">, av dessa lagrum </w:t>
      </w:r>
      <w:r>
        <w:t xml:space="preserve">1 § 1 mom. sådant det lyder i landskapslagen 2020/111, </w:t>
      </w:r>
      <w:r w:rsidRPr="0096622A">
        <w:t>4 § sådan den lyder i landskapslagen 2007/4 och 5</w:t>
      </w:r>
      <w:r>
        <w:t>a</w:t>
      </w:r>
      <w:r w:rsidRPr="0096622A">
        <w:t> § sådan den lyder i landskapslagen 202</w:t>
      </w:r>
      <w:r>
        <w:t>4</w:t>
      </w:r>
      <w:r w:rsidRPr="0096622A">
        <w:t>/</w:t>
      </w:r>
      <w:r>
        <w:t>9</w:t>
      </w:r>
      <w:r w:rsidRPr="0096622A">
        <w:t>, som följer:</w:t>
      </w:r>
    </w:p>
    <w:p w14:paraId="69C0FF1F" w14:textId="77777777" w:rsidR="00C93DA2" w:rsidRDefault="00C93DA2" w:rsidP="00C93DA2">
      <w:pPr>
        <w:pStyle w:val="ANormal"/>
      </w:pPr>
    </w:p>
    <w:p w14:paraId="2C084116" w14:textId="77777777" w:rsidR="00C93DA2" w:rsidRDefault="00C93DA2" w:rsidP="00C93DA2">
      <w:pPr>
        <w:pStyle w:val="LagParagraf"/>
      </w:pPr>
      <w:r>
        <w:t>1 §</w:t>
      </w:r>
    </w:p>
    <w:p w14:paraId="53B5ABAD" w14:textId="77777777" w:rsidR="00C93DA2" w:rsidRDefault="00C93DA2" w:rsidP="00C93DA2">
      <w:pPr>
        <w:pStyle w:val="ANormal"/>
        <w:rPr>
          <w:shd w:val="clear" w:color="auto" w:fill="FFFFFF"/>
        </w:rPr>
      </w:pPr>
      <w:r>
        <w:tab/>
        <w:t xml:space="preserve">Syftet </w:t>
      </w:r>
      <w:r>
        <w:rPr>
          <w:shd w:val="clear" w:color="auto" w:fill="FFFFFF"/>
        </w:rPr>
        <w:t>med denna lag är att begränsa det för hälsan skadliga bruket av tobaksprodukter och relaterade produkter samt att minska de skadeverkningar bruket orsakar och samtidigt öka trivseln och välbefinnandet för dem som inte nyttjar dessa produkter. I denna lag avses med</w:t>
      </w:r>
    </w:p>
    <w:p w14:paraId="7B87FF02" w14:textId="77777777" w:rsidR="00C93DA2" w:rsidRDefault="00C93DA2" w:rsidP="00C93DA2">
      <w:pPr>
        <w:pStyle w:val="ANormal"/>
      </w:pPr>
      <w:r w:rsidRPr="0096622A">
        <w:t>- - - - - - - - - - - - - - - - - - - - - - - - - - - - - - - - - - - - - - - - - - - - - - - - - - - -</w:t>
      </w:r>
    </w:p>
    <w:p w14:paraId="2B4EF6E6" w14:textId="77777777" w:rsidR="00C93DA2" w:rsidRPr="00D16A8A" w:rsidRDefault="00C93DA2" w:rsidP="00C93DA2">
      <w:pPr>
        <w:pStyle w:val="ANormal"/>
        <w:rPr>
          <w:lang w:val="sv-FI"/>
        </w:rPr>
      </w:pPr>
      <w:r>
        <w:rPr>
          <w:b/>
          <w:bCs/>
        </w:rPr>
        <w:tab/>
      </w:r>
      <w:r w:rsidRPr="00D16A8A">
        <w:rPr>
          <w:lang w:val="sv-FI"/>
        </w:rPr>
        <w:t>8)</w:t>
      </w:r>
      <w:r>
        <w:rPr>
          <w:lang w:val="sv-FI"/>
        </w:rPr>
        <w:t xml:space="preserve"> </w:t>
      </w:r>
      <w:r w:rsidRPr="00D16A8A">
        <w:rPr>
          <w:i/>
          <w:iCs/>
          <w:lang w:val="sv-FI"/>
        </w:rPr>
        <w:t>detaljhandel</w:t>
      </w:r>
      <w:r>
        <w:rPr>
          <w:lang w:val="sv-FI"/>
        </w:rPr>
        <w:t xml:space="preserve"> </w:t>
      </w:r>
      <w:r w:rsidRPr="00D16A8A">
        <w:rPr>
          <w:lang w:val="sv-FI"/>
        </w:rPr>
        <w:t>yrkesmässig försäljning av tobaksprodukter eller relaterade produkter direkt till konsumenter</w:t>
      </w:r>
      <w:r>
        <w:rPr>
          <w:lang w:val="sv-FI"/>
        </w:rPr>
        <w:t>,</w:t>
      </w:r>
    </w:p>
    <w:p w14:paraId="0F62A31C" w14:textId="77777777" w:rsidR="00C93DA2" w:rsidRPr="00D16A8A" w:rsidRDefault="00C93DA2" w:rsidP="00C93DA2">
      <w:pPr>
        <w:pStyle w:val="ANormal"/>
        <w:rPr>
          <w:lang w:val="sv-FI"/>
        </w:rPr>
      </w:pPr>
      <w:r>
        <w:rPr>
          <w:lang w:val="sv-FI"/>
        </w:rPr>
        <w:tab/>
      </w:r>
      <w:r w:rsidRPr="00D16A8A">
        <w:rPr>
          <w:lang w:val="sv-FI"/>
        </w:rPr>
        <w:t>9)</w:t>
      </w:r>
      <w:r>
        <w:rPr>
          <w:lang w:val="sv-FI"/>
        </w:rPr>
        <w:t xml:space="preserve"> </w:t>
      </w:r>
      <w:r w:rsidRPr="00D16A8A">
        <w:rPr>
          <w:i/>
          <w:iCs/>
          <w:lang w:val="sv-FI"/>
        </w:rPr>
        <w:t>första återförsäljningsställe</w:t>
      </w:r>
      <w:r>
        <w:rPr>
          <w:i/>
          <w:iCs/>
          <w:lang w:val="sv-FI"/>
        </w:rPr>
        <w:t xml:space="preserve"> </w:t>
      </w:r>
      <w:r w:rsidRPr="00D16A8A">
        <w:rPr>
          <w:lang w:val="sv-FI"/>
        </w:rPr>
        <w:t>varje försäljningsställe där tobaksprodukter eller relaterade produkter för första gången tillhandahålls på marknaden</w:t>
      </w:r>
      <w:r>
        <w:rPr>
          <w:lang w:val="sv-FI"/>
        </w:rPr>
        <w:t>,</w:t>
      </w:r>
    </w:p>
    <w:p w14:paraId="56181C92" w14:textId="77777777" w:rsidR="00C93DA2" w:rsidRPr="0009531F" w:rsidRDefault="00C93DA2" w:rsidP="00C93DA2">
      <w:pPr>
        <w:pStyle w:val="ANormal"/>
      </w:pPr>
      <w:r>
        <w:tab/>
      </w:r>
      <w:r w:rsidRPr="0009531F">
        <w:t xml:space="preserve">10) </w:t>
      </w:r>
      <w:r w:rsidRPr="0009531F">
        <w:rPr>
          <w:i/>
          <w:iCs/>
        </w:rPr>
        <w:t xml:space="preserve">rökfria nikotinprodukter </w:t>
      </w:r>
      <w:r w:rsidRPr="0009531F">
        <w:t>en produkt som till användningssättet mot</w:t>
      </w:r>
      <w:r>
        <w:t>-</w:t>
      </w:r>
      <w:r w:rsidRPr="0009531F">
        <w:t>svarar en tobaksprodukt, men som inte innehåller tobak, och som innehåller nikotin och är avsedda att tuggas, konsumeras via näsan eller användas i munnen,</w:t>
      </w:r>
    </w:p>
    <w:p w14:paraId="760CFE1A" w14:textId="77777777" w:rsidR="00C93DA2" w:rsidRDefault="00C93DA2" w:rsidP="00C93DA2">
      <w:pPr>
        <w:pStyle w:val="ANormal"/>
      </w:pPr>
      <w:r w:rsidRPr="0009531F">
        <w:tab/>
        <w:t xml:space="preserve">11) </w:t>
      </w:r>
      <w:r w:rsidRPr="0009531F">
        <w:rPr>
          <w:i/>
          <w:iCs/>
        </w:rPr>
        <w:t xml:space="preserve">nikotinpåsar </w:t>
      </w:r>
      <w:r w:rsidRPr="0009531F">
        <w:t>rökfria</w:t>
      </w:r>
      <w:r w:rsidRPr="0009531F">
        <w:rPr>
          <w:i/>
          <w:iCs/>
        </w:rPr>
        <w:t xml:space="preserve"> </w:t>
      </w:r>
      <w:r w:rsidRPr="0009531F">
        <w:t>nikotinprodukter i pulver- eller partikelform för användning i munnen,</w:t>
      </w:r>
    </w:p>
    <w:p w14:paraId="6B7D2F51" w14:textId="77777777" w:rsidR="00C93DA2" w:rsidRPr="0009531F" w:rsidRDefault="00C93DA2" w:rsidP="00C93DA2">
      <w:pPr>
        <w:pStyle w:val="ANormal"/>
      </w:pPr>
      <w:r>
        <w:tab/>
        <w:t xml:space="preserve">12) </w:t>
      </w:r>
      <w:r w:rsidRPr="00101F96">
        <w:rPr>
          <w:i/>
          <w:iCs/>
        </w:rPr>
        <w:t>upphettad tobaksprodukt </w:t>
      </w:r>
      <w:r w:rsidRPr="00101F96">
        <w:t>en ny tobaksprodukt som hettas upp för att producera ett utsläpp som innehåller nikotin och andra kemikalier, som sedan inandas av användarna och som, beroende på dess egenskaper, är en rökfri tobaksprodukt eller en tobaksprodukt för rökning</w:t>
      </w:r>
      <w:r>
        <w:t>, samt med</w:t>
      </w:r>
    </w:p>
    <w:p w14:paraId="3C8D2AA4" w14:textId="77777777" w:rsidR="00C93DA2" w:rsidRPr="0009531F" w:rsidRDefault="00C93DA2" w:rsidP="00C93DA2">
      <w:pPr>
        <w:pStyle w:val="ANormal"/>
      </w:pPr>
      <w:r w:rsidRPr="0009531F">
        <w:tab/>
        <w:t>1</w:t>
      </w:r>
      <w:r>
        <w:t>3</w:t>
      </w:r>
      <w:r w:rsidRPr="0009531F">
        <w:t xml:space="preserve">) </w:t>
      </w:r>
      <w:r w:rsidRPr="0009531F">
        <w:rPr>
          <w:i/>
          <w:iCs/>
        </w:rPr>
        <w:t>karakteristisk doft eller smak</w:t>
      </w:r>
      <w:r>
        <w:t xml:space="preserve"> </w:t>
      </w:r>
      <w:r w:rsidRPr="0009531F">
        <w:t>en doft eller smak av annat än tobak, till följd av en tillsats eller kombination av tillsatser, som är tydligt märkbar före eller under användningen av en tobaksprodukt, nikotinvätska, nikotinfri vätska för förångning eller rökfri nikotinprodukt</w:t>
      </w:r>
      <w:r>
        <w:t>.</w:t>
      </w:r>
    </w:p>
    <w:p w14:paraId="0EA9A4EE" w14:textId="77777777" w:rsidR="00C93DA2" w:rsidRDefault="00C93DA2" w:rsidP="00C93DA2">
      <w:pPr>
        <w:pStyle w:val="ANormal"/>
      </w:pPr>
      <w:r>
        <w:t>- - - - - - - - - - - - - - - - - - - - - - - - - - - - - - - - - - - - - - - - - - - - - - - - - - -</w:t>
      </w:r>
    </w:p>
    <w:p w14:paraId="1D28FFA7" w14:textId="77777777" w:rsidR="00C93DA2" w:rsidRDefault="00C93DA2" w:rsidP="00C93DA2">
      <w:pPr>
        <w:pStyle w:val="ANormal"/>
      </w:pPr>
    </w:p>
    <w:p w14:paraId="48E45E31" w14:textId="77777777" w:rsidR="00C93DA2" w:rsidRDefault="00C93DA2" w:rsidP="00C93DA2">
      <w:pPr>
        <w:pStyle w:val="LagParagraf"/>
      </w:pPr>
      <w:r>
        <w:t>1a §</w:t>
      </w:r>
    </w:p>
    <w:p w14:paraId="7BFE644D" w14:textId="77777777" w:rsidR="00C93DA2" w:rsidRPr="00F21003" w:rsidRDefault="00C93DA2" w:rsidP="00C93DA2">
      <w:pPr>
        <w:pStyle w:val="ANormal"/>
        <w:rPr>
          <w:shd w:val="clear" w:color="auto" w:fill="FFFFFF"/>
        </w:rPr>
      </w:pPr>
      <w:r>
        <w:tab/>
      </w:r>
      <w:r>
        <w:rPr>
          <w:shd w:val="clear" w:color="auto" w:fill="FFFFFF"/>
        </w:rPr>
        <w:t xml:space="preserve">Om inte annat bestäms särskilt ska det som i detta kapitel bestäms om begränsningar för innehav, marknadsföring, saluhållande och nyttjande av tobaksprodukter vara tillämpligt också på elektroniska cigaretter, </w:t>
      </w:r>
      <w:r w:rsidRPr="00F21003">
        <w:rPr>
          <w:shd w:val="clear" w:color="auto" w:fill="FFFFFF"/>
        </w:rPr>
        <w:t>rökfria nikotinprodukter, påfyllningsbehållare och örtprodukter för rökning.</w:t>
      </w:r>
    </w:p>
    <w:p w14:paraId="695ACA64" w14:textId="77777777" w:rsidR="00C93DA2" w:rsidRPr="00F21003" w:rsidRDefault="00C93DA2" w:rsidP="00C93DA2">
      <w:pPr>
        <w:pStyle w:val="ANormal"/>
        <w:rPr>
          <w:shd w:val="clear" w:color="auto" w:fill="FFFFFF"/>
        </w:rPr>
      </w:pPr>
    </w:p>
    <w:p w14:paraId="5B13583C" w14:textId="77777777" w:rsidR="00C93DA2" w:rsidRDefault="00C93DA2" w:rsidP="00C93DA2">
      <w:pPr>
        <w:pStyle w:val="LagParagraf"/>
        <w:rPr>
          <w:shd w:val="clear" w:color="auto" w:fill="FFFFFF"/>
        </w:rPr>
      </w:pPr>
      <w:r>
        <w:rPr>
          <w:shd w:val="clear" w:color="auto" w:fill="FFFFFF"/>
        </w:rPr>
        <w:t>2 §</w:t>
      </w:r>
    </w:p>
    <w:p w14:paraId="102CE3F2" w14:textId="77777777" w:rsidR="00C93DA2" w:rsidRPr="00DE1B4E" w:rsidRDefault="00C93DA2" w:rsidP="00C93DA2">
      <w:pPr>
        <w:pStyle w:val="ANormal"/>
      </w:pPr>
      <w:r>
        <w:lastRenderedPageBreak/>
        <w:tab/>
      </w:r>
      <w:r w:rsidRPr="00DE1B4E">
        <w:t>Tobaksprodukter och relaterade produkter får inte säljas eller på annat sätt överlåtas till den som inte har fyllt 18 år. Vid behov ska försäljaren förvissa sig om kundens ålder. Den som säljer tobaksprodukter och relaterade produkter i näringsverksamhet ska vara minst 18 år. Personer som har fyllt 16 år får dock sälja sådana produkter om det sker under direkt tillsyn av en person som har fyllt 18 år.</w:t>
      </w:r>
    </w:p>
    <w:p w14:paraId="25316ED7" w14:textId="77777777" w:rsidR="00C93DA2" w:rsidRPr="00DE1B4E" w:rsidRDefault="00C93DA2" w:rsidP="00C93DA2">
      <w:pPr>
        <w:pStyle w:val="ANormal"/>
      </w:pPr>
      <w:r w:rsidRPr="00DE1B4E">
        <w:t xml:space="preserve">- - - - - - - - - - - - - - - - - - - - - - - - - - - - - - - - - - - - - - - - - - - - - - - - - - - - </w:t>
      </w:r>
    </w:p>
    <w:p w14:paraId="74760339" w14:textId="77777777" w:rsidR="00C93DA2" w:rsidRDefault="00C93DA2" w:rsidP="00C93DA2">
      <w:pPr>
        <w:pStyle w:val="ANormal"/>
      </w:pPr>
    </w:p>
    <w:p w14:paraId="6E6688BB" w14:textId="77777777" w:rsidR="00C93DA2" w:rsidRPr="00A53B5E" w:rsidRDefault="00C93DA2" w:rsidP="00C93DA2">
      <w:pPr>
        <w:pStyle w:val="LagParagraf"/>
      </w:pPr>
      <w:r w:rsidRPr="00A53B5E">
        <w:t>2a</w:t>
      </w:r>
      <w:r>
        <w:t> §</w:t>
      </w:r>
    </w:p>
    <w:p w14:paraId="6E9864D8" w14:textId="77777777" w:rsidR="00C93DA2" w:rsidRDefault="00C93DA2" w:rsidP="00C93DA2">
      <w:pPr>
        <w:pStyle w:val="ANormal"/>
      </w:pPr>
      <w:r>
        <w:tab/>
      </w:r>
      <w:r w:rsidRPr="00A53B5E">
        <w:t xml:space="preserve">Det är förbjudet att sälja eller på annat sätt i näringsverksamhet överlåta </w:t>
      </w:r>
      <w:r w:rsidRPr="001671A8">
        <w:t>tobaksprodukter som är avsedd för användning i munnen. Dessutom är det förbjudet att på annat sätt på marknaden släppa ut tobaksprodukter för användning i munnen. Med tobaksprodukter som är</w:t>
      </w:r>
      <w:r w:rsidRPr="00A53B5E">
        <w:t xml:space="preserve"> avsedd för användning i munnen avses alla produkter för användning i munnen, utom sådana som är avsedda att rökas eller tuggas, och som helt eller delvis </w:t>
      </w:r>
      <w:r>
        <w:t xml:space="preserve">består </w:t>
      </w:r>
      <w:r w:rsidRPr="00A53B5E">
        <w:t>av tobak i pulver- eller partikelform eller i någon kombination av dessa former, särskilt i portionspåsar eller porösa påsar, eller i en form som påminner om ett livsmedel.</w:t>
      </w:r>
    </w:p>
    <w:p w14:paraId="6761967F" w14:textId="77777777" w:rsidR="00C93DA2" w:rsidRDefault="00C93DA2" w:rsidP="00C93DA2">
      <w:pPr>
        <w:pStyle w:val="ANormal"/>
      </w:pPr>
    </w:p>
    <w:p w14:paraId="25D772DC" w14:textId="77777777" w:rsidR="00C93DA2" w:rsidRDefault="00C93DA2" w:rsidP="00C93DA2">
      <w:pPr>
        <w:pStyle w:val="LagParagraf"/>
      </w:pPr>
      <w:r>
        <w:t>4 §</w:t>
      </w:r>
    </w:p>
    <w:p w14:paraId="555E2AE7" w14:textId="77777777" w:rsidR="00C93DA2" w:rsidRDefault="00C93DA2" w:rsidP="00C93DA2">
      <w:pPr>
        <w:pStyle w:val="ANormal"/>
      </w:pPr>
      <w:r>
        <w:tab/>
        <w:t>Tobaksrökning är förbjuden:</w:t>
      </w:r>
    </w:p>
    <w:p w14:paraId="18A0B69D" w14:textId="77777777" w:rsidR="00C93DA2" w:rsidRDefault="00C93DA2" w:rsidP="00C93DA2">
      <w:pPr>
        <w:pStyle w:val="ANormal"/>
      </w:pPr>
      <w:r>
        <w:t xml:space="preserve">- - - - - - - - - - - - - - - - - - - - - - - - - - - - - - - - - - - - - - - - - - - - - - - - - - - - </w:t>
      </w:r>
    </w:p>
    <w:p w14:paraId="688A5E94" w14:textId="77777777" w:rsidR="00C93DA2" w:rsidRPr="00E972A0" w:rsidRDefault="00C93DA2" w:rsidP="00C93DA2">
      <w:pPr>
        <w:pStyle w:val="ANormal"/>
      </w:pPr>
      <w:r>
        <w:tab/>
      </w:r>
      <w:r w:rsidRPr="00E972A0">
        <w:t>6)</w:t>
      </w:r>
      <w:r>
        <w:t xml:space="preserve"> </w:t>
      </w:r>
      <w:r w:rsidRPr="00E972A0">
        <w:t>i restaurang</w:t>
      </w:r>
      <w:r>
        <w:t>er</w:t>
      </w:r>
      <w:r w:rsidRPr="00E972A0">
        <w:t xml:space="preserve"> och an</w:t>
      </w:r>
      <w:r>
        <w:t>dra</w:t>
      </w:r>
      <w:r w:rsidRPr="00E972A0">
        <w:t xml:space="preserve"> serveringsutrymme</w:t>
      </w:r>
      <w:r>
        <w:t>n</w:t>
      </w:r>
      <w:r w:rsidRPr="00E972A0">
        <w:t xml:space="preserve"> där servering i förvärvssyfte sker av mat eller förfriskningar, utom när sådan servering sker utomhus</w:t>
      </w:r>
      <w:r>
        <w:t>,</w:t>
      </w:r>
    </w:p>
    <w:p w14:paraId="1F5B40CA" w14:textId="77777777" w:rsidR="00C93DA2" w:rsidRDefault="00C93DA2" w:rsidP="00C93DA2">
      <w:pPr>
        <w:pStyle w:val="ANormal"/>
      </w:pPr>
      <w:r>
        <w:tab/>
        <w:t>7) på utomhuslekplatser för vilka det ska upprättas ett säkerhetsdokument enligt 7 § i konsumentsäkerhetslagen (FFS 920/2011),</w:t>
      </w:r>
    </w:p>
    <w:p w14:paraId="0AD143E0" w14:textId="77777777" w:rsidR="00C93DA2" w:rsidRDefault="00C93DA2" w:rsidP="00C93DA2">
      <w:pPr>
        <w:pStyle w:val="ANormal"/>
      </w:pPr>
      <w:r>
        <w:tab/>
        <w:t>8) på allmänna badstränder under perioden från den första maj till den sista september, samt</w:t>
      </w:r>
    </w:p>
    <w:p w14:paraId="1925AE96" w14:textId="77777777" w:rsidR="00C93DA2" w:rsidRPr="008E0E0F" w:rsidRDefault="00C93DA2" w:rsidP="00C93DA2">
      <w:pPr>
        <w:pStyle w:val="ANormal"/>
      </w:pPr>
      <w:r>
        <w:tab/>
        <w:t>9) på inhägnade utomhusområden som är avsedda för idrottsutövning.</w:t>
      </w:r>
    </w:p>
    <w:p w14:paraId="55A76B89" w14:textId="77777777" w:rsidR="00C93DA2" w:rsidRDefault="00C93DA2" w:rsidP="00C93DA2">
      <w:pPr>
        <w:pStyle w:val="ANormal"/>
      </w:pPr>
      <w:r>
        <w:tab/>
        <w:t>Rökning är även förbjuden i kommunikationsmedel som är i privat bruk, när en person som är under 15 år vistas i det. Förbudet gäller inte bostadsutrymmen i kommunikationsmedlet.</w:t>
      </w:r>
    </w:p>
    <w:p w14:paraId="12D545B5" w14:textId="77777777" w:rsidR="00C93DA2" w:rsidRDefault="00C93DA2" w:rsidP="00C93DA2">
      <w:pPr>
        <w:pStyle w:val="ANormal"/>
      </w:pPr>
    </w:p>
    <w:p w14:paraId="1ADFE98D" w14:textId="77777777" w:rsidR="00C93DA2" w:rsidRDefault="00C93DA2" w:rsidP="00C93DA2">
      <w:pPr>
        <w:pStyle w:val="LagParagraf"/>
      </w:pPr>
      <w:r>
        <w:t>4e §</w:t>
      </w:r>
    </w:p>
    <w:p w14:paraId="1B0F93ED" w14:textId="77777777" w:rsidR="00C93DA2" w:rsidRPr="000A026B" w:rsidRDefault="00C93DA2" w:rsidP="00C93DA2">
      <w:pPr>
        <w:pStyle w:val="ANormal"/>
      </w:pPr>
      <w:r>
        <w:tab/>
      </w:r>
      <w:bookmarkStart w:id="18" w:name="_Hlk170299670"/>
      <w:r>
        <w:t xml:space="preserve">Tobaksrökning är förbjuden i lokaler i bostadssammanslutningar som är gemensamma eller avsedda för allmänheten. Med </w:t>
      </w:r>
      <w:r w:rsidRPr="000A026B">
        <w:rPr>
          <w:lang w:eastAsia="en-US"/>
        </w:rPr>
        <w:t>bostadssammanslutning</w:t>
      </w:r>
      <w:r>
        <w:rPr>
          <w:lang w:eastAsia="en-US"/>
        </w:rPr>
        <w:t xml:space="preserve"> avses </w:t>
      </w:r>
      <w:r w:rsidRPr="000A026B">
        <w:rPr>
          <w:lang w:eastAsia="en-US"/>
        </w:rPr>
        <w:t>aktiebolag som omfattas av lagen om bostadsaktiebolag</w:t>
      </w:r>
      <w:r>
        <w:rPr>
          <w:lang w:eastAsia="en-US"/>
        </w:rPr>
        <w:t xml:space="preserve"> </w:t>
      </w:r>
      <w:hyperlink r:id="rId14" w:tooltip="Uppdaterade lagen" w:history="1">
        <w:r w:rsidRPr="000A026B">
          <w:rPr>
            <w:lang w:eastAsia="en-US"/>
          </w:rPr>
          <w:t>(</w:t>
        </w:r>
        <w:r>
          <w:rPr>
            <w:lang w:eastAsia="en-US"/>
          </w:rPr>
          <w:t xml:space="preserve">FFS </w:t>
        </w:r>
        <w:r w:rsidRPr="000A026B">
          <w:rPr>
            <w:lang w:eastAsia="en-US"/>
          </w:rPr>
          <w:t>1599/2009)</w:t>
        </w:r>
      </w:hyperlink>
      <w:r w:rsidRPr="000A026B">
        <w:rPr>
          <w:lang w:eastAsia="en-US"/>
        </w:rPr>
        <w:t>, sammanslutningar och stiftelser som omfattas av lagen om bostadsrättsbostäder</w:t>
      </w:r>
      <w:r>
        <w:rPr>
          <w:lang w:eastAsia="en-US"/>
        </w:rPr>
        <w:t xml:space="preserve"> </w:t>
      </w:r>
      <w:hyperlink r:id="rId15" w:tooltip="Uppdaterade lagen" w:history="1">
        <w:r w:rsidRPr="000A026B">
          <w:rPr>
            <w:lang w:eastAsia="en-US"/>
          </w:rPr>
          <w:t>(</w:t>
        </w:r>
        <w:r>
          <w:rPr>
            <w:lang w:eastAsia="en-US"/>
          </w:rPr>
          <w:t xml:space="preserve">FFS </w:t>
        </w:r>
        <w:r w:rsidRPr="000A026B">
          <w:rPr>
            <w:lang w:eastAsia="en-US"/>
          </w:rPr>
          <w:t>393/2021)</w:t>
        </w:r>
      </w:hyperlink>
      <w:r w:rsidRPr="000A026B">
        <w:rPr>
          <w:lang w:eastAsia="en-US"/>
        </w:rPr>
        <w:t>, bostadsandelsla</w:t>
      </w:r>
      <w:r>
        <w:rPr>
          <w:lang w:eastAsia="en-US"/>
        </w:rPr>
        <w:t xml:space="preserve">g </w:t>
      </w:r>
      <w:r w:rsidRPr="000A026B">
        <w:rPr>
          <w:lang w:eastAsia="en-US"/>
        </w:rPr>
        <w:t>och annat hyreshusbestånd som ägs av sammanslutningar</w:t>
      </w:r>
      <w:r>
        <w:rPr>
          <w:lang w:eastAsia="en-US"/>
        </w:rPr>
        <w:t>.</w:t>
      </w:r>
    </w:p>
    <w:p w14:paraId="3FAAAC6F" w14:textId="77777777" w:rsidR="00C93DA2" w:rsidRDefault="00C93DA2" w:rsidP="00C93DA2">
      <w:pPr>
        <w:pStyle w:val="ANormal"/>
      </w:pPr>
      <w:r>
        <w:tab/>
        <w:t>En bostadssammanslutning får förbjuda tobaksrökning på sammanslutningens gemensamma utomhusområden.</w:t>
      </w:r>
    </w:p>
    <w:p w14:paraId="11A60727" w14:textId="77777777" w:rsidR="00C93DA2" w:rsidRPr="00B04531" w:rsidRDefault="00C93DA2" w:rsidP="00C93DA2">
      <w:pPr>
        <w:pStyle w:val="ANormal"/>
      </w:pPr>
      <w:r>
        <w:tab/>
      </w:r>
      <w:r w:rsidRPr="00B04531">
        <w:t xml:space="preserve">En bostadssammanslutning kan ansöka om att </w:t>
      </w:r>
      <w:r>
        <w:t>Ålands miljö- och hälsoskyddsmyndighet (ÅMHM) utfärdar</w:t>
      </w:r>
      <w:r w:rsidRPr="00B04531">
        <w:t xml:space="preserve"> rökförbud på balkongerna till lägenheterna i bostadssammanslutningens byggnad, </w:t>
      </w:r>
      <w:r>
        <w:t xml:space="preserve">på </w:t>
      </w:r>
      <w:r w:rsidRPr="00B04531">
        <w:t xml:space="preserve">utomhusområden som används av lägenheterna </w:t>
      </w:r>
      <w:r>
        <w:t>samt</w:t>
      </w:r>
      <w:r w:rsidRPr="00B04531">
        <w:t xml:space="preserve"> inne i lägenheterna</w:t>
      </w:r>
      <w:bookmarkEnd w:id="18"/>
      <w:r w:rsidRPr="00B04531">
        <w:t>.</w:t>
      </w:r>
      <w:r>
        <w:t xml:space="preserve"> ÅMHM</w:t>
      </w:r>
      <w:r w:rsidRPr="00B04531">
        <w:t xml:space="preserve"> ska </w:t>
      </w:r>
      <w:r>
        <w:t>utfärda</w:t>
      </w:r>
      <w:r w:rsidRPr="00B04531">
        <w:t xml:space="preserve"> rökförbud </w:t>
      </w:r>
      <w:r>
        <w:t>i</w:t>
      </w:r>
      <w:r w:rsidRPr="00B04531">
        <w:t xml:space="preserve"> de utrymmen och områden som avses i ansökan, om det på grund av deras konstruktioner eller andra omständigheter är möjligt att tobaksrök annat än i undantagsfall sprider sig till en annan balkong, till de ställen där man vistas på ett utomhusområde som hör till en annan lägenhet eller in i en annan lägenhet. Rökförbud får </w:t>
      </w:r>
      <w:r>
        <w:t>utfärdas</w:t>
      </w:r>
      <w:r w:rsidRPr="00B04531">
        <w:t xml:space="preserve"> i ett bostadsrum i en lägenhet endast om spridningen av rök inte genom en reparation eller ändring av </w:t>
      </w:r>
      <w:r w:rsidRPr="00E17EB8">
        <w:t>konstruktionerna skäligen kan</w:t>
      </w:r>
      <w:r w:rsidRPr="00B04531">
        <w:t xml:space="preserve"> förhindras och bostadsrummets innehavare innan förbudet meddelas har getts möjlighet att förhindra spridningen av rök genom egna åtgärder. Ett rökförbud som avser ett bostadsrum i en lägenhet gäller inte användning av elektroniska cigaretter.</w:t>
      </w:r>
    </w:p>
    <w:p w14:paraId="296D1B11" w14:textId="77777777" w:rsidR="00C93DA2" w:rsidRPr="00B04531" w:rsidRDefault="00C93DA2" w:rsidP="00C93DA2">
      <w:pPr>
        <w:pStyle w:val="ANormal"/>
      </w:pPr>
      <w:r>
        <w:lastRenderedPageBreak/>
        <w:tab/>
        <w:t>ÅMHM</w:t>
      </w:r>
      <w:r w:rsidRPr="00B04531">
        <w:t xml:space="preserve"> ska återkalla ett rökförbud på ansökan av bostadssammanslutningen, om förbudet inte längre är befogat på grund av förändrade omständigheter. Ett rökförbud kan också återkallas på ansökan av innehavaren av ett utrymme eller område om bostadssammanlutningen inte ansöker om återkallande trots förändrade omständigheter. Närmare bestämmelser om ansökan om rökförbud, om återkallande av rökförbud och om omnämnande i ansökan av hörande som </w:t>
      </w:r>
      <w:r w:rsidRPr="00056133">
        <w:t>bostadssammanslutningen ordnat kan utfärdas</w:t>
      </w:r>
      <w:r w:rsidRPr="00B04531">
        <w:t xml:space="preserve"> genom </w:t>
      </w:r>
      <w:r>
        <w:t>landskapsförordning</w:t>
      </w:r>
      <w:r w:rsidRPr="00B04531">
        <w:t>.</w:t>
      </w:r>
    </w:p>
    <w:p w14:paraId="59B421FB" w14:textId="77777777" w:rsidR="00C93DA2" w:rsidRPr="00B04531" w:rsidRDefault="00C93DA2" w:rsidP="00C93DA2">
      <w:pPr>
        <w:pStyle w:val="ANormal"/>
      </w:pPr>
      <w:r>
        <w:tab/>
      </w:r>
      <w:r w:rsidRPr="00B04531">
        <w:t>Innehavarna av de utrymmen och områden som avses i ansökan ska höras innan ansökan görs.</w:t>
      </w:r>
      <w:r>
        <w:t xml:space="preserve"> </w:t>
      </w:r>
      <w:r w:rsidRPr="00B04531">
        <w:t xml:space="preserve">Hörande anses ha ordnats om bostadssammanslutningen senast två veckor före beslutsfattandet lämnar innehavarna av de utrymmen och områden som </w:t>
      </w:r>
      <w:r w:rsidRPr="001671A8">
        <w:t xml:space="preserve">avses i </w:t>
      </w:r>
      <w:r>
        <w:t>ansökan,</w:t>
      </w:r>
      <w:r w:rsidRPr="001671A8">
        <w:t xml:space="preserve"> information om grunderna</w:t>
      </w:r>
      <w:r w:rsidRPr="00B04531">
        <w:t xml:space="preserve"> för den föreslagna ansökan och anvisningar för framställande av anmärkningar. Informationen och anvisningarna ska,</w:t>
      </w:r>
    </w:p>
    <w:p w14:paraId="6E888CF9" w14:textId="77777777" w:rsidR="00C93DA2" w:rsidRPr="00B04531" w:rsidRDefault="00C93DA2" w:rsidP="00C93DA2">
      <w:pPr>
        <w:pStyle w:val="ANormal"/>
      </w:pPr>
      <w:r>
        <w:tab/>
      </w:r>
      <w:r w:rsidRPr="00B04531">
        <w:t>1) om lägenhetsinnehavet bygger på äganderätt, lämnas på den postadress som är känd för bostadssammanslutningen eller på den e-postadress eller till någon annan motsvarande datakommunikationsförbindelse som innehavaren har meddelat bostadssammanslutningen, samt</w:t>
      </w:r>
    </w:p>
    <w:p w14:paraId="079510CA" w14:textId="77777777" w:rsidR="00C93DA2" w:rsidRPr="00B04531" w:rsidRDefault="00C93DA2" w:rsidP="00C93DA2">
      <w:pPr>
        <w:pStyle w:val="ANormal"/>
      </w:pPr>
      <w:r>
        <w:tab/>
      </w:r>
      <w:r w:rsidRPr="00B04531">
        <w:t>2) om lägenhetsinnehavet bygger på hyresrätt eller annan motsvarande rätt, lämnas på en anslagstavla som finns för allmänt bruk i byggnaden eller till varje lägenhet som innehas av en hyresgäst eller någon annan lägenhetsinnehavare.</w:t>
      </w:r>
    </w:p>
    <w:p w14:paraId="7CB1D13F" w14:textId="77777777" w:rsidR="00C93DA2" w:rsidRPr="00476074" w:rsidRDefault="00C93DA2" w:rsidP="00C93DA2">
      <w:pPr>
        <w:pStyle w:val="ANormal"/>
      </w:pPr>
      <w:bookmarkStart w:id="19" w:name="_Hlk215063250"/>
    </w:p>
    <w:p w14:paraId="4CB5631C" w14:textId="77777777" w:rsidR="00C93DA2" w:rsidRDefault="00C93DA2" w:rsidP="00C93DA2">
      <w:pPr>
        <w:pStyle w:val="LagParagraf"/>
      </w:pPr>
      <w:r>
        <w:t>5a §</w:t>
      </w:r>
    </w:p>
    <w:p w14:paraId="65A80183" w14:textId="77777777" w:rsidR="00C93DA2" w:rsidRPr="00BD0A2D" w:rsidRDefault="00C93DA2" w:rsidP="00C93DA2">
      <w:pPr>
        <w:pStyle w:val="ANormal"/>
      </w:pPr>
      <w:r w:rsidRPr="00C042F4">
        <w:t>-</w:t>
      </w:r>
      <w:r>
        <w:t xml:space="preserve"> - - - - - - - - - - - - - - - - - - - - - - - - - - - - - - - - - - - - - - - - - - - - - - - - - - - </w:t>
      </w:r>
    </w:p>
    <w:p w14:paraId="794EDE58" w14:textId="77777777" w:rsidR="00C93DA2" w:rsidRPr="00BD0A2D" w:rsidRDefault="00C93DA2" w:rsidP="00C93DA2">
      <w:pPr>
        <w:pStyle w:val="ANormal"/>
        <w:rPr>
          <w:lang w:val="sv-FI"/>
        </w:rPr>
      </w:pPr>
      <w:r>
        <w:rPr>
          <w:lang w:val="sv-FI"/>
        </w:rPr>
        <w:tab/>
      </w:r>
      <w:r w:rsidRPr="00BD0A2D">
        <w:rPr>
          <w:lang w:val="sv-FI"/>
        </w:rPr>
        <w:t xml:space="preserve">Den som för saluhållande i landskapet tillverkar eller importerar tobaksprodukter eller relaterade produkter ska </w:t>
      </w:r>
      <w:r>
        <w:rPr>
          <w:lang w:val="sv-FI"/>
        </w:rPr>
        <w:t>se till</w:t>
      </w:r>
      <w:r w:rsidRPr="00BD0A2D">
        <w:rPr>
          <w:lang w:val="sv-FI"/>
        </w:rPr>
        <w:t xml:space="preserve"> att</w:t>
      </w:r>
    </w:p>
    <w:p w14:paraId="61B4DB6A" w14:textId="77777777" w:rsidR="00C93DA2" w:rsidRPr="00673523" w:rsidRDefault="00C93DA2" w:rsidP="00C93DA2">
      <w:pPr>
        <w:pStyle w:val="ANormal"/>
      </w:pPr>
      <w:r>
        <w:tab/>
      </w:r>
      <w:r w:rsidRPr="00673523">
        <w:t>a) produkternas förpackningar med användande av åtminstone det svenska språket är försedda med korrekt information, utformning och hälsovarningar, så att märkningarna inte främjar försäljningen av en produkt eller uppmuntrar till konsumtion av en produkt genom att skapa en felaktig uppfattning om produktens egenskaper, hälsoeffekter, risker eller utsläpp; innehåller någon information om innehållet av nikotin, tjära eller kolmonoxid i produkten; antyder att produkten är mindre skadlig än andra produkter, att syftet har varit att minska effekten av något skadligt ämne i rök från produkten eller att produkten har vitaliserande, energigivande, läkande, föryngrande, naturliga eller organiska egenskaper eller andra hälsomässiga eller livsstilsmässiga fördelar; hänvisar till smak, doft, smak- eller aromtillsatser eller andra tillsatser eller avsaknaden av sådana; liknar ett livsmedel eller en kosmetisk produkt; antyder att produkten har miljöfördelar; antyder att produkten är brandsäker eller annars ger intrycket att produkten är ofarlig eller brandsäkrare än andra motsvarande produkter</w:t>
      </w:r>
      <w:r>
        <w:t>,</w:t>
      </w:r>
    </w:p>
    <w:p w14:paraId="72525EAD" w14:textId="77777777" w:rsidR="00C93DA2" w:rsidRPr="00673523" w:rsidRDefault="00C93DA2" w:rsidP="00C93DA2">
      <w:pPr>
        <w:pStyle w:val="ANormal"/>
        <w:rPr>
          <w:lang w:val="sv-FI"/>
        </w:rPr>
      </w:pPr>
      <w:r w:rsidRPr="00673523">
        <w:rPr>
          <w:lang w:val="sv-FI"/>
        </w:rPr>
        <w:tab/>
        <w:t>b)</w:t>
      </w:r>
      <w:r>
        <w:rPr>
          <w:lang w:val="sv-FI"/>
        </w:rPr>
        <w:t xml:space="preserve"> </w:t>
      </w:r>
      <w:r w:rsidRPr="00673523">
        <w:rPr>
          <w:lang w:val="sv-FI"/>
        </w:rPr>
        <w:t>produkternas förpackningar är försedda med hälsovarningar i form av text och bild och information om rökavvänjning,</w:t>
      </w:r>
    </w:p>
    <w:p w14:paraId="5D0705A3" w14:textId="77777777" w:rsidR="00C93DA2" w:rsidRDefault="00C93DA2" w:rsidP="00C93DA2">
      <w:pPr>
        <w:pStyle w:val="ANormal"/>
      </w:pPr>
      <w:r>
        <w:t xml:space="preserve">- - - - - - - - - - - - - - - - - - - - - - - - - - - - - - - - - - - - - - - - - - - - - - - - - - - -  </w:t>
      </w:r>
    </w:p>
    <w:p w14:paraId="7170228B" w14:textId="77777777" w:rsidR="00C93DA2" w:rsidRDefault="00C93DA2" w:rsidP="00C93DA2">
      <w:pPr>
        <w:pStyle w:val="ANormal"/>
      </w:pPr>
      <w:r>
        <w:tab/>
        <w:t>Det är förbjudet att saluhålla</w:t>
      </w:r>
    </w:p>
    <w:p w14:paraId="75EA10A6" w14:textId="77777777" w:rsidR="00C93DA2" w:rsidRPr="00A50F8D" w:rsidRDefault="00C93DA2" w:rsidP="00C93DA2">
      <w:pPr>
        <w:pStyle w:val="ANormal"/>
      </w:pPr>
      <w:r>
        <w:tab/>
        <w:t xml:space="preserve">1) </w:t>
      </w:r>
      <w:r w:rsidRPr="00A50F8D">
        <w:t>cigaretter, rulltobak och upphettade tobaksprodukter med en karakteristisk smak eller doft av annat än tobak, eller som innehåller tillsatser som i betydande eller mätbar omfattning förstärker tobaksproduktens beroendeframkallande eller hälsofarliga egenskaper</w:t>
      </w:r>
      <w:r>
        <w:t>,</w:t>
      </w:r>
    </w:p>
    <w:p w14:paraId="2F8DAEB6" w14:textId="77777777" w:rsidR="00C93DA2" w:rsidRDefault="00C93DA2" w:rsidP="00C93DA2">
      <w:pPr>
        <w:pStyle w:val="ANormal"/>
      </w:pPr>
      <w:r>
        <w:tab/>
        <w:t>2) e</w:t>
      </w:r>
      <w:r w:rsidRPr="0021347E">
        <w:t xml:space="preserve">lektroniska cigaretter och påfyllningsbehållare som har tillförts karakteristisk smak eller doft av annat än tobak, som inte är barn- och manipulationssäkra, som inte är skyddade mot skador eller läckage och som inte har en mekanism som säkerställer påfyllning utan läckage eller som annars inte är förenliga med kraven i </w:t>
      </w:r>
      <w:r w:rsidRPr="00D55DE0">
        <w:t>artikel 20.5</w:t>
      </w:r>
      <w:r w:rsidRPr="0021347E">
        <w:t xml:space="preserve"> i tobaksdirektivet</w:t>
      </w:r>
      <w:r>
        <w:t>,</w:t>
      </w:r>
    </w:p>
    <w:p w14:paraId="69744013" w14:textId="77777777" w:rsidR="00C93DA2" w:rsidRPr="00C95FEC" w:rsidRDefault="00C93DA2" w:rsidP="00C93DA2">
      <w:pPr>
        <w:pStyle w:val="ANormal"/>
        <w:rPr>
          <w:lang w:val="sv-FI" w:eastAsia="sv-FI"/>
        </w:rPr>
      </w:pPr>
      <w:r>
        <w:rPr>
          <w:lang w:val="sv-FI" w:eastAsia="sv-FI"/>
        </w:rPr>
        <w:lastRenderedPageBreak/>
        <w:tab/>
      </w:r>
      <w:r w:rsidRPr="00C95FEC">
        <w:rPr>
          <w:lang w:val="sv-FI" w:eastAsia="sv-FI"/>
        </w:rPr>
        <w:t>3) tobaksprodukter och relaterade produkter med sådana tillsatser som avses i tobaksdirektivets artiklar 7.6 och 7.7 och vars saluhållande medlemsländerna i enlighet med artikeln ska förbjuda</w:t>
      </w:r>
      <w:r>
        <w:rPr>
          <w:lang w:val="sv-FI" w:eastAsia="sv-FI"/>
        </w:rPr>
        <w:t>,</w:t>
      </w:r>
    </w:p>
    <w:p w14:paraId="2BCB0F71" w14:textId="77777777" w:rsidR="00C93DA2" w:rsidRDefault="00C93DA2" w:rsidP="00C93DA2">
      <w:pPr>
        <w:pStyle w:val="ANormal"/>
        <w:rPr>
          <w:lang w:val="sv-FI" w:eastAsia="sv-FI"/>
        </w:rPr>
      </w:pPr>
      <w:r>
        <w:rPr>
          <w:lang w:val="sv-FI" w:eastAsia="sv-FI"/>
        </w:rPr>
        <w:tab/>
      </w:r>
      <w:r w:rsidRPr="00C95FEC">
        <w:rPr>
          <w:lang w:val="sv-FI" w:eastAsia="sv-FI"/>
        </w:rPr>
        <w:t>4) påfyllningsbehållare som rymmer mer än 10 milliliter</w:t>
      </w:r>
      <w:r>
        <w:rPr>
          <w:lang w:val="sv-FI" w:eastAsia="sv-FI"/>
        </w:rPr>
        <w:t xml:space="preserve"> eller </w:t>
      </w:r>
      <w:r w:rsidRPr="00C95FEC">
        <w:rPr>
          <w:lang w:val="sv-FI" w:eastAsia="sv-FI"/>
        </w:rPr>
        <w:t>elektroniska engångscigaretter som rymmer mer än 2 milliliter</w:t>
      </w:r>
      <w:r>
        <w:rPr>
          <w:lang w:val="sv-FI" w:eastAsia="sv-FI"/>
        </w:rPr>
        <w:t>,</w:t>
      </w:r>
      <w:bookmarkStart w:id="20" w:name="_Hlk171084001"/>
    </w:p>
    <w:p w14:paraId="281C232A" w14:textId="77777777" w:rsidR="00C93DA2" w:rsidRPr="000527F9" w:rsidRDefault="00C93DA2" w:rsidP="00C93DA2">
      <w:pPr>
        <w:pStyle w:val="ANormal"/>
        <w:rPr>
          <w:lang w:val="sv-FI" w:eastAsia="sv-FI"/>
        </w:rPr>
      </w:pPr>
      <w:r>
        <w:rPr>
          <w:lang w:val="sv-FI" w:eastAsia="sv-FI"/>
        </w:rPr>
        <w:tab/>
      </w:r>
      <w:r w:rsidRPr="000527F9">
        <w:rPr>
          <w:lang w:val="sv-FI" w:eastAsia="sv-FI"/>
        </w:rPr>
        <w:t>5) nikotinpåsar som innehåller mer än 1</w:t>
      </w:r>
      <w:r>
        <w:rPr>
          <w:lang w:val="sv-FI" w:eastAsia="sv-FI"/>
        </w:rPr>
        <w:t>6,6</w:t>
      </w:r>
      <w:r w:rsidRPr="000527F9">
        <w:rPr>
          <w:lang w:val="sv-FI" w:eastAsia="sv-FI"/>
        </w:rPr>
        <w:t xml:space="preserve"> mg nikotin per </w:t>
      </w:r>
      <w:r>
        <w:rPr>
          <w:lang w:val="sv-FI" w:eastAsia="sv-FI"/>
        </w:rPr>
        <w:t>gram av produkten</w:t>
      </w:r>
      <w:r w:rsidRPr="000527F9">
        <w:rPr>
          <w:lang w:val="sv-FI" w:eastAsia="sv-FI"/>
        </w:rPr>
        <w:t>,</w:t>
      </w:r>
    </w:p>
    <w:p w14:paraId="5A7DD62D" w14:textId="77777777" w:rsidR="00C93DA2" w:rsidRPr="000527F9" w:rsidRDefault="00C93DA2" w:rsidP="00C93DA2">
      <w:pPr>
        <w:pStyle w:val="ANormal"/>
        <w:rPr>
          <w:lang w:val="sv-FI" w:eastAsia="sv-FI"/>
        </w:rPr>
      </w:pPr>
      <w:r w:rsidRPr="000527F9">
        <w:rPr>
          <w:lang w:val="sv-FI" w:eastAsia="sv-FI"/>
        </w:rPr>
        <w:tab/>
        <w:t>6) rökfria nikotinprodukter som har en karakteristisk doft eller smak</w:t>
      </w:r>
      <w:bookmarkEnd w:id="20"/>
      <w:r w:rsidRPr="000527F9">
        <w:rPr>
          <w:lang w:val="sv-FI" w:eastAsia="sv-FI"/>
        </w:rPr>
        <w:t xml:space="preserve">, </w:t>
      </w:r>
    </w:p>
    <w:p w14:paraId="288E66F9" w14:textId="77777777" w:rsidR="00C93DA2" w:rsidRPr="000527F9" w:rsidRDefault="00C93DA2" w:rsidP="00C93DA2">
      <w:pPr>
        <w:pStyle w:val="ANormal"/>
        <w:rPr>
          <w:lang w:val="sv-FI" w:eastAsia="sv-FI"/>
        </w:rPr>
      </w:pPr>
      <w:r w:rsidRPr="000527F9">
        <w:rPr>
          <w:lang w:val="sv-FI" w:eastAsia="sv-FI"/>
        </w:rPr>
        <w:tab/>
        <w:t>7) produkter vars syfte är att skapa en karakteristisk doft eller smak i tobaksprodukt eller relaterade produkter eller i rökfria nikotinprodukter samt</w:t>
      </w:r>
    </w:p>
    <w:p w14:paraId="7A112423" w14:textId="77777777" w:rsidR="00C93DA2" w:rsidRPr="000527F9" w:rsidRDefault="00C93DA2" w:rsidP="00C93DA2">
      <w:pPr>
        <w:pStyle w:val="ANormal"/>
      </w:pPr>
      <w:r w:rsidRPr="000527F9">
        <w:rPr>
          <w:lang w:val="sv-FI" w:eastAsia="sv-FI"/>
        </w:rPr>
        <w:tab/>
        <w:t xml:space="preserve">8) </w:t>
      </w:r>
      <w:r w:rsidRPr="000527F9">
        <w:t>detaljhandelsförpackningar med tobaksprodukter med mindre än 20 cigaretter, 30 gram rull- eller piptobak eller 10 cigariller.</w:t>
      </w:r>
    </w:p>
    <w:p w14:paraId="7EA45011" w14:textId="77777777" w:rsidR="00C93DA2" w:rsidRDefault="00C93DA2" w:rsidP="00C93DA2">
      <w:pPr>
        <w:pStyle w:val="ANormal"/>
      </w:pPr>
      <w:r w:rsidRPr="000527F9">
        <w:t>- - - - - - - - - - - - - - - - - - - - - - - -</w:t>
      </w:r>
      <w:r>
        <w:t xml:space="preserve"> - - - - - - - - - - - - - - - - - - - - - - - - - - - - </w:t>
      </w:r>
    </w:p>
    <w:p w14:paraId="00A09809" w14:textId="77777777" w:rsidR="00C93DA2" w:rsidRPr="003B6C8E" w:rsidRDefault="00C93DA2" w:rsidP="00C93DA2">
      <w:pPr>
        <w:pStyle w:val="ANormal"/>
        <w:rPr>
          <w:lang w:val="sv-FI" w:eastAsia="sv-FI"/>
        </w:rPr>
      </w:pPr>
      <w:r>
        <w:rPr>
          <w:lang w:val="sv-FI" w:eastAsia="sv-FI"/>
        </w:rPr>
        <w:tab/>
      </w:r>
      <w:r w:rsidRPr="00AC1A82">
        <w:rPr>
          <w:lang w:val="sv-FI" w:eastAsia="sv-FI"/>
        </w:rPr>
        <w:t xml:space="preserve">Utöver </w:t>
      </w:r>
      <w:r>
        <w:rPr>
          <w:lang w:val="sv-FI" w:eastAsia="sv-FI"/>
        </w:rPr>
        <w:t>det som bestäms</w:t>
      </w:r>
      <w:r w:rsidRPr="00AC1A82">
        <w:rPr>
          <w:lang w:val="sv-FI" w:eastAsia="sv-FI"/>
        </w:rPr>
        <w:t xml:space="preserve"> i </w:t>
      </w:r>
      <w:r>
        <w:rPr>
          <w:lang w:val="sv-FI" w:eastAsia="sv-FI"/>
        </w:rPr>
        <w:t>2 mom. a och b punkterna</w:t>
      </w:r>
      <w:r w:rsidRPr="00AC1A82">
        <w:rPr>
          <w:lang w:val="sv-FI" w:eastAsia="sv-FI"/>
        </w:rPr>
        <w:t xml:space="preserve"> får detaljhandelsförpackningar för tobaksprodukter</w:t>
      </w:r>
      <w:r>
        <w:rPr>
          <w:lang w:val="sv-FI" w:eastAsia="sv-FI"/>
        </w:rPr>
        <w:t xml:space="preserve"> och relaterade produkter</w:t>
      </w:r>
      <w:r w:rsidRPr="00AC1A82">
        <w:rPr>
          <w:lang w:val="sv-FI" w:eastAsia="sv-FI"/>
        </w:rPr>
        <w:t xml:space="preserve"> </w:t>
      </w:r>
      <w:r>
        <w:rPr>
          <w:lang w:val="sv-FI" w:eastAsia="sv-FI"/>
        </w:rPr>
        <w:t xml:space="preserve">inte skilja sig från andra detaljhandelsförpackningar för samma tobaksproduktgrupp i fråga om form, färg, material, omslag eller annan utformning. Detaljhandelsförpackningens utformning får inte </w:t>
      </w:r>
      <w:r w:rsidRPr="00AC1A82">
        <w:rPr>
          <w:lang w:val="sv-FI" w:eastAsia="sv-FI"/>
        </w:rPr>
        <w:t>främja försäljningen av produkten</w:t>
      </w:r>
      <w:r>
        <w:rPr>
          <w:lang w:val="sv-FI" w:eastAsia="sv-FI"/>
        </w:rPr>
        <w:t>.</w:t>
      </w:r>
      <w:r w:rsidRPr="005C01A6">
        <w:t xml:space="preserve"> </w:t>
      </w:r>
      <w:r w:rsidRPr="00673523">
        <w:t>Landskapsregeringen kan i landskapsförordning utfärda bestämmelser om undantag från kravet på enhetlighet, förutsatt att det rör sig om mindre undantag som inte främjar försäljningen av produkten.</w:t>
      </w:r>
      <w:r w:rsidRPr="00622F57">
        <w:rPr>
          <w:rStyle w:val="Hyperlnk"/>
        </w:rPr>
        <w:t xml:space="preserve"> </w:t>
      </w:r>
      <w:r w:rsidRPr="00991207">
        <w:t xml:space="preserve">Landskapsregeringen kan även </w:t>
      </w:r>
      <w:r>
        <w:t xml:space="preserve">i landskapsförordning utfärda närmare </w:t>
      </w:r>
      <w:r w:rsidRPr="00991207">
        <w:t>bestämmelser om form, färg, material, omslag och annan utformning som är tillåtna i fråga om detaljhandelsförpackningar för tobaksprodukter samt om öppningsmekanismen och andra egenskaper</w:t>
      </w:r>
      <w:r>
        <w:t xml:space="preserve">. </w:t>
      </w:r>
      <w:r w:rsidRPr="003B6C8E">
        <w:t>Bestämmelsen omfattar inte försäljning ombord på fartyg som är hemmahörande på Åland och huvudsakligen färdas i internationell trafik</w:t>
      </w:r>
      <w:r>
        <w:t>.</w:t>
      </w:r>
    </w:p>
    <w:p w14:paraId="2BF54E7D" w14:textId="77777777" w:rsidR="00C93DA2" w:rsidRPr="003B6C8E" w:rsidRDefault="00C93DA2" w:rsidP="00C93DA2">
      <w:pPr>
        <w:pStyle w:val="ANormal"/>
        <w:rPr>
          <w:lang w:val="sv-FI" w:eastAsia="sv-FI"/>
        </w:rPr>
      </w:pPr>
      <w:r>
        <w:tab/>
      </w:r>
      <w:r w:rsidRPr="00AC1A82">
        <w:rPr>
          <w:lang w:val="sv-FI" w:eastAsia="sv-FI"/>
        </w:rPr>
        <w:t xml:space="preserve">Om inte något annat </w:t>
      </w:r>
      <w:r>
        <w:rPr>
          <w:lang w:val="sv-FI" w:eastAsia="sv-FI"/>
        </w:rPr>
        <w:t>bestäms</w:t>
      </w:r>
      <w:r w:rsidRPr="00AC1A82">
        <w:rPr>
          <w:lang w:val="sv-FI" w:eastAsia="sv-FI"/>
        </w:rPr>
        <w:t xml:space="preserve"> någon annanstans i lag, får detaljhandelsförpackningar för tobaksprodukter</w:t>
      </w:r>
      <w:r>
        <w:rPr>
          <w:lang w:val="sv-FI" w:eastAsia="sv-FI"/>
        </w:rPr>
        <w:t xml:space="preserve"> och relaterade produkter</w:t>
      </w:r>
      <w:r w:rsidRPr="00AC1A82">
        <w:rPr>
          <w:lang w:val="sv-FI" w:eastAsia="sv-FI"/>
        </w:rPr>
        <w:t xml:space="preserve"> inte vara försedda med andra märkningar än de som avses i </w:t>
      </w:r>
      <w:r>
        <w:rPr>
          <w:lang w:val="sv-FI" w:eastAsia="sv-FI"/>
        </w:rPr>
        <w:t>denna paragraf</w:t>
      </w:r>
      <w:r w:rsidRPr="00AC1A82">
        <w:rPr>
          <w:lang w:val="sv-FI" w:eastAsia="sv-FI"/>
        </w:rPr>
        <w:t>.</w:t>
      </w:r>
      <w:r w:rsidRPr="003B6C8E">
        <w:rPr>
          <w:b/>
          <w:bCs/>
        </w:rPr>
        <w:t xml:space="preserve"> </w:t>
      </w:r>
      <w:r w:rsidRPr="003B6C8E">
        <w:t>Bestämmelsen omfattar inte försäljning ombord på fartyg som är hemmahörande på Åland och huvudsakligen färdas i internationell trafik</w:t>
      </w:r>
      <w:r>
        <w:t>.</w:t>
      </w:r>
    </w:p>
    <w:p w14:paraId="7CD0D43E" w14:textId="77777777" w:rsidR="00C93DA2" w:rsidRDefault="00C93DA2" w:rsidP="00C93DA2">
      <w:pPr>
        <w:pStyle w:val="ANormal"/>
        <w:rPr>
          <w:lang w:val="sv-FI" w:eastAsia="sv-FI"/>
        </w:rPr>
      </w:pPr>
      <w:r>
        <w:tab/>
      </w:r>
      <w:r w:rsidRPr="006B1B0C">
        <w:t>Tobaksprodukter, tobakssurrogat, elektroniska cigaretter, nikotinvätskor</w:t>
      </w:r>
      <w:r>
        <w:t xml:space="preserve">, rökfria nikotinprodukter </w:t>
      </w:r>
      <w:r w:rsidRPr="006B1B0C">
        <w:t>eller röktillbehör som är avsedda för upphettning av tobaksprodukter, eller dessa produkters varumärken, får inte hållas synliga i detaljhandel</w:t>
      </w:r>
      <w:r>
        <w:t xml:space="preserve">n. Bestämmelsen omfattar </w:t>
      </w:r>
      <w:r w:rsidRPr="006B1B0C">
        <w:rPr>
          <w:lang w:val="sv-FI" w:eastAsia="sv-FI"/>
        </w:rPr>
        <w:t xml:space="preserve">inte försäljning </w:t>
      </w:r>
      <w:r>
        <w:rPr>
          <w:lang w:val="sv-FI" w:eastAsia="sv-FI"/>
        </w:rPr>
        <w:t xml:space="preserve">ombord </w:t>
      </w:r>
      <w:r w:rsidRPr="006B1B0C">
        <w:rPr>
          <w:lang w:val="sv-FI" w:eastAsia="sv-FI"/>
        </w:rPr>
        <w:t xml:space="preserve">på fartyg </w:t>
      </w:r>
      <w:r>
        <w:rPr>
          <w:lang w:val="sv-FI" w:eastAsia="sv-FI"/>
        </w:rPr>
        <w:t xml:space="preserve">som är hemmahörande på Åland och huvudsakligen färdas </w:t>
      </w:r>
      <w:r w:rsidRPr="006B1B0C">
        <w:rPr>
          <w:lang w:val="sv-FI" w:eastAsia="sv-FI"/>
        </w:rPr>
        <w:t xml:space="preserve">i internationell </w:t>
      </w:r>
      <w:r>
        <w:rPr>
          <w:lang w:val="sv-FI" w:eastAsia="sv-FI"/>
        </w:rPr>
        <w:t>trafik</w:t>
      </w:r>
      <w:r w:rsidRPr="006B1B0C">
        <w:rPr>
          <w:lang w:val="sv-FI" w:eastAsia="sv-FI"/>
        </w:rPr>
        <w:t>.</w:t>
      </w:r>
    </w:p>
    <w:p w14:paraId="726B5B20" w14:textId="77777777" w:rsidR="00C93DA2" w:rsidRPr="00673523" w:rsidRDefault="00C93DA2" w:rsidP="00C93DA2">
      <w:pPr>
        <w:pStyle w:val="ANormal"/>
        <w:rPr>
          <w:lang w:val="sv-FI" w:eastAsia="sv-FI"/>
        </w:rPr>
      </w:pPr>
      <w:r>
        <w:rPr>
          <w:lang w:val="sv-FI" w:eastAsia="sv-FI"/>
        </w:rPr>
        <w:tab/>
      </w:r>
      <w:r w:rsidRPr="00673523">
        <w:rPr>
          <w:lang w:val="sv-FI" w:eastAsia="sv-FI"/>
        </w:rPr>
        <w:t>I syfte att genomföra EU-lagstiftningen kan landskapsregeringen genom landskapsförordning utfärda bestämmelser som avviker från bestämmelserna i 3</w:t>
      </w:r>
      <w:r>
        <w:rPr>
          <w:lang w:val="sv-FI" w:eastAsia="sv-FI"/>
        </w:rPr>
        <w:t> </w:t>
      </w:r>
      <w:r w:rsidRPr="00673523">
        <w:rPr>
          <w:lang w:val="sv-FI" w:eastAsia="sv-FI"/>
        </w:rPr>
        <w:t>mom. 8</w:t>
      </w:r>
      <w:r>
        <w:rPr>
          <w:lang w:val="sv-FI" w:eastAsia="sv-FI"/>
        </w:rPr>
        <w:t> </w:t>
      </w:r>
      <w:r w:rsidRPr="00673523">
        <w:rPr>
          <w:lang w:val="sv-FI" w:eastAsia="sv-FI"/>
        </w:rPr>
        <w:t>punkten om minsta tillåtna förpackningar för tobaksprodukter.</w:t>
      </w:r>
    </w:p>
    <w:p w14:paraId="1B93C1F4" w14:textId="77777777" w:rsidR="00C93DA2" w:rsidRDefault="00C93DA2" w:rsidP="00C93DA2">
      <w:pPr>
        <w:pStyle w:val="ANormal"/>
        <w:rPr>
          <w:lang w:val="sv-FI" w:eastAsia="sv-FI"/>
        </w:rPr>
      </w:pPr>
      <w:r w:rsidRPr="00673523">
        <w:rPr>
          <w:lang w:val="sv-FI" w:eastAsia="sv-FI"/>
        </w:rPr>
        <w:tab/>
        <w:t>Landskapsregeringen kan genom landskapsförordning utfärda bestämmelser om undantag från förbudet i 3</w:t>
      </w:r>
      <w:r>
        <w:rPr>
          <w:lang w:val="sv-FI" w:eastAsia="sv-FI"/>
        </w:rPr>
        <w:t> </w:t>
      </w:r>
      <w:r w:rsidRPr="00673523">
        <w:rPr>
          <w:lang w:val="sv-FI" w:eastAsia="sv-FI"/>
        </w:rPr>
        <w:t>mom. 6</w:t>
      </w:r>
      <w:r>
        <w:rPr>
          <w:lang w:val="sv-FI" w:eastAsia="sv-FI"/>
        </w:rPr>
        <w:t> </w:t>
      </w:r>
      <w:r w:rsidRPr="00673523">
        <w:rPr>
          <w:lang w:val="sv-FI" w:eastAsia="sv-FI"/>
        </w:rPr>
        <w:t xml:space="preserve">punkten för karakteristiska dofter eller smaker i rökfria </w:t>
      </w:r>
      <w:r w:rsidRPr="00112ADF">
        <w:rPr>
          <w:lang w:val="sv-FI" w:eastAsia="sv-FI"/>
        </w:rPr>
        <w:t>nikotinprodukter.</w:t>
      </w:r>
    </w:p>
    <w:p w14:paraId="733D81B5" w14:textId="77777777" w:rsidR="007A26D9" w:rsidRPr="007A26D9" w:rsidRDefault="007A26D9" w:rsidP="007A26D9">
      <w:pPr>
        <w:pStyle w:val="ANormal"/>
        <w:rPr>
          <w:lang w:val="sv-FI" w:eastAsia="sv-FI"/>
        </w:rPr>
      </w:pPr>
      <w:r>
        <w:rPr>
          <w:lang w:val="sv-FI" w:eastAsia="sv-FI"/>
        </w:rPr>
        <w:tab/>
      </w:r>
      <w:r w:rsidRPr="007A26D9">
        <w:rPr>
          <w:highlight w:val="yellow"/>
          <w:lang w:eastAsia="sv-FI"/>
        </w:rPr>
        <w:t xml:space="preserve">Bestämmelserna i 3 mom. </w:t>
      </w:r>
      <w:proofErr w:type="gramStart"/>
      <w:r w:rsidRPr="007A26D9">
        <w:rPr>
          <w:highlight w:val="yellow"/>
          <w:lang w:eastAsia="sv-FI"/>
        </w:rPr>
        <w:t>5-8</w:t>
      </w:r>
      <w:proofErr w:type="gramEnd"/>
      <w:r w:rsidRPr="007A26D9">
        <w:rPr>
          <w:highlight w:val="yellow"/>
          <w:lang w:eastAsia="sv-FI"/>
        </w:rPr>
        <w:t xml:space="preserve"> punkterna omfattar </w:t>
      </w:r>
      <w:r w:rsidRPr="007A26D9">
        <w:rPr>
          <w:highlight w:val="yellow"/>
          <w:lang w:val="sv-FI" w:eastAsia="sv-FI"/>
        </w:rPr>
        <w:t>inte försäljning ombord på fartyg som är hemmahörande på Åland och huvudsakligen färdas i internationell trafik.</w:t>
      </w:r>
    </w:p>
    <w:p w14:paraId="3F22C179" w14:textId="19A5E176" w:rsidR="007A26D9" w:rsidRPr="0057011A" w:rsidRDefault="007A26D9" w:rsidP="00C93DA2">
      <w:pPr>
        <w:pStyle w:val="ANormal"/>
        <w:rPr>
          <w:lang w:val="sv-FI" w:eastAsia="sv-FI"/>
        </w:rPr>
      </w:pPr>
    </w:p>
    <w:bookmarkEnd w:id="19"/>
    <w:p w14:paraId="0E8473B4" w14:textId="77777777" w:rsidR="00C93DA2" w:rsidRPr="006B1B0C" w:rsidRDefault="00C93DA2" w:rsidP="00C93DA2">
      <w:pPr>
        <w:pStyle w:val="ANormal"/>
        <w:rPr>
          <w:lang w:val="sv-FI" w:eastAsia="sv-FI"/>
        </w:rPr>
      </w:pPr>
    </w:p>
    <w:p w14:paraId="0A576D80" w14:textId="77777777" w:rsidR="00C93DA2" w:rsidRPr="001F6301" w:rsidRDefault="00C93DA2" w:rsidP="00C93DA2">
      <w:pPr>
        <w:pStyle w:val="LagParagraf"/>
      </w:pPr>
      <w:r w:rsidRPr="001F6301">
        <w:t>14</w:t>
      </w:r>
      <w:r>
        <w:t> </w:t>
      </w:r>
      <w:r w:rsidRPr="001F6301">
        <w:t>§</w:t>
      </w:r>
    </w:p>
    <w:p w14:paraId="57108850" w14:textId="77777777" w:rsidR="00C93DA2" w:rsidRPr="001F6301" w:rsidRDefault="00C93DA2" w:rsidP="00C93DA2">
      <w:pPr>
        <w:pStyle w:val="LagPararubrik"/>
      </w:pPr>
      <w:r w:rsidRPr="001F6301">
        <w:t>Anslag om rökförbud</w:t>
      </w:r>
    </w:p>
    <w:p w14:paraId="304A4379" w14:textId="77777777" w:rsidR="00C93DA2" w:rsidRPr="0057011A" w:rsidRDefault="00C93DA2" w:rsidP="00C93DA2">
      <w:pPr>
        <w:pStyle w:val="ANormal"/>
      </w:pPr>
      <w:r>
        <w:tab/>
      </w:r>
      <w:r w:rsidRPr="001F6301">
        <w:t xml:space="preserve">Innehavare av lokaler eller utomhusområden och arrangörer av offentliga </w:t>
      </w:r>
      <w:r>
        <w:t>nöjes</w:t>
      </w:r>
      <w:r w:rsidRPr="001F6301">
        <w:t>tillställningar ska sätta upp anslag som informerar om rökförbud enligt 4</w:t>
      </w:r>
      <w:r>
        <w:t> </w:t>
      </w:r>
      <w:r w:rsidRPr="001F6301">
        <w:t>§ 1</w:t>
      </w:r>
      <w:r>
        <w:t> </w:t>
      </w:r>
      <w:r w:rsidRPr="001F6301">
        <w:t>mom. och om placeringen av sådana särskilda rökutrymmen som avses i 4a</w:t>
      </w:r>
      <w:r>
        <w:t> </w:t>
      </w:r>
      <w:r w:rsidRPr="001F6301">
        <w:t>§. Innehållet i anslagen ska vara tydligt och anslagen ska både till storlek och placering vara sådana att de är lätta att upptäcka av personer som kommer till lokalerna och vistas i dem</w:t>
      </w:r>
      <w:r w:rsidRPr="001F6301">
        <w:rPr>
          <w:rFonts w:ascii="Arial" w:hAnsi="Arial" w:cs="Arial"/>
          <w:color w:val="444444"/>
          <w:sz w:val="23"/>
          <w:szCs w:val="23"/>
          <w:shd w:val="clear" w:color="auto" w:fill="FFFFFF"/>
        </w:rPr>
        <w:t>.</w:t>
      </w:r>
    </w:p>
    <w:p w14:paraId="2C0B4DB4" w14:textId="77777777" w:rsidR="00C93DA2" w:rsidRPr="00C22E0D" w:rsidRDefault="00C93DA2" w:rsidP="00C93DA2">
      <w:pPr>
        <w:pStyle w:val="ANormal"/>
      </w:pPr>
    </w:p>
    <w:p w14:paraId="48B0B693" w14:textId="77777777" w:rsidR="00C93DA2" w:rsidRDefault="00C93DA2" w:rsidP="00C93DA2">
      <w:pPr>
        <w:pStyle w:val="ANormal"/>
        <w:jc w:val="center"/>
      </w:pPr>
      <w:hyperlink w:anchor="_top" w:tooltip="Klicka för att gå till toppen av dokumentet" w:history="1">
        <w:r>
          <w:rPr>
            <w:rStyle w:val="Hyperlnk"/>
          </w:rPr>
          <w:t>__________________</w:t>
        </w:r>
      </w:hyperlink>
    </w:p>
    <w:p w14:paraId="3E590A7B" w14:textId="77777777" w:rsidR="00C93DA2" w:rsidRDefault="00C93DA2" w:rsidP="00C93DA2">
      <w:pPr>
        <w:pStyle w:val="ANormal"/>
      </w:pPr>
    </w:p>
    <w:p w14:paraId="78F3EBCB" w14:textId="77777777" w:rsidR="00C93DA2" w:rsidRDefault="00C93DA2" w:rsidP="00C93DA2">
      <w:pPr>
        <w:pStyle w:val="ANormal"/>
      </w:pPr>
      <w:r>
        <w:tab/>
        <w:t>Denna lag träder i kraft den</w:t>
      </w:r>
    </w:p>
    <w:p w14:paraId="40A9C627" w14:textId="77777777" w:rsidR="00C93DA2" w:rsidRDefault="00C93DA2" w:rsidP="00C93DA2">
      <w:pPr>
        <w:pStyle w:val="ANormal"/>
        <w:jc w:val="center"/>
      </w:pPr>
      <w:hyperlink w:anchor="_top" w:tooltip="Klicka för att gå till toppen av dokumentet" w:history="1">
        <w:r>
          <w:rPr>
            <w:rStyle w:val="Hyperlnk"/>
          </w:rPr>
          <w:t>__________________</w:t>
        </w:r>
      </w:hyperlink>
    </w:p>
    <w:p w14:paraId="1DC36F90" w14:textId="77777777" w:rsidR="00C93DA2" w:rsidRPr="00C93DA2" w:rsidRDefault="00C93DA2" w:rsidP="00C93DA2">
      <w:pPr>
        <w:pStyle w:val="ANormal"/>
      </w:pPr>
    </w:p>
    <w:p w14:paraId="36BF8948" w14:textId="77777777" w:rsidR="002401D0" w:rsidRDefault="002401D0">
      <w:pPr>
        <w:pStyle w:val="ANormal"/>
      </w:pPr>
    </w:p>
    <w:p w14:paraId="6D026BD7" w14:textId="77777777" w:rsidR="002401D0" w:rsidRDefault="002401D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2401D0" w14:paraId="63F1F7EF" w14:textId="77777777">
        <w:trPr>
          <w:cantSplit/>
        </w:trPr>
        <w:tc>
          <w:tcPr>
            <w:tcW w:w="7931" w:type="dxa"/>
            <w:gridSpan w:val="2"/>
          </w:tcPr>
          <w:p w14:paraId="10F00B66" w14:textId="1E24DB90" w:rsidR="002401D0" w:rsidRDefault="002401D0">
            <w:pPr>
              <w:pStyle w:val="ANormal"/>
              <w:keepNext/>
            </w:pPr>
            <w:r>
              <w:t xml:space="preserve">Mariehamn den </w:t>
            </w:r>
            <w:r w:rsidR="00187663">
              <w:t>4</w:t>
            </w:r>
            <w:r w:rsidR="00C93DA2">
              <w:t xml:space="preserve"> </w:t>
            </w:r>
            <w:r w:rsidR="000B09AE">
              <w:t>december</w:t>
            </w:r>
            <w:r w:rsidR="00C93DA2">
              <w:t xml:space="preserve"> 2025</w:t>
            </w:r>
          </w:p>
        </w:tc>
      </w:tr>
      <w:tr w:rsidR="002401D0" w14:paraId="32785B41" w14:textId="77777777">
        <w:tc>
          <w:tcPr>
            <w:tcW w:w="4454" w:type="dxa"/>
            <w:vAlign w:val="bottom"/>
          </w:tcPr>
          <w:p w14:paraId="54C16849" w14:textId="77777777" w:rsidR="002401D0" w:rsidRDefault="002401D0">
            <w:pPr>
              <w:pStyle w:val="ANormal"/>
              <w:keepNext/>
            </w:pPr>
          </w:p>
          <w:p w14:paraId="1ACA97E8" w14:textId="77777777" w:rsidR="002401D0" w:rsidRDefault="002401D0">
            <w:pPr>
              <w:pStyle w:val="ANormal"/>
              <w:keepNext/>
            </w:pPr>
          </w:p>
          <w:p w14:paraId="69325B85" w14:textId="77777777" w:rsidR="002401D0" w:rsidRDefault="002401D0">
            <w:pPr>
              <w:pStyle w:val="ANormal"/>
              <w:keepNext/>
            </w:pPr>
            <w:r>
              <w:t>Ordförande</w:t>
            </w:r>
          </w:p>
        </w:tc>
        <w:tc>
          <w:tcPr>
            <w:tcW w:w="3477" w:type="dxa"/>
            <w:vAlign w:val="bottom"/>
          </w:tcPr>
          <w:p w14:paraId="4BEDFF04" w14:textId="77777777" w:rsidR="002401D0" w:rsidRDefault="002401D0">
            <w:pPr>
              <w:pStyle w:val="ANormal"/>
              <w:keepNext/>
            </w:pPr>
          </w:p>
          <w:p w14:paraId="045D2668" w14:textId="77777777" w:rsidR="002401D0" w:rsidRDefault="002401D0">
            <w:pPr>
              <w:pStyle w:val="ANormal"/>
              <w:keepNext/>
            </w:pPr>
          </w:p>
          <w:p w14:paraId="0497111E" w14:textId="45EB9B10" w:rsidR="002401D0" w:rsidRDefault="00C93DA2">
            <w:pPr>
              <w:pStyle w:val="ANormal"/>
              <w:keepNext/>
            </w:pPr>
            <w:r>
              <w:t>Christian Wikström</w:t>
            </w:r>
          </w:p>
        </w:tc>
      </w:tr>
      <w:tr w:rsidR="002401D0" w14:paraId="12E35962" w14:textId="77777777">
        <w:tc>
          <w:tcPr>
            <w:tcW w:w="4454" w:type="dxa"/>
            <w:vAlign w:val="bottom"/>
          </w:tcPr>
          <w:p w14:paraId="4E519EA9" w14:textId="77777777" w:rsidR="002401D0" w:rsidRDefault="002401D0">
            <w:pPr>
              <w:pStyle w:val="ANormal"/>
              <w:keepNext/>
            </w:pPr>
          </w:p>
          <w:p w14:paraId="2C408F44" w14:textId="77777777" w:rsidR="002401D0" w:rsidRDefault="002401D0">
            <w:pPr>
              <w:pStyle w:val="ANormal"/>
              <w:keepNext/>
            </w:pPr>
          </w:p>
          <w:p w14:paraId="43C4DD53" w14:textId="77777777" w:rsidR="002401D0" w:rsidRDefault="002401D0">
            <w:pPr>
              <w:pStyle w:val="ANormal"/>
              <w:keepNext/>
            </w:pPr>
            <w:r>
              <w:t>Sekreterare</w:t>
            </w:r>
          </w:p>
        </w:tc>
        <w:tc>
          <w:tcPr>
            <w:tcW w:w="3477" w:type="dxa"/>
            <w:vAlign w:val="bottom"/>
          </w:tcPr>
          <w:p w14:paraId="726B86C6" w14:textId="77777777" w:rsidR="002401D0" w:rsidRDefault="002401D0">
            <w:pPr>
              <w:pStyle w:val="ANormal"/>
              <w:keepNext/>
            </w:pPr>
          </w:p>
          <w:p w14:paraId="221E6107" w14:textId="77777777" w:rsidR="002401D0" w:rsidRDefault="002401D0">
            <w:pPr>
              <w:pStyle w:val="ANormal"/>
              <w:keepNext/>
            </w:pPr>
          </w:p>
          <w:p w14:paraId="027D1034" w14:textId="05BA899A" w:rsidR="002401D0" w:rsidRDefault="00E66C0C">
            <w:pPr>
              <w:pStyle w:val="ANormal"/>
              <w:keepNext/>
            </w:pPr>
            <w:r>
              <w:t>Julia Lindholm</w:t>
            </w:r>
          </w:p>
        </w:tc>
      </w:tr>
    </w:tbl>
    <w:p w14:paraId="36E8CAD0" w14:textId="77777777" w:rsidR="002401D0" w:rsidRDefault="002401D0">
      <w:pPr>
        <w:pStyle w:val="ANormal"/>
      </w:pPr>
    </w:p>
    <w:sectPr w:rsidR="002401D0">
      <w:headerReference w:type="even" r:id="rId16"/>
      <w:headerReference w:type="default" r:id="rId17"/>
      <w:footerReference w:type="default" r:id="rId18"/>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EAF4F" w14:textId="77777777" w:rsidR="003027B3" w:rsidRDefault="003027B3">
      <w:r>
        <w:separator/>
      </w:r>
    </w:p>
  </w:endnote>
  <w:endnote w:type="continuationSeparator" w:id="0">
    <w:p w14:paraId="20AC86F9" w14:textId="77777777" w:rsidR="003027B3" w:rsidRDefault="00302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5E32" w14:textId="77777777" w:rsidR="002401D0" w:rsidRDefault="002401D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0471" w14:textId="2AC51DF9" w:rsidR="002401D0" w:rsidRDefault="002401D0">
    <w:pPr>
      <w:pStyle w:val="Sidfot"/>
      <w:rPr>
        <w:lang w:val="fi-FI"/>
      </w:rPr>
    </w:pPr>
    <w:r>
      <w:fldChar w:fldCharType="begin"/>
    </w:r>
    <w:r>
      <w:rPr>
        <w:lang w:val="fi-FI"/>
      </w:rPr>
      <w:instrText xml:space="preserve"> FILENAME  \* MERGEFORMAT </w:instrText>
    </w:r>
    <w:r>
      <w:fldChar w:fldCharType="separate"/>
    </w:r>
    <w:r w:rsidR="00AB7515">
      <w:rPr>
        <w:noProof/>
        <w:lang w:val="fi-FI"/>
      </w:rPr>
      <w:t>SMU0120252026.docx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4429" w14:textId="77777777" w:rsidR="002401D0" w:rsidRDefault="00240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21C7D" w14:textId="77777777" w:rsidR="003027B3" w:rsidRDefault="003027B3">
      <w:r>
        <w:separator/>
      </w:r>
    </w:p>
  </w:footnote>
  <w:footnote w:type="continuationSeparator" w:id="0">
    <w:p w14:paraId="751F3D62" w14:textId="77777777" w:rsidR="003027B3" w:rsidRDefault="00302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4D58" w14:textId="77777777"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13EC01B0" w14:textId="77777777" w:rsidR="002401D0" w:rsidRDefault="002401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600A" w14:textId="77777777"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78268467">
    <w:abstractNumId w:val="6"/>
  </w:num>
  <w:num w:numId="2" w16cid:durableId="1794515885">
    <w:abstractNumId w:val="3"/>
  </w:num>
  <w:num w:numId="3" w16cid:durableId="1483767129">
    <w:abstractNumId w:val="2"/>
  </w:num>
  <w:num w:numId="4" w16cid:durableId="40326818">
    <w:abstractNumId w:val="1"/>
  </w:num>
  <w:num w:numId="5" w16cid:durableId="1322779692">
    <w:abstractNumId w:val="0"/>
  </w:num>
  <w:num w:numId="6" w16cid:durableId="927159015">
    <w:abstractNumId w:val="7"/>
  </w:num>
  <w:num w:numId="7" w16cid:durableId="568275734">
    <w:abstractNumId w:val="5"/>
  </w:num>
  <w:num w:numId="8" w16cid:durableId="408699089">
    <w:abstractNumId w:val="4"/>
  </w:num>
  <w:num w:numId="9" w16cid:durableId="1411199917">
    <w:abstractNumId w:val="10"/>
  </w:num>
  <w:num w:numId="10" w16cid:durableId="676152418">
    <w:abstractNumId w:val="13"/>
  </w:num>
  <w:num w:numId="11" w16cid:durableId="404884869">
    <w:abstractNumId w:val="12"/>
  </w:num>
  <w:num w:numId="12" w16cid:durableId="1377579406">
    <w:abstractNumId w:val="16"/>
  </w:num>
  <w:num w:numId="13" w16cid:durableId="1067536819">
    <w:abstractNumId w:val="11"/>
  </w:num>
  <w:num w:numId="14" w16cid:durableId="401370194">
    <w:abstractNumId w:val="15"/>
  </w:num>
  <w:num w:numId="15" w16cid:durableId="1616525102">
    <w:abstractNumId w:val="9"/>
  </w:num>
  <w:num w:numId="16" w16cid:durableId="427846079">
    <w:abstractNumId w:val="21"/>
  </w:num>
  <w:num w:numId="17" w16cid:durableId="339819196">
    <w:abstractNumId w:val="8"/>
  </w:num>
  <w:num w:numId="18" w16cid:durableId="2111774541">
    <w:abstractNumId w:val="17"/>
  </w:num>
  <w:num w:numId="19" w16cid:durableId="248581772">
    <w:abstractNumId w:val="20"/>
  </w:num>
  <w:num w:numId="20" w16cid:durableId="1047340761">
    <w:abstractNumId w:val="23"/>
  </w:num>
  <w:num w:numId="21" w16cid:durableId="485323776">
    <w:abstractNumId w:val="22"/>
  </w:num>
  <w:num w:numId="22" w16cid:durableId="1935087814">
    <w:abstractNumId w:val="14"/>
  </w:num>
  <w:num w:numId="23" w16cid:durableId="568464568">
    <w:abstractNumId w:val="18"/>
  </w:num>
  <w:num w:numId="24" w16cid:durableId="387195260">
    <w:abstractNumId w:val="18"/>
  </w:num>
  <w:num w:numId="25" w16cid:durableId="1481380376">
    <w:abstractNumId w:val="19"/>
  </w:num>
  <w:num w:numId="26" w16cid:durableId="1420062167">
    <w:abstractNumId w:val="14"/>
  </w:num>
  <w:num w:numId="27" w16cid:durableId="308246984">
    <w:abstractNumId w:val="14"/>
  </w:num>
  <w:num w:numId="28" w16cid:durableId="1183007744">
    <w:abstractNumId w:val="14"/>
  </w:num>
  <w:num w:numId="29" w16cid:durableId="79450087">
    <w:abstractNumId w:val="14"/>
  </w:num>
  <w:num w:numId="30" w16cid:durableId="603079256">
    <w:abstractNumId w:val="14"/>
  </w:num>
  <w:num w:numId="31" w16cid:durableId="1787499457">
    <w:abstractNumId w:val="14"/>
  </w:num>
  <w:num w:numId="32" w16cid:durableId="207763554">
    <w:abstractNumId w:val="14"/>
  </w:num>
  <w:num w:numId="33" w16cid:durableId="1154300099">
    <w:abstractNumId w:val="14"/>
  </w:num>
  <w:num w:numId="34" w16cid:durableId="1297179915">
    <w:abstractNumId w:val="14"/>
  </w:num>
  <w:num w:numId="35" w16cid:durableId="471100454">
    <w:abstractNumId w:val="18"/>
  </w:num>
  <w:num w:numId="36" w16cid:durableId="1323699437">
    <w:abstractNumId w:val="19"/>
  </w:num>
  <w:num w:numId="37" w16cid:durableId="260768951">
    <w:abstractNumId w:val="14"/>
  </w:num>
  <w:num w:numId="38" w16cid:durableId="426384297">
    <w:abstractNumId w:val="14"/>
  </w:num>
  <w:num w:numId="39" w16cid:durableId="1812206819">
    <w:abstractNumId w:val="14"/>
  </w:num>
  <w:num w:numId="40" w16cid:durableId="1852866106">
    <w:abstractNumId w:val="14"/>
  </w:num>
  <w:num w:numId="41" w16cid:durableId="1165240155">
    <w:abstractNumId w:val="14"/>
  </w:num>
  <w:num w:numId="42" w16cid:durableId="373114284">
    <w:abstractNumId w:val="14"/>
  </w:num>
  <w:num w:numId="43" w16cid:durableId="374698639">
    <w:abstractNumId w:val="14"/>
  </w:num>
  <w:num w:numId="44" w16cid:durableId="540438472">
    <w:abstractNumId w:val="14"/>
  </w:num>
  <w:num w:numId="45" w16cid:durableId="3856908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A2"/>
    <w:rsid w:val="00006BC8"/>
    <w:rsid w:val="00015E9C"/>
    <w:rsid w:val="00025C23"/>
    <w:rsid w:val="000265BF"/>
    <w:rsid w:val="000269D0"/>
    <w:rsid w:val="00040C15"/>
    <w:rsid w:val="00042C9E"/>
    <w:rsid w:val="00051556"/>
    <w:rsid w:val="000721C3"/>
    <w:rsid w:val="00077AF7"/>
    <w:rsid w:val="0008188F"/>
    <w:rsid w:val="000857D0"/>
    <w:rsid w:val="000A2714"/>
    <w:rsid w:val="000B09AE"/>
    <w:rsid w:val="000B2DC9"/>
    <w:rsid w:val="000D0736"/>
    <w:rsid w:val="000D6353"/>
    <w:rsid w:val="000D6643"/>
    <w:rsid w:val="000F3810"/>
    <w:rsid w:val="000F7417"/>
    <w:rsid w:val="00101A36"/>
    <w:rsid w:val="00106BF8"/>
    <w:rsid w:val="00111F64"/>
    <w:rsid w:val="00113805"/>
    <w:rsid w:val="0014454D"/>
    <w:rsid w:val="00146D2E"/>
    <w:rsid w:val="00151BE5"/>
    <w:rsid w:val="0015337C"/>
    <w:rsid w:val="00153F92"/>
    <w:rsid w:val="001549D9"/>
    <w:rsid w:val="0015620A"/>
    <w:rsid w:val="00156B39"/>
    <w:rsid w:val="0016557A"/>
    <w:rsid w:val="00166638"/>
    <w:rsid w:val="00187663"/>
    <w:rsid w:val="0019630A"/>
    <w:rsid w:val="001B6DD4"/>
    <w:rsid w:val="00202CBB"/>
    <w:rsid w:val="00211A57"/>
    <w:rsid w:val="002342A1"/>
    <w:rsid w:val="00234DCF"/>
    <w:rsid w:val="002401D0"/>
    <w:rsid w:val="00244256"/>
    <w:rsid w:val="00257660"/>
    <w:rsid w:val="0026529A"/>
    <w:rsid w:val="002A169E"/>
    <w:rsid w:val="002A3209"/>
    <w:rsid w:val="002B5046"/>
    <w:rsid w:val="002B728C"/>
    <w:rsid w:val="002C1F54"/>
    <w:rsid w:val="002F5089"/>
    <w:rsid w:val="002F71B1"/>
    <w:rsid w:val="003027B3"/>
    <w:rsid w:val="003033D5"/>
    <w:rsid w:val="00325956"/>
    <w:rsid w:val="00353CD5"/>
    <w:rsid w:val="003548A8"/>
    <w:rsid w:val="0036359C"/>
    <w:rsid w:val="00364923"/>
    <w:rsid w:val="003733A5"/>
    <w:rsid w:val="003760EC"/>
    <w:rsid w:val="00382017"/>
    <w:rsid w:val="00390370"/>
    <w:rsid w:val="003B3249"/>
    <w:rsid w:val="003C0BC0"/>
    <w:rsid w:val="003D087C"/>
    <w:rsid w:val="003D3585"/>
    <w:rsid w:val="003E3B19"/>
    <w:rsid w:val="003E5C84"/>
    <w:rsid w:val="00404DC4"/>
    <w:rsid w:val="0040521A"/>
    <w:rsid w:val="0040687D"/>
    <w:rsid w:val="00407A3F"/>
    <w:rsid w:val="004220A4"/>
    <w:rsid w:val="00425CBA"/>
    <w:rsid w:val="0043570A"/>
    <w:rsid w:val="004360F8"/>
    <w:rsid w:val="004411CB"/>
    <w:rsid w:val="00452EC8"/>
    <w:rsid w:val="004758E9"/>
    <w:rsid w:val="0048043F"/>
    <w:rsid w:val="00485912"/>
    <w:rsid w:val="004872AE"/>
    <w:rsid w:val="00494403"/>
    <w:rsid w:val="0049691F"/>
    <w:rsid w:val="004A0A72"/>
    <w:rsid w:val="004D62E2"/>
    <w:rsid w:val="004D7BD6"/>
    <w:rsid w:val="004F6894"/>
    <w:rsid w:val="005050D9"/>
    <w:rsid w:val="00507B1D"/>
    <w:rsid w:val="00524F46"/>
    <w:rsid w:val="005578AA"/>
    <w:rsid w:val="00592EB8"/>
    <w:rsid w:val="005B0887"/>
    <w:rsid w:val="005C2431"/>
    <w:rsid w:val="005C6CF3"/>
    <w:rsid w:val="005D4815"/>
    <w:rsid w:val="005F159B"/>
    <w:rsid w:val="005F2F86"/>
    <w:rsid w:val="005F49F4"/>
    <w:rsid w:val="006145BF"/>
    <w:rsid w:val="0061691B"/>
    <w:rsid w:val="00627901"/>
    <w:rsid w:val="00633F81"/>
    <w:rsid w:val="00634EB3"/>
    <w:rsid w:val="006434CD"/>
    <w:rsid w:val="00653C62"/>
    <w:rsid w:val="00677FBF"/>
    <w:rsid w:val="006805F3"/>
    <w:rsid w:val="00697976"/>
    <w:rsid w:val="006A575E"/>
    <w:rsid w:val="006B2E9E"/>
    <w:rsid w:val="006C0EA3"/>
    <w:rsid w:val="006C5626"/>
    <w:rsid w:val="006D2CAC"/>
    <w:rsid w:val="006F39B9"/>
    <w:rsid w:val="00715567"/>
    <w:rsid w:val="00723B93"/>
    <w:rsid w:val="00731A9F"/>
    <w:rsid w:val="00732316"/>
    <w:rsid w:val="00752761"/>
    <w:rsid w:val="00762CF8"/>
    <w:rsid w:val="00771107"/>
    <w:rsid w:val="0078172E"/>
    <w:rsid w:val="00783403"/>
    <w:rsid w:val="00786716"/>
    <w:rsid w:val="00793188"/>
    <w:rsid w:val="007A26D9"/>
    <w:rsid w:val="007A3024"/>
    <w:rsid w:val="007A69BB"/>
    <w:rsid w:val="007B2233"/>
    <w:rsid w:val="007B5442"/>
    <w:rsid w:val="007C2770"/>
    <w:rsid w:val="007D40DC"/>
    <w:rsid w:val="007E0373"/>
    <w:rsid w:val="007F6622"/>
    <w:rsid w:val="00801089"/>
    <w:rsid w:val="00804B9C"/>
    <w:rsid w:val="008106CF"/>
    <w:rsid w:val="00811D50"/>
    <w:rsid w:val="00813D49"/>
    <w:rsid w:val="00817B04"/>
    <w:rsid w:val="00827A28"/>
    <w:rsid w:val="00832B96"/>
    <w:rsid w:val="0083549E"/>
    <w:rsid w:val="00846131"/>
    <w:rsid w:val="00870838"/>
    <w:rsid w:val="00871A49"/>
    <w:rsid w:val="0088431B"/>
    <w:rsid w:val="008874DC"/>
    <w:rsid w:val="008926AD"/>
    <w:rsid w:val="00895845"/>
    <w:rsid w:val="008D5161"/>
    <w:rsid w:val="008D5978"/>
    <w:rsid w:val="008E6CA2"/>
    <w:rsid w:val="0090063D"/>
    <w:rsid w:val="0092012C"/>
    <w:rsid w:val="0092334A"/>
    <w:rsid w:val="009272EF"/>
    <w:rsid w:val="00957C36"/>
    <w:rsid w:val="00964EE6"/>
    <w:rsid w:val="00967FAC"/>
    <w:rsid w:val="0097269C"/>
    <w:rsid w:val="00973E61"/>
    <w:rsid w:val="009803F7"/>
    <w:rsid w:val="009829F5"/>
    <w:rsid w:val="00991875"/>
    <w:rsid w:val="00992EFF"/>
    <w:rsid w:val="0099315B"/>
    <w:rsid w:val="0099601F"/>
    <w:rsid w:val="009A1E81"/>
    <w:rsid w:val="009A7643"/>
    <w:rsid w:val="009B5625"/>
    <w:rsid w:val="009C5473"/>
    <w:rsid w:val="009D6C52"/>
    <w:rsid w:val="009D73B2"/>
    <w:rsid w:val="009F44AA"/>
    <w:rsid w:val="009F47B6"/>
    <w:rsid w:val="009F6BA9"/>
    <w:rsid w:val="009F6E36"/>
    <w:rsid w:val="009F7CE2"/>
    <w:rsid w:val="00A02387"/>
    <w:rsid w:val="00A23917"/>
    <w:rsid w:val="00A239A3"/>
    <w:rsid w:val="00A277EC"/>
    <w:rsid w:val="00A32473"/>
    <w:rsid w:val="00A44D77"/>
    <w:rsid w:val="00A7755D"/>
    <w:rsid w:val="00A84560"/>
    <w:rsid w:val="00A975D8"/>
    <w:rsid w:val="00AA5ACE"/>
    <w:rsid w:val="00AB18D8"/>
    <w:rsid w:val="00AB333A"/>
    <w:rsid w:val="00AB7515"/>
    <w:rsid w:val="00AC2A1D"/>
    <w:rsid w:val="00AC4C9D"/>
    <w:rsid w:val="00AD4E6F"/>
    <w:rsid w:val="00AE3468"/>
    <w:rsid w:val="00B01C00"/>
    <w:rsid w:val="00B05EF7"/>
    <w:rsid w:val="00B11034"/>
    <w:rsid w:val="00B11DC5"/>
    <w:rsid w:val="00B14866"/>
    <w:rsid w:val="00B25EC4"/>
    <w:rsid w:val="00B32265"/>
    <w:rsid w:val="00B32E91"/>
    <w:rsid w:val="00B36A8F"/>
    <w:rsid w:val="00B63FE4"/>
    <w:rsid w:val="00B6432F"/>
    <w:rsid w:val="00B70644"/>
    <w:rsid w:val="00B80976"/>
    <w:rsid w:val="00B85706"/>
    <w:rsid w:val="00B90DEC"/>
    <w:rsid w:val="00BA4222"/>
    <w:rsid w:val="00BB3C92"/>
    <w:rsid w:val="00BB4414"/>
    <w:rsid w:val="00BD1A39"/>
    <w:rsid w:val="00BE3AD5"/>
    <w:rsid w:val="00BF1BE6"/>
    <w:rsid w:val="00BF2414"/>
    <w:rsid w:val="00C03DBF"/>
    <w:rsid w:val="00C1199A"/>
    <w:rsid w:val="00C23404"/>
    <w:rsid w:val="00C27343"/>
    <w:rsid w:val="00C351A5"/>
    <w:rsid w:val="00C575CF"/>
    <w:rsid w:val="00C86C32"/>
    <w:rsid w:val="00C93942"/>
    <w:rsid w:val="00C93DA2"/>
    <w:rsid w:val="00CA3FA2"/>
    <w:rsid w:val="00CB087E"/>
    <w:rsid w:val="00CC0FC2"/>
    <w:rsid w:val="00CE19D6"/>
    <w:rsid w:val="00CF13F4"/>
    <w:rsid w:val="00CF2810"/>
    <w:rsid w:val="00CF6912"/>
    <w:rsid w:val="00CF700E"/>
    <w:rsid w:val="00CF7014"/>
    <w:rsid w:val="00D03E4F"/>
    <w:rsid w:val="00D0684D"/>
    <w:rsid w:val="00D24924"/>
    <w:rsid w:val="00D27051"/>
    <w:rsid w:val="00D40271"/>
    <w:rsid w:val="00D7296E"/>
    <w:rsid w:val="00D857D8"/>
    <w:rsid w:val="00D97262"/>
    <w:rsid w:val="00DC45B2"/>
    <w:rsid w:val="00DD26F1"/>
    <w:rsid w:val="00DD7A5A"/>
    <w:rsid w:val="00DF5FCB"/>
    <w:rsid w:val="00E37072"/>
    <w:rsid w:val="00E40CB4"/>
    <w:rsid w:val="00E66C0C"/>
    <w:rsid w:val="00E87E72"/>
    <w:rsid w:val="00E91F20"/>
    <w:rsid w:val="00EB69A0"/>
    <w:rsid w:val="00EB7370"/>
    <w:rsid w:val="00EB7809"/>
    <w:rsid w:val="00EF41EF"/>
    <w:rsid w:val="00EF7EBF"/>
    <w:rsid w:val="00F16247"/>
    <w:rsid w:val="00F32EEA"/>
    <w:rsid w:val="00F40D2F"/>
    <w:rsid w:val="00F46B15"/>
    <w:rsid w:val="00F4727C"/>
    <w:rsid w:val="00F47ACA"/>
    <w:rsid w:val="00F61FA2"/>
    <w:rsid w:val="00F66EF7"/>
    <w:rsid w:val="00F87E18"/>
    <w:rsid w:val="00FA6126"/>
    <w:rsid w:val="00FB29C0"/>
    <w:rsid w:val="00FC2F71"/>
    <w:rsid w:val="00FD0BDF"/>
    <w:rsid w:val="00FD3882"/>
    <w:rsid w:val="00FD4AD6"/>
    <w:rsid w:val="00FE4B43"/>
    <w:rsid w:val="00FF064B"/>
    <w:rsid w:val="066C6F56"/>
    <w:rsid w:val="070A4F87"/>
    <w:rsid w:val="08CC7812"/>
    <w:rsid w:val="09ABDA40"/>
    <w:rsid w:val="09D2D692"/>
    <w:rsid w:val="0B3A9F32"/>
    <w:rsid w:val="0B6A18F5"/>
    <w:rsid w:val="0BEC9C2E"/>
    <w:rsid w:val="0C71F869"/>
    <w:rsid w:val="0E122CE4"/>
    <w:rsid w:val="10277FF0"/>
    <w:rsid w:val="11FD3DFC"/>
    <w:rsid w:val="14276D1D"/>
    <w:rsid w:val="15290F08"/>
    <w:rsid w:val="1649EA9C"/>
    <w:rsid w:val="16F6426E"/>
    <w:rsid w:val="18583F29"/>
    <w:rsid w:val="1CABA4A3"/>
    <w:rsid w:val="1D0FFE46"/>
    <w:rsid w:val="1D334560"/>
    <w:rsid w:val="1DC3B11F"/>
    <w:rsid w:val="1DF0A188"/>
    <w:rsid w:val="1EB8087B"/>
    <w:rsid w:val="1FDB7F3B"/>
    <w:rsid w:val="1FF970CE"/>
    <w:rsid w:val="2034A929"/>
    <w:rsid w:val="20B36D6D"/>
    <w:rsid w:val="21F6AB31"/>
    <w:rsid w:val="23281D86"/>
    <w:rsid w:val="252F72B8"/>
    <w:rsid w:val="25436047"/>
    <w:rsid w:val="263B6A96"/>
    <w:rsid w:val="2B27EFD4"/>
    <w:rsid w:val="2B3DEE10"/>
    <w:rsid w:val="2BDFDFBD"/>
    <w:rsid w:val="2C9FA5F1"/>
    <w:rsid w:val="2DF81D19"/>
    <w:rsid w:val="2EFD586A"/>
    <w:rsid w:val="2FF31BD5"/>
    <w:rsid w:val="300E9018"/>
    <w:rsid w:val="30192A83"/>
    <w:rsid w:val="31375DCA"/>
    <w:rsid w:val="31BCA7BF"/>
    <w:rsid w:val="325F4116"/>
    <w:rsid w:val="3329F914"/>
    <w:rsid w:val="3715D371"/>
    <w:rsid w:val="373440DF"/>
    <w:rsid w:val="391E2455"/>
    <w:rsid w:val="3B2D43E9"/>
    <w:rsid w:val="3BD5EE50"/>
    <w:rsid w:val="3C61C1BA"/>
    <w:rsid w:val="3CDE93AB"/>
    <w:rsid w:val="3CDE9418"/>
    <w:rsid w:val="3D645BF8"/>
    <w:rsid w:val="4108779C"/>
    <w:rsid w:val="41586862"/>
    <w:rsid w:val="42F09CBC"/>
    <w:rsid w:val="436BED46"/>
    <w:rsid w:val="440DE014"/>
    <w:rsid w:val="44851E15"/>
    <w:rsid w:val="4559D2B9"/>
    <w:rsid w:val="45C6BFA2"/>
    <w:rsid w:val="4698D6D5"/>
    <w:rsid w:val="49DC6399"/>
    <w:rsid w:val="4A0A5177"/>
    <w:rsid w:val="4B6DA0D0"/>
    <w:rsid w:val="4B951828"/>
    <w:rsid w:val="4D279841"/>
    <w:rsid w:val="4DB4FF21"/>
    <w:rsid w:val="5175F68D"/>
    <w:rsid w:val="522BECF5"/>
    <w:rsid w:val="5249033C"/>
    <w:rsid w:val="52C2D338"/>
    <w:rsid w:val="53722465"/>
    <w:rsid w:val="54F67760"/>
    <w:rsid w:val="54FFD0FF"/>
    <w:rsid w:val="55016849"/>
    <w:rsid w:val="57E88E81"/>
    <w:rsid w:val="58812AB5"/>
    <w:rsid w:val="58F40562"/>
    <w:rsid w:val="59699F2F"/>
    <w:rsid w:val="5A2A4B14"/>
    <w:rsid w:val="5C3FEC33"/>
    <w:rsid w:val="5CDE8A39"/>
    <w:rsid w:val="5D6A6601"/>
    <w:rsid w:val="5E4283A2"/>
    <w:rsid w:val="5F4B460F"/>
    <w:rsid w:val="60E38BD4"/>
    <w:rsid w:val="618BA626"/>
    <w:rsid w:val="62B83886"/>
    <w:rsid w:val="64502282"/>
    <w:rsid w:val="66071DA7"/>
    <w:rsid w:val="69C730EF"/>
    <w:rsid w:val="6A2C6A01"/>
    <w:rsid w:val="6BACCC24"/>
    <w:rsid w:val="6BD095FA"/>
    <w:rsid w:val="6C68DBC9"/>
    <w:rsid w:val="6CB6BFD5"/>
    <w:rsid w:val="6D455D61"/>
    <w:rsid w:val="6E366D73"/>
    <w:rsid w:val="6ED78DBC"/>
    <w:rsid w:val="7018328C"/>
    <w:rsid w:val="72901E4A"/>
    <w:rsid w:val="73338400"/>
    <w:rsid w:val="73C91112"/>
    <w:rsid w:val="75F78BD5"/>
    <w:rsid w:val="773FBB2B"/>
    <w:rsid w:val="77E2D906"/>
    <w:rsid w:val="78003A3D"/>
    <w:rsid w:val="797D7EAB"/>
    <w:rsid w:val="7AD1F14D"/>
    <w:rsid w:val="7BE4E028"/>
    <w:rsid w:val="7BF7C885"/>
    <w:rsid w:val="7D2B5B6E"/>
    <w:rsid w:val="7F6E8539"/>
    <w:rsid w:val="7F923625"/>
  </w:rsids>
  <m:mathPr>
    <m:mathFont m:val="Cambria Math"/>
    <m:brkBin m:val="before"/>
    <m:brkBinSub m:val="--"/>
    <m:smallFrac m:val="0"/>
    <m:dispDef/>
    <m:lMargin m:val="0"/>
    <m:rMargin m:val="0"/>
    <m:defJc m:val="centerGroup"/>
    <m:wrapIndent m:val="1440"/>
    <m:intLim m:val="subSup"/>
    <m:naryLim m:val="undOvr"/>
  </m:mathPr>
  <w:themeFontLang w:val="sv-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CB9A4"/>
  <w15:chartTrackingRefBased/>
  <w15:docId w15:val="{ABA12FAC-69E5-4683-B208-BF7DDEEB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locked/>
    <w:rsid w:val="00C93DA2"/>
    <w:rPr>
      <w:sz w:val="22"/>
      <w:lang w:val="sv-SE" w:eastAsia="sv-SE"/>
    </w:rPr>
  </w:style>
  <w:style w:type="character" w:styleId="Olstomnmnande">
    <w:name w:val="Unresolved Mention"/>
    <w:basedOn w:val="Standardstycketeckensnitt"/>
    <w:uiPriority w:val="99"/>
    <w:semiHidden/>
    <w:unhideWhenUsed/>
    <w:rsid w:val="00D40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finlex.fi/sv/laki/ajantasa/2021/20210393"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inlex.fi/sv/laki/ajantasa/2009/20091599"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0BE4F245170747838E50CF8BEE7F39" ma:contentTypeVersion="10" ma:contentTypeDescription="Skapa ett nytt dokument." ma:contentTypeScope="" ma:versionID="5ff72fd8c77faf83e10a5087df38024f">
  <xsd:schema xmlns:xsd="http://www.w3.org/2001/XMLSchema" xmlns:xs="http://www.w3.org/2001/XMLSchema" xmlns:p="http://schemas.microsoft.com/office/2006/metadata/properties" xmlns:ns2="a2e63bc4-2bba-4a15-aaa2-6318a6a901df" targetNamespace="http://schemas.microsoft.com/office/2006/metadata/properties" ma:root="true" ma:fieldsID="aeae404bc6c0d6584cc6e1f39f42ce4e" ns2:_="">
    <xsd:import namespace="a2e63bc4-2bba-4a15-aaa2-6318a6a901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63bc4-2bba-4a15-aaa2-6318a6a90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e63bc4-2bba-4a15-aaa2-6318a6a901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3CB3DE-08B0-46D5-907B-1CAB386EF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63bc4-2bba-4a15-aaa2-6318a6a90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3B5308-5162-4C30-B4DA-C9700C1531C6}">
  <ds:schemaRefs>
    <ds:schemaRef ds:uri="http://schemas.microsoft.com/sharepoint/v3/contenttype/forms"/>
  </ds:schemaRefs>
</ds:datastoreItem>
</file>

<file path=customXml/itemProps3.xml><?xml version="1.0" encoding="utf-8"?>
<ds:datastoreItem xmlns:ds="http://schemas.openxmlformats.org/officeDocument/2006/customXml" ds:itemID="{60F87BF1-60DB-4031-815A-BBB6F3523F0B}">
  <ds:schemaRefs>
    <ds:schemaRef ds:uri="http://schemas.microsoft.com/office/2006/metadata/properties"/>
    <ds:schemaRef ds:uri="http://schemas.microsoft.com/office/infopath/2007/PartnerControls"/>
    <ds:schemaRef ds:uri="a2e63bc4-2bba-4a15-aaa2-6318a6a901d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4199</Words>
  <Characters>22255</Characters>
  <Application>Microsoft Office Word</Application>
  <DocSecurity>0</DocSecurity>
  <Lines>185</Lines>
  <Paragraphs>52</Paragraphs>
  <ScaleCrop>false</ScaleCrop>
  <HeadingPairs>
    <vt:vector size="2" baseType="variant">
      <vt:variant>
        <vt:lpstr>Rubrik</vt:lpstr>
      </vt:variant>
      <vt:variant>
        <vt:i4>1</vt:i4>
      </vt:variant>
    </vt:vector>
  </HeadingPairs>
  <TitlesOfParts>
    <vt:vector size="1" baseType="lpstr">
      <vt:lpstr>Social-och miljöutskottets betänkande nr x1/2025-2026</vt:lpstr>
    </vt:vector>
  </TitlesOfParts>
  <Company>Ålands lagting</Company>
  <LinksUpToDate>false</LinksUpToDate>
  <CharactersWithSpaces>26402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Social-och miljöutskottets betänkande nr x1/2025-2026</dc:title>
  <dc:subject/>
  <dc:creator>Jessica Laaksonen</dc:creator>
  <cp:keywords/>
  <cp:lastModifiedBy>Jessica Laaksonen</cp:lastModifiedBy>
  <cp:revision>2</cp:revision>
  <cp:lastPrinted>2025-12-05T09:33:00Z</cp:lastPrinted>
  <dcterms:created xsi:type="dcterms:W3CDTF">2025-12-09T10:54:00Z</dcterms:created>
  <dcterms:modified xsi:type="dcterms:W3CDTF">2025-12-09T10:54:00Z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0x010100A30BE4F245170747838E50CF8BEE7F39</vt:lpwstr>
  </property>
  <property fmtid="{D5CDD505-2E9C-101B-9397-08002B2CF9AE}" pid="3" name="MediaServiceImageTags">
    <vt:lpwstr/>
  </property>
</Properties>
</file>