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2758B814" w14:textId="77777777">
        <w:trPr>
          <w:cantSplit/>
          <w:trHeight w:val="20"/>
        </w:trPr>
        <w:tc>
          <w:tcPr>
            <w:tcW w:w="861" w:type="dxa"/>
            <w:vMerge w:val="restart"/>
          </w:tcPr>
          <w:p w14:paraId="04B082D8" w14:textId="5252540F" w:rsidR="00E023D9" w:rsidRDefault="00B2678D">
            <w:pPr>
              <w:pStyle w:val="xLedtext"/>
              <w:rPr>
                <w:noProof/>
              </w:rPr>
            </w:pPr>
            <w:r>
              <w:rPr>
                <w:noProof/>
              </w:rPr>
              <w:drawing>
                <wp:anchor distT="0" distB="0" distL="114300" distR="114300" simplePos="0" relativeHeight="251657728" behindDoc="0" locked="0" layoutInCell="1" allowOverlap="1" wp14:anchorId="5B597FAA" wp14:editId="3B6F9BA4">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29849ED" w14:textId="2D91838D" w:rsidR="00E023D9" w:rsidRDefault="00B2678D">
            <w:pPr>
              <w:pStyle w:val="xMellanrum"/>
            </w:pPr>
            <w:r w:rsidRPr="0038504B">
              <w:rPr>
                <w:noProof/>
              </w:rPr>
              <w:drawing>
                <wp:inline distT="0" distB="0" distL="0" distR="0" wp14:anchorId="138374CD" wp14:editId="2AF90069">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4843EA14" w14:textId="77777777">
        <w:trPr>
          <w:cantSplit/>
          <w:trHeight w:val="299"/>
        </w:trPr>
        <w:tc>
          <w:tcPr>
            <w:tcW w:w="861" w:type="dxa"/>
            <w:vMerge/>
          </w:tcPr>
          <w:p w14:paraId="119AACD7" w14:textId="77777777" w:rsidR="00E023D9" w:rsidRDefault="00E023D9">
            <w:pPr>
              <w:pStyle w:val="xLedtext"/>
            </w:pPr>
          </w:p>
        </w:tc>
        <w:tc>
          <w:tcPr>
            <w:tcW w:w="4448" w:type="dxa"/>
            <w:vAlign w:val="bottom"/>
          </w:tcPr>
          <w:p w14:paraId="75E568DA" w14:textId="77777777" w:rsidR="00E023D9" w:rsidRDefault="00E023D9">
            <w:pPr>
              <w:pStyle w:val="xAvsandare1"/>
            </w:pPr>
          </w:p>
        </w:tc>
        <w:tc>
          <w:tcPr>
            <w:tcW w:w="4288" w:type="dxa"/>
            <w:gridSpan w:val="2"/>
            <w:vAlign w:val="bottom"/>
          </w:tcPr>
          <w:p w14:paraId="7CF46E99" w14:textId="77777777" w:rsidR="00E023D9" w:rsidRDefault="00E023D9">
            <w:pPr>
              <w:pStyle w:val="xDokTypNr"/>
            </w:pPr>
            <w:r>
              <w:t>PARALLELLTEXTER</w:t>
            </w:r>
          </w:p>
        </w:tc>
      </w:tr>
      <w:tr w:rsidR="00E023D9" w14:paraId="1FD71188" w14:textId="77777777">
        <w:trPr>
          <w:cantSplit/>
          <w:trHeight w:val="238"/>
        </w:trPr>
        <w:tc>
          <w:tcPr>
            <w:tcW w:w="861" w:type="dxa"/>
            <w:vMerge/>
          </w:tcPr>
          <w:p w14:paraId="7077DCE6" w14:textId="77777777" w:rsidR="00E023D9" w:rsidRDefault="00E023D9">
            <w:pPr>
              <w:pStyle w:val="xLedtext"/>
            </w:pPr>
          </w:p>
        </w:tc>
        <w:tc>
          <w:tcPr>
            <w:tcW w:w="4448" w:type="dxa"/>
            <w:vAlign w:val="bottom"/>
          </w:tcPr>
          <w:p w14:paraId="41626960" w14:textId="77777777" w:rsidR="00E023D9" w:rsidRDefault="00E023D9">
            <w:pPr>
              <w:pStyle w:val="xLedtext"/>
            </w:pPr>
          </w:p>
        </w:tc>
        <w:tc>
          <w:tcPr>
            <w:tcW w:w="1725" w:type="dxa"/>
            <w:vAlign w:val="bottom"/>
          </w:tcPr>
          <w:p w14:paraId="77717199" w14:textId="77777777" w:rsidR="00E023D9" w:rsidRDefault="00E023D9">
            <w:pPr>
              <w:pStyle w:val="xLedtext"/>
            </w:pPr>
            <w:r>
              <w:t>Datum</w:t>
            </w:r>
          </w:p>
        </w:tc>
        <w:tc>
          <w:tcPr>
            <w:tcW w:w="2563" w:type="dxa"/>
            <w:vAlign w:val="bottom"/>
          </w:tcPr>
          <w:p w14:paraId="561FDFBC" w14:textId="77777777" w:rsidR="00E023D9" w:rsidRDefault="00E023D9">
            <w:pPr>
              <w:pStyle w:val="xLedtext"/>
            </w:pPr>
          </w:p>
        </w:tc>
      </w:tr>
      <w:tr w:rsidR="00E023D9" w14:paraId="07AC63EF" w14:textId="77777777">
        <w:trPr>
          <w:cantSplit/>
          <w:trHeight w:val="238"/>
        </w:trPr>
        <w:tc>
          <w:tcPr>
            <w:tcW w:w="861" w:type="dxa"/>
            <w:vMerge/>
          </w:tcPr>
          <w:p w14:paraId="18C846E8" w14:textId="77777777" w:rsidR="00E023D9" w:rsidRDefault="00E023D9">
            <w:pPr>
              <w:pStyle w:val="xAvsandare2"/>
            </w:pPr>
          </w:p>
        </w:tc>
        <w:tc>
          <w:tcPr>
            <w:tcW w:w="4448" w:type="dxa"/>
            <w:vAlign w:val="center"/>
          </w:tcPr>
          <w:p w14:paraId="5654E41C" w14:textId="77777777" w:rsidR="00E023D9" w:rsidRDefault="00E023D9">
            <w:pPr>
              <w:pStyle w:val="xAvsandare2"/>
            </w:pPr>
          </w:p>
        </w:tc>
        <w:tc>
          <w:tcPr>
            <w:tcW w:w="1725" w:type="dxa"/>
            <w:vAlign w:val="center"/>
          </w:tcPr>
          <w:p w14:paraId="11BFD7FF" w14:textId="255BD499" w:rsidR="00E023D9" w:rsidRDefault="00E023D9">
            <w:pPr>
              <w:pStyle w:val="xDatum1"/>
            </w:pPr>
            <w:r>
              <w:t>20</w:t>
            </w:r>
            <w:r w:rsidR="003E0444">
              <w:t>25</w:t>
            </w:r>
            <w:r>
              <w:t>-</w:t>
            </w:r>
            <w:r w:rsidR="00BA24FC">
              <w:t>02-</w:t>
            </w:r>
            <w:r w:rsidR="007B245C">
              <w:t>27</w:t>
            </w:r>
          </w:p>
        </w:tc>
        <w:tc>
          <w:tcPr>
            <w:tcW w:w="2563" w:type="dxa"/>
            <w:vAlign w:val="center"/>
          </w:tcPr>
          <w:p w14:paraId="07CE129A" w14:textId="77777777" w:rsidR="00E023D9" w:rsidRDefault="00E023D9">
            <w:pPr>
              <w:pStyle w:val="xBeteckning1"/>
            </w:pPr>
          </w:p>
        </w:tc>
      </w:tr>
      <w:tr w:rsidR="00E023D9" w14:paraId="21C13408" w14:textId="77777777">
        <w:trPr>
          <w:cantSplit/>
          <w:trHeight w:val="238"/>
        </w:trPr>
        <w:tc>
          <w:tcPr>
            <w:tcW w:w="861" w:type="dxa"/>
            <w:vMerge/>
          </w:tcPr>
          <w:p w14:paraId="7B826DF6" w14:textId="77777777" w:rsidR="00E023D9" w:rsidRDefault="00E023D9">
            <w:pPr>
              <w:pStyle w:val="xLedtext"/>
            </w:pPr>
          </w:p>
        </w:tc>
        <w:tc>
          <w:tcPr>
            <w:tcW w:w="4448" w:type="dxa"/>
            <w:vAlign w:val="bottom"/>
          </w:tcPr>
          <w:p w14:paraId="55C161AA" w14:textId="77777777" w:rsidR="00E023D9" w:rsidRDefault="00E023D9">
            <w:pPr>
              <w:pStyle w:val="xLedtext"/>
            </w:pPr>
          </w:p>
        </w:tc>
        <w:tc>
          <w:tcPr>
            <w:tcW w:w="1725" w:type="dxa"/>
            <w:vAlign w:val="bottom"/>
          </w:tcPr>
          <w:p w14:paraId="76CC94CA" w14:textId="77777777" w:rsidR="00E023D9" w:rsidRDefault="00E023D9">
            <w:pPr>
              <w:pStyle w:val="xLedtext"/>
            </w:pPr>
          </w:p>
        </w:tc>
        <w:tc>
          <w:tcPr>
            <w:tcW w:w="2563" w:type="dxa"/>
            <w:vAlign w:val="bottom"/>
          </w:tcPr>
          <w:p w14:paraId="21750804" w14:textId="77777777" w:rsidR="00E023D9" w:rsidRDefault="00E023D9">
            <w:pPr>
              <w:pStyle w:val="xLedtext"/>
            </w:pPr>
          </w:p>
        </w:tc>
      </w:tr>
      <w:tr w:rsidR="00E023D9" w14:paraId="03119A78" w14:textId="77777777">
        <w:trPr>
          <w:cantSplit/>
          <w:trHeight w:val="238"/>
        </w:trPr>
        <w:tc>
          <w:tcPr>
            <w:tcW w:w="861" w:type="dxa"/>
            <w:vMerge/>
            <w:tcBorders>
              <w:bottom w:val="single" w:sz="4" w:space="0" w:color="auto"/>
            </w:tcBorders>
          </w:tcPr>
          <w:p w14:paraId="0BF5E1B0" w14:textId="77777777" w:rsidR="00E023D9" w:rsidRDefault="00E023D9">
            <w:pPr>
              <w:pStyle w:val="xAvsandare3"/>
            </w:pPr>
          </w:p>
        </w:tc>
        <w:tc>
          <w:tcPr>
            <w:tcW w:w="4448" w:type="dxa"/>
            <w:tcBorders>
              <w:bottom w:val="single" w:sz="4" w:space="0" w:color="auto"/>
            </w:tcBorders>
            <w:vAlign w:val="center"/>
          </w:tcPr>
          <w:p w14:paraId="72DFDB0D" w14:textId="77777777" w:rsidR="00E023D9" w:rsidRDefault="00E023D9">
            <w:pPr>
              <w:pStyle w:val="xAvsandare3"/>
            </w:pPr>
          </w:p>
        </w:tc>
        <w:tc>
          <w:tcPr>
            <w:tcW w:w="1725" w:type="dxa"/>
            <w:tcBorders>
              <w:bottom w:val="single" w:sz="4" w:space="0" w:color="auto"/>
            </w:tcBorders>
            <w:vAlign w:val="center"/>
          </w:tcPr>
          <w:p w14:paraId="10E371D2" w14:textId="6C120E02" w:rsidR="00E023D9" w:rsidRPr="007422B5" w:rsidRDefault="00E023D9">
            <w:pPr>
              <w:pStyle w:val="xDatum2"/>
              <w:rPr>
                <w:b/>
                <w:bCs/>
              </w:rPr>
            </w:pPr>
          </w:p>
        </w:tc>
        <w:tc>
          <w:tcPr>
            <w:tcW w:w="2563" w:type="dxa"/>
            <w:tcBorders>
              <w:bottom w:val="single" w:sz="4" w:space="0" w:color="auto"/>
            </w:tcBorders>
            <w:vAlign w:val="center"/>
          </w:tcPr>
          <w:p w14:paraId="00922E94" w14:textId="5AAAF8A7" w:rsidR="00E023D9" w:rsidRPr="00B34AFF" w:rsidRDefault="00E023D9">
            <w:pPr>
              <w:pStyle w:val="xBeteckning2"/>
              <w:rPr>
                <w:b/>
                <w:bCs/>
              </w:rPr>
            </w:pPr>
          </w:p>
        </w:tc>
      </w:tr>
      <w:tr w:rsidR="00E023D9" w14:paraId="45165D09" w14:textId="77777777">
        <w:trPr>
          <w:cantSplit/>
          <w:trHeight w:val="238"/>
        </w:trPr>
        <w:tc>
          <w:tcPr>
            <w:tcW w:w="861" w:type="dxa"/>
            <w:tcBorders>
              <w:top w:val="single" w:sz="4" w:space="0" w:color="auto"/>
            </w:tcBorders>
            <w:vAlign w:val="bottom"/>
          </w:tcPr>
          <w:p w14:paraId="555F91A2" w14:textId="77777777" w:rsidR="00E023D9" w:rsidRDefault="00E023D9">
            <w:pPr>
              <w:pStyle w:val="xLedtext"/>
            </w:pPr>
          </w:p>
        </w:tc>
        <w:tc>
          <w:tcPr>
            <w:tcW w:w="4448" w:type="dxa"/>
            <w:tcBorders>
              <w:top w:val="single" w:sz="4" w:space="0" w:color="auto"/>
            </w:tcBorders>
            <w:vAlign w:val="bottom"/>
          </w:tcPr>
          <w:p w14:paraId="4E62E75A" w14:textId="77777777" w:rsidR="00E023D9" w:rsidRDefault="00E023D9">
            <w:pPr>
              <w:pStyle w:val="xLedtext"/>
            </w:pPr>
          </w:p>
        </w:tc>
        <w:tc>
          <w:tcPr>
            <w:tcW w:w="4288" w:type="dxa"/>
            <w:gridSpan w:val="2"/>
            <w:tcBorders>
              <w:top w:val="single" w:sz="4" w:space="0" w:color="auto"/>
            </w:tcBorders>
            <w:vAlign w:val="bottom"/>
          </w:tcPr>
          <w:p w14:paraId="43523DB7" w14:textId="77777777" w:rsidR="00E023D9" w:rsidRDefault="00E023D9">
            <w:pPr>
              <w:pStyle w:val="xLedtext"/>
            </w:pPr>
          </w:p>
        </w:tc>
      </w:tr>
    </w:tbl>
    <w:p w14:paraId="05FC0E05" w14:textId="77777777" w:rsidR="00E023D9" w:rsidRDefault="00E023D9">
      <w:pPr>
        <w:rPr>
          <w:b/>
          <w:bCs/>
        </w:rPr>
        <w:sectPr w:rsidR="00E023D9">
          <w:footerReference w:type="default" r:id="rId9"/>
          <w:pgSz w:w="11906" w:h="16838" w:code="9"/>
          <w:pgMar w:top="567" w:right="1134" w:bottom="1418" w:left="1191" w:header="624" w:footer="851" w:gutter="0"/>
          <w:cols w:space="708"/>
          <w:docGrid w:linePitch="360"/>
        </w:sectPr>
      </w:pPr>
    </w:p>
    <w:p w14:paraId="31B290F0" w14:textId="446245F6" w:rsidR="00E023D9" w:rsidRDefault="00E023D9">
      <w:pPr>
        <w:pStyle w:val="ArendeOverRubrik"/>
      </w:pPr>
      <w:r>
        <w:t xml:space="preserve">Parallelltexter till landskapsregeringens </w:t>
      </w:r>
      <w:r w:rsidR="00463893">
        <w:t>lagförslag</w:t>
      </w:r>
    </w:p>
    <w:p w14:paraId="2A6F06BA" w14:textId="5D37B76F" w:rsidR="00E023D9" w:rsidRDefault="00463893">
      <w:pPr>
        <w:pStyle w:val="ArendeRubrik"/>
      </w:pPr>
      <w:r w:rsidRPr="00111F07">
        <w:t>Ändring av tobakslagen</w:t>
      </w:r>
    </w:p>
    <w:p w14:paraId="0061E89D" w14:textId="7E3AE59B" w:rsidR="00E023D9" w:rsidRDefault="00E023D9">
      <w:pPr>
        <w:pStyle w:val="ArendeUnderRubrik"/>
      </w:pPr>
      <w:r>
        <w:t xml:space="preserve">Landskapsregeringens </w:t>
      </w:r>
      <w:r w:rsidR="00463893">
        <w:t>lagförslag</w:t>
      </w:r>
      <w:r>
        <w:t xml:space="preserve"> nr </w:t>
      </w:r>
      <w:r w:rsidR="00252D07">
        <w:t>16</w:t>
      </w:r>
      <w:r>
        <w:t>/</w:t>
      </w:r>
      <w:proofErr w:type="gramStart"/>
      <w:r>
        <w:t>20</w:t>
      </w:r>
      <w:r w:rsidR="00252D07">
        <w:t>24</w:t>
      </w:r>
      <w:r>
        <w:t>-20</w:t>
      </w:r>
      <w:r w:rsidR="00252D07">
        <w:t>25</w:t>
      </w:r>
      <w:proofErr w:type="gramEnd"/>
    </w:p>
    <w:p w14:paraId="472576BF" w14:textId="77777777" w:rsidR="00E023D9" w:rsidRDefault="00E023D9">
      <w:pPr>
        <w:pStyle w:val="ANormal"/>
      </w:pPr>
    </w:p>
    <w:p w14:paraId="4B81FDBA" w14:textId="27EB5BD8" w:rsidR="00E023D9" w:rsidRPr="00252D07" w:rsidRDefault="00E023D9" w:rsidP="00252D07">
      <w:pPr>
        <w:pStyle w:val="ANormal"/>
      </w:pPr>
    </w:p>
    <w:p w14:paraId="54EF9333" w14:textId="77777777" w:rsidR="00E023D9" w:rsidRDefault="00E023D9">
      <w:pPr>
        <w:pStyle w:val="ANormal"/>
        <w:rPr>
          <w:noProof/>
        </w:rPr>
      </w:pPr>
    </w:p>
    <w:p w14:paraId="05EEE213" w14:textId="2B0F8A14" w:rsidR="00E023D9" w:rsidRPr="00D13B66" w:rsidRDefault="00E023D9">
      <w:pPr>
        <w:pStyle w:val="ANormal"/>
        <w:rPr>
          <w:lang w:val="en-GB"/>
        </w:rPr>
      </w:pPr>
    </w:p>
    <w:p w14:paraId="38639E83" w14:textId="2CAAE7EA" w:rsidR="00E023D9" w:rsidRPr="00D13B66" w:rsidRDefault="00E023D9">
      <w:pPr>
        <w:pStyle w:val="LagHuvRubr"/>
        <w:rPr>
          <w:lang w:val="en-GB"/>
        </w:rPr>
      </w:pPr>
      <w:bookmarkStart w:id="0" w:name="_Toc500921111"/>
      <w:bookmarkStart w:id="1" w:name="_Toc528640435"/>
      <w:bookmarkStart w:id="2" w:name="_Toc530991379"/>
      <w:r w:rsidRPr="00D13B66">
        <w:rPr>
          <w:lang w:val="en-GB"/>
        </w:rPr>
        <w:t>L A N D S K A P S L A G</w:t>
      </w:r>
      <w:r w:rsidRPr="00D13B66">
        <w:rPr>
          <w:lang w:val="en-GB"/>
        </w:rPr>
        <w:br/>
      </w:r>
      <w:r w:rsidRPr="00463893">
        <w:t>om</w:t>
      </w:r>
      <w:bookmarkEnd w:id="0"/>
      <w:bookmarkEnd w:id="1"/>
      <w:bookmarkEnd w:id="2"/>
      <w:r w:rsidR="00463893" w:rsidRPr="00463893">
        <w:t xml:space="preserve"> ändring av landskapslagen om tobak och relaterade produkter</w:t>
      </w:r>
    </w:p>
    <w:p w14:paraId="60C4D67D" w14:textId="77777777" w:rsidR="00E023D9" w:rsidRDefault="00E023D9">
      <w:pPr>
        <w:pStyle w:val="ANormal"/>
        <w:rPr>
          <w:lang w:val="en-GB"/>
        </w:rPr>
      </w:pPr>
    </w:p>
    <w:p w14:paraId="7F1939C1" w14:textId="37E94434" w:rsidR="00927945" w:rsidRPr="0096622A" w:rsidRDefault="00927945" w:rsidP="00927945">
      <w:pPr>
        <w:pStyle w:val="ANormal"/>
      </w:pPr>
      <w:r>
        <w:tab/>
      </w:r>
      <w:r w:rsidRPr="0096622A">
        <w:t>I enlighet med lagtingets beslut</w:t>
      </w:r>
    </w:p>
    <w:p w14:paraId="05C99482" w14:textId="54D8558F" w:rsidR="00927945" w:rsidRPr="0096622A" w:rsidRDefault="00927945" w:rsidP="00927945">
      <w:pPr>
        <w:pStyle w:val="ANormal"/>
      </w:pPr>
      <w:r w:rsidRPr="0096622A">
        <w:tab/>
      </w:r>
      <w:r w:rsidRPr="0096622A">
        <w:rPr>
          <w:b/>
          <w:bCs/>
        </w:rPr>
        <w:t xml:space="preserve">ändras </w:t>
      </w:r>
      <w:r w:rsidRPr="0096622A">
        <w:t>1a</w:t>
      </w:r>
      <w:r w:rsidR="00677195">
        <w:t> §</w:t>
      </w:r>
      <w:r w:rsidRPr="0096622A">
        <w:t>, 2</w:t>
      </w:r>
      <w:r w:rsidR="00677195">
        <w:t> §</w:t>
      </w:r>
      <w:r w:rsidRPr="0096622A">
        <w:t xml:space="preserve"> 1</w:t>
      </w:r>
      <w:r w:rsidR="00677195">
        <w:t> mom.</w:t>
      </w:r>
      <w:r w:rsidRPr="0096622A">
        <w:t>, 2a</w:t>
      </w:r>
      <w:r w:rsidR="00677195">
        <w:t> §</w:t>
      </w:r>
      <w:r w:rsidRPr="0096622A">
        <w:t>, 4</w:t>
      </w:r>
      <w:r w:rsidR="00677195">
        <w:t> §</w:t>
      </w:r>
      <w:r w:rsidRPr="0096622A">
        <w:t xml:space="preserve"> 1</w:t>
      </w:r>
      <w:r w:rsidR="00677195">
        <w:t> mom.</w:t>
      </w:r>
      <w:r w:rsidRPr="0096622A">
        <w:t xml:space="preserve"> 6 punkten</w:t>
      </w:r>
      <w:r>
        <w:t>, 5a</w:t>
      </w:r>
      <w:r w:rsidR="00677195">
        <w:t> §</w:t>
      </w:r>
      <w:r>
        <w:t xml:space="preserve"> 2</w:t>
      </w:r>
      <w:r w:rsidR="00677195">
        <w:t> mom.</w:t>
      </w:r>
      <w:r>
        <w:t xml:space="preserve"> a och b</w:t>
      </w:r>
      <w:r w:rsidR="00677195">
        <w:t> punkt</w:t>
      </w:r>
      <w:r>
        <w:t>erna samt</w:t>
      </w:r>
      <w:r w:rsidRPr="0096622A">
        <w:t xml:space="preserve"> 5a</w:t>
      </w:r>
      <w:r w:rsidR="00677195">
        <w:t> §</w:t>
      </w:r>
      <w:r w:rsidRPr="0096622A">
        <w:t xml:space="preserve"> 3</w:t>
      </w:r>
      <w:r w:rsidR="00677195">
        <w:t> mom.</w:t>
      </w:r>
      <w:r w:rsidRPr="0096622A">
        <w:t xml:space="preserve"> landskapslagen (1978:52) om tobak och relaterade produkter, av dessa lagrum 1a</w:t>
      </w:r>
      <w:r w:rsidR="00677195">
        <w:t> §</w:t>
      </w:r>
      <w:r w:rsidRPr="0096622A">
        <w:t xml:space="preserve"> sådan de</w:t>
      </w:r>
      <w:r>
        <w:t>n</w:t>
      </w:r>
      <w:r w:rsidRPr="0096622A">
        <w:t xml:space="preserve"> lyder i landskapslagen 2016/52</w:t>
      </w:r>
      <w:r>
        <w:t>, 2</w:t>
      </w:r>
      <w:r w:rsidR="00677195">
        <w:t> §</w:t>
      </w:r>
      <w:r>
        <w:t xml:space="preserve"> 1</w:t>
      </w:r>
      <w:r w:rsidR="00677195">
        <w:t> mom.</w:t>
      </w:r>
      <w:r>
        <w:t xml:space="preserve"> sådant det lyder i landskapslagen 2020/111, 2a</w:t>
      </w:r>
      <w:r w:rsidR="00677195">
        <w:t> §</w:t>
      </w:r>
      <w:r>
        <w:t xml:space="preserve"> sådan den lyder i landskapslagen 2007/101, 4</w:t>
      </w:r>
      <w:r w:rsidR="00677195">
        <w:t> §</w:t>
      </w:r>
      <w:r>
        <w:t xml:space="preserve"> 1</w:t>
      </w:r>
      <w:r w:rsidR="00677195">
        <w:t> mom.</w:t>
      </w:r>
      <w:r>
        <w:t xml:space="preserve"> 6</w:t>
      </w:r>
      <w:r w:rsidR="00677195">
        <w:t> punkt</w:t>
      </w:r>
      <w:r>
        <w:t>en sådan den lyder i landskapslagen 2007/4</w:t>
      </w:r>
      <w:r w:rsidRPr="0096622A">
        <w:t xml:space="preserve"> och </w:t>
      </w:r>
      <w:r>
        <w:t>5a</w:t>
      </w:r>
      <w:r w:rsidR="00677195">
        <w:t> §</w:t>
      </w:r>
      <w:r>
        <w:t xml:space="preserve"> 2</w:t>
      </w:r>
      <w:r w:rsidR="00677195">
        <w:t> mom.</w:t>
      </w:r>
      <w:r>
        <w:t xml:space="preserve"> a och b</w:t>
      </w:r>
      <w:r w:rsidR="00677195">
        <w:t> punkt</w:t>
      </w:r>
      <w:r>
        <w:t xml:space="preserve">erna </w:t>
      </w:r>
      <w:r w:rsidRPr="0096622A">
        <w:t>sådan</w:t>
      </w:r>
      <w:r>
        <w:t>a</w:t>
      </w:r>
      <w:r w:rsidRPr="0096622A">
        <w:t xml:space="preserve"> de lyder i landskapslagen </w:t>
      </w:r>
      <w:r>
        <w:t>2024/9</w:t>
      </w:r>
      <w:r w:rsidRPr="0096622A">
        <w:t>, samt</w:t>
      </w:r>
    </w:p>
    <w:p w14:paraId="2152E837" w14:textId="0CB90341" w:rsidR="00927945" w:rsidRDefault="00927945" w:rsidP="00927945">
      <w:pPr>
        <w:pStyle w:val="ANormal"/>
      </w:pPr>
      <w:r w:rsidRPr="0096622A">
        <w:rPr>
          <w:b/>
          <w:bCs/>
        </w:rPr>
        <w:tab/>
        <w:t>fogas till</w:t>
      </w:r>
      <w:r w:rsidRPr="0096622A">
        <w:t xml:space="preserve"> 1</w:t>
      </w:r>
      <w:r w:rsidR="00677195">
        <w:t> §</w:t>
      </w:r>
      <w:r w:rsidRPr="0096622A">
        <w:t xml:space="preserve"> 1</w:t>
      </w:r>
      <w:r w:rsidR="00677195">
        <w:t> mom.</w:t>
      </w:r>
      <w:r w:rsidRPr="0096622A">
        <w:t xml:space="preserve"> nya 10-1</w:t>
      </w:r>
      <w:r w:rsidR="00782B2E">
        <w:t>3</w:t>
      </w:r>
      <w:r w:rsidRPr="0096622A">
        <w:t> punkter, till 4</w:t>
      </w:r>
      <w:r w:rsidR="00677195">
        <w:t> §</w:t>
      </w:r>
      <w:r w:rsidRPr="0096622A">
        <w:t xml:space="preserve"> nya 7-10 punkter, till 5a</w:t>
      </w:r>
      <w:r w:rsidR="00677195">
        <w:t> §</w:t>
      </w:r>
      <w:r w:rsidRPr="0096622A">
        <w:t xml:space="preserve"> nya 6-</w:t>
      </w:r>
      <w:r>
        <w:t>10</w:t>
      </w:r>
      <w:r w:rsidR="00677195">
        <w:t> mom.</w:t>
      </w:r>
      <w:r w:rsidRPr="0096622A">
        <w:t xml:space="preserve"> och till lagen en ny 4e</w:t>
      </w:r>
      <w:r w:rsidR="00677195">
        <w:t> §</w:t>
      </w:r>
      <w:r w:rsidRPr="0096622A">
        <w:t xml:space="preserve">, av dessa lagrum </w:t>
      </w:r>
      <w:r>
        <w:t>1</w:t>
      </w:r>
      <w:r w:rsidR="00677195">
        <w:t> §</w:t>
      </w:r>
      <w:r>
        <w:t xml:space="preserve"> 1</w:t>
      </w:r>
      <w:r w:rsidR="00677195">
        <w:t> mom.</w:t>
      </w:r>
      <w:r>
        <w:t xml:space="preserve"> sådant det lyder i landskapslagen 2020/111, </w:t>
      </w:r>
      <w:r w:rsidRPr="0096622A">
        <w:t>4</w:t>
      </w:r>
      <w:r w:rsidR="00677195">
        <w:t> §</w:t>
      </w:r>
      <w:r w:rsidRPr="0096622A">
        <w:t xml:space="preserve"> sådan den lyder i landskapslagen 2007/4 och 5</w:t>
      </w:r>
      <w:r>
        <w:t>a</w:t>
      </w:r>
      <w:r w:rsidR="00677195">
        <w:t> §</w:t>
      </w:r>
      <w:r w:rsidRPr="0096622A">
        <w:t xml:space="preserve"> sådan den lyder i landskapslagen 202</w:t>
      </w:r>
      <w:r>
        <w:t>4</w:t>
      </w:r>
      <w:r w:rsidRPr="0096622A">
        <w:t>/</w:t>
      </w:r>
      <w:r>
        <w:t>9</w:t>
      </w:r>
      <w:r w:rsidRPr="0096622A">
        <w:t>, som följer:</w:t>
      </w:r>
    </w:p>
    <w:p w14:paraId="2CDB5C3C" w14:textId="77777777" w:rsidR="00463893" w:rsidRDefault="00463893">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53E5B164" w14:textId="77777777" w:rsidTr="00252D07">
        <w:tc>
          <w:tcPr>
            <w:tcW w:w="2427" w:type="pct"/>
          </w:tcPr>
          <w:p w14:paraId="1DC15E35" w14:textId="30BE97FA" w:rsidR="00E023D9" w:rsidRDefault="00E023D9">
            <w:pPr>
              <w:pStyle w:val="xCelltext"/>
              <w:jc w:val="center"/>
            </w:pPr>
            <w:r>
              <w:t>Gällande lydelse</w:t>
            </w:r>
          </w:p>
        </w:tc>
        <w:tc>
          <w:tcPr>
            <w:tcW w:w="146" w:type="pct"/>
          </w:tcPr>
          <w:p w14:paraId="1E47D539" w14:textId="77777777" w:rsidR="00E023D9" w:rsidRDefault="00E023D9">
            <w:pPr>
              <w:pStyle w:val="xCelltext"/>
              <w:jc w:val="center"/>
            </w:pPr>
          </w:p>
        </w:tc>
        <w:tc>
          <w:tcPr>
            <w:tcW w:w="2427" w:type="pct"/>
          </w:tcPr>
          <w:p w14:paraId="44CBA780" w14:textId="77777777" w:rsidR="00E023D9" w:rsidRDefault="00E023D9">
            <w:pPr>
              <w:pStyle w:val="xCelltext"/>
              <w:jc w:val="center"/>
            </w:pPr>
            <w:r>
              <w:t>Föreslagen lydelse</w:t>
            </w:r>
          </w:p>
        </w:tc>
      </w:tr>
      <w:tr w:rsidR="00E023D9" w14:paraId="7F129798" w14:textId="77777777" w:rsidTr="00252D07">
        <w:tc>
          <w:tcPr>
            <w:tcW w:w="2427" w:type="pct"/>
          </w:tcPr>
          <w:p w14:paraId="2DD325A4" w14:textId="77777777" w:rsidR="00E023D9" w:rsidRDefault="00E023D9">
            <w:pPr>
              <w:pStyle w:val="ANormal"/>
            </w:pPr>
          </w:p>
          <w:p w14:paraId="7BEA9395" w14:textId="4ED27C2F" w:rsidR="00E023D9" w:rsidRDefault="00463893">
            <w:pPr>
              <w:pStyle w:val="LagParagraf"/>
            </w:pPr>
            <w:r>
              <w:t>1</w:t>
            </w:r>
            <w:r w:rsidR="00677195">
              <w:t> §</w:t>
            </w:r>
          </w:p>
          <w:p w14:paraId="5242D8CB" w14:textId="77777777" w:rsidR="00463893" w:rsidRDefault="00463893" w:rsidP="00463893">
            <w:pPr>
              <w:pStyle w:val="ANormal"/>
            </w:pPr>
            <w:r>
              <w:tab/>
            </w:r>
            <w:r w:rsidRPr="00463893">
              <w:t>Syftet med denna lag är att begränsa det för hälsan skadliga bruket av tobaks-produkter och relaterade produkter samt att minska de skadeverkningar bruket orsakar och samtidigt öka trivseln och välbefinnandet för dem som inte nyttjar dessa produkter. I denna lag avses med</w:t>
            </w:r>
          </w:p>
          <w:p w14:paraId="1D1D05F1" w14:textId="77777777" w:rsidR="00122B45" w:rsidRDefault="00463893" w:rsidP="00EE1EB7">
            <w:pPr>
              <w:pStyle w:val="ANormal"/>
            </w:pPr>
            <w:r>
              <w:t xml:space="preserve">- - - - - - - - - - - - - - - - - - - - - - - - - - - - - </w:t>
            </w:r>
          </w:p>
          <w:p w14:paraId="753F7D3A" w14:textId="45D5B5ED" w:rsidR="00122B45" w:rsidRPr="00D16A8A" w:rsidRDefault="00677195" w:rsidP="00122B45">
            <w:pPr>
              <w:pStyle w:val="ANormal"/>
              <w:rPr>
                <w:lang w:val="sv-FI"/>
              </w:rPr>
            </w:pPr>
            <w:r>
              <w:rPr>
                <w:lang w:val="sv-FI"/>
              </w:rPr>
              <w:tab/>
            </w:r>
            <w:r w:rsidR="00122B45" w:rsidRPr="00D16A8A">
              <w:rPr>
                <w:lang w:val="sv-FI"/>
              </w:rPr>
              <w:t>8)</w:t>
            </w:r>
            <w:r>
              <w:rPr>
                <w:lang w:val="sv-FI"/>
              </w:rPr>
              <w:t xml:space="preserve"> </w:t>
            </w:r>
            <w:r w:rsidR="00122B45" w:rsidRPr="00D16A8A">
              <w:rPr>
                <w:i/>
                <w:iCs/>
                <w:lang w:val="sv-FI"/>
              </w:rPr>
              <w:t>detaljhandel</w:t>
            </w:r>
            <w:r>
              <w:rPr>
                <w:i/>
                <w:iCs/>
                <w:lang w:val="sv-FI"/>
              </w:rPr>
              <w:t xml:space="preserve"> </w:t>
            </w:r>
            <w:r w:rsidR="00122B45" w:rsidRPr="00D16A8A">
              <w:rPr>
                <w:lang w:val="sv-FI"/>
              </w:rPr>
              <w:t>yrkesmässig försäljning av tobaksprodukter eller relaterade produkter direkt till konsumenter</w:t>
            </w:r>
            <w:r w:rsidR="00122B45">
              <w:rPr>
                <w:lang w:val="sv-FI"/>
              </w:rPr>
              <w:t>, samt med</w:t>
            </w:r>
          </w:p>
          <w:p w14:paraId="08664891" w14:textId="7D79C1A5" w:rsidR="00EE1EB7" w:rsidRPr="00677195" w:rsidRDefault="00463893" w:rsidP="00EE1EB7">
            <w:pPr>
              <w:pStyle w:val="ANormal"/>
            </w:pPr>
            <w:r>
              <w:tab/>
            </w:r>
            <w:r w:rsidR="00EE1EB7">
              <w:t xml:space="preserve">9) </w:t>
            </w:r>
            <w:r w:rsidR="00EE1EB7" w:rsidRPr="00D04586">
              <w:rPr>
                <w:i/>
                <w:iCs/>
              </w:rPr>
              <w:t>första återförsäljningsställe</w:t>
            </w:r>
            <w:r w:rsidR="00EE1EB7" w:rsidRPr="004A3BE5">
              <w:t> varje försäljningsställe där tobaksprodukter eller relaterade produkter för första gången tillhandahålls på marknaden</w:t>
            </w:r>
            <w:r w:rsidR="00EE1EB7" w:rsidRPr="00677195">
              <w:t>.</w:t>
            </w:r>
          </w:p>
          <w:p w14:paraId="3C77EB4B" w14:textId="23842A6B" w:rsidR="00463893" w:rsidRDefault="00677195">
            <w:pPr>
              <w:pStyle w:val="ANormal"/>
            </w:pPr>
            <w:r>
              <w:rPr>
                <w:i/>
                <w:iCs/>
              </w:rPr>
              <w:tab/>
            </w:r>
            <w:r w:rsidR="00463893" w:rsidRPr="00463893">
              <w:rPr>
                <w:i/>
                <w:iCs/>
              </w:rPr>
              <w:t>Ny punkt</w:t>
            </w:r>
          </w:p>
          <w:p w14:paraId="04E2035C" w14:textId="77777777" w:rsidR="00463893" w:rsidRDefault="00463893">
            <w:pPr>
              <w:pStyle w:val="ANormal"/>
            </w:pPr>
          </w:p>
          <w:p w14:paraId="51B666A8" w14:textId="77777777" w:rsidR="00463893" w:rsidRDefault="00463893" w:rsidP="00463893">
            <w:pPr>
              <w:pStyle w:val="ANormal"/>
            </w:pPr>
          </w:p>
          <w:p w14:paraId="089FFE1A" w14:textId="77777777" w:rsidR="00463893" w:rsidRDefault="00463893" w:rsidP="00463893">
            <w:pPr>
              <w:pStyle w:val="ANormal"/>
            </w:pPr>
          </w:p>
          <w:p w14:paraId="4C002003" w14:textId="77777777" w:rsidR="00463893" w:rsidRDefault="00463893" w:rsidP="00463893">
            <w:pPr>
              <w:pStyle w:val="ANormal"/>
            </w:pPr>
          </w:p>
          <w:p w14:paraId="0ADB4596" w14:textId="77777777" w:rsidR="00463893" w:rsidRDefault="00463893" w:rsidP="00463893">
            <w:pPr>
              <w:pStyle w:val="ANormal"/>
            </w:pPr>
          </w:p>
          <w:p w14:paraId="07B5F51C" w14:textId="77777777" w:rsidR="00463893" w:rsidRPr="00463893" w:rsidRDefault="00463893" w:rsidP="00463893">
            <w:pPr>
              <w:pStyle w:val="ANormal"/>
              <w:rPr>
                <w:i/>
                <w:iCs/>
              </w:rPr>
            </w:pPr>
            <w:r>
              <w:tab/>
            </w:r>
            <w:r w:rsidRPr="00463893">
              <w:rPr>
                <w:i/>
                <w:iCs/>
              </w:rPr>
              <w:t>Ny punkt</w:t>
            </w:r>
          </w:p>
          <w:p w14:paraId="22ABCCF8" w14:textId="77777777" w:rsidR="00463893" w:rsidRDefault="00463893" w:rsidP="00463893">
            <w:pPr>
              <w:pStyle w:val="ANormal"/>
            </w:pPr>
          </w:p>
          <w:p w14:paraId="7F7284FF" w14:textId="77777777" w:rsidR="00463893" w:rsidRDefault="00463893" w:rsidP="00463893">
            <w:pPr>
              <w:pStyle w:val="ANormal"/>
            </w:pPr>
          </w:p>
          <w:p w14:paraId="0507CFEF" w14:textId="58C854FA" w:rsidR="00463893" w:rsidRPr="00052E65" w:rsidRDefault="00463893" w:rsidP="00463893">
            <w:pPr>
              <w:pStyle w:val="ANormal"/>
              <w:rPr>
                <w:i/>
                <w:iCs/>
              </w:rPr>
            </w:pPr>
            <w:r>
              <w:tab/>
            </w:r>
            <w:r w:rsidRPr="00052E65">
              <w:rPr>
                <w:i/>
                <w:iCs/>
              </w:rPr>
              <w:t>Ny punkt</w:t>
            </w:r>
          </w:p>
          <w:p w14:paraId="59589EB8" w14:textId="77777777" w:rsidR="00463893" w:rsidRDefault="00463893" w:rsidP="00463893">
            <w:pPr>
              <w:pStyle w:val="ANormal"/>
            </w:pPr>
          </w:p>
          <w:p w14:paraId="6EC1ED9D" w14:textId="77777777" w:rsidR="00463893" w:rsidRDefault="00463893" w:rsidP="00463893">
            <w:pPr>
              <w:pStyle w:val="ANormal"/>
            </w:pPr>
          </w:p>
          <w:p w14:paraId="78914D96" w14:textId="77777777" w:rsidR="00CE1A5F" w:rsidRDefault="00CE1A5F" w:rsidP="00463893">
            <w:pPr>
              <w:pStyle w:val="ANormal"/>
            </w:pPr>
          </w:p>
          <w:p w14:paraId="1DC1E93D" w14:textId="77777777" w:rsidR="00CE1A5F" w:rsidRDefault="00CE1A5F" w:rsidP="00463893">
            <w:pPr>
              <w:pStyle w:val="ANormal"/>
            </w:pPr>
          </w:p>
          <w:p w14:paraId="0FF52BDA" w14:textId="77777777" w:rsidR="00CE1A5F" w:rsidRDefault="00CE1A5F" w:rsidP="00463893">
            <w:pPr>
              <w:pStyle w:val="ANormal"/>
            </w:pPr>
          </w:p>
          <w:p w14:paraId="55043372" w14:textId="77777777" w:rsidR="00CE1A5F" w:rsidRDefault="00CE1A5F" w:rsidP="00463893">
            <w:pPr>
              <w:pStyle w:val="ANormal"/>
            </w:pPr>
          </w:p>
          <w:p w14:paraId="50D8C574" w14:textId="77777777" w:rsidR="00CE1A5F" w:rsidRDefault="00CE1A5F" w:rsidP="00463893">
            <w:pPr>
              <w:pStyle w:val="ANormal"/>
            </w:pPr>
          </w:p>
          <w:p w14:paraId="7003D152" w14:textId="189977BC" w:rsidR="00CE1A5F" w:rsidRDefault="00677195" w:rsidP="00463893">
            <w:pPr>
              <w:pStyle w:val="ANormal"/>
              <w:rPr>
                <w:i/>
                <w:iCs/>
              </w:rPr>
            </w:pPr>
            <w:r>
              <w:rPr>
                <w:i/>
                <w:iCs/>
              </w:rPr>
              <w:tab/>
            </w:r>
            <w:r w:rsidR="00052E65" w:rsidRPr="00052E65">
              <w:rPr>
                <w:i/>
                <w:iCs/>
              </w:rPr>
              <w:t>Ny punkt</w:t>
            </w:r>
          </w:p>
          <w:p w14:paraId="2610AA24" w14:textId="77777777" w:rsidR="00052E65" w:rsidRDefault="00052E65" w:rsidP="00463893">
            <w:pPr>
              <w:pStyle w:val="ANormal"/>
              <w:rPr>
                <w:i/>
                <w:iCs/>
              </w:rPr>
            </w:pPr>
          </w:p>
          <w:p w14:paraId="2B4BB82D" w14:textId="77777777" w:rsidR="00052E65" w:rsidRDefault="00052E65" w:rsidP="00463893">
            <w:pPr>
              <w:pStyle w:val="ANormal"/>
              <w:rPr>
                <w:i/>
                <w:iCs/>
              </w:rPr>
            </w:pPr>
          </w:p>
          <w:p w14:paraId="04813078" w14:textId="77777777" w:rsidR="00052E65" w:rsidRDefault="00052E65" w:rsidP="00463893">
            <w:pPr>
              <w:pStyle w:val="ANormal"/>
              <w:rPr>
                <w:i/>
                <w:iCs/>
              </w:rPr>
            </w:pPr>
          </w:p>
          <w:p w14:paraId="3F32CE83" w14:textId="77777777" w:rsidR="00052E65" w:rsidRDefault="00052E65" w:rsidP="00463893">
            <w:pPr>
              <w:pStyle w:val="ANormal"/>
              <w:rPr>
                <w:i/>
                <w:iCs/>
              </w:rPr>
            </w:pPr>
          </w:p>
          <w:p w14:paraId="181D9D8E" w14:textId="77777777" w:rsidR="00052E65" w:rsidRDefault="00052E65" w:rsidP="00463893">
            <w:pPr>
              <w:pStyle w:val="ANormal"/>
              <w:rPr>
                <w:i/>
                <w:iCs/>
              </w:rPr>
            </w:pPr>
          </w:p>
          <w:p w14:paraId="70C72C00" w14:textId="77777777" w:rsidR="00052E65" w:rsidRDefault="00052E65" w:rsidP="00463893">
            <w:pPr>
              <w:pStyle w:val="ANormal"/>
              <w:rPr>
                <w:i/>
                <w:iCs/>
              </w:rPr>
            </w:pPr>
          </w:p>
          <w:p w14:paraId="45528F2D" w14:textId="77777777" w:rsidR="00052E65" w:rsidRPr="00052E65" w:rsidRDefault="00052E65" w:rsidP="00463893">
            <w:pPr>
              <w:pStyle w:val="ANormal"/>
              <w:rPr>
                <w:i/>
                <w:iCs/>
              </w:rPr>
            </w:pPr>
          </w:p>
          <w:p w14:paraId="3BDD15F4" w14:textId="1991D637" w:rsidR="00463893" w:rsidRDefault="00463893">
            <w:pPr>
              <w:pStyle w:val="ANormal"/>
            </w:pPr>
            <w:r>
              <w:t xml:space="preserve">- - - - - - - - - - - - - - - - - - - - - - - - - - - - - </w:t>
            </w:r>
          </w:p>
          <w:p w14:paraId="1857D607" w14:textId="180F895F" w:rsidR="00463893" w:rsidRPr="00463893" w:rsidRDefault="00463893" w:rsidP="00463893">
            <w:pPr>
              <w:pStyle w:val="ANormal"/>
            </w:pPr>
          </w:p>
        </w:tc>
        <w:tc>
          <w:tcPr>
            <w:tcW w:w="146" w:type="pct"/>
          </w:tcPr>
          <w:p w14:paraId="7CBA8F06" w14:textId="77777777" w:rsidR="00E023D9" w:rsidRDefault="00E023D9">
            <w:pPr>
              <w:pStyle w:val="ANormal"/>
            </w:pPr>
          </w:p>
        </w:tc>
        <w:tc>
          <w:tcPr>
            <w:tcW w:w="2427" w:type="pct"/>
          </w:tcPr>
          <w:p w14:paraId="1C0DDA22" w14:textId="77777777" w:rsidR="00E023D9" w:rsidRDefault="00E023D9">
            <w:pPr>
              <w:pStyle w:val="ANormal"/>
            </w:pPr>
          </w:p>
          <w:p w14:paraId="440F4B7F" w14:textId="31B236F3" w:rsidR="00463893" w:rsidRDefault="00463893" w:rsidP="00463893">
            <w:pPr>
              <w:pStyle w:val="LagParagraf"/>
            </w:pPr>
            <w:r>
              <w:t>1</w:t>
            </w:r>
            <w:r w:rsidR="00677195">
              <w:t> §</w:t>
            </w:r>
          </w:p>
          <w:p w14:paraId="19D031C3" w14:textId="77777777" w:rsidR="00463893" w:rsidRDefault="00463893" w:rsidP="00463893">
            <w:pPr>
              <w:pStyle w:val="ANormal"/>
              <w:rPr>
                <w:shd w:val="clear" w:color="auto" w:fill="FFFFFF"/>
              </w:rPr>
            </w:pPr>
            <w:r>
              <w:tab/>
              <w:t xml:space="preserve">Syftet </w:t>
            </w:r>
            <w:r>
              <w:rPr>
                <w:shd w:val="clear" w:color="auto" w:fill="FFFFFF"/>
              </w:rPr>
              <w:t>med denna lag är att begränsa det för hälsan skadliga bruket av tobaksprodukter och relaterade produkter samt att minska de skadeverkningar bruket orsakar och samtidigt öka trivseln och välbefinnandet för dem som inte nyttjar dessa produkter. I denna lag avses med</w:t>
            </w:r>
          </w:p>
          <w:p w14:paraId="6311CB85" w14:textId="02B46310" w:rsidR="00463893" w:rsidRDefault="00463893" w:rsidP="00463893">
            <w:pPr>
              <w:pStyle w:val="ANormal"/>
            </w:pPr>
            <w:r w:rsidRPr="00B2678D">
              <w:t xml:space="preserve">- - - - - - - - - - - - - - - - - - - - - - - - - - - - - - </w:t>
            </w:r>
          </w:p>
          <w:p w14:paraId="014C073D" w14:textId="07E3495E" w:rsidR="00122B45" w:rsidRPr="00D16A8A" w:rsidRDefault="00677195" w:rsidP="00122B45">
            <w:pPr>
              <w:pStyle w:val="ANormal"/>
              <w:rPr>
                <w:lang w:val="sv-FI"/>
              </w:rPr>
            </w:pPr>
            <w:r>
              <w:rPr>
                <w:lang w:val="sv-FI"/>
              </w:rPr>
              <w:tab/>
            </w:r>
            <w:r w:rsidR="00122B45" w:rsidRPr="00D16A8A">
              <w:rPr>
                <w:lang w:val="sv-FI"/>
              </w:rPr>
              <w:t>8)</w:t>
            </w:r>
            <w:r>
              <w:rPr>
                <w:lang w:val="sv-FI"/>
              </w:rPr>
              <w:t xml:space="preserve"> </w:t>
            </w:r>
            <w:r w:rsidR="00122B45" w:rsidRPr="00D16A8A">
              <w:rPr>
                <w:i/>
                <w:iCs/>
                <w:lang w:val="sv-FI"/>
              </w:rPr>
              <w:t>detaljhandel</w:t>
            </w:r>
            <w:r>
              <w:rPr>
                <w:i/>
                <w:iCs/>
                <w:lang w:val="sv-FI"/>
              </w:rPr>
              <w:t xml:space="preserve"> </w:t>
            </w:r>
            <w:r w:rsidR="00122B45" w:rsidRPr="00D16A8A">
              <w:rPr>
                <w:lang w:val="sv-FI"/>
              </w:rPr>
              <w:t>yrkesmässig försäljning av tobaksprodukter eller relaterade produkter direkt till konsumenter</w:t>
            </w:r>
            <w:r w:rsidR="00122B45" w:rsidRPr="00122B45">
              <w:rPr>
                <w:b/>
                <w:bCs/>
                <w:lang w:val="sv-FI"/>
              </w:rPr>
              <w:t>,</w:t>
            </w:r>
          </w:p>
          <w:p w14:paraId="576D4A0A" w14:textId="65C91804" w:rsidR="004A3BE5" w:rsidRDefault="00677195" w:rsidP="00463893">
            <w:pPr>
              <w:pStyle w:val="ANormal"/>
              <w:rPr>
                <w:b/>
                <w:bCs/>
              </w:rPr>
            </w:pPr>
            <w:r>
              <w:tab/>
            </w:r>
            <w:r w:rsidR="00EE1EB7">
              <w:t xml:space="preserve">9) </w:t>
            </w:r>
            <w:r w:rsidR="004A3BE5" w:rsidRPr="00D04586">
              <w:rPr>
                <w:i/>
                <w:iCs/>
              </w:rPr>
              <w:t>första återförsäljningsställe</w:t>
            </w:r>
            <w:r>
              <w:rPr>
                <w:i/>
                <w:iCs/>
              </w:rPr>
              <w:t xml:space="preserve"> </w:t>
            </w:r>
            <w:r w:rsidR="004A3BE5" w:rsidRPr="004A3BE5">
              <w:t>varje försäljningsställe där tobaksprodukter eller relaterade produkter för första gången tillhandahålls på marknaden</w:t>
            </w:r>
            <w:r w:rsidR="004A3BE5" w:rsidRPr="004A3BE5">
              <w:rPr>
                <w:b/>
                <w:bCs/>
              </w:rPr>
              <w:t>,</w:t>
            </w:r>
          </w:p>
          <w:p w14:paraId="3CB9AAAC" w14:textId="1C5656F2" w:rsidR="00463893" w:rsidRPr="00463893" w:rsidRDefault="00677195" w:rsidP="00463893">
            <w:pPr>
              <w:pStyle w:val="ANormal"/>
              <w:rPr>
                <w:b/>
                <w:bCs/>
              </w:rPr>
            </w:pPr>
            <w:r>
              <w:rPr>
                <w:b/>
                <w:bCs/>
              </w:rPr>
              <w:tab/>
            </w:r>
            <w:r w:rsidR="00463893" w:rsidRPr="00463893">
              <w:rPr>
                <w:b/>
                <w:bCs/>
              </w:rPr>
              <w:t xml:space="preserve">10) </w:t>
            </w:r>
            <w:r w:rsidR="00463893" w:rsidRPr="00463893">
              <w:rPr>
                <w:b/>
                <w:bCs/>
                <w:i/>
                <w:iCs/>
              </w:rPr>
              <w:t xml:space="preserve">rökfria nikotinprodukter </w:t>
            </w:r>
            <w:r w:rsidR="00463893" w:rsidRPr="00463893">
              <w:rPr>
                <w:b/>
                <w:bCs/>
              </w:rPr>
              <w:t>en produkt som till användningssättet motsvarar en tobaksprodukt, men som inte innehåller tobak, och som innehåller nikotin och är avsedda att tuggas, konsumeras via näsan eller användas i munnen,</w:t>
            </w:r>
          </w:p>
          <w:p w14:paraId="39D55DE7" w14:textId="77777777" w:rsidR="00463893" w:rsidRDefault="00463893" w:rsidP="00463893">
            <w:pPr>
              <w:pStyle w:val="ANormal"/>
              <w:rPr>
                <w:b/>
                <w:bCs/>
              </w:rPr>
            </w:pPr>
            <w:r w:rsidRPr="00463893">
              <w:rPr>
                <w:b/>
                <w:bCs/>
              </w:rPr>
              <w:tab/>
              <w:t xml:space="preserve">11) </w:t>
            </w:r>
            <w:r w:rsidRPr="00463893">
              <w:rPr>
                <w:b/>
                <w:bCs/>
                <w:i/>
                <w:iCs/>
              </w:rPr>
              <w:t xml:space="preserve">nikotinpåsar </w:t>
            </w:r>
            <w:r w:rsidRPr="00463893">
              <w:rPr>
                <w:b/>
                <w:bCs/>
              </w:rPr>
              <w:t>rökfria</w:t>
            </w:r>
            <w:r w:rsidRPr="00463893">
              <w:rPr>
                <w:b/>
                <w:bCs/>
                <w:i/>
                <w:iCs/>
              </w:rPr>
              <w:t xml:space="preserve"> </w:t>
            </w:r>
            <w:r w:rsidRPr="00463893">
              <w:rPr>
                <w:b/>
                <w:bCs/>
              </w:rPr>
              <w:t>nikotinprodukter i pulver- eller partikelform för användning i munnen,</w:t>
            </w:r>
          </w:p>
          <w:p w14:paraId="066BB502" w14:textId="131F5D23" w:rsidR="00122B45" w:rsidRPr="00CE1A5F" w:rsidRDefault="00677195" w:rsidP="00463893">
            <w:pPr>
              <w:pStyle w:val="ANormal"/>
              <w:rPr>
                <w:b/>
                <w:bCs/>
              </w:rPr>
            </w:pPr>
            <w:r>
              <w:rPr>
                <w:b/>
                <w:bCs/>
              </w:rPr>
              <w:tab/>
            </w:r>
            <w:r w:rsidR="00122B45">
              <w:rPr>
                <w:b/>
                <w:bCs/>
              </w:rPr>
              <w:t xml:space="preserve">12) </w:t>
            </w:r>
            <w:r w:rsidR="00CE1A5F" w:rsidRPr="00CE1A5F">
              <w:rPr>
                <w:b/>
                <w:bCs/>
                <w:i/>
                <w:iCs/>
              </w:rPr>
              <w:t>upphettad tobaksprodukt </w:t>
            </w:r>
            <w:r w:rsidR="00CE1A5F" w:rsidRPr="00CE1A5F">
              <w:rPr>
                <w:b/>
                <w:bCs/>
              </w:rPr>
              <w:t xml:space="preserve">en ny tobaksprodukt som hettas upp för att </w:t>
            </w:r>
            <w:r w:rsidR="00CE1A5F" w:rsidRPr="00CE1A5F">
              <w:rPr>
                <w:b/>
                <w:bCs/>
              </w:rPr>
              <w:lastRenderedPageBreak/>
              <w:t>producera ett utsläpp som innehåller nikotin och andra kemikalier, som sedan inandas av användarna och som, beroende på dess egenskaper, är en rökfri tobaksprodukt eller en tobaksprodukt för rökning, samt med</w:t>
            </w:r>
          </w:p>
          <w:p w14:paraId="49804374" w14:textId="4D66ED6B" w:rsidR="00463893" w:rsidRPr="00463893" w:rsidRDefault="00463893" w:rsidP="00463893">
            <w:pPr>
              <w:pStyle w:val="ANormal"/>
              <w:rPr>
                <w:b/>
                <w:bCs/>
              </w:rPr>
            </w:pPr>
            <w:r w:rsidRPr="00463893">
              <w:rPr>
                <w:b/>
                <w:bCs/>
              </w:rPr>
              <w:tab/>
              <w:t>1</w:t>
            </w:r>
            <w:r w:rsidR="00782B2E">
              <w:rPr>
                <w:b/>
                <w:bCs/>
              </w:rPr>
              <w:t>3</w:t>
            </w:r>
            <w:r w:rsidRPr="00463893">
              <w:rPr>
                <w:b/>
                <w:bCs/>
              </w:rPr>
              <w:t xml:space="preserve">) </w:t>
            </w:r>
            <w:r w:rsidRPr="00463893">
              <w:rPr>
                <w:b/>
                <w:bCs/>
                <w:i/>
                <w:iCs/>
              </w:rPr>
              <w:t>karakteristisk doft eller smak</w:t>
            </w:r>
            <w:r w:rsidRPr="00463893">
              <w:rPr>
                <w:b/>
                <w:bCs/>
              </w:rPr>
              <w:t xml:space="preserve"> en doft eller smak av annat än tobak, till följd av en tillsats eller kombination av tillsatser, som är tydligt märkbar före eller under användningen av en tobaksprodukt, nikotinvätska, nikotinfri vätska för förångning eller rökfri nikotinprodukt.</w:t>
            </w:r>
          </w:p>
          <w:p w14:paraId="5A76150E" w14:textId="6D32D614" w:rsidR="00463893" w:rsidRDefault="00463893" w:rsidP="00463893">
            <w:pPr>
              <w:pStyle w:val="ANormal"/>
            </w:pPr>
            <w:r>
              <w:t>- -</w:t>
            </w:r>
            <w:r w:rsidR="00052E65">
              <w:t xml:space="preserve"> </w:t>
            </w:r>
            <w:r>
              <w:t xml:space="preserve">- - - - - - - - - - - - - - - - - - - - - - - - - - - - </w:t>
            </w:r>
          </w:p>
        </w:tc>
      </w:tr>
      <w:tr w:rsidR="00463893" w14:paraId="1071D81E" w14:textId="77777777" w:rsidTr="00252D07">
        <w:tc>
          <w:tcPr>
            <w:tcW w:w="2427" w:type="pct"/>
          </w:tcPr>
          <w:p w14:paraId="5AEE1533" w14:textId="77777777" w:rsidR="00463893" w:rsidRDefault="00463893">
            <w:pPr>
              <w:pStyle w:val="ANormal"/>
            </w:pPr>
          </w:p>
          <w:p w14:paraId="470CD861" w14:textId="2A2D495A" w:rsidR="00463893" w:rsidRDefault="00463893" w:rsidP="00463893">
            <w:pPr>
              <w:pStyle w:val="LagParagraf"/>
            </w:pPr>
            <w:r>
              <w:t>1a</w:t>
            </w:r>
            <w:r w:rsidR="00677195">
              <w:t> §</w:t>
            </w:r>
          </w:p>
          <w:p w14:paraId="249649B9" w14:textId="15DDCACE" w:rsidR="00463893" w:rsidRPr="00463893" w:rsidRDefault="00463893" w:rsidP="00463893">
            <w:pPr>
              <w:pStyle w:val="ANormal"/>
            </w:pPr>
            <w:r>
              <w:tab/>
            </w:r>
            <w:r w:rsidRPr="00463893">
              <w:t>Om inte annat särskilt föreskrivs ska det som i detta kapitel föreskrivs om begränsningar för innehav, marknadsföring, saluhållande och nyttjande av tobaksprodukter vara tillämpligt också på elektroniska cigaretter, påfyllningsbehållare och örtprodukter för rökning.</w:t>
            </w:r>
          </w:p>
          <w:p w14:paraId="4B3BDC64" w14:textId="1A3370AB" w:rsidR="00463893" w:rsidRDefault="00463893">
            <w:pPr>
              <w:pStyle w:val="ANormal"/>
            </w:pPr>
          </w:p>
        </w:tc>
        <w:tc>
          <w:tcPr>
            <w:tcW w:w="146" w:type="pct"/>
          </w:tcPr>
          <w:p w14:paraId="5282B581" w14:textId="77777777" w:rsidR="00463893" w:rsidRDefault="00463893">
            <w:pPr>
              <w:pStyle w:val="ANormal"/>
            </w:pPr>
          </w:p>
        </w:tc>
        <w:tc>
          <w:tcPr>
            <w:tcW w:w="2427" w:type="pct"/>
          </w:tcPr>
          <w:p w14:paraId="1BE5F372" w14:textId="77777777" w:rsidR="00463893" w:rsidRDefault="00463893">
            <w:pPr>
              <w:pStyle w:val="ANormal"/>
            </w:pPr>
          </w:p>
          <w:p w14:paraId="18F1808F" w14:textId="5D5A85ED" w:rsidR="00463893" w:rsidRDefault="00463893" w:rsidP="00463893">
            <w:pPr>
              <w:pStyle w:val="LagParagraf"/>
            </w:pPr>
            <w:r>
              <w:t>1a</w:t>
            </w:r>
            <w:r w:rsidR="00677195">
              <w:t> §</w:t>
            </w:r>
          </w:p>
          <w:p w14:paraId="76C8C099" w14:textId="79FBA40A" w:rsidR="00463893" w:rsidRDefault="00463893">
            <w:pPr>
              <w:pStyle w:val="ANormal"/>
            </w:pPr>
            <w:r>
              <w:tab/>
            </w:r>
            <w:r w:rsidRPr="00463893">
              <w:t xml:space="preserve">Om inte annat </w:t>
            </w:r>
            <w:r w:rsidRPr="00463893">
              <w:rPr>
                <w:b/>
                <w:bCs/>
              </w:rPr>
              <w:t>bestäms särskilt</w:t>
            </w:r>
            <w:r w:rsidRPr="00463893">
              <w:t xml:space="preserve"> ska det som i detta kapitel </w:t>
            </w:r>
            <w:r w:rsidRPr="00463893">
              <w:rPr>
                <w:b/>
                <w:bCs/>
              </w:rPr>
              <w:t>bestäms</w:t>
            </w:r>
            <w:r w:rsidRPr="00463893">
              <w:t xml:space="preserve"> om begränsningar för innehav, marknadsföring, saluhållande och nyttjande av tobaksprodukter vara tillämpligt också på elektroniska cigaretter, </w:t>
            </w:r>
            <w:r w:rsidRPr="0065002B">
              <w:rPr>
                <w:b/>
                <w:bCs/>
              </w:rPr>
              <w:t>rökfria nikotinprodukter,</w:t>
            </w:r>
            <w:r w:rsidRPr="0065002B">
              <w:t xml:space="preserve"> påfyllningsbehållare</w:t>
            </w:r>
            <w:r w:rsidRPr="00463893">
              <w:t xml:space="preserve"> och örtprodukter för rökning.</w:t>
            </w:r>
          </w:p>
          <w:p w14:paraId="7B79F325" w14:textId="648043E0" w:rsidR="00463893" w:rsidRDefault="00463893">
            <w:pPr>
              <w:pStyle w:val="ANormal"/>
            </w:pPr>
          </w:p>
        </w:tc>
      </w:tr>
      <w:tr w:rsidR="00E023D9" w14:paraId="551E5CFB" w14:textId="77777777" w:rsidTr="00252D07">
        <w:tc>
          <w:tcPr>
            <w:tcW w:w="2427" w:type="pct"/>
          </w:tcPr>
          <w:p w14:paraId="6FADB8A7" w14:textId="77777777" w:rsidR="00677195" w:rsidRDefault="00677195" w:rsidP="00677195">
            <w:pPr>
              <w:pStyle w:val="ANormal"/>
            </w:pPr>
          </w:p>
          <w:p w14:paraId="45183300" w14:textId="52931587" w:rsidR="00463893" w:rsidRDefault="00463893" w:rsidP="00463893">
            <w:pPr>
              <w:pStyle w:val="LagParagraf"/>
            </w:pPr>
            <w:r>
              <w:t>2</w:t>
            </w:r>
            <w:r w:rsidR="00677195">
              <w:t> §</w:t>
            </w:r>
          </w:p>
          <w:p w14:paraId="3A943209" w14:textId="1183DD25" w:rsidR="00E023D9" w:rsidRPr="00F34118" w:rsidRDefault="00463893" w:rsidP="00463893">
            <w:pPr>
              <w:pStyle w:val="ANormal"/>
            </w:pPr>
            <w:r>
              <w:tab/>
            </w:r>
            <w:r w:rsidRPr="00463893">
              <w:t>Tobaksprodukter och relaterade produkter får inte säljas eller på annat sätt överlåtas till den som inte har fyllt 18 år. Vid behov ska försäljaren förvissa sig om kundens ålder. Den som säljer tobaksprodukter och relaterade produkter i näringsverksamhet ska vara minst 18 år</w:t>
            </w:r>
            <w:r w:rsidRPr="00F34118">
              <w:t>, personer som har fyllt 15 år får dock sälja sådana produkter om det sker under tillsyn av en person som har fyllt 18 år.</w:t>
            </w:r>
          </w:p>
          <w:p w14:paraId="62505D08" w14:textId="7D09A151" w:rsidR="00463893" w:rsidRDefault="00463893">
            <w:pPr>
              <w:pStyle w:val="ANormal"/>
            </w:pPr>
            <w:r>
              <w:t xml:space="preserve">- - - - - - - - - - - - - - - - - - - - - - - - - - - - - </w:t>
            </w:r>
          </w:p>
          <w:p w14:paraId="6CEDEFAC" w14:textId="78BA0491" w:rsidR="00463893" w:rsidRDefault="00463893" w:rsidP="00463893">
            <w:pPr>
              <w:pStyle w:val="ANormal"/>
            </w:pPr>
          </w:p>
        </w:tc>
        <w:tc>
          <w:tcPr>
            <w:tcW w:w="146" w:type="pct"/>
          </w:tcPr>
          <w:p w14:paraId="7F108108" w14:textId="77777777" w:rsidR="00E023D9" w:rsidRDefault="00E023D9">
            <w:pPr>
              <w:pStyle w:val="ANormal"/>
            </w:pPr>
          </w:p>
        </w:tc>
        <w:tc>
          <w:tcPr>
            <w:tcW w:w="2427" w:type="pct"/>
          </w:tcPr>
          <w:p w14:paraId="47EDEC3B" w14:textId="77777777" w:rsidR="00677195" w:rsidRDefault="00677195" w:rsidP="00677195">
            <w:pPr>
              <w:pStyle w:val="ANormal"/>
              <w:rPr>
                <w:shd w:val="clear" w:color="auto" w:fill="FFFFFF"/>
              </w:rPr>
            </w:pPr>
          </w:p>
          <w:p w14:paraId="2E860530" w14:textId="6DD96468" w:rsidR="00463893" w:rsidRDefault="00463893" w:rsidP="00463893">
            <w:pPr>
              <w:pStyle w:val="LagParagraf"/>
              <w:rPr>
                <w:shd w:val="clear" w:color="auto" w:fill="FFFFFF"/>
              </w:rPr>
            </w:pPr>
            <w:r>
              <w:rPr>
                <w:shd w:val="clear" w:color="auto" w:fill="FFFFFF"/>
              </w:rPr>
              <w:t>2</w:t>
            </w:r>
            <w:r w:rsidR="00677195">
              <w:rPr>
                <w:shd w:val="clear" w:color="auto" w:fill="FFFFFF"/>
              </w:rPr>
              <w:t> §</w:t>
            </w:r>
          </w:p>
          <w:p w14:paraId="3CC1A72A" w14:textId="77BBE357" w:rsidR="00F34118" w:rsidRDefault="00463893" w:rsidP="00F34118">
            <w:pPr>
              <w:pStyle w:val="ANormal"/>
            </w:pPr>
            <w:r>
              <w:tab/>
            </w:r>
            <w:r w:rsidRPr="00303D70">
              <w:t>Tobaksprodukter och relaterade produkter får inte säljas eller på annat sätt överlåtas till den som inte har fyllt 18 år. Vid behov ska försäljaren förvissa sig om kundens ålder. Den som säljer tobaksprodukter och relaterade produkter i näringsverksamhet ska vara minst 18 år</w:t>
            </w:r>
            <w:r>
              <w:t>.</w:t>
            </w:r>
            <w:r w:rsidR="00F34118" w:rsidRPr="00916529">
              <w:rPr>
                <w:b/>
                <w:bCs/>
              </w:rPr>
              <w:t xml:space="preserve"> </w:t>
            </w:r>
            <w:r w:rsidR="00F34118" w:rsidRPr="00F34118">
              <w:t>Personer som har fyllt</w:t>
            </w:r>
            <w:r w:rsidR="00F34118" w:rsidRPr="00916529">
              <w:rPr>
                <w:b/>
                <w:bCs/>
              </w:rPr>
              <w:t xml:space="preserve"> 16 år </w:t>
            </w:r>
            <w:r w:rsidR="00F34118" w:rsidRPr="00AD2CA0">
              <w:t>får dock sälja sådana produkter om det sker under</w:t>
            </w:r>
            <w:r w:rsidR="00F34118" w:rsidRPr="00916529">
              <w:rPr>
                <w:b/>
                <w:bCs/>
              </w:rPr>
              <w:t xml:space="preserve"> direkt </w:t>
            </w:r>
            <w:r w:rsidR="00F34118" w:rsidRPr="00AD2CA0">
              <w:t>tillsyn av en person som har fyllt 18 år.</w:t>
            </w:r>
          </w:p>
          <w:p w14:paraId="0143D443" w14:textId="0921C8CF" w:rsidR="00AD2CA0" w:rsidRPr="00AD2CA0" w:rsidRDefault="00AD2CA0" w:rsidP="00AD2CA0">
            <w:pPr>
              <w:pStyle w:val="ANormal"/>
            </w:pPr>
            <w:r w:rsidRPr="00AD2CA0">
              <w:t>-</w:t>
            </w:r>
            <w:r>
              <w:t xml:space="preserve"> - - - - - - - - - - - - - - - - - - - - - - - - - - - - - </w:t>
            </w:r>
          </w:p>
          <w:p w14:paraId="3D2BD1DA" w14:textId="77AB394F" w:rsidR="00E023D9" w:rsidRDefault="00E023D9" w:rsidP="00463893">
            <w:pPr>
              <w:pStyle w:val="ANormal"/>
            </w:pPr>
          </w:p>
        </w:tc>
      </w:tr>
      <w:tr w:rsidR="00463893" w14:paraId="1217E04B" w14:textId="77777777" w:rsidTr="00252D07">
        <w:tc>
          <w:tcPr>
            <w:tcW w:w="2427" w:type="pct"/>
          </w:tcPr>
          <w:p w14:paraId="1C0085F7" w14:textId="77777777" w:rsidR="00463893" w:rsidRDefault="00463893">
            <w:pPr>
              <w:pStyle w:val="ANormal"/>
            </w:pPr>
          </w:p>
          <w:p w14:paraId="11C4C161" w14:textId="2C6A742E" w:rsidR="00463893" w:rsidRDefault="00463893" w:rsidP="00463893">
            <w:pPr>
              <w:pStyle w:val="LagParagraf"/>
            </w:pPr>
            <w:r>
              <w:t>2a</w:t>
            </w:r>
            <w:r w:rsidR="00677195">
              <w:t> §</w:t>
            </w:r>
          </w:p>
          <w:p w14:paraId="4EDE0F00" w14:textId="382F73BF" w:rsidR="00463893" w:rsidRDefault="00463893">
            <w:pPr>
              <w:pStyle w:val="ANormal"/>
            </w:pPr>
            <w:r>
              <w:tab/>
            </w:r>
            <w:r w:rsidRPr="00463893">
              <w:t>Det är förbjudet att sälja eller på annat sätt i näringsverksamhet överlåta tobak som är avsedd för användning i munnen. Dessutom är det förbjudet att på annat sätt på marknaden släppa ut tobak för användning i munnen. Med tobak som är avsedd för användning i munnen avses alla produkter för användning i munnen, utom sådana som är avsedda att rökas eller tuggas, och som helt eller delvis är framställda av tobak i pulver- eller partikelform eller i någon kombination av dessa former, särskilt i portionspåsar eller porösa påsar, eller i en form som påminner om ett livsmedel.</w:t>
            </w:r>
          </w:p>
          <w:p w14:paraId="5AD31944" w14:textId="30A53B92" w:rsidR="00B2678D" w:rsidRDefault="00B2678D">
            <w:pPr>
              <w:pStyle w:val="ANormal"/>
            </w:pPr>
          </w:p>
        </w:tc>
        <w:tc>
          <w:tcPr>
            <w:tcW w:w="146" w:type="pct"/>
          </w:tcPr>
          <w:p w14:paraId="6F7D2683" w14:textId="77777777" w:rsidR="00463893" w:rsidRDefault="00463893">
            <w:pPr>
              <w:pStyle w:val="ANormal"/>
            </w:pPr>
          </w:p>
        </w:tc>
        <w:tc>
          <w:tcPr>
            <w:tcW w:w="2427" w:type="pct"/>
          </w:tcPr>
          <w:p w14:paraId="65D0E1E5" w14:textId="77777777" w:rsidR="00463893" w:rsidRDefault="00463893">
            <w:pPr>
              <w:pStyle w:val="ANormal"/>
            </w:pPr>
          </w:p>
          <w:p w14:paraId="07F6642E" w14:textId="5E1AC22D" w:rsidR="00463893" w:rsidRDefault="00463893" w:rsidP="00463893">
            <w:pPr>
              <w:pStyle w:val="LagParagraf"/>
            </w:pPr>
            <w:r>
              <w:t>2a</w:t>
            </w:r>
            <w:r w:rsidR="00677195">
              <w:t> §</w:t>
            </w:r>
          </w:p>
          <w:p w14:paraId="11B8EC80" w14:textId="0F784B05" w:rsidR="00463893" w:rsidRDefault="00463893" w:rsidP="00463893">
            <w:pPr>
              <w:pStyle w:val="ANormal"/>
            </w:pPr>
            <w:r>
              <w:tab/>
            </w:r>
            <w:r w:rsidRPr="00463893">
              <w:t>Det är förbjudet att sälja eller på annat sätt i näringsverksamhet överlåta t</w:t>
            </w:r>
            <w:r w:rsidRPr="00463893">
              <w:rPr>
                <w:b/>
                <w:bCs/>
              </w:rPr>
              <w:t>obaksprodukter</w:t>
            </w:r>
            <w:r w:rsidRPr="00463893">
              <w:t xml:space="preserve"> som är avsedd för användning i munnen. Dessutom är det förbjudet att på annat sätt på marknaden släppa ut </w:t>
            </w:r>
            <w:r w:rsidRPr="00463893">
              <w:rPr>
                <w:b/>
                <w:bCs/>
              </w:rPr>
              <w:t>tobaksprodukter</w:t>
            </w:r>
            <w:r w:rsidRPr="00463893">
              <w:t xml:space="preserve"> för användning i munnen. Med tobaksprodukter som är avsedd för användning i munnen avses alla produkter för användning i munnen, utom sådana som är avsedda att rökas eller tuggas, och som helt eller delvis består av tobak i pulver- eller partikelform eller i någon kombination av dessa former, särskilt i portionspåsar eller </w:t>
            </w:r>
            <w:r w:rsidRPr="00463893">
              <w:lastRenderedPageBreak/>
              <w:t>porösa påsar, eller i en form som påminner om ett livsmedel.</w:t>
            </w:r>
          </w:p>
          <w:p w14:paraId="2F3B5425" w14:textId="53F584F8" w:rsidR="00D10E93" w:rsidRPr="00463893" w:rsidRDefault="00D10E93" w:rsidP="00463893">
            <w:pPr>
              <w:pStyle w:val="ANormal"/>
            </w:pPr>
          </w:p>
        </w:tc>
      </w:tr>
      <w:tr w:rsidR="00463893" w14:paraId="21D3C34E" w14:textId="77777777" w:rsidTr="00252D07">
        <w:tc>
          <w:tcPr>
            <w:tcW w:w="2427" w:type="pct"/>
          </w:tcPr>
          <w:p w14:paraId="797CCD2D" w14:textId="77777777" w:rsidR="00463893" w:rsidRDefault="00463893">
            <w:pPr>
              <w:pStyle w:val="ANormal"/>
            </w:pPr>
          </w:p>
          <w:p w14:paraId="28C7B234" w14:textId="3D68BCD1" w:rsidR="00463893" w:rsidRDefault="00463893" w:rsidP="00463893">
            <w:pPr>
              <w:pStyle w:val="LagParagraf"/>
            </w:pPr>
            <w:r>
              <w:t>4</w:t>
            </w:r>
            <w:r w:rsidR="00677195">
              <w:t> §</w:t>
            </w:r>
          </w:p>
          <w:p w14:paraId="4232793F" w14:textId="107B178D" w:rsidR="00463893" w:rsidRDefault="00463893" w:rsidP="00463893">
            <w:pPr>
              <w:pStyle w:val="ANormal"/>
            </w:pPr>
            <w:r>
              <w:tab/>
            </w:r>
            <w:r w:rsidRPr="00463893">
              <w:t>Tobaksrökning är förbjuden:</w:t>
            </w:r>
          </w:p>
          <w:p w14:paraId="74097550" w14:textId="69082D8F" w:rsidR="00463893" w:rsidRDefault="00463893">
            <w:pPr>
              <w:pStyle w:val="ANormal"/>
            </w:pPr>
            <w:r>
              <w:t xml:space="preserve">- - - - - - - - - - - - - - - - - - - - - - - - - - - - - </w:t>
            </w:r>
          </w:p>
          <w:p w14:paraId="786C7676" w14:textId="70EBA686" w:rsidR="00463893" w:rsidRDefault="00463893" w:rsidP="00463893">
            <w:pPr>
              <w:pStyle w:val="ANormal"/>
            </w:pPr>
            <w:r>
              <w:tab/>
            </w:r>
            <w:r w:rsidRPr="00463893">
              <w:t>6) i restaurang och annat serverings-utrymme där servering i förvärvssyfte sker av mat eller förfriskningar, utom när sådan servering sker utomhus.</w:t>
            </w:r>
          </w:p>
          <w:p w14:paraId="5E7BD760" w14:textId="77777777" w:rsidR="00BE70B3" w:rsidRDefault="00BE70B3" w:rsidP="00463893">
            <w:pPr>
              <w:pStyle w:val="ANormal"/>
              <w:rPr>
                <w:i/>
                <w:iCs/>
              </w:rPr>
            </w:pPr>
          </w:p>
          <w:p w14:paraId="6BA66A7E" w14:textId="64896592" w:rsidR="00463893" w:rsidRPr="00911EA9" w:rsidRDefault="00677195" w:rsidP="00463893">
            <w:pPr>
              <w:pStyle w:val="ANormal"/>
              <w:rPr>
                <w:i/>
                <w:iCs/>
              </w:rPr>
            </w:pPr>
            <w:r>
              <w:rPr>
                <w:i/>
                <w:iCs/>
              </w:rPr>
              <w:tab/>
            </w:r>
            <w:r w:rsidR="00911EA9" w:rsidRPr="00911EA9">
              <w:rPr>
                <w:i/>
                <w:iCs/>
              </w:rPr>
              <w:t>Ny punkt</w:t>
            </w:r>
          </w:p>
          <w:p w14:paraId="0279E1F7" w14:textId="77777777" w:rsidR="00911EA9" w:rsidRDefault="00911EA9" w:rsidP="00463893">
            <w:pPr>
              <w:pStyle w:val="ANormal"/>
            </w:pPr>
          </w:p>
          <w:p w14:paraId="3A998545" w14:textId="77777777" w:rsidR="00677195" w:rsidRDefault="00677195" w:rsidP="00463893">
            <w:pPr>
              <w:pStyle w:val="ANormal"/>
            </w:pPr>
          </w:p>
          <w:p w14:paraId="2BAA924D" w14:textId="2C2D1BBE" w:rsidR="00911EA9" w:rsidRPr="00911EA9" w:rsidRDefault="00677195" w:rsidP="00463893">
            <w:pPr>
              <w:pStyle w:val="ANormal"/>
              <w:rPr>
                <w:i/>
                <w:iCs/>
              </w:rPr>
            </w:pPr>
            <w:r>
              <w:rPr>
                <w:i/>
                <w:iCs/>
              </w:rPr>
              <w:tab/>
            </w:r>
            <w:r w:rsidR="00911EA9" w:rsidRPr="00911EA9">
              <w:rPr>
                <w:i/>
                <w:iCs/>
              </w:rPr>
              <w:t>Ny punkt</w:t>
            </w:r>
          </w:p>
          <w:p w14:paraId="43EC1121" w14:textId="77777777" w:rsidR="00911EA9" w:rsidRDefault="00911EA9" w:rsidP="00463893">
            <w:pPr>
              <w:pStyle w:val="ANormal"/>
            </w:pPr>
          </w:p>
          <w:p w14:paraId="63F135EF" w14:textId="77777777" w:rsidR="00911EA9" w:rsidRDefault="00911EA9" w:rsidP="00463893">
            <w:pPr>
              <w:pStyle w:val="ANormal"/>
            </w:pPr>
          </w:p>
          <w:p w14:paraId="798648F7" w14:textId="77777777" w:rsidR="00911EA9" w:rsidRDefault="00911EA9" w:rsidP="00463893">
            <w:pPr>
              <w:pStyle w:val="ANormal"/>
              <w:rPr>
                <w:i/>
                <w:iCs/>
              </w:rPr>
            </w:pPr>
            <w:r>
              <w:tab/>
            </w:r>
            <w:r w:rsidRPr="00911EA9">
              <w:rPr>
                <w:i/>
                <w:iCs/>
              </w:rPr>
              <w:t>Ny punkt</w:t>
            </w:r>
          </w:p>
          <w:p w14:paraId="08BD7C15" w14:textId="77777777" w:rsidR="006D0BDE" w:rsidRDefault="006D0BDE" w:rsidP="00463893">
            <w:pPr>
              <w:pStyle w:val="ANormal"/>
              <w:rPr>
                <w:i/>
                <w:iCs/>
              </w:rPr>
            </w:pPr>
          </w:p>
          <w:p w14:paraId="120FCF51" w14:textId="315273C1" w:rsidR="006D0BDE" w:rsidRPr="00911EA9" w:rsidRDefault="00677195" w:rsidP="00463893">
            <w:pPr>
              <w:pStyle w:val="ANormal"/>
              <w:rPr>
                <w:i/>
                <w:iCs/>
              </w:rPr>
            </w:pPr>
            <w:r>
              <w:rPr>
                <w:i/>
                <w:iCs/>
              </w:rPr>
              <w:tab/>
            </w:r>
            <w:r w:rsidR="00A364EA">
              <w:rPr>
                <w:i/>
                <w:iCs/>
              </w:rPr>
              <w:t>Nytt moment</w:t>
            </w:r>
          </w:p>
          <w:p w14:paraId="2CE5F2D9" w14:textId="77777777" w:rsidR="00911EA9" w:rsidRDefault="00911EA9" w:rsidP="00463893">
            <w:pPr>
              <w:pStyle w:val="ANormal"/>
            </w:pPr>
          </w:p>
          <w:p w14:paraId="7650C632" w14:textId="432F8084" w:rsidR="00911EA9" w:rsidRPr="00463893" w:rsidRDefault="00911EA9" w:rsidP="00A13CDC">
            <w:pPr>
              <w:pStyle w:val="ANormal"/>
            </w:pPr>
          </w:p>
        </w:tc>
        <w:tc>
          <w:tcPr>
            <w:tcW w:w="146" w:type="pct"/>
          </w:tcPr>
          <w:p w14:paraId="13D06FF7" w14:textId="77777777" w:rsidR="00463893" w:rsidRDefault="00463893">
            <w:pPr>
              <w:pStyle w:val="ANormal"/>
            </w:pPr>
          </w:p>
        </w:tc>
        <w:tc>
          <w:tcPr>
            <w:tcW w:w="2427" w:type="pct"/>
          </w:tcPr>
          <w:p w14:paraId="48C507E0" w14:textId="77777777" w:rsidR="001A1C33" w:rsidRDefault="001A1C33" w:rsidP="00677195">
            <w:pPr>
              <w:pStyle w:val="ANormal"/>
            </w:pPr>
          </w:p>
          <w:p w14:paraId="20CE5949" w14:textId="537A9016" w:rsidR="00463893" w:rsidRDefault="00463893" w:rsidP="00463893">
            <w:pPr>
              <w:pStyle w:val="LagParagraf"/>
            </w:pPr>
            <w:r>
              <w:t>4</w:t>
            </w:r>
            <w:r w:rsidR="00677195">
              <w:t> §</w:t>
            </w:r>
          </w:p>
          <w:p w14:paraId="3F2B2F32" w14:textId="77777777" w:rsidR="00463893" w:rsidRDefault="00463893" w:rsidP="00463893">
            <w:pPr>
              <w:pStyle w:val="ANormal"/>
            </w:pPr>
            <w:r>
              <w:tab/>
              <w:t>Tobaksrökning är förbjuden:</w:t>
            </w:r>
          </w:p>
          <w:p w14:paraId="76BE5A71" w14:textId="0053BF3A" w:rsidR="00463893" w:rsidRDefault="00463893" w:rsidP="00463893">
            <w:pPr>
              <w:pStyle w:val="ANormal"/>
            </w:pPr>
            <w:r>
              <w:t xml:space="preserve">- - - - - - - - - - - - - - - - - - - - - - - - - - - - - - </w:t>
            </w:r>
          </w:p>
          <w:p w14:paraId="7FA0939D" w14:textId="48454733" w:rsidR="00463893" w:rsidRDefault="00463893" w:rsidP="00463893">
            <w:pPr>
              <w:pStyle w:val="ANormal"/>
            </w:pPr>
            <w:r>
              <w:tab/>
              <w:t xml:space="preserve">6) i </w:t>
            </w:r>
            <w:r w:rsidRPr="00911EA9">
              <w:rPr>
                <w:b/>
                <w:bCs/>
              </w:rPr>
              <w:t>restauranger</w:t>
            </w:r>
            <w:r>
              <w:t xml:space="preserve"> och </w:t>
            </w:r>
            <w:r w:rsidRPr="00911EA9">
              <w:rPr>
                <w:b/>
                <w:bCs/>
              </w:rPr>
              <w:t>andra</w:t>
            </w:r>
            <w:r>
              <w:t xml:space="preserve"> </w:t>
            </w:r>
            <w:r w:rsidRPr="00911EA9">
              <w:rPr>
                <w:b/>
                <w:bCs/>
              </w:rPr>
              <w:t>serveringsutrymmen</w:t>
            </w:r>
            <w:r>
              <w:t xml:space="preserve"> där servering i förvärvssyfte sker av mat eller förfriskningar, utom när sådan servering sker utomhus</w:t>
            </w:r>
            <w:r w:rsidRPr="006D0BDE">
              <w:rPr>
                <w:b/>
                <w:bCs/>
              </w:rPr>
              <w:t>,</w:t>
            </w:r>
          </w:p>
          <w:p w14:paraId="5072BDC1" w14:textId="4D7AB965" w:rsidR="00463893" w:rsidRPr="00911EA9" w:rsidRDefault="00463893" w:rsidP="00463893">
            <w:pPr>
              <w:pStyle w:val="ANormal"/>
              <w:rPr>
                <w:b/>
                <w:bCs/>
              </w:rPr>
            </w:pPr>
            <w:r>
              <w:tab/>
            </w:r>
            <w:r w:rsidR="0037353D" w:rsidRPr="00A13CDC">
              <w:rPr>
                <w:b/>
                <w:bCs/>
              </w:rPr>
              <w:t>7</w:t>
            </w:r>
            <w:r w:rsidRPr="00A13CDC">
              <w:rPr>
                <w:b/>
                <w:bCs/>
              </w:rPr>
              <w:t>)</w:t>
            </w:r>
            <w:r w:rsidRPr="00911EA9">
              <w:rPr>
                <w:b/>
                <w:bCs/>
              </w:rPr>
              <w:t xml:space="preserve"> på utomhuslekplatser för vilka det ska upprättas ett säkerhetsdokument enligt 7</w:t>
            </w:r>
            <w:r w:rsidR="00677195">
              <w:rPr>
                <w:b/>
                <w:bCs/>
              </w:rPr>
              <w:t> §</w:t>
            </w:r>
            <w:r w:rsidRPr="00911EA9">
              <w:rPr>
                <w:b/>
                <w:bCs/>
              </w:rPr>
              <w:t xml:space="preserve"> i konsument</w:t>
            </w:r>
            <w:r w:rsidR="0038656B">
              <w:rPr>
                <w:b/>
                <w:bCs/>
              </w:rPr>
              <w:t>säkerhets</w:t>
            </w:r>
            <w:r w:rsidRPr="00911EA9">
              <w:rPr>
                <w:b/>
                <w:bCs/>
              </w:rPr>
              <w:t>lagen</w:t>
            </w:r>
            <w:r w:rsidR="0038656B">
              <w:rPr>
                <w:b/>
                <w:bCs/>
              </w:rPr>
              <w:t xml:space="preserve"> (FFS</w:t>
            </w:r>
            <w:r w:rsidR="00386E7C">
              <w:rPr>
                <w:b/>
                <w:bCs/>
              </w:rPr>
              <w:t xml:space="preserve"> 920/2011)</w:t>
            </w:r>
            <w:r w:rsidRPr="00911EA9">
              <w:rPr>
                <w:b/>
                <w:bCs/>
              </w:rPr>
              <w:t>,</w:t>
            </w:r>
          </w:p>
          <w:p w14:paraId="5CE66EBA" w14:textId="458D1997" w:rsidR="00463893" w:rsidRPr="00911EA9" w:rsidRDefault="00463893" w:rsidP="00463893">
            <w:pPr>
              <w:pStyle w:val="ANormal"/>
              <w:rPr>
                <w:b/>
                <w:bCs/>
              </w:rPr>
            </w:pPr>
            <w:r w:rsidRPr="00911EA9">
              <w:rPr>
                <w:b/>
                <w:bCs/>
              </w:rPr>
              <w:tab/>
            </w:r>
            <w:r w:rsidR="00A13CDC">
              <w:rPr>
                <w:b/>
                <w:bCs/>
              </w:rPr>
              <w:t>8</w:t>
            </w:r>
            <w:r w:rsidRPr="00911EA9">
              <w:rPr>
                <w:b/>
                <w:bCs/>
              </w:rPr>
              <w:t>) på allmänna badstränder under perioden från den första maj till den sista september, samt</w:t>
            </w:r>
          </w:p>
          <w:p w14:paraId="5F63FD6E" w14:textId="7ED8EECC" w:rsidR="00463893" w:rsidRDefault="00463893" w:rsidP="00463893">
            <w:pPr>
              <w:pStyle w:val="ANormal"/>
              <w:rPr>
                <w:b/>
                <w:bCs/>
              </w:rPr>
            </w:pPr>
            <w:r w:rsidRPr="00911EA9">
              <w:rPr>
                <w:b/>
                <w:bCs/>
              </w:rPr>
              <w:tab/>
            </w:r>
            <w:r w:rsidR="00A13CDC">
              <w:rPr>
                <w:b/>
                <w:bCs/>
              </w:rPr>
              <w:t>9</w:t>
            </w:r>
            <w:r w:rsidRPr="00911EA9">
              <w:rPr>
                <w:b/>
                <w:bCs/>
              </w:rPr>
              <w:t>) på inhägnade utomhusområden som är avsedda för idrottsutövning.</w:t>
            </w:r>
          </w:p>
          <w:p w14:paraId="6F719F24" w14:textId="6B2BE82F" w:rsidR="00A13CDC" w:rsidRPr="0090119F" w:rsidRDefault="00677195" w:rsidP="00463893">
            <w:pPr>
              <w:pStyle w:val="ANormal"/>
              <w:rPr>
                <w:b/>
                <w:bCs/>
              </w:rPr>
            </w:pPr>
            <w:r>
              <w:rPr>
                <w:b/>
                <w:bCs/>
              </w:rPr>
              <w:tab/>
            </w:r>
            <w:r w:rsidR="0090119F" w:rsidRPr="0090119F">
              <w:rPr>
                <w:b/>
                <w:bCs/>
              </w:rPr>
              <w:t>Rökning är även förbjuden i kommunikationsmedel som är i privat bruk, när en person som är under 15 år vistas i det. Förbudet gäller inte bostadsutrymmen i kommunikationsmedlet</w:t>
            </w:r>
            <w:r w:rsidR="0090119F">
              <w:rPr>
                <w:b/>
                <w:bCs/>
              </w:rPr>
              <w:t>.</w:t>
            </w:r>
          </w:p>
          <w:p w14:paraId="3E641DB0" w14:textId="0F32B8B4" w:rsidR="00911EA9" w:rsidRPr="00911EA9" w:rsidRDefault="00911EA9" w:rsidP="00911EA9">
            <w:pPr>
              <w:pStyle w:val="ANormal"/>
            </w:pPr>
          </w:p>
        </w:tc>
      </w:tr>
      <w:tr w:rsidR="00463893" w14:paraId="00F01484" w14:textId="77777777" w:rsidTr="00252D07">
        <w:tc>
          <w:tcPr>
            <w:tcW w:w="2427" w:type="pct"/>
          </w:tcPr>
          <w:p w14:paraId="5A75DB58" w14:textId="77777777" w:rsidR="00463893" w:rsidRDefault="00463893">
            <w:pPr>
              <w:pStyle w:val="ANormal"/>
            </w:pPr>
          </w:p>
          <w:p w14:paraId="7920E9AF" w14:textId="77777777" w:rsidR="00677195" w:rsidRDefault="00677195">
            <w:pPr>
              <w:pStyle w:val="ANormal"/>
            </w:pPr>
          </w:p>
          <w:p w14:paraId="06A6C2AB" w14:textId="3A0551D3" w:rsidR="00463893" w:rsidRPr="00911EA9" w:rsidRDefault="00911EA9">
            <w:pPr>
              <w:pStyle w:val="ANormal"/>
              <w:rPr>
                <w:i/>
                <w:iCs/>
              </w:rPr>
            </w:pPr>
            <w:r>
              <w:tab/>
            </w:r>
            <w:r w:rsidRPr="00911EA9">
              <w:rPr>
                <w:i/>
                <w:iCs/>
              </w:rPr>
              <w:t>Ny paragraf</w:t>
            </w:r>
          </w:p>
          <w:p w14:paraId="6A8A1912" w14:textId="536767C9" w:rsidR="00911EA9" w:rsidRDefault="00911EA9">
            <w:pPr>
              <w:pStyle w:val="ANormal"/>
            </w:pPr>
          </w:p>
        </w:tc>
        <w:tc>
          <w:tcPr>
            <w:tcW w:w="146" w:type="pct"/>
          </w:tcPr>
          <w:p w14:paraId="4EF0B0D0" w14:textId="77777777" w:rsidR="00463893" w:rsidRDefault="00463893">
            <w:pPr>
              <w:pStyle w:val="ANormal"/>
            </w:pPr>
          </w:p>
        </w:tc>
        <w:tc>
          <w:tcPr>
            <w:tcW w:w="2427" w:type="pct"/>
          </w:tcPr>
          <w:p w14:paraId="10FC70FA" w14:textId="77777777" w:rsidR="00677195" w:rsidRDefault="00677195" w:rsidP="00677195">
            <w:pPr>
              <w:pStyle w:val="ANormal"/>
            </w:pPr>
          </w:p>
          <w:p w14:paraId="71C62670" w14:textId="0E774771" w:rsidR="00911EA9" w:rsidRPr="00911EA9" w:rsidRDefault="00911EA9" w:rsidP="00911EA9">
            <w:pPr>
              <w:pStyle w:val="LagParagraf"/>
              <w:rPr>
                <w:b/>
                <w:bCs/>
              </w:rPr>
            </w:pPr>
            <w:r w:rsidRPr="00911EA9">
              <w:rPr>
                <w:b/>
                <w:bCs/>
              </w:rPr>
              <w:t>4e</w:t>
            </w:r>
            <w:r w:rsidR="00677195">
              <w:rPr>
                <w:b/>
                <w:bCs/>
              </w:rPr>
              <w:t> §</w:t>
            </w:r>
          </w:p>
          <w:p w14:paraId="59BD8402" w14:textId="0DB8800D" w:rsidR="00911EA9" w:rsidRPr="00911EA9" w:rsidRDefault="00911EA9" w:rsidP="00911EA9">
            <w:pPr>
              <w:pStyle w:val="ANormal"/>
              <w:rPr>
                <w:b/>
                <w:bCs/>
              </w:rPr>
            </w:pPr>
            <w:r w:rsidRPr="00911EA9">
              <w:rPr>
                <w:b/>
                <w:bCs/>
              </w:rPr>
              <w:tab/>
              <w:t>Tobaksrökning är förbjuden i loka</w:t>
            </w:r>
            <w:r>
              <w:rPr>
                <w:b/>
                <w:bCs/>
              </w:rPr>
              <w:t>l</w:t>
            </w:r>
            <w:r w:rsidRPr="00911EA9">
              <w:rPr>
                <w:b/>
                <w:bCs/>
              </w:rPr>
              <w:t>er i bostadssammanslutningar som är gemensamma eller avsedda för allmänheten. Med bostadssammanslutning avses aktiebolag som omfattas av lagen om bostadsaktiebolag (FFS 1599/2009), sammanslutningar och stiftelser som omfattas av lagen om bostadsrättsbostäder (FFS 393/2021), bostadsandelslag och annat hyreshusbestånd som ägs av sammanslutningar.</w:t>
            </w:r>
          </w:p>
          <w:p w14:paraId="567E1B2A" w14:textId="7A152812" w:rsidR="00911EA9" w:rsidRPr="00911EA9" w:rsidRDefault="00911EA9" w:rsidP="00911EA9">
            <w:pPr>
              <w:pStyle w:val="ANormal"/>
              <w:rPr>
                <w:b/>
                <w:bCs/>
              </w:rPr>
            </w:pPr>
            <w:r w:rsidRPr="00911EA9">
              <w:rPr>
                <w:b/>
                <w:bCs/>
              </w:rPr>
              <w:tab/>
              <w:t>En bostadssammanslutning får förbjuda tobaksrökning på sammanslutningens gemensamma utomhusområden.</w:t>
            </w:r>
          </w:p>
          <w:p w14:paraId="71D6C4D8" w14:textId="2DD03F05" w:rsidR="00911EA9" w:rsidRPr="00911EA9" w:rsidRDefault="00911EA9" w:rsidP="00911EA9">
            <w:pPr>
              <w:pStyle w:val="ANormal"/>
              <w:rPr>
                <w:b/>
                <w:bCs/>
              </w:rPr>
            </w:pPr>
            <w:r w:rsidRPr="00911EA9">
              <w:rPr>
                <w:b/>
                <w:bCs/>
              </w:rPr>
              <w:tab/>
              <w:t>En bostadssammanslutning kan ansöka om att Ålands miljö- och hälsoskyddsmyndighet (ÅMHM) utfärdar rökförbud på balkongerna till lägenheterna i bostadssammanslutningens byggnad, på utomhusområden som används av lägenheterna samt inne i lägenheterna.</w:t>
            </w:r>
            <w:r w:rsidR="004F598D">
              <w:rPr>
                <w:b/>
                <w:bCs/>
              </w:rPr>
              <w:t xml:space="preserve"> </w:t>
            </w:r>
            <w:r w:rsidRPr="00911EA9">
              <w:rPr>
                <w:b/>
                <w:bCs/>
              </w:rPr>
              <w:t xml:space="preserve">ÅMHM ska utfärda rökförbud i de utrymmen och områden som avses i ansökan, om det på grund av deras konstruktioner eller andra omständigheter är möjligt att tobaksrök annat än i undantagsfall sprider sig till en annan balkong, till de ställen där man vistas på ett </w:t>
            </w:r>
            <w:r w:rsidRPr="00911EA9">
              <w:rPr>
                <w:b/>
                <w:bCs/>
              </w:rPr>
              <w:lastRenderedPageBreak/>
              <w:t>utomhusområde som hör till en annan lägenhet eller in i en annan lägenhet. Rökförbud får utfärdas i ett bostadsrum i en lägenhet endast om spridningen av rök inte genom en reparation eller ändring av konstruktionerna skäligen kan förhindras och bostadsrummets innehavare innan förbudet meddelas har getts möjlighet att förhindra spridningen av rök genom egna åtgärder. Ett rökförbud som avser ett bostadsrum i en lägenhet gäller inte användning av elektroniska cigaretter.</w:t>
            </w:r>
          </w:p>
          <w:p w14:paraId="574A8A0E" w14:textId="53EDC10F" w:rsidR="00911EA9" w:rsidRPr="00911EA9" w:rsidRDefault="00911EA9" w:rsidP="00911EA9">
            <w:pPr>
              <w:pStyle w:val="ANormal"/>
              <w:rPr>
                <w:b/>
                <w:bCs/>
              </w:rPr>
            </w:pPr>
            <w:r w:rsidRPr="00911EA9">
              <w:rPr>
                <w:b/>
                <w:bCs/>
              </w:rPr>
              <w:tab/>
              <w:t xml:space="preserve">ÅMHM ska återkalla ett rökförbud på ansökan av bostadssammanslutningen, om förbudet inte längre är befogat på grund av förändrade omständigheter. Ett rökförbud kan också återkallas på ansökan av innehavaren av ett utrymme eller område om bostadssammanlutningen inte ansöker om återkallande trots förändrade omständigheter. Närmare bestämmelser om ansökan om rökförbud, om återkallande av rökförbud och om omnämnande i ansökan av hörande som bostadssammanslutningen ordnat </w:t>
            </w:r>
            <w:r w:rsidR="00BB54B4">
              <w:rPr>
                <w:b/>
                <w:bCs/>
              </w:rPr>
              <w:t>kan</w:t>
            </w:r>
            <w:r w:rsidRPr="00911EA9">
              <w:rPr>
                <w:b/>
                <w:bCs/>
              </w:rPr>
              <w:t xml:space="preserve"> utfärdas genom landskapsförordning.</w:t>
            </w:r>
          </w:p>
          <w:p w14:paraId="619F1107" w14:textId="3E7D34F7" w:rsidR="00911EA9" w:rsidRPr="00911EA9" w:rsidRDefault="00911EA9" w:rsidP="00911EA9">
            <w:pPr>
              <w:pStyle w:val="ANormal"/>
              <w:rPr>
                <w:b/>
                <w:bCs/>
              </w:rPr>
            </w:pPr>
            <w:r w:rsidRPr="00911EA9">
              <w:rPr>
                <w:b/>
                <w:bCs/>
              </w:rPr>
              <w:tab/>
              <w:t>Innehavarna av de utrymmen och områden som avses i ansökan ska höras innan ansökan görs. Hörande anses ha ordnats om bostadssammanslutningen senast två veckor före beslutsfattandet lämnar innehavarna av de utrymmen och områden som avses i ansökan</w:t>
            </w:r>
            <w:r w:rsidR="004926BC">
              <w:rPr>
                <w:b/>
                <w:bCs/>
              </w:rPr>
              <w:t>,</w:t>
            </w:r>
            <w:r w:rsidRPr="00911EA9">
              <w:rPr>
                <w:b/>
                <w:bCs/>
              </w:rPr>
              <w:t xml:space="preserve"> information om grunderna för den föreslagna ansökan och anvisningar för framställande av anmärkningar. Informationen och anvisningarna ska,</w:t>
            </w:r>
          </w:p>
          <w:p w14:paraId="2E5D207F" w14:textId="372E47EB" w:rsidR="00911EA9" w:rsidRPr="00911EA9" w:rsidRDefault="00911EA9" w:rsidP="00911EA9">
            <w:pPr>
              <w:pStyle w:val="ANormal"/>
              <w:rPr>
                <w:b/>
                <w:bCs/>
              </w:rPr>
            </w:pPr>
            <w:r w:rsidRPr="00911EA9">
              <w:rPr>
                <w:b/>
                <w:bCs/>
              </w:rPr>
              <w:tab/>
              <w:t>1) om lägenhetsinnehavet bygger på äganderätt, lämnas på den postadress som är känd för bostadssammanslutningen eller på den e-postadress eller till någon annan motsvarande datakommunikationsförbindelse som innehavaren har meddelat bostadssammanslutningen, samt</w:t>
            </w:r>
          </w:p>
          <w:p w14:paraId="297122B7" w14:textId="77777777" w:rsidR="00911EA9" w:rsidRPr="00911EA9" w:rsidRDefault="00911EA9" w:rsidP="00911EA9">
            <w:pPr>
              <w:pStyle w:val="ANormal"/>
              <w:rPr>
                <w:b/>
                <w:bCs/>
              </w:rPr>
            </w:pPr>
            <w:r w:rsidRPr="00911EA9">
              <w:rPr>
                <w:b/>
                <w:bCs/>
              </w:rPr>
              <w:tab/>
              <w:t>2) om lägenhetsinnehavet bygger på hyresrätt eller annan motsvarande rätt, lämnas på en anslagstavla som finns för allmänt bruk i byggnaden eller till varje lägenhet som innehas av en hyresgäst eller någon annan lägenhetsinnehavare.</w:t>
            </w:r>
          </w:p>
          <w:p w14:paraId="3B0B9ECB" w14:textId="77777777" w:rsidR="00911EA9" w:rsidRDefault="00911EA9" w:rsidP="00911EA9">
            <w:pPr>
              <w:pStyle w:val="ANormal"/>
            </w:pPr>
          </w:p>
          <w:p w14:paraId="02BBFD46" w14:textId="0589E0B6" w:rsidR="00972CCA" w:rsidRDefault="00972CCA" w:rsidP="00911EA9">
            <w:pPr>
              <w:pStyle w:val="ANormal"/>
            </w:pPr>
          </w:p>
        </w:tc>
      </w:tr>
      <w:tr w:rsidR="00463893" w14:paraId="485CC237" w14:textId="77777777" w:rsidTr="00252D07">
        <w:tc>
          <w:tcPr>
            <w:tcW w:w="2427" w:type="pct"/>
          </w:tcPr>
          <w:p w14:paraId="43370071" w14:textId="77777777" w:rsidR="00463893" w:rsidRPr="00894F14" w:rsidRDefault="00463893" w:rsidP="00894F14">
            <w:pPr>
              <w:pStyle w:val="ANormal"/>
            </w:pPr>
          </w:p>
          <w:p w14:paraId="1719BE12" w14:textId="4D36DFD4" w:rsidR="00463893" w:rsidRPr="00894F14" w:rsidRDefault="006D74EF" w:rsidP="00894F14">
            <w:pPr>
              <w:pStyle w:val="LagParagraf"/>
            </w:pPr>
            <w:r w:rsidRPr="00894F14">
              <w:lastRenderedPageBreak/>
              <w:t>5a</w:t>
            </w:r>
            <w:r w:rsidR="00677195">
              <w:t> §</w:t>
            </w:r>
          </w:p>
          <w:p w14:paraId="5396ADF4" w14:textId="7F9489EE" w:rsidR="003C5F53" w:rsidRPr="00894F14" w:rsidRDefault="003C5F53" w:rsidP="00894F14">
            <w:pPr>
              <w:pStyle w:val="ANormal"/>
            </w:pPr>
            <w:r w:rsidRPr="00894F14">
              <w:t xml:space="preserve">- - - - - - - - - - - - - - - - - - - - - - - - - - - - - </w:t>
            </w:r>
          </w:p>
          <w:p w14:paraId="6D54C28E" w14:textId="77777777" w:rsidR="00894F14" w:rsidRPr="00894F14" w:rsidRDefault="006D74EF" w:rsidP="00894F14">
            <w:pPr>
              <w:pStyle w:val="ANormal"/>
            </w:pPr>
            <w:r w:rsidRPr="00894F14">
              <w:tab/>
            </w:r>
            <w:r w:rsidR="00894F14" w:rsidRPr="00894F14">
              <w:t xml:space="preserve">Den som för saluhållande i landskapet tillverkar eller importerar tobaksprodukter eller relaterade produkter ska </w:t>
            </w:r>
            <w:r w:rsidR="00894F14" w:rsidRPr="00894F14">
              <w:rPr>
                <w:b/>
                <w:bCs/>
              </w:rPr>
              <w:t>tillse</w:t>
            </w:r>
            <w:r w:rsidR="00894F14" w:rsidRPr="00894F14">
              <w:t xml:space="preserve"> att</w:t>
            </w:r>
          </w:p>
          <w:p w14:paraId="67B8B739" w14:textId="5A0DD924" w:rsidR="00894F14" w:rsidRPr="00894F14" w:rsidRDefault="00677195" w:rsidP="00894F14">
            <w:pPr>
              <w:pStyle w:val="ANormal"/>
            </w:pPr>
            <w:r>
              <w:tab/>
            </w:r>
            <w:r w:rsidR="00894F14" w:rsidRPr="00894F14">
              <w:t>a) produkternas förpackningar med användande av åtminstone det svenska språket är försedda med korrekt information, utformning och hälsovarningar, varvid i riket med stöd av lag utfärdade bestämmelser om sådan information, utformning och hälsovarningar är tillämpliga,</w:t>
            </w:r>
          </w:p>
          <w:p w14:paraId="7D7976F5" w14:textId="77777777" w:rsidR="00894F14" w:rsidRDefault="00894F14" w:rsidP="00894F14">
            <w:pPr>
              <w:pStyle w:val="ANormal"/>
            </w:pPr>
          </w:p>
          <w:p w14:paraId="16E3EE59" w14:textId="77777777" w:rsidR="00894F14" w:rsidRDefault="00894F14" w:rsidP="00894F14">
            <w:pPr>
              <w:pStyle w:val="ANormal"/>
            </w:pPr>
          </w:p>
          <w:p w14:paraId="2706E74E" w14:textId="77777777" w:rsidR="00894F14" w:rsidRDefault="00894F14" w:rsidP="00894F14">
            <w:pPr>
              <w:pStyle w:val="ANormal"/>
            </w:pPr>
          </w:p>
          <w:p w14:paraId="2D5BF1ED" w14:textId="77777777" w:rsidR="00894F14" w:rsidRDefault="00894F14" w:rsidP="00894F14">
            <w:pPr>
              <w:pStyle w:val="ANormal"/>
            </w:pPr>
          </w:p>
          <w:p w14:paraId="752F7C0F" w14:textId="77777777" w:rsidR="00894F14" w:rsidRDefault="00894F14" w:rsidP="00894F14">
            <w:pPr>
              <w:pStyle w:val="ANormal"/>
            </w:pPr>
          </w:p>
          <w:p w14:paraId="43B3A752" w14:textId="77777777" w:rsidR="00894F14" w:rsidRDefault="00894F14" w:rsidP="00894F14">
            <w:pPr>
              <w:pStyle w:val="ANormal"/>
            </w:pPr>
          </w:p>
          <w:p w14:paraId="10E8F2A4" w14:textId="77777777" w:rsidR="00894F14" w:rsidRDefault="00894F14" w:rsidP="00894F14">
            <w:pPr>
              <w:pStyle w:val="ANormal"/>
            </w:pPr>
          </w:p>
          <w:p w14:paraId="4DEAAC52" w14:textId="77777777" w:rsidR="00894F14" w:rsidRDefault="00894F14" w:rsidP="00894F14">
            <w:pPr>
              <w:pStyle w:val="ANormal"/>
            </w:pPr>
          </w:p>
          <w:p w14:paraId="711A50A2" w14:textId="77777777" w:rsidR="00894F14" w:rsidRDefault="00894F14" w:rsidP="00894F14">
            <w:pPr>
              <w:pStyle w:val="ANormal"/>
            </w:pPr>
          </w:p>
          <w:p w14:paraId="666D18D7" w14:textId="77777777" w:rsidR="00894F14" w:rsidRDefault="00894F14" w:rsidP="00894F14">
            <w:pPr>
              <w:pStyle w:val="ANormal"/>
            </w:pPr>
          </w:p>
          <w:p w14:paraId="0BE01EC9" w14:textId="77777777" w:rsidR="00894F14" w:rsidRDefault="00894F14" w:rsidP="00894F14">
            <w:pPr>
              <w:pStyle w:val="ANormal"/>
            </w:pPr>
          </w:p>
          <w:p w14:paraId="7F59AFE9" w14:textId="77777777" w:rsidR="00894F14" w:rsidRDefault="00894F14" w:rsidP="00894F14">
            <w:pPr>
              <w:pStyle w:val="ANormal"/>
            </w:pPr>
          </w:p>
          <w:p w14:paraId="5E715E25" w14:textId="77777777" w:rsidR="00894F14" w:rsidRDefault="00894F14" w:rsidP="00894F14">
            <w:pPr>
              <w:pStyle w:val="ANormal"/>
            </w:pPr>
          </w:p>
          <w:p w14:paraId="2ACD910F" w14:textId="77777777" w:rsidR="00894F14" w:rsidRDefault="00894F14" w:rsidP="00894F14">
            <w:pPr>
              <w:pStyle w:val="ANormal"/>
            </w:pPr>
          </w:p>
          <w:p w14:paraId="37AA6580" w14:textId="77777777" w:rsidR="00894F14" w:rsidRDefault="00894F14" w:rsidP="00894F14">
            <w:pPr>
              <w:pStyle w:val="ANormal"/>
            </w:pPr>
          </w:p>
          <w:p w14:paraId="132D3172" w14:textId="77777777" w:rsidR="00894F14" w:rsidRDefault="00894F14" w:rsidP="00894F14">
            <w:pPr>
              <w:pStyle w:val="ANormal"/>
            </w:pPr>
          </w:p>
          <w:p w14:paraId="5B170079" w14:textId="77777777" w:rsidR="00894F14" w:rsidRDefault="00894F14" w:rsidP="00894F14">
            <w:pPr>
              <w:pStyle w:val="ANormal"/>
            </w:pPr>
          </w:p>
          <w:p w14:paraId="11611465" w14:textId="77777777" w:rsidR="00894F14" w:rsidRDefault="00894F14" w:rsidP="00894F14">
            <w:pPr>
              <w:pStyle w:val="ANormal"/>
            </w:pPr>
          </w:p>
          <w:p w14:paraId="5178263C" w14:textId="77777777" w:rsidR="00894F14" w:rsidRDefault="00894F14" w:rsidP="00894F14">
            <w:pPr>
              <w:pStyle w:val="ANormal"/>
            </w:pPr>
          </w:p>
          <w:p w14:paraId="35BB4BE1" w14:textId="77777777" w:rsidR="00894F14" w:rsidRDefault="00894F14" w:rsidP="00894F14">
            <w:pPr>
              <w:pStyle w:val="ANormal"/>
            </w:pPr>
          </w:p>
          <w:p w14:paraId="4E098612" w14:textId="77777777" w:rsidR="00894F14" w:rsidRDefault="00894F14" w:rsidP="00894F14">
            <w:pPr>
              <w:pStyle w:val="ANormal"/>
            </w:pPr>
          </w:p>
          <w:p w14:paraId="04BAFAE2" w14:textId="77777777" w:rsidR="00894F14" w:rsidRDefault="00894F14" w:rsidP="00894F14">
            <w:pPr>
              <w:pStyle w:val="ANormal"/>
            </w:pPr>
          </w:p>
          <w:p w14:paraId="3459E671" w14:textId="6989785C" w:rsidR="00894F14" w:rsidRPr="00894F14" w:rsidRDefault="00677195" w:rsidP="00894F14">
            <w:pPr>
              <w:pStyle w:val="ANormal"/>
            </w:pPr>
            <w:r>
              <w:tab/>
            </w:r>
            <w:r w:rsidR="00894F14" w:rsidRPr="00894F14">
              <w:t>b)</w:t>
            </w:r>
            <w:r>
              <w:t xml:space="preserve"> </w:t>
            </w:r>
            <w:r w:rsidR="00894F14" w:rsidRPr="00894F14">
              <w:t xml:space="preserve">produkternas förpackningar är försedda med hälsovarningar i form av text och bild, information om rökavvänjning </w:t>
            </w:r>
            <w:r w:rsidR="00894F14" w:rsidRPr="008C6C40">
              <w:rPr>
                <w:b/>
                <w:bCs/>
              </w:rPr>
              <w:t>samt i överensstämmelse med de i riket med stöd av lag utfärdade bestämmelserna om sådan märkning</w:t>
            </w:r>
            <w:r w:rsidR="00894F14" w:rsidRPr="00894F14">
              <w:t>,</w:t>
            </w:r>
          </w:p>
          <w:p w14:paraId="05E1BE51" w14:textId="04C7A0F1" w:rsidR="00301C88" w:rsidRDefault="00301C88" w:rsidP="00894F14">
            <w:pPr>
              <w:pStyle w:val="ANormal"/>
            </w:pPr>
            <w:r>
              <w:t xml:space="preserve">- - - - - - - - - - - - - - - - - - - - - - - - - - - - - - </w:t>
            </w:r>
          </w:p>
          <w:p w14:paraId="6D2BF474" w14:textId="4F2A095B" w:rsidR="006D74EF" w:rsidRPr="00894F14" w:rsidRDefault="00677195" w:rsidP="00894F14">
            <w:pPr>
              <w:pStyle w:val="ANormal"/>
            </w:pPr>
            <w:r>
              <w:tab/>
            </w:r>
            <w:r w:rsidR="006D74EF" w:rsidRPr="00894F14">
              <w:t>Det är förbjudet att saluhålla</w:t>
            </w:r>
          </w:p>
          <w:p w14:paraId="4A0EBF41" w14:textId="3ADAFDBB" w:rsidR="005D4423" w:rsidRPr="00894F14" w:rsidRDefault="00677195" w:rsidP="00894F14">
            <w:pPr>
              <w:pStyle w:val="ANormal"/>
            </w:pPr>
            <w:r>
              <w:tab/>
            </w:r>
            <w:r w:rsidR="005D4423" w:rsidRPr="00894F14">
              <w:t>1) cigaretter, rulltobak och upphettade tobaksprodukter med en karakteristisk smak eller doft av annat än tobak, eller som innehåller tillsatser som i betydande eller mätbar omfattning förstärker tobaksproduktens beroendeframkallande eller hälsofarliga egenskaper</w:t>
            </w:r>
            <w:r w:rsidR="0045197D">
              <w:t>,</w:t>
            </w:r>
          </w:p>
          <w:p w14:paraId="1240A750" w14:textId="25B52D6B" w:rsidR="003C5F53" w:rsidRPr="00894F14" w:rsidRDefault="003C5F53" w:rsidP="00894F14">
            <w:pPr>
              <w:pStyle w:val="ANormal"/>
            </w:pPr>
            <w:r w:rsidRPr="00894F14">
              <w:tab/>
              <w:t xml:space="preserve">2) elektroniska cigaretter och påfyllningsbehållare som har tillförts karakteristisk smak eller doft av annat än tobak, som inte är barn- och manipulationssäkra, som inte är skyddade mot skador eller läckage och som inte har en mekanism som säkerställer påfyllning utan läckage eller som </w:t>
            </w:r>
            <w:r w:rsidRPr="00894F14">
              <w:lastRenderedPageBreak/>
              <w:t>annars inte är förenliga med kraven i artikel 20.3 i tobaksdirektivet,</w:t>
            </w:r>
          </w:p>
          <w:p w14:paraId="555F5325" w14:textId="04CF6C73" w:rsidR="003C5F53" w:rsidRPr="00894F14" w:rsidRDefault="003C5F53" w:rsidP="00894F14">
            <w:pPr>
              <w:pStyle w:val="ANormal"/>
            </w:pPr>
            <w:r w:rsidRPr="00894F14">
              <w:tab/>
              <w:t>3) tobaksprodukter och relaterade produkter med sådana tillsatser som avses i tobaksdirektivets artiklar 7.6 och 7.7 och vars saluhållande medlemsländerna i enlighet med artikeln ska förbjuda samt</w:t>
            </w:r>
          </w:p>
          <w:p w14:paraId="428F5243" w14:textId="77777777" w:rsidR="006D74EF" w:rsidRPr="00894F14" w:rsidRDefault="003C5F53" w:rsidP="00894F14">
            <w:pPr>
              <w:pStyle w:val="ANormal"/>
            </w:pPr>
            <w:r w:rsidRPr="00894F14">
              <w:tab/>
              <w:t>4) påfyllningsbehållare som rymmer mer än 10 milliliter eller elektroniska engångscigaretter som rymmer mer än 2 milliliter.</w:t>
            </w:r>
          </w:p>
          <w:p w14:paraId="1992BDC6" w14:textId="1F3AD4F0" w:rsidR="000D671E" w:rsidRPr="00677195" w:rsidRDefault="00677195" w:rsidP="00894F14">
            <w:pPr>
              <w:pStyle w:val="ANormal"/>
              <w:rPr>
                <w:i/>
                <w:iCs/>
              </w:rPr>
            </w:pPr>
            <w:r>
              <w:tab/>
            </w:r>
            <w:r w:rsidRPr="00677195">
              <w:rPr>
                <w:i/>
                <w:iCs/>
              </w:rPr>
              <w:t>Ny punkt</w:t>
            </w:r>
          </w:p>
          <w:p w14:paraId="4A174E16" w14:textId="77777777" w:rsidR="000D671E" w:rsidRDefault="000D671E" w:rsidP="00894F14">
            <w:pPr>
              <w:pStyle w:val="ANormal"/>
            </w:pPr>
          </w:p>
          <w:p w14:paraId="001CF3FA" w14:textId="77777777" w:rsidR="00550C76" w:rsidRPr="00894F14" w:rsidRDefault="00550C76" w:rsidP="00894F14">
            <w:pPr>
              <w:pStyle w:val="ANormal"/>
            </w:pPr>
          </w:p>
          <w:p w14:paraId="677EB6A7" w14:textId="200624AF" w:rsidR="000D671E" w:rsidRPr="00677195" w:rsidRDefault="00677195" w:rsidP="00894F14">
            <w:pPr>
              <w:pStyle w:val="ANormal"/>
              <w:rPr>
                <w:i/>
                <w:iCs/>
              </w:rPr>
            </w:pPr>
            <w:r>
              <w:tab/>
            </w:r>
            <w:r w:rsidRPr="00677195">
              <w:rPr>
                <w:i/>
                <w:iCs/>
              </w:rPr>
              <w:t>Ny punkt</w:t>
            </w:r>
          </w:p>
          <w:p w14:paraId="34925E22" w14:textId="77777777" w:rsidR="000D671E" w:rsidRPr="00894F14" w:rsidRDefault="000D671E" w:rsidP="00894F14">
            <w:pPr>
              <w:pStyle w:val="ANormal"/>
            </w:pPr>
          </w:p>
          <w:p w14:paraId="13C2ADE0" w14:textId="3DDB5A35" w:rsidR="000D671E" w:rsidRPr="00677195" w:rsidRDefault="00677195" w:rsidP="00894F14">
            <w:pPr>
              <w:pStyle w:val="ANormal"/>
              <w:rPr>
                <w:i/>
                <w:iCs/>
              </w:rPr>
            </w:pPr>
            <w:r>
              <w:tab/>
            </w:r>
            <w:r w:rsidRPr="00677195">
              <w:rPr>
                <w:i/>
                <w:iCs/>
              </w:rPr>
              <w:t>Ny punkt</w:t>
            </w:r>
          </w:p>
          <w:p w14:paraId="2956897D" w14:textId="77777777" w:rsidR="000D671E" w:rsidRPr="00894F14" w:rsidRDefault="000D671E" w:rsidP="00894F14">
            <w:pPr>
              <w:pStyle w:val="ANormal"/>
            </w:pPr>
          </w:p>
          <w:p w14:paraId="4A2C63CA" w14:textId="7968868A" w:rsidR="003C5F53" w:rsidRPr="00894F14" w:rsidRDefault="003C5F53" w:rsidP="00894F14">
            <w:pPr>
              <w:pStyle w:val="ANormal"/>
            </w:pPr>
          </w:p>
          <w:p w14:paraId="36D930EF" w14:textId="77777777" w:rsidR="003C5F53" w:rsidRPr="00894F14" w:rsidRDefault="003C5F53" w:rsidP="00894F14">
            <w:pPr>
              <w:pStyle w:val="ANormal"/>
            </w:pPr>
          </w:p>
          <w:p w14:paraId="6EA1F672" w14:textId="140119E4" w:rsidR="003C5F53" w:rsidRPr="00677195" w:rsidRDefault="00677195" w:rsidP="00894F14">
            <w:pPr>
              <w:pStyle w:val="ANormal"/>
              <w:rPr>
                <w:i/>
                <w:iCs/>
              </w:rPr>
            </w:pPr>
            <w:r>
              <w:tab/>
            </w:r>
            <w:r w:rsidRPr="00677195">
              <w:rPr>
                <w:i/>
                <w:iCs/>
              </w:rPr>
              <w:t>Ny punkt</w:t>
            </w:r>
          </w:p>
          <w:p w14:paraId="614C7BF1" w14:textId="77777777" w:rsidR="003C5F53" w:rsidRDefault="003C5F53" w:rsidP="00894F14">
            <w:pPr>
              <w:pStyle w:val="ANormal"/>
            </w:pPr>
          </w:p>
          <w:p w14:paraId="446FF294" w14:textId="77777777" w:rsidR="00BD640D" w:rsidRDefault="00BD640D" w:rsidP="00894F14">
            <w:pPr>
              <w:pStyle w:val="ANormal"/>
            </w:pPr>
          </w:p>
          <w:p w14:paraId="64A6EEF8" w14:textId="77777777" w:rsidR="00635404" w:rsidRDefault="00635404" w:rsidP="00894F14">
            <w:pPr>
              <w:pStyle w:val="ANormal"/>
            </w:pPr>
          </w:p>
          <w:p w14:paraId="449C5D8F" w14:textId="77777777" w:rsidR="00635404" w:rsidRDefault="00635404" w:rsidP="00894F14">
            <w:pPr>
              <w:pStyle w:val="ANormal"/>
            </w:pPr>
          </w:p>
          <w:p w14:paraId="66590339" w14:textId="77777777" w:rsidR="003C5F53" w:rsidRPr="00894F14" w:rsidRDefault="003C5F53" w:rsidP="00894F14">
            <w:pPr>
              <w:pStyle w:val="ANormal"/>
            </w:pPr>
          </w:p>
          <w:p w14:paraId="3E0AE1E3" w14:textId="094AF6C1" w:rsidR="00963A0E" w:rsidRDefault="00963A0E" w:rsidP="00894F14">
            <w:pPr>
              <w:pStyle w:val="ANormal"/>
            </w:pPr>
          </w:p>
          <w:p w14:paraId="0D5BF547" w14:textId="43E469D6" w:rsidR="00963A0E" w:rsidRDefault="00963A0E" w:rsidP="00894F14">
            <w:pPr>
              <w:pStyle w:val="ANormal"/>
            </w:pPr>
            <w:r>
              <w:t xml:space="preserve">- - - - - - - - - - - - - - - - - - - - - - - - - - - - - - </w:t>
            </w:r>
          </w:p>
          <w:p w14:paraId="739F2491" w14:textId="2714B1F8" w:rsidR="003C5F53" w:rsidRPr="00963A0E" w:rsidRDefault="00677195" w:rsidP="00894F14">
            <w:pPr>
              <w:pStyle w:val="ANormal"/>
              <w:rPr>
                <w:i/>
                <w:iCs/>
              </w:rPr>
            </w:pPr>
            <w:r>
              <w:rPr>
                <w:i/>
                <w:iCs/>
              </w:rPr>
              <w:tab/>
            </w:r>
            <w:r w:rsidR="003C5F53" w:rsidRPr="00963A0E">
              <w:rPr>
                <w:i/>
                <w:iCs/>
              </w:rPr>
              <w:t>Nytt moment</w:t>
            </w:r>
          </w:p>
          <w:p w14:paraId="7D28A6A9" w14:textId="77777777" w:rsidR="003C5F53" w:rsidRPr="00677195" w:rsidRDefault="003C5F53" w:rsidP="00894F14">
            <w:pPr>
              <w:pStyle w:val="ANormal"/>
            </w:pPr>
          </w:p>
          <w:p w14:paraId="46482574" w14:textId="77777777" w:rsidR="003C5F53" w:rsidRPr="00677195" w:rsidRDefault="003C5F53" w:rsidP="00894F14">
            <w:pPr>
              <w:pStyle w:val="ANormal"/>
            </w:pPr>
          </w:p>
          <w:p w14:paraId="00CBB501" w14:textId="77777777" w:rsidR="003C5F53" w:rsidRPr="00677195" w:rsidRDefault="003C5F53" w:rsidP="00894F14">
            <w:pPr>
              <w:pStyle w:val="ANormal"/>
            </w:pPr>
          </w:p>
          <w:p w14:paraId="65ABA6C5" w14:textId="77777777" w:rsidR="003C5F53" w:rsidRPr="00677195" w:rsidRDefault="003C5F53" w:rsidP="00894F14">
            <w:pPr>
              <w:pStyle w:val="ANormal"/>
            </w:pPr>
          </w:p>
          <w:p w14:paraId="2D56D4AD" w14:textId="77777777" w:rsidR="003C5F53" w:rsidRPr="00677195" w:rsidRDefault="003C5F53" w:rsidP="00894F14">
            <w:pPr>
              <w:pStyle w:val="ANormal"/>
            </w:pPr>
          </w:p>
          <w:p w14:paraId="2F7CF96A" w14:textId="77777777" w:rsidR="003C5F53" w:rsidRPr="00677195" w:rsidRDefault="003C5F53" w:rsidP="00894F14">
            <w:pPr>
              <w:pStyle w:val="ANormal"/>
            </w:pPr>
          </w:p>
          <w:p w14:paraId="08258606" w14:textId="77777777" w:rsidR="003C5F53" w:rsidRPr="00677195" w:rsidRDefault="003C5F53" w:rsidP="00894F14">
            <w:pPr>
              <w:pStyle w:val="ANormal"/>
            </w:pPr>
          </w:p>
          <w:p w14:paraId="187CDD2F" w14:textId="77777777" w:rsidR="003C5F53" w:rsidRPr="00677195" w:rsidRDefault="003C5F53" w:rsidP="00894F14">
            <w:pPr>
              <w:pStyle w:val="ANormal"/>
            </w:pPr>
          </w:p>
          <w:p w14:paraId="2B588209" w14:textId="77777777" w:rsidR="003C5F53" w:rsidRPr="00677195" w:rsidRDefault="003C5F53" w:rsidP="00894F14">
            <w:pPr>
              <w:pStyle w:val="ANormal"/>
            </w:pPr>
          </w:p>
          <w:p w14:paraId="45D83D54" w14:textId="5FFC4744" w:rsidR="004D5ADF" w:rsidRPr="00677195" w:rsidRDefault="004D5ADF" w:rsidP="00894F14">
            <w:pPr>
              <w:pStyle w:val="ANormal"/>
            </w:pPr>
          </w:p>
          <w:p w14:paraId="37227CBE" w14:textId="77777777" w:rsidR="004D5ADF" w:rsidRPr="00677195" w:rsidRDefault="004D5ADF" w:rsidP="00894F14">
            <w:pPr>
              <w:pStyle w:val="ANormal"/>
            </w:pPr>
          </w:p>
          <w:p w14:paraId="5DB74492" w14:textId="77777777" w:rsidR="004D5ADF" w:rsidRPr="00677195" w:rsidRDefault="004D5ADF" w:rsidP="00894F14">
            <w:pPr>
              <w:pStyle w:val="ANormal"/>
            </w:pPr>
          </w:p>
          <w:p w14:paraId="3D3B5701" w14:textId="77777777" w:rsidR="004D5ADF" w:rsidRPr="00677195" w:rsidRDefault="004D5ADF" w:rsidP="00894F14">
            <w:pPr>
              <w:pStyle w:val="ANormal"/>
            </w:pPr>
          </w:p>
          <w:p w14:paraId="5E9D696E" w14:textId="77777777" w:rsidR="005F35B5" w:rsidRPr="00677195" w:rsidRDefault="005F35B5" w:rsidP="00894F14">
            <w:pPr>
              <w:pStyle w:val="ANormal"/>
            </w:pPr>
          </w:p>
          <w:p w14:paraId="2859C774" w14:textId="77777777" w:rsidR="005F35B5" w:rsidRPr="00677195" w:rsidRDefault="005F35B5" w:rsidP="00894F14">
            <w:pPr>
              <w:pStyle w:val="ANormal"/>
            </w:pPr>
          </w:p>
          <w:p w14:paraId="6032EA0C" w14:textId="77777777" w:rsidR="005F35B5" w:rsidRPr="00677195" w:rsidRDefault="005F35B5" w:rsidP="00894F14">
            <w:pPr>
              <w:pStyle w:val="ANormal"/>
            </w:pPr>
          </w:p>
          <w:p w14:paraId="507601D2" w14:textId="77777777" w:rsidR="005F35B5" w:rsidRPr="00677195" w:rsidRDefault="005F35B5" w:rsidP="00894F14">
            <w:pPr>
              <w:pStyle w:val="ANormal"/>
            </w:pPr>
          </w:p>
          <w:p w14:paraId="18B596EC" w14:textId="77777777" w:rsidR="005F35B5" w:rsidRPr="00677195" w:rsidRDefault="005F35B5" w:rsidP="00894F14">
            <w:pPr>
              <w:pStyle w:val="ANormal"/>
            </w:pPr>
          </w:p>
          <w:p w14:paraId="7F8CCED6" w14:textId="77777777" w:rsidR="005F35B5" w:rsidRPr="00677195" w:rsidRDefault="005F35B5" w:rsidP="00894F14">
            <w:pPr>
              <w:pStyle w:val="ANormal"/>
            </w:pPr>
          </w:p>
          <w:p w14:paraId="75ABCCD1" w14:textId="77777777" w:rsidR="005F35B5" w:rsidRPr="00677195" w:rsidRDefault="005F35B5" w:rsidP="00894F14">
            <w:pPr>
              <w:pStyle w:val="ANormal"/>
            </w:pPr>
          </w:p>
          <w:p w14:paraId="67CAD439" w14:textId="77777777" w:rsidR="004D5ADF" w:rsidRPr="00677195" w:rsidRDefault="004D5ADF" w:rsidP="00894F14">
            <w:pPr>
              <w:pStyle w:val="ANormal"/>
            </w:pPr>
          </w:p>
          <w:p w14:paraId="2CC5DB5C" w14:textId="14DE1E1D" w:rsidR="006B68AA" w:rsidRPr="00677195" w:rsidRDefault="006B68AA" w:rsidP="00894F14">
            <w:pPr>
              <w:pStyle w:val="ANormal"/>
            </w:pPr>
          </w:p>
          <w:p w14:paraId="04C7BF7E" w14:textId="77777777" w:rsidR="006B68AA" w:rsidRPr="00677195" w:rsidRDefault="006B68AA" w:rsidP="00894F14">
            <w:pPr>
              <w:pStyle w:val="ANormal"/>
            </w:pPr>
          </w:p>
          <w:p w14:paraId="5554E1D7" w14:textId="77777777" w:rsidR="00D9299F" w:rsidRPr="00677195" w:rsidRDefault="00D9299F" w:rsidP="00894F14">
            <w:pPr>
              <w:pStyle w:val="ANormal"/>
            </w:pPr>
          </w:p>
          <w:p w14:paraId="6062D6F6" w14:textId="77777777" w:rsidR="006B68AA" w:rsidRPr="00677195" w:rsidRDefault="006B68AA" w:rsidP="00894F14">
            <w:pPr>
              <w:pStyle w:val="ANormal"/>
            </w:pPr>
          </w:p>
          <w:p w14:paraId="65F682DD" w14:textId="03EB5E30" w:rsidR="003C5F53" w:rsidRPr="00963A0E" w:rsidRDefault="00677195" w:rsidP="00894F14">
            <w:pPr>
              <w:pStyle w:val="ANormal"/>
              <w:rPr>
                <w:i/>
                <w:iCs/>
              </w:rPr>
            </w:pPr>
            <w:r>
              <w:rPr>
                <w:i/>
                <w:iCs/>
              </w:rPr>
              <w:tab/>
            </w:r>
            <w:r w:rsidR="00D9299F">
              <w:rPr>
                <w:i/>
                <w:iCs/>
              </w:rPr>
              <w:t xml:space="preserve"> </w:t>
            </w:r>
            <w:r w:rsidR="003C5F53" w:rsidRPr="00963A0E">
              <w:rPr>
                <w:i/>
                <w:iCs/>
              </w:rPr>
              <w:t>Nytt moment</w:t>
            </w:r>
          </w:p>
          <w:p w14:paraId="33DCAEBF" w14:textId="77777777" w:rsidR="003C5F53" w:rsidRPr="00963A0E" w:rsidRDefault="003C5F53" w:rsidP="00894F14">
            <w:pPr>
              <w:pStyle w:val="ANormal"/>
              <w:rPr>
                <w:i/>
                <w:iCs/>
              </w:rPr>
            </w:pPr>
          </w:p>
          <w:p w14:paraId="1695243B" w14:textId="77777777" w:rsidR="003C5F53" w:rsidRPr="00894F14" w:rsidRDefault="003C5F53" w:rsidP="00894F14">
            <w:pPr>
              <w:pStyle w:val="ANormal"/>
            </w:pPr>
          </w:p>
          <w:p w14:paraId="5748E106" w14:textId="77777777" w:rsidR="003C5F53" w:rsidRPr="00894F14" w:rsidRDefault="003C5F53" w:rsidP="00894F14">
            <w:pPr>
              <w:pStyle w:val="ANormal"/>
            </w:pPr>
          </w:p>
          <w:p w14:paraId="2E63802E" w14:textId="77777777" w:rsidR="003C5F53" w:rsidRDefault="003C5F53" w:rsidP="00894F14">
            <w:pPr>
              <w:pStyle w:val="ANormal"/>
            </w:pPr>
          </w:p>
          <w:p w14:paraId="055615F6" w14:textId="77777777" w:rsidR="007B245C" w:rsidRDefault="007B245C" w:rsidP="00894F14">
            <w:pPr>
              <w:pStyle w:val="ANormal"/>
            </w:pPr>
          </w:p>
          <w:p w14:paraId="40C87B97" w14:textId="77777777" w:rsidR="007B245C" w:rsidRDefault="007B245C" w:rsidP="00894F14">
            <w:pPr>
              <w:pStyle w:val="ANormal"/>
            </w:pPr>
          </w:p>
          <w:p w14:paraId="5EA3B740" w14:textId="77777777" w:rsidR="007B245C" w:rsidRPr="00894F14" w:rsidRDefault="007B245C" w:rsidP="00894F14">
            <w:pPr>
              <w:pStyle w:val="ANormal"/>
            </w:pPr>
          </w:p>
          <w:p w14:paraId="3F7DCBC7" w14:textId="77777777" w:rsidR="003C5F53" w:rsidRDefault="003C5F53" w:rsidP="00894F14">
            <w:pPr>
              <w:pStyle w:val="ANormal"/>
            </w:pPr>
          </w:p>
          <w:p w14:paraId="39F3775A" w14:textId="77777777" w:rsidR="00D9299F" w:rsidRPr="00894F14" w:rsidRDefault="00D9299F" w:rsidP="00894F14">
            <w:pPr>
              <w:pStyle w:val="ANormal"/>
            </w:pPr>
          </w:p>
          <w:p w14:paraId="7ADADEBF" w14:textId="73878818" w:rsidR="003C5F53" w:rsidRPr="004D5ADF" w:rsidRDefault="003C5F53" w:rsidP="00894F14">
            <w:pPr>
              <w:pStyle w:val="ANormal"/>
              <w:rPr>
                <w:i/>
                <w:iCs/>
              </w:rPr>
            </w:pPr>
            <w:r w:rsidRPr="00894F14">
              <w:tab/>
            </w:r>
            <w:r w:rsidRPr="004D5ADF">
              <w:rPr>
                <w:i/>
                <w:iCs/>
              </w:rPr>
              <w:t>Nytt moment</w:t>
            </w:r>
          </w:p>
          <w:p w14:paraId="1F26E2B2" w14:textId="77777777" w:rsidR="003C5F53" w:rsidRPr="004D5ADF" w:rsidRDefault="003C5F53" w:rsidP="00894F14">
            <w:pPr>
              <w:pStyle w:val="ANormal"/>
              <w:rPr>
                <w:i/>
                <w:iCs/>
              </w:rPr>
            </w:pPr>
          </w:p>
          <w:p w14:paraId="1D14F9CF" w14:textId="77777777" w:rsidR="003C5F53" w:rsidRPr="00894F14" w:rsidRDefault="003C5F53" w:rsidP="00894F14">
            <w:pPr>
              <w:pStyle w:val="ANormal"/>
            </w:pPr>
          </w:p>
          <w:p w14:paraId="7FAC0D0F" w14:textId="77777777" w:rsidR="003C5F53" w:rsidRDefault="003C5F53" w:rsidP="00894F14">
            <w:pPr>
              <w:pStyle w:val="ANormal"/>
            </w:pPr>
          </w:p>
          <w:p w14:paraId="27FE4455" w14:textId="77777777" w:rsidR="007C0CCD" w:rsidRDefault="007C0CCD" w:rsidP="00894F14">
            <w:pPr>
              <w:pStyle w:val="ANormal"/>
            </w:pPr>
          </w:p>
          <w:p w14:paraId="18E8B987" w14:textId="77777777" w:rsidR="007C0CCD" w:rsidRDefault="007C0CCD" w:rsidP="00894F14">
            <w:pPr>
              <w:pStyle w:val="ANormal"/>
            </w:pPr>
          </w:p>
          <w:p w14:paraId="44346363" w14:textId="77777777" w:rsidR="007C0CCD" w:rsidRDefault="007C0CCD" w:rsidP="00894F14">
            <w:pPr>
              <w:pStyle w:val="ANormal"/>
            </w:pPr>
          </w:p>
          <w:p w14:paraId="2827D61A" w14:textId="77777777" w:rsidR="007C0CCD" w:rsidRDefault="007C0CCD" w:rsidP="00894F14">
            <w:pPr>
              <w:pStyle w:val="ANormal"/>
            </w:pPr>
          </w:p>
          <w:p w14:paraId="06D4CACF" w14:textId="77777777" w:rsidR="007C0CCD" w:rsidRDefault="007C0CCD" w:rsidP="00894F14">
            <w:pPr>
              <w:pStyle w:val="ANormal"/>
            </w:pPr>
          </w:p>
          <w:p w14:paraId="21A1A6A3" w14:textId="77777777" w:rsidR="007C0CCD" w:rsidRDefault="007C0CCD" w:rsidP="00894F14">
            <w:pPr>
              <w:pStyle w:val="ANormal"/>
            </w:pPr>
          </w:p>
          <w:p w14:paraId="5E47C29B" w14:textId="6B176389" w:rsidR="007C0CCD" w:rsidRPr="007C0CCD" w:rsidRDefault="00972CCA" w:rsidP="00894F14">
            <w:pPr>
              <w:pStyle w:val="ANormal"/>
              <w:rPr>
                <w:i/>
                <w:iCs/>
              </w:rPr>
            </w:pPr>
            <w:r>
              <w:rPr>
                <w:i/>
                <w:iCs/>
              </w:rPr>
              <w:tab/>
            </w:r>
            <w:r w:rsidR="007C0CCD" w:rsidRPr="007C0CCD">
              <w:rPr>
                <w:i/>
                <w:iCs/>
              </w:rPr>
              <w:t>Nytt moment</w:t>
            </w:r>
          </w:p>
          <w:p w14:paraId="1215C9B4" w14:textId="77777777" w:rsidR="007C0CCD" w:rsidRDefault="007C0CCD" w:rsidP="00894F14">
            <w:pPr>
              <w:pStyle w:val="ANormal"/>
            </w:pPr>
          </w:p>
          <w:p w14:paraId="1AF30216" w14:textId="77777777" w:rsidR="007C0CCD" w:rsidRDefault="007C0CCD" w:rsidP="00894F14">
            <w:pPr>
              <w:pStyle w:val="ANormal"/>
            </w:pPr>
          </w:p>
          <w:p w14:paraId="60315534" w14:textId="77777777" w:rsidR="007C0CCD" w:rsidRDefault="007C0CCD" w:rsidP="00894F14">
            <w:pPr>
              <w:pStyle w:val="ANormal"/>
            </w:pPr>
          </w:p>
          <w:p w14:paraId="604C1F4B" w14:textId="77777777" w:rsidR="007C0CCD" w:rsidRDefault="007C0CCD" w:rsidP="00894F14">
            <w:pPr>
              <w:pStyle w:val="ANormal"/>
            </w:pPr>
          </w:p>
          <w:p w14:paraId="2DEAC5C7" w14:textId="77777777" w:rsidR="009969EB" w:rsidRDefault="009969EB" w:rsidP="00894F14">
            <w:pPr>
              <w:pStyle w:val="ANormal"/>
            </w:pPr>
          </w:p>
          <w:p w14:paraId="77577ED9" w14:textId="77777777" w:rsidR="007C0CCD" w:rsidRDefault="007C0CCD" w:rsidP="00894F14">
            <w:pPr>
              <w:pStyle w:val="ANormal"/>
            </w:pPr>
          </w:p>
          <w:p w14:paraId="2A0E3C77" w14:textId="0C156B92" w:rsidR="007C0CCD" w:rsidRDefault="00972CCA" w:rsidP="00894F14">
            <w:pPr>
              <w:pStyle w:val="ANormal"/>
              <w:rPr>
                <w:i/>
                <w:iCs/>
              </w:rPr>
            </w:pPr>
            <w:r>
              <w:rPr>
                <w:i/>
                <w:iCs/>
              </w:rPr>
              <w:tab/>
            </w:r>
            <w:r w:rsidR="007C0CCD" w:rsidRPr="007C0CCD">
              <w:rPr>
                <w:i/>
                <w:iCs/>
              </w:rPr>
              <w:t>Nytt moment</w:t>
            </w:r>
          </w:p>
          <w:p w14:paraId="4DAE1E76" w14:textId="77777777" w:rsidR="009969EB" w:rsidRDefault="009969EB" w:rsidP="00894F14">
            <w:pPr>
              <w:pStyle w:val="ANormal"/>
              <w:rPr>
                <w:i/>
                <w:iCs/>
              </w:rPr>
            </w:pPr>
          </w:p>
          <w:p w14:paraId="6B39512E" w14:textId="77777777" w:rsidR="009969EB" w:rsidRDefault="009969EB" w:rsidP="00894F14">
            <w:pPr>
              <w:pStyle w:val="ANormal"/>
              <w:rPr>
                <w:i/>
                <w:iCs/>
              </w:rPr>
            </w:pPr>
          </w:p>
          <w:p w14:paraId="5240B016" w14:textId="77777777" w:rsidR="009969EB" w:rsidRDefault="009969EB" w:rsidP="00894F14">
            <w:pPr>
              <w:pStyle w:val="ANormal"/>
              <w:rPr>
                <w:i/>
                <w:iCs/>
              </w:rPr>
            </w:pPr>
          </w:p>
          <w:p w14:paraId="7C67BC5E" w14:textId="77777777" w:rsidR="009969EB" w:rsidRDefault="009969EB" w:rsidP="00894F14">
            <w:pPr>
              <w:pStyle w:val="ANormal"/>
              <w:rPr>
                <w:i/>
                <w:iCs/>
              </w:rPr>
            </w:pPr>
          </w:p>
          <w:p w14:paraId="154FB445" w14:textId="2F847B06" w:rsidR="009969EB" w:rsidRPr="007C0CCD" w:rsidRDefault="009969EB" w:rsidP="00894F14">
            <w:pPr>
              <w:pStyle w:val="ANormal"/>
              <w:rPr>
                <w:i/>
                <w:iCs/>
              </w:rPr>
            </w:pPr>
          </w:p>
        </w:tc>
        <w:tc>
          <w:tcPr>
            <w:tcW w:w="146" w:type="pct"/>
          </w:tcPr>
          <w:p w14:paraId="2DC37AE7" w14:textId="1A5D8653" w:rsidR="00463893" w:rsidRDefault="00463893">
            <w:pPr>
              <w:pStyle w:val="ANormal"/>
            </w:pPr>
          </w:p>
        </w:tc>
        <w:tc>
          <w:tcPr>
            <w:tcW w:w="2427" w:type="pct"/>
          </w:tcPr>
          <w:p w14:paraId="3994E4A6" w14:textId="77777777" w:rsidR="00463893" w:rsidRDefault="00463893">
            <w:pPr>
              <w:pStyle w:val="ANormal"/>
            </w:pPr>
          </w:p>
          <w:p w14:paraId="28031E00" w14:textId="1D3EA3DB" w:rsidR="003C5F53" w:rsidRDefault="003C5F53" w:rsidP="003C5F53">
            <w:pPr>
              <w:pStyle w:val="LagParagraf"/>
            </w:pPr>
            <w:r>
              <w:lastRenderedPageBreak/>
              <w:t>5a</w:t>
            </w:r>
            <w:r w:rsidR="00677195">
              <w:t> §</w:t>
            </w:r>
          </w:p>
          <w:p w14:paraId="1AA2AB76" w14:textId="77777777" w:rsidR="003C5F53" w:rsidRDefault="003C5F53" w:rsidP="003C5F53">
            <w:pPr>
              <w:pStyle w:val="ANormal"/>
            </w:pPr>
            <w:r>
              <w:t xml:space="preserve">- - - - - - - - - - - - - - - - - - - - - - - - - - - - - - </w:t>
            </w:r>
          </w:p>
          <w:p w14:paraId="346F1B19" w14:textId="77777777" w:rsidR="001B4965" w:rsidRPr="00BD0A2D" w:rsidRDefault="003C5F53" w:rsidP="001B4965">
            <w:pPr>
              <w:pStyle w:val="ANormal"/>
              <w:rPr>
                <w:lang w:val="sv-FI"/>
              </w:rPr>
            </w:pPr>
            <w:r>
              <w:tab/>
            </w:r>
            <w:r w:rsidR="001B4965" w:rsidRPr="00BD0A2D">
              <w:rPr>
                <w:lang w:val="sv-FI"/>
              </w:rPr>
              <w:t xml:space="preserve">Den som för saluhållande i landskapet tillverkar eller importerar tobaksprodukter eller relaterade produkter ska </w:t>
            </w:r>
            <w:r w:rsidR="001B4965">
              <w:rPr>
                <w:lang w:val="sv-FI"/>
              </w:rPr>
              <w:t>se till</w:t>
            </w:r>
            <w:r w:rsidR="001B4965" w:rsidRPr="00BD0A2D">
              <w:rPr>
                <w:lang w:val="sv-FI"/>
              </w:rPr>
              <w:t xml:space="preserve"> att</w:t>
            </w:r>
          </w:p>
          <w:p w14:paraId="256F52CB" w14:textId="099A0463" w:rsidR="001B4965" w:rsidRPr="00E80CBB" w:rsidRDefault="001B4965" w:rsidP="001B4965">
            <w:pPr>
              <w:pStyle w:val="ANormal"/>
              <w:rPr>
                <w:b/>
                <w:bCs/>
              </w:rPr>
            </w:pPr>
            <w:r>
              <w:tab/>
            </w:r>
            <w:r w:rsidRPr="00894F14">
              <w:t>a) produkternas förpackningar med användande av åtminstone det svenska språket är försedda med korrekt information, utformning och hälsovarningar</w:t>
            </w:r>
            <w:r w:rsidRPr="00E80CBB">
              <w:rPr>
                <w:b/>
                <w:bCs/>
              </w:rPr>
              <w:t>, så att märkningarna inte främjar försäljningen av en produkt eller uppmuntra</w:t>
            </w:r>
            <w:r w:rsidR="007B7890">
              <w:rPr>
                <w:b/>
                <w:bCs/>
              </w:rPr>
              <w:t>r</w:t>
            </w:r>
            <w:r w:rsidRPr="00E80CBB">
              <w:rPr>
                <w:b/>
                <w:bCs/>
              </w:rPr>
              <w:t xml:space="preserve"> till konsumtion av en produkt genom att skapa en felaktig uppfattning om produktens egenskaper, hälsoeffekter, risker eller utsläpp; innehåller någon information om innehållet av nikotin, tjära eller kolmonoxid i produkten; antyder att produkten är mindre skadlig än andra produkter, att syftet har varit att minska effekten av något skadligt ämne i rök från produkten eller att produkten har vitaliserande, energigivande, läkande, föryngrande, naturliga eller organiska egenskaper eller andra hälsomässiga eller livsstilsmässiga fördelar; hänvisar till smak, doft, smak- eller aromtillsatser eller andra tillsatser eller avsaknaden av sådana; liknar ett livsmedel eller en kosmetisk produkt; antyder att produkten har miljöfördelar; antyder att produkten är brandsäker eller annars ger intrycket att produkten är ofarlig eller brandsäkrare än andra motsvarande produkter</w:t>
            </w:r>
            <w:r w:rsidR="00BC2B57">
              <w:rPr>
                <w:b/>
                <w:bCs/>
              </w:rPr>
              <w:t>,</w:t>
            </w:r>
          </w:p>
          <w:p w14:paraId="3AC7FEE0" w14:textId="4B0A24AD" w:rsidR="001B4965" w:rsidRPr="0045197D" w:rsidRDefault="001B4965" w:rsidP="001B4965">
            <w:pPr>
              <w:pStyle w:val="ANormal"/>
              <w:rPr>
                <w:lang w:val="sv-FI"/>
              </w:rPr>
            </w:pPr>
            <w:r>
              <w:rPr>
                <w:lang w:val="sv-FI"/>
              </w:rPr>
              <w:tab/>
            </w:r>
            <w:r w:rsidRPr="0045197D">
              <w:rPr>
                <w:lang w:val="sv-FI"/>
              </w:rPr>
              <w:t>b)</w:t>
            </w:r>
            <w:r w:rsidR="00677195">
              <w:rPr>
                <w:lang w:val="sv-FI"/>
              </w:rPr>
              <w:t xml:space="preserve"> </w:t>
            </w:r>
            <w:r w:rsidRPr="0045197D">
              <w:rPr>
                <w:lang w:val="sv-FI"/>
              </w:rPr>
              <w:t xml:space="preserve">produkternas förpackningar är försedda med hälsovarningar i form av text och bild </w:t>
            </w:r>
            <w:r w:rsidRPr="0045197D">
              <w:rPr>
                <w:b/>
                <w:bCs/>
                <w:lang w:val="sv-FI"/>
              </w:rPr>
              <w:t xml:space="preserve">och </w:t>
            </w:r>
            <w:r w:rsidRPr="0045197D">
              <w:rPr>
                <w:lang w:val="sv-FI"/>
              </w:rPr>
              <w:t>information om rökavvänjning,</w:t>
            </w:r>
          </w:p>
          <w:p w14:paraId="1B089CAB" w14:textId="2589BC01" w:rsidR="001B4965" w:rsidRPr="0045197D" w:rsidRDefault="001B4965" w:rsidP="003C5F53">
            <w:pPr>
              <w:pStyle w:val="ANormal"/>
            </w:pPr>
          </w:p>
          <w:p w14:paraId="6920ACD8" w14:textId="77777777" w:rsidR="00894F14" w:rsidRDefault="00894F14" w:rsidP="003C5F53">
            <w:pPr>
              <w:pStyle w:val="ANormal"/>
            </w:pPr>
          </w:p>
          <w:p w14:paraId="5A8C24B0" w14:textId="5DA115F8" w:rsidR="00301C88" w:rsidRDefault="00301C88" w:rsidP="00301C88">
            <w:pPr>
              <w:pStyle w:val="ANormal"/>
            </w:pPr>
            <w:r w:rsidRPr="00301C88">
              <w:t>-</w:t>
            </w:r>
            <w:r>
              <w:t xml:space="preserve"> - - - - - - - - - - - - - - - - - - - - - - - - - - - - - </w:t>
            </w:r>
          </w:p>
          <w:p w14:paraId="6D988FF4" w14:textId="7E44C6E5" w:rsidR="003C5F53" w:rsidRDefault="00677195" w:rsidP="003C5F53">
            <w:pPr>
              <w:pStyle w:val="ANormal"/>
            </w:pPr>
            <w:r>
              <w:tab/>
            </w:r>
            <w:r w:rsidR="003C5F53">
              <w:t>Det är förbjudet att saluhålla</w:t>
            </w:r>
          </w:p>
          <w:p w14:paraId="10D7656D" w14:textId="44DE782D" w:rsidR="003C5F53" w:rsidRPr="00A50F8D" w:rsidRDefault="00677195" w:rsidP="00A50F8D">
            <w:pPr>
              <w:pStyle w:val="ANormal"/>
            </w:pPr>
            <w:r>
              <w:tab/>
              <w:t>1</w:t>
            </w:r>
            <w:r w:rsidR="00A50F8D">
              <w:t xml:space="preserve">) </w:t>
            </w:r>
            <w:r w:rsidR="00A50F8D" w:rsidRPr="00A50F8D">
              <w:t>cigaretter, rulltobak och upphettade tobaksprodukter med en karakteristisk smak eller doft av annat än tobak, eller som innehåller tillsatser som i betydande eller mätbar omfattning förstärker tobaksproduktens beroendeframkallande eller hälsofarliga egenskaper</w:t>
            </w:r>
            <w:r w:rsidR="007816F1">
              <w:t>,</w:t>
            </w:r>
          </w:p>
          <w:p w14:paraId="5DD6EE73" w14:textId="77777777" w:rsidR="003C5F53" w:rsidRDefault="003C5F53" w:rsidP="003C5F53">
            <w:pPr>
              <w:pStyle w:val="ANormal"/>
            </w:pPr>
            <w:r>
              <w:tab/>
              <w:t xml:space="preserve">2) elektroniska cigaretter och påfyllningsbehållare som har tillförts karakteristisk smak eller doft av annat än tobak, som inte är barn- och manipulationssäkra, som inte är skyddade mot skador eller läckage och som inte har en mekanism som säkerställer påfyllning utan läckage eller som </w:t>
            </w:r>
            <w:r>
              <w:lastRenderedPageBreak/>
              <w:t xml:space="preserve">annars inte är förenliga med kraven i artikel </w:t>
            </w:r>
            <w:r w:rsidRPr="003C5F53">
              <w:rPr>
                <w:b/>
                <w:bCs/>
              </w:rPr>
              <w:t>20.5</w:t>
            </w:r>
            <w:r>
              <w:t xml:space="preserve"> i tobaksdirektivet,</w:t>
            </w:r>
          </w:p>
          <w:p w14:paraId="325ABBB9" w14:textId="5A7718DB" w:rsidR="003C5F53" w:rsidRDefault="003C5F53" w:rsidP="003C5F53">
            <w:pPr>
              <w:pStyle w:val="ANormal"/>
            </w:pPr>
            <w:r>
              <w:tab/>
              <w:t>3) tobaksprodukter och relaterade produkter med sådana tillsatser som avses i tobaksdirektivets artiklar 7.6 och 7.7 och vars saluhållande medlemsländerna i enlighet med artikeln ska förbjuda</w:t>
            </w:r>
            <w:r w:rsidRPr="0045197D">
              <w:rPr>
                <w:b/>
                <w:bCs/>
              </w:rPr>
              <w:t>,</w:t>
            </w:r>
          </w:p>
          <w:p w14:paraId="3E3146A4" w14:textId="77777777" w:rsidR="003C5F53" w:rsidRDefault="003C5F53" w:rsidP="003C5F53">
            <w:pPr>
              <w:pStyle w:val="ANormal"/>
            </w:pPr>
            <w:r>
              <w:tab/>
              <w:t>4) påfyllningsbehållare som rymmer mer än 10 milliliter eller elektroniska engångscigaretter som rymmer mer än 2 milliliter</w:t>
            </w:r>
            <w:r w:rsidRPr="00B2678D">
              <w:rPr>
                <w:b/>
                <w:bCs/>
              </w:rPr>
              <w:t>,</w:t>
            </w:r>
          </w:p>
          <w:p w14:paraId="45C3E6EC" w14:textId="28E2E299" w:rsidR="003C5F53" w:rsidRPr="003C5F53" w:rsidRDefault="003C5F53" w:rsidP="003C5F53">
            <w:pPr>
              <w:pStyle w:val="ANormal"/>
              <w:rPr>
                <w:b/>
                <w:bCs/>
              </w:rPr>
            </w:pPr>
            <w:r w:rsidRPr="003C5F53">
              <w:rPr>
                <w:b/>
                <w:bCs/>
              </w:rPr>
              <w:tab/>
              <w:t>5) nikotinpåsar som innehåller mer än 1</w:t>
            </w:r>
            <w:r w:rsidR="008C0F7A">
              <w:rPr>
                <w:b/>
                <w:bCs/>
              </w:rPr>
              <w:t>6,6</w:t>
            </w:r>
            <w:r w:rsidRPr="003C5F53">
              <w:rPr>
                <w:b/>
                <w:bCs/>
              </w:rPr>
              <w:t xml:space="preserve"> mg nikotin per </w:t>
            </w:r>
            <w:r w:rsidR="005712E8">
              <w:rPr>
                <w:b/>
                <w:bCs/>
              </w:rPr>
              <w:t>gram av produkten</w:t>
            </w:r>
            <w:r w:rsidRPr="003C5F53">
              <w:rPr>
                <w:b/>
                <w:bCs/>
              </w:rPr>
              <w:t>,</w:t>
            </w:r>
          </w:p>
          <w:p w14:paraId="077ECECB" w14:textId="38641443" w:rsidR="003C5F53" w:rsidRPr="003C5F53" w:rsidRDefault="003C5F53" w:rsidP="003C5F53">
            <w:pPr>
              <w:pStyle w:val="ANormal"/>
              <w:rPr>
                <w:b/>
                <w:bCs/>
              </w:rPr>
            </w:pPr>
            <w:r w:rsidRPr="003C5F53">
              <w:rPr>
                <w:b/>
                <w:bCs/>
              </w:rPr>
              <w:tab/>
              <w:t>6) rökfria nikotinprodukter som har en karakteristisk doft eller smak</w:t>
            </w:r>
            <w:r w:rsidR="001309E3">
              <w:rPr>
                <w:b/>
                <w:bCs/>
              </w:rPr>
              <w:t>,</w:t>
            </w:r>
          </w:p>
          <w:p w14:paraId="26CFFA2B" w14:textId="77FFB6C5" w:rsidR="003C5F53" w:rsidRDefault="003C5F53" w:rsidP="003C5F53">
            <w:pPr>
              <w:pStyle w:val="ANormal"/>
              <w:rPr>
                <w:b/>
                <w:bCs/>
              </w:rPr>
            </w:pPr>
            <w:r w:rsidRPr="003C5F53">
              <w:rPr>
                <w:b/>
                <w:bCs/>
              </w:rPr>
              <w:tab/>
              <w:t>7) produkter vars syfte är att skapa en karakteristisk doft eller smak i tobaksprodukter eller relaterade produkter eller i rökfria nikotinprodukter</w:t>
            </w:r>
            <w:r w:rsidR="00A72EDE">
              <w:rPr>
                <w:b/>
                <w:bCs/>
              </w:rPr>
              <w:t xml:space="preserve"> samt</w:t>
            </w:r>
          </w:p>
          <w:p w14:paraId="373AC969" w14:textId="4F7BEDAC" w:rsidR="00BD640D" w:rsidRPr="00BD640D" w:rsidRDefault="00677195" w:rsidP="00BD640D">
            <w:pPr>
              <w:pStyle w:val="ANormal"/>
              <w:rPr>
                <w:b/>
                <w:bCs/>
                <w:sz w:val="24"/>
                <w:szCs w:val="24"/>
                <w:lang w:val="sv-FI" w:eastAsia="en-US"/>
              </w:rPr>
            </w:pPr>
            <w:r>
              <w:rPr>
                <w:b/>
                <w:bCs/>
                <w:lang w:val="sv-FI" w:eastAsia="sv-FI"/>
              </w:rPr>
              <w:tab/>
            </w:r>
            <w:r w:rsidR="00963A0E" w:rsidRPr="00BD640D">
              <w:rPr>
                <w:b/>
                <w:bCs/>
                <w:lang w:val="sv-FI" w:eastAsia="sv-FI"/>
              </w:rPr>
              <w:t xml:space="preserve">8) </w:t>
            </w:r>
            <w:r w:rsidR="00963A0E" w:rsidRPr="00BD640D">
              <w:rPr>
                <w:b/>
                <w:bCs/>
              </w:rPr>
              <w:t>detaljhandelsförpackningar med tobaksprodukter med mindre än 20 cigaretter, 30 gram rull- eller piptobak eller 10 cigarille</w:t>
            </w:r>
            <w:r w:rsidR="00BD640D" w:rsidRPr="00BD640D">
              <w:rPr>
                <w:b/>
                <w:bCs/>
              </w:rPr>
              <w:t>r samt detaljhandelsförpackningar med rökfria nikotinprodukter med mindre än 20 dosenheter eller 30 gram produkter i lösvikt.</w:t>
            </w:r>
          </w:p>
          <w:p w14:paraId="6F52A7CB" w14:textId="77777777" w:rsidR="003C5F53" w:rsidRDefault="003C5F53">
            <w:pPr>
              <w:pStyle w:val="ANormal"/>
            </w:pPr>
            <w:r>
              <w:t>- - - - - - - - - - - - - - - - - - - - - - - - - - - - - -</w:t>
            </w:r>
          </w:p>
          <w:p w14:paraId="6858AFE4" w14:textId="2095B90C" w:rsidR="005F35B5" w:rsidRPr="00991207" w:rsidRDefault="003C5F53" w:rsidP="005F35B5">
            <w:pPr>
              <w:pStyle w:val="ANormal"/>
            </w:pPr>
            <w:r w:rsidRPr="003C5F53">
              <w:rPr>
                <w:b/>
                <w:bCs/>
              </w:rPr>
              <w:tab/>
              <w:t>Utöver det som bestäms i 2</w:t>
            </w:r>
            <w:r w:rsidR="00677195">
              <w:rPr>
                <w:b/>
                <w:bCs/>
              </w:rPr>
              <w:t> mom.</w:t>
            </w:r>
            <w:r w:rsidRPr="003C5F53">
              <w:rPr>
                <w:b/>
                <w:bCs/>
              </w:rPr>
              <w:t xml:space="preserve"> a och b punkterna får detaljhandelsförpackningar för tobaksprodukter och relaterade produkter inte skilja sig från andra detaljhandelsförpackningar för samma tobaksproduktgrupp i fråga om form, färg, material, omslag eller annan utformning. Detaljhandelsförpackningens utformning får inte främja försäljningen av produkten.</w:t>
            </w:r>
            <w:r w:rsidR="004D5ADF" w:rsidRPr="00E80CBB">
              <w:rPr>
                <w:b/>
                <w:bCs/>
              </w:rPr>
              <w:t xml:space="preserve"> Landskapsregeringen kan i landskapsförordning utfärda bestämmelser om undantag från kravet på enhetlighet, förutsatt att det </w:t>
            </w:r>
            <w:r w:rsidR="004757BE">
              <w:rPr>
                <w:b/>
                <w:bCs/>
              </w:rPr>
              <w:t>gäller</w:t>
            </w:r>
            <w:r w:rsidR="004D5ADF" w:rsidRPr="00E80CBB">
              <w:rPr>
                <w:b/>
                <w:bCs/>
              </w:rPr>
              <w:t xml:space="preserve"> mindre undantag som inte främjar försäljningen av produkten.</w:t>
            </w:r>
            <w:r w:rsidR="005F35B5" w:rsidRPr="005F35B5">
              <w:rPr>
                <w:rStyle w:val="Hyperlnk"/>
                <w:b/>
                <w:bCs/>
              </w:rPr>
              <w:t xml:space="preserve"> </w:t>
            </w:r>
            <w:r w:rsidR="005F35B5" w:rsidRPr="005F35B5">
              <w:rPr>
                <w:b/>
                <w:bCs/>
              </w:rPr>
              <w:t>Landskapsregeringen kan även i landskapsförordning utfärda närmare bestämmelser om form, färg, material, omslag och annan utformning som är tillåtna i fråga om detaljhandelsförpackningar för tobaksprodukter samt om öppningsmekanismen och andra egenskaper</w:t>
            </w:r>
            <w:r w:rsidR="005F35B5">
              <w:t>.</w:t>
            </w:r>
            <w:r w:rsidR="001C046D" w:rsidRPr="003C5F53">
              <w:rPr>
                <w:b/>
                <w:bCs/>
              </w:rPr>
              <w:t xml:space="preserve"> Bestämmelsen omfattar inte försäljning ombord på fartyg som är hemmahörande på Åland och huvudsakligen färdas i internationell trafik</w:t>
            </w:r>
            <w:r w:rsidR="006B68AA">
              <w:rPr>
                <w:b/>
                <w:bCs/>
              </w:rPr>
              <w:t>.</w:t>
            </w:r>
          </w:p>
          <w:p w14:paraId="0F8C4AB7" w14:textId="6E48E197" w:rsidR="007B245C" w:rsidRPr="00991207" w:rsidRDefault="003C5F53" w:rsidP="007B245C">
            <w:pPr>
              <w:pStyle w:val="ANormal"/>
            </w:pPr>
            <w:r w:rsidRPr="003C5F53">
              <w:rPr>
                <w:b/>
                <w:bCs/>
              </w:rPr>
              <w:tab/>
              <w:t xml:space="preserve">Om inte något annat bestäms någon annanstans i lag, får detaljhandelsför-packningar för tobaksprodukter och </w:t>
            </w:r>
            <w:r w:rsidRPr="003C5F53">
              <w:rPr>
                <w:b/>
                <w:bCs/>
              </w:rPr>
              <w:lastRenderedPageBreak/>
              <w:t>relaterade produkter inte vara försedda med andra märkningar än de som avses i denna paragraf.</w:t>
            </w:r>
            <w:r w:rsidR="007B245C" w:rsidRPr="003C5F53">
              <w:rPr>
                <w:b/>
                <w:bCs/>
              </w:rPr>
              <w:t xml:space="preserve"> Bestämmelsen omfattar inte försäljning ombord på fartyg som är hemmahörande på Åland och huvudsakligen färdas i internationell trafik</w:t>
            </w:r>
            <w:r w:rsidR="007B245C">
              <w:rPr>
                <w:b/>
                <w:bCs/>
              </w:rPr>
              <w:t>.</w:t>
            </w:r>
          </w:p>
          <w:p w14:paraId="2F691065" w14:textId="3E3EFFAB" w:rsidR="003C5F53" w:rsidRPr="003C5F53" w:rsidRDefault="003C5F53" w:rsidP="003C5F53">
            <w:pPr>
              <w:pStyle w:val="ANormal"/>
              <w:rPr>
                <w:b/>
                <w:bCs/>
              </w:rPr>
            </w:pPr>
            <w:r w:rsidRPr="003C5F53">
              <w:rPr>
                <w:b/>
                <w:bCs/>
              </w:rPr>
              <w:tab/>
              <w:t>Tobaksprodukter, tobakssurrogat, elektroniska cigaretter, nikotinvätskor, rökfria nikotinprodukter eller röktillbehör som är avsedda för upphettning av tobaksprodukter, eller dessa produkters varumärken, får inte hållas synliga i detaljhandeln. Bestämmelsen omfattar inte försäljning ombord på fartyg som är hemmahörande på Åland och huvudsakligen färdas i internationell trafik.</w:t>
            </w:r>
          </w:p>
          <w:p w14:paraId="4769796A" w14:textId="46818CD8" w:rsidR="007C0CCD" w:rsidRDefault="00677195" w:rsidP="007C0CCD">
            <w:pPr>
              <w:pStyle w:val="ANormal"/>
              <w:rPr>
                <w:b/>
                <w:bCs/>
                <w:lang w:val="sv-FI" w:eastAsia="sv-FI"/>
              </w:rPr>
            </w:pPr>
            <w:r>
              <w:rPr>
                <w:b/>
                <w:bCs/>
                <w:lang w:val="sv-FI" w:eastAsia="sv-FI"/>
              </w:rPr>
              <w:tab/>
            </w:r>
            <w:r w:rsidR="007C0CCD" w:rsidRPr="00B45119">
              <w:rPr>
                <w:b/>
                <w:bCs/>
                <w:lang w:val="sv-FI" w:eastAsia="sv-FI"/>
              </w:rPr>
              <w:t>I syfte att genomföra EU-lagstiftningen kan landskapsregeringen</w:t>
            </w:r>
            <w:r w:rsidR="007C0CCD">
              <w:rPr>
                <w:b/>
                <w:bCs/>
                <w:lang w:val="sv-FI" w:eastAsia="sv-FI"/>
              </w:rPr>
              <w:t xml:space="preserve"> genom landskapsförordning </w:t>
            </w:r>
            <w:r w:rsidR="007C0CCD" w:rsidRPr="00B45119">
              <w:rPr>
                <w:b/>
                <w:bCs/>
                <w:lang w:val="sv-FI" w:eastAsia="sv-FI"/>
              </w:rPr>
              <w:t>utfärda bestämmelser som avviker från bestämmelserna i 3</w:t>
            </w:r>
            <w:r>
              <w:rPr>
                <w:b/>
                <w:bCs/>
                <w:lang w:val="sv-FI" w:eastAsia="sv-FI"/>
              </w:rPr>
              <w:t> mom.</w:t>
            </w:r>
            <w:r w:rsidR="007C0CCD">
              <w:rPr>
                <w:b/>
                <w:bCs/>
                <w:lang w:val="sv-FI" w:eastAsia="sv-FI"/>
              </w:rPr>
              <w:t xml:space="preserve"> 8</w:t>
            </w:r>
            <w:r>
              <w:rPr>
                <w:b/>
                <w:bCs/>
                <w:lang w:val="sv-FI" w:eastAsia="sv-FI"/>
              </w:rPr>
              <w:t> punkt</w:t>
            </w:r>
            <w:r w:rsidR="007C0CCD">
              <w:rPr>
                <w:b/>
                <w:bCs/>
                <w:lang w:val="sv-FI" w:eastAsia="sv-FI"/>
              </w:rPr>
              <w:t>en</w:t>
            </w:r>
            <w:r w:rsidR="007C0CCD" w:rsidRPr="007E6525">
              <w:rPr>
                <w:b/>
                <w:bCs/>
                <w:lang w:val="sv-FI" w:eastAsia="sv-FI"/>
              </w:rPr>
              <w:t xml:space="preserve"> </w:t>
            </w:r>
            <w:r w:rsidR="007C0CCD" w:rsidRPr="00B45119">
              <w:rPr>
                <w:b/>
                <w:bCs/>
                <w:lang w:val="sv-FI" w:eastAsia="sv-FI"/>
              </w:rPr>
              <w:t>om minsta tillåtna förpackningar för tobaksprodukter</w:t>
            </w:r>
            <w:r w:rsidR="007C0CCD">
              <w:rPr>
                <w:b/>
                <w:bCs/>
                <w:lang w:val="sv-FI" w:eastAsia="sv-FI"/>
              </w:rPr>
              <w:t>.</w:t>
            </w:r>
          </w:p>
          <w:p w14:paraId="3E1B961F" w14:textId="77777777" w:rsidR="003C5F53" w:rsidRDefault="007C0CCD" w:rsidP="007C0CCD">
            <w:pPr>
              <w:pStyle w:val="ANormal"/>
              <w:rPr>
                <w:b/>
                <w:bCs/>
                <w:lang w:val="sv-FI" w:eastAsia="sv-FI"/>
              </w:rPr>
            </w:pPr>
            <w:r>
              <w:rPr>
                <w:b/>
                <w:bCs/>
                <w:lang w:val="sv-FI" w:eastAsia="sv-FI"/>
              </w:rPr>
              <w:tab/>
              <w:t>Landskapsregeringen kan genom landskapsförordning utfärda bestämmelser om undantag från förbudet i 3</w:t>
            </w:r>
            <w:r w:rsidR="00677195">
              <w:rPr>
                <w:b/>
                <w:bCs/>
                <w:lang w:val="sv-FI" w:eastAsia="sv-FI"/>
              </w:rPr>
              <w:t> mom.</w:t>
            </w:r>
            <w:r>
              <w:rPr>
                <w:b/>
                <w:bCs/>
                <w:lang w:val="sv-FI" w:eastAsia="sv-FI"/>
              </w:rPr>
              <w:t xml:space="preserve"> 6</w:t>
            </w:r>
            <w:r w:rsidR="00677195">
              <w:rPr>
                <w:b/>
                <w:bCs/>
                <w:lang w:val="sv-FI" w:eastAsia="sv-FI"/>
              </w:rPr>
              <w:t> punkt</w:t>
            </w:r>
            <w:r>
              <w:rPr>
                <w:b/>
                <w:bCs/>
                <w:lang w:val="sv-FI" w:eastAsia="sv-FI"/>
              </w:rPr>
              <w:t>en för karakteristiska dofter eller smaker i rökfria nikotinprodukter</w:t>
            </w:r>
            <w:r w:rsidR="00252D07">
              <w:rPr>
                <w:b/>
                <w:bCs/>
                <w:lang w:val="sv-FI" w:eastAsia="sv-FI"/>
              </w:rPr>
              <w:t>.</w:t>
            </w:r>
          </w:p>
          <w:p w14:paraId="3F4EAD57" w14:textId="6C0DD1AE" w:rsidR="00252D07" w:rsidRDefault="00252D07" w:rsidP="007C0CCD">
            <w:pPr>
              <w:pStyle w:val="ANormal"/>
            </w:pPr>
          </w:p>
        </w:tc>
      </w:tr>
      <w:tr w:rsidR="006D74EF" w14:paraId="67BDFC48" w14:textId="77777777" w:rsidTr="00252D07">
        <w:tc>
          <w:tcPr>
            <w:tcW w:w="2427" w:type="pct"/>
          </w:tcPr>
          <w:p w14:paraId="6EC37880" w14:textId="77777777" w:rsidR="00972CCA" w:rsidRDefault="00972CCA">
            <w:pPr>
              <w:pStyle w:val="ANormal"/>
              <w:rPr>
                <w:i/>
                <w:iCs/>
              </w:rPr>
            </w:pPr>
          </w:p>
          <w:p w14:paraId="07488C8F" w14:textId="77777777" w:rsidR="00972CCA" w:rsidRDefault="00972CCA">
            <w:pPr>
              <w:pStyle w:val="ANormal"/>
              <w:rPr>
                <w:i/>
                <w:iCs/>
              </w:rPr>
            </w:pPr>
          </w:p>
          <w:p w14:paraId="1862B573" w14:textId="451D3851" w:rsidR="006D74EF" w:rsidRPr="0020520C" w:rsidRDefault="00972CCA">
            <w:pPr>
              <w:pStyle w:val="ANormal"/>
              <w:rPr>
                <w:i/>
                <w:iCs/>
              </w:rPr>
            </w:pPr>
            <w:r>
              <w:rPr>
                <w:i/>
                <w:iCs/>
              </w:rPr>
              <w:tab/>
            </w:r>
            <w:r w:rsidR="009969EB" w:rsidRPr="0020520C">
              <w:rPr>
                <w:i/>
                <w:iCs/>
              </w:rPr>
              <w:t>Ny paragr</w:t>
            </w:r>
            <w:r w:rsidR="0020520C" w:rsidRPr="0020520C">
              <w:rPr>
                <w:i/>
                <w:iCs/>
              </w:rPr>
              <w:t>af</w:t>
            </w:r>
          </w:p>
          <w:p w14:paraId="1DAD0098" w14:textId="77777777" w:rsidR="006D74EF" w:rsidRDefault="006D74EF">
            <w:pPr>
              <w:pStyle w:val="ANormal"/>
            </w:pPr>
          </w:p>
        </w:tc>
        <w:tc>
          <w:tcPr>
            <w:tcW w:w="146" w:type="pct"/>
          </w:tcPr>
          <w:p w14:paraId="10FC8CC1" w14:textId="77777777" w:rsidR="006D74EF" w:rsidRDefault="006D74EF">
            <w:pPr>
              <w:pStyle w:val="ANormal"/>
            </w:pPr>
          </w:p>
        </w:tc>
        <w:tc>
          <w:tcPr>
            <w:tcW w:w="2427" w:type="pct"/>
          </w:tcPr>
          <w:p w14:paraId="3CDCA514" w14:textId="77777777" w:rsidR="00972CCA" w:rsidRDefault="00972CCA" w:rsidP="00972CCA">
            <w:pPr>
              <w:pStyle w:val="ANormal"/>
            </w:pPr>
          </w:p>
          <w:p w14:paraId="16A93593" w14:textId="2CCC837A" w:rsidR="00E55993" w:rsidRPr="009969EB" w:rsidRDefault="009969EB" w:rsidP="00E55993">
            <w:pPr>
              <w:pStyle w:val="LagParagraf"/>
              <w:rPr>
                <w:b/>
                <w:bCs/>
              </w:rPr>
            </w:pPr>
            <w:r w:rsidRPr="009969EB">
              <w:rPr>
                <w:b/>
                <w:bCs/>
              </w:rPr>
              <w:t>14</w:t>
            </w:r>
            <w:r w:rsidR="00677195">
              <w:rPr>
                <w:b/>
                <w:bCs/>
              </w:rPr>
              <w:t> §</w:t>
            </w:r>
          </w:p>
          <w:p w14:paraId="5FE3F76B" w14:textId="34E4FD92" w:rsidR="003C5F53" w:rsidRPr="00252D07" w:rsidRDefault="00972CCA" w:rsidP="00252D07">
            <w:pPr>
              <w:pStyle w:val="ANormal"/>
              <w:rPr>
                <w:b/>
                <w:bCs/>
              </w:rPr>
            </w:pPr>
            <w:r w:rsidRPr="00252D07">
              <w:rPr>
                <w:b/>
                <w:bCs/>
              </w:rPr>
              <w:tab/>
            </w:r>
            <w:r w:rsidR="00E37461" w:rsidRPr="00252D07">
              <w:rPr>
                <w:b/>
                <w:bCs/>
              </w:rPr>
              <w:t xml:space="preserve">Innehavare av lokaler eller utomhusområden och arrangörer av offentliga </w:t>
            </w:r>
            <w:r w:rsidR="00336690" w:rsidRPr="00252D07">
              <w:rPr>
                <w:b/>
                <w:bCs/>
              </w:rPr>
              <w:t>nöjes</w:t>
            </w:r>
            <w:r w:rsidR="00E37461" w:rsidRPr="00252D07">
              <w:rPr>
                <w:b/>
                <w:bCs/>
              </w:rPr>
              <w:t>tillställningar ska sätta upp anslag som informerar om rökförbud enligt 4</w:t>
            </w:r>
            <w:r w:rsidR="00677195" w:rsidRPr="00252D07">
              <w:rPr>
                <w:b/>
                <w:bCs/>
              </w:rPr>
              <w:t> §</w:t>
            </w:r>
            <w:r w:rsidR="00E37461" w:rsidRPr="00252D07">
              <w:rPr>
                <w:b/>
                <w:bCs/>
              </w:rPr>
              <w:t xml:space="preserve"> 1</w:t>
            </w:r>
            <w:r w:rsidR="00677195" w:rsidRPr="00252D07">
              <w:rPr>
                <w:b/>
                <w:bCs/>
              </w:rPr>
              <w:t> mom.</w:t>
            </w:r>
            <w:r w:rsidR="00E37461" w:rsidRPr="00252D07">
              <w:rPr>
                <w:b/>
                <w:bCs/>
              </w:rPr>
              <w:t xml:space="preserve"> och om placeringen av sådana </w:t>
            </w:r>
            <w:r w:rsidR="002314AE" w:rsidRPr="00252D07">
              <w:rPr>
                <w:b/>
                <w:bCs/>
              </w:rPr>
              <w:t>särskilda rökutrymmen</w:t>
            </w:r>
            <w:r w:rsidR="00E37461" w:rsidRPr="00252D07">
              <w:rPr>
                <w:b/>
                <w:bCs/>
              </w:rPr>
              <w:t xml:space="preserve"> som avses i </w:t>
            </w:r>
            <w:r w:rsidR="00CB7261" w:rsidRPr="00252D07">
              <w:rPr>
                <w:b/>
                <w:bCs/>
              </w:rPr>
              <w:t>4a</w:t>
            </w:r>
            <w:r w:rsidR="00677195" w:rsidRPr="00252D07">
              <w:rPr>
                <w:b/>
                <w:bCs/>
              </w:rPr>
              <w:t> §</w:t>
            </w:r>
            <w:r w:rsidR="00E37461" w:rsidRPr="00252D07">
              <w:rPr>
                <w:b/>
                <w:bCs/>
              </w:rPr>
              <w:t xml:space="preserve">. Innehållet i anslagen ska vara </w:t>
            </w:r>
            <w:r w:rsidR="00CB7261" w:rsidRPr="00252D07">
              <w:rPr>
                <w:b/>
                <w:bCs/>
              </w:rPr>
              <w:t>tydligt</w:t>
            </w:r>
            <w:r w:rsidR="00E37461" w:rsidRPr="00252D07">
              <w:rPr>
                <w:b/>
                <w:bCs/>
              </w:rPr>
              <w:t xml:space="preserve"> och anslagen ska både till storlek och placering vara sådana att de är lätta att upptäcka av personer som kommer till lokalerna och vistas i dem.</w:t>
            </w:r>
          </w:p>
          <w:p w14:paraId="43B0912B" w14:textId="0479D93E" w:rsidR="003C5F53" w:rsidRPr="00972CCA" w:rsidRDefault="003C5F53" w:rsidP="00972CCA">
            <w:pPr>
              <w:pStyle w:val="ANormal"/>
            </w:pPr>
          </w:p>
        </w:tc>
      </w:tr>
      <w:tr w:rsidR="00972CCA" w14:paraId="29A717CD" w14:textId="77777777" w:rsidTr="00252D07">
        <w:tc>
          <w:tcPr>
            <w:tcW w:w="2427" w:type="pct"/>
          </w:tcPr>
          <w:p w14:paraId="31C29ABD" w14:textId="77777777" w:rsidR="00972CCA" w:rsidRDefault="00972CCA">
            <w:pPr>
              <w:pStyle w:val="ANormal"/>
              <w:rPr>
                <w:i/>
                <w:iCs/>
              </w:rPr>
            </w:pPr>
          </w:p>
        </w:tc>
        <w:tc>
          <w:tcPr>
            <w:tcW w:w="146" w:type="pct"/>
          </w:tcPr>
          <w:p w14:paraId="11B72253" w14:textId="77777777" w:rsidR="00972CCA" w:rsidRDefault="00972CCA">
            <w:pPr>
              <w:pStyle w:val="ANormal"/>
            </w:pPr>
          </w:p>
        </w:tc>
        <w:tc>
          <w:tcPr>
            <w:tcW w:w="2427" w:type="pct"/>
          </w:tcPr>
          <w:p w14:paraId="26249D05" w14:textId="77777777" w:rsidR="00972CCA" w:rsidRDefault="00972CCA" w:rsidP="00972CCA">
            <w:pPr>
              <w:pStyle w:val="ANormal"/>
            </w:pPr>
          </w:p>
          <w:p w14:paraId="65A885BB" w14:textId="77777777" w:rsidR="00972CCA" w:rsidRDefault="00972CCA">
            <w:pPr>
              <w:pStyle w:val="ANormal"/>
              <w:jc w:val="center"/>
            </w:pPr>
            <w:hyperlink w:anchor="_top" w:tooltip="Klicka för att gå till toppen av dokumentet" w:history="1">
              <w:r>
                <w:rPr>
                  <w:rStyle w:val="Hyperlnk"/>
                </w:rPr>
                <w:t>__________________</w:t>
              </w:r>
            </w:hyperlink>
          </w:p>
          <w:p w14:paraId="098D51FB" w14:textId="77777777" w:rsidR="00972CCA" w:rsidRDefault="00972CCA" w:rsidP="00972CCA">
            <w:pPr>
              <w:pStyle w:val="ANormal"/>
            </w:pPr>
          </w:p>
          <w:p w14:paraId="0D8EBFD6" w14:textId="77777777" w:rsidR="00972CCA" w:rsidRDefault="00972CCA" w:rsidP="00972CCA">
            <w:pPr>
              <w:pStyle w:val="ANormal"/>
            </w:pPr>
            <w:r>
              <w:tab/>
              <w:t>Denna lag träder i kraft den</w:t>
            </w:r>
          </w:p>
          <w:p w14:paraId="38622A51" w14:textId="77777777" w:rsidR="00972CCA" w:rsidRDefault="00972CCA" w:rsidP="00972CCA">
            <w:pPr>
              <w:pStyle w:val="ANormal"/>
              <w:jc w:val="center"/>
            </w:pPr>
            <w:hyperlink w:anchor="_top" w:tooltip="Klicka för att gå till toppen av dokumentet" w:history="1">
              <w:r>
                <w:rPr>
                  <w:rStyle w:val="Hyperlnk"/>
                </w:rPr>
                <w:t>__________________</w:t>
              </w:r>
            </w:hyperlink>
          </w:p>
          <w:p w14:paraId="39AC7F94" w14:textId="77777777" w:rsidR="00972CCA" w:rsidRDefault="00972CCA" w:rsidP="00972CCA">
            <w:pPr>
              <w:pStyle w:val="ANormal"/>
            </w:pPr>
          </w:p>
        </w:tc>
      </w:tr>
    </w:tbl>
    <w:p w14:paraId="08E1D949" w14:textId="77777777" w:rsidR="00E023D9" w:rsidRDefault="00E023D9">
      <w:pPr>
        <w:pStyle w:val="ANormal"/>
      </w:pPr>
    </w:p>
    <w:p w14:paraId="4452484F" w14:textId="7B77EBA4" w:rsidR="00463893" w:rsidRDefault="00463893">
      <w:pPr>
        <w:pStyle w:val="ANormal"/>
      </w:pPr>
    </w:p>
    <w:sectPr w:rsidR="00463893">
      <w:headerReference w:type="even" r:id="rId10"/>
      <w:headerReference w:type="default" r:id="rId11"/>
      <w:footerReference w:type="default" r:id="rId12"/>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33DB" w14:textId="77777777" w:rsidR="00764723" w:rsidRDefault="00764723">
      <w:r>
        <w:separator/>
      </w:r>
    </w:p>
  </w:endnote>
  <w:endnote w:type="continuationSeparator" w:id="0">
    <w:p w14:paraId="4C037AA4" w14:textId="77777777" w:rsidR="00764723" w:rsidRDefault="0076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CAF3" w14:textId="664316ED" w:rsidR="00E023D9" w:rsidRDefault="00972CCA">
    <w:pPr>
      <w:pStyle w:val="Sidfot"/>
      <w:rPr>
        <w:lang w:val="fi-FI"/>
      </w:rPr>
    </w:pPr>
    <w:r>
      <w:t>LF</w:t>
    </w:r>
    <w:r w:rsidR="00252D07">
      <w:t>16</w:t>
    </w:r>
    <w:r>
      <w:t>20242025-P.docx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BE92"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3734" w14:textId="77777777" w:rsidR="00764723" w:rsidRDefault="00764723">
      <w:r>
        <w:separator/>
      </w:r>
    </w:p>
  </w:footnote>
  <w:footnote w:type="continuationSeparator" w:id="0">
    <w:p w14:paraId="4A5683CA" w14:textId="77777777" w:rsidR="00764723" w:rsidRDefault="0076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7564"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EC1682D"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A1D2"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43423"/>
    <w:multiLevelType w:val="hybridMultilevel"/>
    <w:tmpl w:val="9190DB8C"/>
    <w:lvl w:ilvl="0" w:tplc="358218C4">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B7829"/>
    <w:multiLevelType w:val="hybridMultilevel"/>
    <w:tmpl w:val="E5D6056E"/>
    <w:lvl w:ilvl="0" w:tplc="BAE2DEE8">
      <w:start w:val="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25A17"/>
    <w:multiLevelType w:val="hybridMultilevel"/>
    <w:tmpl w:val="117ADD98"/>
    <w:lvl w:ilvl="0" w:tplc="E56035FA">
      <w:start w:val="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46777130">
    <w:abstractNumId w:val="6"/>
  </w:num>
  <w:num w:numId="2" w16cid:durableId="415564966">
    <w:abstractNumId w:val="3"/>
  </w:num>
  <w:num w:numId="3" w16cid:durableId="2062510811">
    <w:abstractNumId w:val="2"/>
  </w:num>
  <w:num w:numId="4" w16cid:durableId="264267868">
    <w:abstractNumId w:val="1"/>
  </w:num>
  <w:num w:numId="5" w16cid:durableId="1450081724">
    <w:abstractNumId w:val="0"/>
  </w:num>
  <w:num w:numId="6" w16cid:durableId="1930844309">
    <w:abstractNumId w:val="7"/>
  </w:num>
  <w:num w:numId="7" w16cid:durableId="30543873">
    <w:abstractNumId w:val="5"/>
  </w:num>
  <w:num w:numId="8" w16cid:durableId="871455999">
    <w:abstractNumId w:val="4"/>
  </w:num>
  <w:num w:numId="9" w16cid:durableId="1715470458">
    <w:abstractNumId w:val="10"/>
  </w:num>
  <w:num w:numId="10" w16cid:durableId="2062947388">
    <w:abstractNumId w:val="14"/>
  </w:num>
  <w:num w:numId="11" w16cid:durableId="1802919260">
    <w:abstractNumId w:val="13"/>
  </w:num>
  <w:num w:numId="12" w16cid:durableId="1441795412">
    <w:abstractNumId w:val="18"/>
  </w:num>
  <w:num w:numId="13" w16cid:durableId="2015374566">
    <w:abstractNumId w:val="12"/>
  </w:num>
  <w:num w:numId="14" w16cid:durableId="794257919">
    <w:abstractNumId w:val="17"/>
  </w:num>
  <w:num w:numId="15" w16cid:durableId="813716927">
    <w:abstractNumId w:val="9"/>
  </w:num>
  <w:num w:numId="16" w16cid:durableId="1337808494">
    <w:abstractNumId w:val="23"/>
  </w:num>
  <w:num w:numId="17" w16cid:durableId="144128057">
    <w:abstractNumId w:val="8"/>
  </w:num>
  <w:num w:numId="18" w16cid:durableId="545801125">
    <w:abstractNumId w:val="19"/>
  </w:num>
  <w:num w:numId="19" w16cid:durableId="1406954052">
    <w:abstractNumId w:val="22"/>
  </w:num>
  <w:num w:numId="20" w16cid:durableId="239368440">
    <w:abstractNumId w:val="26"/>
  </w:num>
  <w:num w:numId="21" w16cid:durableId="223301726">
    <w:abstractNumId w:val="25"/>
  </w:num>
  <w:num w:numId="22" w16cid:durableId="1511137908">
    <w:abstractNumId w:val="16"/>
  </w:num>
  <w:num w:numId="23" w16cid:durableId="2110856597">
    <w:abstractNumId w:val="20"/>
  </w:num>
  <w:num w:numId="24" w16cid:durableId="431559872">
    <w:abstractNumId w:val="20"/>
  </w:num>
  <w:num w:numId="25" w16cid:durableId="800348154">
    <w:abstractNumId w:val="21"/>
  </w:num>
  <w:num w:numId="26" w16cid:durableId="1831482168">
    <w:abstractNumId w:val="16"/>
  </w:num>
  <w:num w:numId="27" w16cid:durableId="989141159">
    <w:abstractNumId w:val="16"/>
  </w:num>
  <w:num w:numId="28" w16cid:durableId="1668287383">
    <w:abstractNumId w:val="16"/>
  </w:num>
  <w:num w:numId="29" w16cid:durableId="1560091991">
    <w:abstractNumId w:val="16"/>
  </w:num>
  <w:num w:numId="30" w16cid:durableId="1285310992">
    <w:abstractNumId w:val="16"/>
  </w:num>
  <w:num w:numId="31" w16cid:durableId="33191428">
    <w:abstractNumId w:val="16"/>
  </w:num>
  <w:num w:numId="32" w16cid:durableId="1429276991">
    <w:abstractNumId w:val="16"/>
  </w:num>
  <w:num w:numId="33" w16cid:durableId="1910266258">
    <w:abstractNumId w:val="16"/>
  </w:num>
  <w:num w:numId="34" w16cid:durableId="1976838733">
    <w:abstractNumId w:val="16"/>
  </w:num>
  <w:num w:numId="35" w16cid:durableId="2102947443">
    <w:abstractNumId w:val="20"/>
  </w:num>
  <w:num w:numId="36" w16cid:durableId="201215768">
    <w:abstractNumId w:val="21"/>
  </w:num>
  <w:num w:numId="37" w16cid:durableId="293951671">
    <w:abstractNumId w:val="16"/>
  </w:num>
  <w:num w:numId="38" w16cid:durableId="892891424">
    <w:abstractNumId w:val="16"/>
  </w:num>
  <w:num w:numId="39" w16cid:durableId="897328456">
    <w:abstractNumId w:val="16"/>
  </w:num>
  <w:num w:numId="40" w16cid:durableId="1798640990">
    <w:abstractNumId w:val="16"/>
  </w:num>
  <w:num w:numId="41" w16cid:durableId="1632977306">
    <w:abstractNumId w:val="16"/>
  </w:num>
  <w:num w:numId="42" w16cid:durableId="2141878343">
    <w:abstractNumId w:val="16"/>
  </w:num>
  <w:num w:numId="43" w16cid:durableId="2082603498">
    <w:abstractNumId w:val="16"/>
  </w:num>
  <w:num w:numId="44" w16cid:durableId="647128924">
    <w:abstractNumId w:val="16"/>
  </w:num>
  <w:num w:numId="45" w16cid:durableId="1913348183">
    <w:abstractNumId w:val="16"/>
  </w:num>
  <w:num w:numId="46" w16cid:durableId="1513029700">
    <w:abstractNumId w:val="15"/>
  </w:num>
  <w:num w:numId="47" w16cid:durableId="846820973">
    <w:abstractNumId w:val="24"/>
  </w:num>
  <w:num w:numId="48" w16cid:durableId="1839225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93"/>
    <w:rsid w:val="00052E65"/>
    <w:rsid w:val="000D671E"/>
    <w:rsid w:val="0010191A"/>
    <w:rsid w:val="00105B9A"/>
    <w:rsid w:val="00111F07"/>
    <w:rsid w:val="00114D53"/>
    <w:rsid w:val="00122B45"/>
    <w:rsid w:val="001309E3"/>
    <w:rsid w:val="0013182E"/>
    <w:rsid w:val="00151440"/>
    <w:rsid w:val="001610EB"/>
    <w:rsid w:val="001A1C33"/>
    <w:rsid w:val="001B4965"/>
    <w:rsid w:val="001C046D"/>
    <w:rsid w:val="0020520C"/>
    <w:rsid w:val="002314AE"/>
    <w:rsid w:val="00252D07"/>
    <w:rsid w:val="0025447D"/>
    <w:rsid w:val="00262245"/>
    <w:rsid w:val="00285A07"/>
    <w:rsid w:val="002954B4"/>
    <w:rsid w:val="002C1EB7"/>
    <w:rsid w:val="00301C88"/>
    <w:rsid w:val="00336690"/>
    <w:rsid w:val="0037353D"/>
    <w:rsid w:val="00385FF6"/>
    <w:rsid w:val="0038656B"/>
    <w:rsid w:val="00386E7C"/>
    <w:rsid w:val="003C5F53"/>
    <w:rsid w:val="003E0444"/>
    <w:rsid w:val="00407EFE"/>
    <w:rsid w:val="00411F65"/>
    <w:rsid w:val="0045197D"/>
    <w:rsid w:val="00463893"/>
    <w:rsid w:val="004757BE"/>
    <w:rsid w:val="004926BC"/>
    <w:rsid w:val="004A335B"/>
    <w:rsid w:val="004A3BE5"/>
    <w:rsid w:val="004B0F4D"/>
    <w:rsid w:val="004B6DFE"/>
    <w:rsid w:val="004D5ADF"/>
    <w:rsid w:val="004F1337"/>
    <w:rsid w:val="004F598D"/>
    <w:rsid w:val="00505C57"/>
    <w:rsid w:val="005258F2"/>
    <w:rsid w:val="00550C76"/>
    <w:rsid w:val="005712E8"/>
    <w:rsid w:val="005D4423"/>
    <w:rsid w:val="005F35B5"/>
    <w:rsid w:val="0061184A"/>
    <w:rsid w:val="00612989"/>
    <w:rsid w:val="00623EB7"/>
    <w:rsid w:val="00635404"/>
    <w:rsid w:val="0065002B"/>
    <w:rsid w:val="006579D6"/>
    <w:rsid w:val="00677195"/>
    <w:rsid w:val="006A25D0"/>
    <w:rsid w:val="006B68AA"/>
    <w:rsid w:val="006B7933"/>
    <w:rsid w:val="006C6EE1"/>
    <w:rsid w:val="006D0BDE"/>
    <w:rsid w:val="006D74EF"/>
    <w:rsid w:val="00700BAE"/>
    <w:rsid w:val="00704D11"/>
    <w:rsid w:val="00713ECE"/>
    <w:rsid w:val="007422B5"/>
    <w:rsid w:val="00764723"/>
    <w:rsid w:val="00767E8F"/>
    <w:rsid w:val="007816F1"/>
    <w:rsid w:val="00782B2E"/>
    <w:rsid w:val="00793E0D"/>
    <w:rsid w:val="007B245C"/>
    <w:rsid w:val="007B7890"/>
    <w:rsid w:val="007C0CCD"/>
    <w:rsid w:val="00850369"/>
    <w:rsid w:val="008755F8"/>
    <w:rsid w:val="00875F58"/>
    <w:rsid w:val="00894F14"/>
    <w:rsid w:val="008B4E2C"/>
    <w:rsid w:val="008C0F7A"/>
    <w:rsid w:val="008C6C40"/>
    <w:rsid w:val="008C7E05"/>
    <w:rsid w:val="008F6428"/>
    <w:rsid w:val="0090119F"/>
    <w:rsid w:val="00911EA9"/>
    <w:rsid w:val="00924994"/>
    <w:rsid w:val="00927945"/>
    <w:rsid w:val="0093105A"/>
    <w:rsid w:val="00937A16"/>
    <w:rsid w:val="00963A0E"/>
    <w:rsid w:val="00972CCA"/>
    <w:rsid w:val="00986210"/>
    <w:rsid w:val="009939DD"/>
    <w:rsid w:val="009969EB"/>
    <w:rsid w:val="00A13CDC"/>
    <w:rsid w:val="00A35D5D"/>
    <w:rsid w:val="00A364EA"/>
    <w:rsid w:val="00A45123"/>
    <w:rsid w:val="00A50F8D"/>
    <w:rsid w:val="00A72EDE"/>
    <w:rsid w:val="00A93DD7"/>
    <w:rsid w:val="00AD2CA0"/>
    <w:rsid w:val="00B2678D"/>
    <w:rsid w:val="00B34AFF"/>
    <w:rsid w:val="00B46AFA"/>
    <w:rsid w:val="00BA24FC"/>
    <w:rsid w:val="00BB54B4"/>
    <w:rsid w:val="00BC2B57"/>
    <w:rsid w:val="00BD640D"/>
    <w:rsid w:val="00BE70B3"/>
    <w:rsid w:val="00C02620"/>
    <w:rsid w:val="00C053B0"/>
    <w:rsid w:val="00C61372"/>
    <w:rsid w:val="00CB7261"/>
    <w:rsid w:val="00CE1A5F"/>
    <w:rsid w:val="00D04586"/>
    <w:rsid w:val="00D10E93"/>
    <w:rsid w:val="00D13B66"/>
    <w:rsid w:val="00D50B8C"/>
    <w:rsid w:val="00D809FC"/>
    <w:rsid w:val="00D90894"/>
    <w:rsid w:val="00D9299F"/>
    <w:rsid w:val="00DA0038"/>
    <w:rsid w:val="00DC291D"/>
    <w:rsid w:val="00E023D9"/>
    <w:rsid w:val="00E10B65"/>
    <w:rsid w:val="00E24396"/>
    <w:rsid w:val="00E26F22"/>
    <w:rsid w:val="00E3310D"/>
    <w:rsid w:val="00E37461"/>
    <w:rsid w:val="00E436BF"/>
    <w:rsid w:val="00E4393D"/>
    <w:rsid w:val="00E55993"/>
    <w:rsid w:val="00EE1EB7"/>
    <w:rsid w:val="00EE6363"/>
    <w:rsid w:val="00EF4A8F"/>
    <w:rsid w:val="00EF4B2E"/>
    <w:rsid w:val="00F04907"/>
    <w:rsid w:val="00F05DDE"/>
    <w:rsid w:val="00F34118"/>
    <w:rsid w:val="00F90598"/>
    <w:rsid w:val="00FA26D7"/>
    <w:rsid w:val="00FA3474"/>
    <w:rsid w:val="00FB030D"/>
    <w:rsid w:val="00FB4A6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D919A"/>
  <w15:chartTrackingRefBased/>
  <w15:docId w15:val="{36556646-F30D-4C33-BE14-B0B5ABC7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40D"/>
    <w:rPr>
      <w:rFonts w:ascii="Aptos" w:eastAsiaTheme="minorHAnsi" w:hAnsi="Aptos" w:cs="Aptos"/>
      <w:sz w:val="24"/>
      <w:szCs w:val="24"/>
      <w:lang w:eastAsia="en-US"/>
      <w14:ligatures w14:val="standardContextual"/>
    </w:rPr>
  </w:style>
  <w:style w:type="paragraph" w:styleId="Rubrik1">
    <w:name w:val="heading 1"/>
    <w:basedOn w:val="Normal"/>
    <w:next w:val="Normal"/>
    <w:qFormat/>
    <w:pPr>
      <w:keepNext/>
      <w:numPr>
        <w:numId w:val="37"/>
      </w:numPr>
      <w:spacing w:before="240" w:after="60"/>
      <w:outlineLvl w:val="0"/>
    </w:pPr>
    <w:rPr>
      <w:rFonts w:ascii="Arial" w:eastAsia="Times New Roman" w:hAnsi="Arial" w:cs="Arial"/>
      <w:b/>
      <w:bCs/>
      <w:kern w:val="32"/>
      <w:sz w:val="32"/>
      <w:szCs w:val="32"/>
      <w:lang w:val="sv-SE" w:eastAsia="sv-SE"/>
      <w14:ligatures w14:val="none"/>
    </w:rPr>
  </w:style>
  <w:style w:type="paragraph" w:styleId="Rubrik2">
    <w:name w:val="heading 2"/>
    <w:basedOn w:val="Normal"/>
    <w:next w:val="Normal"/>
    <w:qFormat/>
    <w:pPr>
      <w:keepNext/>
      <w:numPr>
        <w:ilvl w:val="1"/>
        <w:numId w:val="38"/>
      </w:numPr>
      <w:spacing w:before="240" w:after="60"/>
      <w:outlineLvl w:val="1"/>
    </w:pPr>
    <w:rPr>
      <w:rFonts w:ascii="Arial" w:eastAsia="Times New Roman" w:hAnsi="Arial" w:cs="Arial"/>
      <w:b/>
      <w:bCs/>
      <w:i/>
      <w:iCs/>
      <w:sz w:val="28"/>
      <w:szCs w:val="28"/>
      <w:lang w:val="sv-SE" w:eastAsia="sv-SE"/>
      <w14:ligatures w14:val="none"/>
    </w:rPr>
  </w:style>
  <w:style w:type="paragraph" w:styleId="Rubrik3">
    <w:name w:val="heading 3"/>
    <w:basedOn w:val="Normal"/>
    <w:next w:val="Normal"/>
    <w:qFormat/>
    <w:pPr>
      <w:keepNext/>
      <w:numPr>
        <w:ilvl w:val="2"/>
        <w:numId w:val="39"/>
      </w:numPr>
      <w:spacing w:before="240" w:after="60"/>
      <w:outlineLvl w:val="2"/>
    </w:pPr>
    <w:rPr>
      <w:rFonts w:ascii="Arial" w:eastAsia="Times New Roman" w:hAnsi="Arial" w:cs="Arial"/>
      <w:b/>
      <w:bCs/>
      <w:sz w:val="26"/>
      <w:szCs w:val="26"/>
      <w:lang w:val="sv-SE" w:eastAsia="sv-SE"/>
      <w14:ligatures w14:val="none"/>
    </w:rPr>
  </w:style>
  <w:style w:type="paragraph" w:styleId="Rubrik4">
    <w:name w:val="heading 4"/>
    <w:basedOn w:val="Normal"/>
    <w:next w:val="Normal"/>
    <w:qFormat/>
    <w:pPr>
      <w:keepNext/>
      <w:numPr>
        <w:ilvl w:val="3"/>
        <w:numId w:val="40"/>
      </w:numPr>
      <w:spacing w:before="240" w:after="60"/>
      <w:outlineLvl w:val="3"/>
    </w:pPr>
    <w:rPr>
      <w:rFonts w:ascii="Times New Roman" w:eastAsia="Times New Roman" w:hAnsi="Times New Roman" w:cs="Times New Roman"/>
      <w:b/>
      <w:bCs/>
      <w:sz w:val="28"/>
      <w:szCs w:val="28"/>
      <w:lang w:val="sv-SE" w:eastAsia="sv-SE"/>
      <w14:ligatures w14:val="none"/>
    </w:rPr>
  </w:style>
  <w:style w:type="paragraph" w:styleId="Rubrik5">
    <w:name w:val="heading 5"/>
    <w:basedOn w:val="Normal"/>
    <w:next w:val="Normal"/>
    <w:qFormat/>
    <w:pPr>
      <w:numPr>
        <w:ilvl w:val="4"/>
        <w:numId w:val="41"/>
      </w:numPr>
      <w:spacing w:before="240" w:after="60"/>
      <w:outlineLvl w:val="4"/>
    </w:pPr>
    <w:rPr>
      <w:rFonts w:ascii="Times New Roman" w:eastAsia="Times New Roman" w:hAnsi="Times New Roman" w:cs="Times New Roman"/>
      <w:b/>
      <w:bCs/>
      <w:i/>
      <w:iCs/>
      <w:sz w:val="26"/>
      <w:szCs w:val="26"/>
      <w:lang w:val="sv-SE" w:eastAsia="sv-SE"/>
      <w14:ligatures w14:val="none"/>
    </w:rPr>
  </w:style>
  <w:style w:type="paragraph" w:styleId="Rubrik6">
    <w:name w:val="heading 6"/>
    <w:basedOn w:val="Normal"/>
    <w:next w:val="Normal"/>
    <w:qFormat/>
    <w:pPr>
      <w:numPr>
        <w:ilvl w:val="5"/>
        <w:numId w:val="42"/>
      </w:numPr>
      <w:spacing w:before="240" w:after="60"/>
      <w:outlineLvl w:val="5"/>
    </w:pPr>
    <w:rPr>
      <w:rFonts w:ascii="Times New Roman" w:eastAsia="Times New Roman" w:hAnsi="Times New Roman" w:cs="Times New Roman"/>
      <w:b/>
      <w:bCs/>
      <w:sz w:val="22"/>
      <w:szCs w:val="22"/>
      <w:lang w:val="sv-SE" w:eastAsia="sv-SE"/>
      <w14:ligatures w14:val="none"/>
    </w:rPr>
  </w:style>
  <w:style w:type="paragraph" w:styleId="Rubrik7">
    <w:name w:val="heading 7"/>
    <w:basedOn w:val="Normal"/>
    <w:next w:val="Normal"/>
    <w:qFormat/>
    <w:pPr>
      <w:numPr>
        <w:ilvl w:val="6"/>
        <w:numId w:val="43"/>
      </w:numPr>
      <w:spacing w:before="240" w:after="60"/>
      <w:outlineLvl w:val="6"/>
    </w:pPr>
    <w:rPr>
      <w:rFonts w:ascii="Times New Roman" w:eastAsia="Times New Roman" w:hAnsi="Times New Roman" w:cs="Times New Roman"/>
      <w:lang w:val="sv-SE" w:eastAsia="sv-SE"/>
      <w14:ligatures w14:val="none"/>
    </w:rPr>
  </w:style>
  <w:style w:type="paragraph" w:styleId="Rubrik8">
    <w:name w:val="heading 8"/>
    <w:basedOn w:val="Normal"/>
    <w:next w:val="Normal"/>
    <w:qFormat/>
    <w:pPr>
      <w:numPr>
        <w:ilvl w:val="7"/>
        <w:numId w:val="44"/>
      </w:numPr>
      <w:spacing w:before="240" w:after="60"/>
      <w:outlineLvl w:val="7"/>
    </w:pPr>
    <w:rPr>
      <w:rFonts w:ascii="Times New Roman" w:eastAsia="Times New Roman" w:hAnsi="Times New Roman" w:cs="Times New Roman"/>
      <w:i/>
      <w:iCs/>
      <w:lang w:val="sv-SE" w:eastAsia="sv-SE"/>
      <w14:ligatures w14:val="none"/>
    </w:rPr>
  </w:style>
  <w:style w:type="paragraph" w:styleId="Rubrik9">
    <w:name w:val="heading 9"/>
    <w:basedOn w:val="Normal"/>
    <w:next w:val="Normal"/>
    <w:qFormat/>
    <w:pPr>
      <w:numPr>
        <w:ilvl w:val="8"/>
        <w:numId w:val="45"/>
      </w:numPr>
      <w:spacing w:before="240" w:after="60"/>
      <w:outlineLvl w:val="8"/>
    </w:pPr>
    <w:rPr>
      <w:rFonts w:ascii="Arial" w:eastAsia="Times New Roman" w:hAnsi="Arial" w:cs="Arial"/>
      <w:sz w:val="22"/>
      <w:szCs w:val="22"/>
      <w:lang w:val="sv-SE"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pPr>
    <w:rPr>
      <w:rFonts w:ascii="Times New Roman" w:eastAsia="Times New Roman" w:hAnsi="Times New Roman" w:cs="Times New Roman"/>
      <w:lang w:val="sv-SE" w:eastAsia="sv-SE"/>
      <w14:ligatures w14:val="none"/>
    </w:rPr>
  </w:style>
  <w:style w:type="paragraph" w:styleId="Brdtextmedindrag">
    <w:name w:val="Body Text Indent"/>
    <w:basedOn w:val="Normal"/>
    <w:pPr>
      <w:spacing w:after="120"/>
      <w:ind w:left="283"/>
    </w:pPr>
    <w:rPr>
      <w:rFonts w:ascii="Times New Roman" w:eastAsia="Times New Roman" w:hAnsi="Times New Roman" w:cs="Times New Roman"/>
      <w:lang w:val="sv-SE" w:eastAsia="sv-SE"/>
      <w14:ligatures w14:val="non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eastAsia="Times New Roman" w:hAnsi="Arial" w:cs="Arial"/>
      <w:sz w:val="16"/>
      <w:lang w:val="sv-SE" w:eastAsia="sv-SE"/>
      <w14:ligatures w14:val="none"/>
    </w:rPr>
  </w:style>
  <w:style w:type="paragraph" w:styleId="Sidfot">
    <w:name w:val="footer"/>
    <w:basedOn w:val="Normal"/>
    <w:pPr>
      <w:tabs>
        <w:tab w:val="right" w:pos="8165"/>
      </w:tabs>
    </w:pPr>
    <w:rPr>
      <w:rFonts w:ascii="Verdana" w:eastAsia="Times New Roman" w:hAnsi="Verdana" w:cs="Arial"/>
      <w:sz w:val="14"/>
      <w:lang w:val="sv-SE" w:eastAsia="sv-SE"/>
      <w14:ligatures w14:val="none"/>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rPr>
      <w:rFonts w:ascii="Times New Roman" w:eastAsia="Times New Roman" w:hAnsi="Times New Roman" w:cs="Times New Roman"/>
      <w:lang w:val="sv-SE" w:eastAsia="sv-SE"/>
      <w14:ligatures w14:val="non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rPr>
      <w:rFonts w:ascii="Times New Roman" w:eastAsia="Times New Roman" w:hAnsi="Times New Roman" w:cs="Times New Roman"/>
      <w:lang w:val="sv-SE" w:eastAsia="sv-SE"/>
      <w14:ligatures w14:val="none"/>
    </w:rPr>
  </w:style>
  <w:style w:type="paragraph" w:styleId="Innehll6">
    <w:name w:val="toc 6"/>
    <w:basedOn w:val="Normal"/>
    <w:next w:val="Normal"/>
    <w:autoRedefine/>
    <w:semiHidden/>
    <w:pPr>
      <w:ind w:left="1200"/>
    </w:pPr>
    <w:rPr>
      <w:rFonts w:ascii="Times New Roman" w:eastAsia="Times New Roman" w:hAnsi="Times New Roman" w:cs="Times New Roman"/>
      <w:lang w:val="sv-SE" w:eastAsia="sv-SE"/>
      <w14:ligatures w14:val="none"/>
    </w:rPr>
  </w:style>
  <w:style w:type="paragraph" w:styleId="Innehll7">
    <w:name w:val="toc 7"/>
    <w:basedOn w:val="Normal"/>
    <w:next w:val="Normal"/>
    <w:autoRedefine/>
    <w:semiHidden/>
    <w:pPr>
      <w:ind w:left="1440"/>
    </w:pPr>
    <w:rPr>
      <w:rFonts w:ascii="Times New Roman" w:eastAsia="Times New Roman" w:hAnsi="Times New Roman" w:cs="Times New Roman"/>
      <w:lang w:val="sv-SE" w:eastAsia="sv-SE"/>
      <w14:ligatures w14:val="none"/>
    </w:rPr>
  </w:style>
  <w:style w:type="paragraph" w:styleId="Innehll8">
    <w:name w:val="toc 8"/>
    <w:basedOn w:val="Normal"/>
    <w:next w:val="Normal"/>
    <w:autoRedefine/>
    <w:semiHidden/>
    <w:pPr>
      <w:ind w:left="1680"/>
    </w:pPr>
    <w:rPr>
      <w:rFonts w:ascii="Times New Roman" w:eastAsia="Times New Roman" w:hAnsi="Times New Roman" w:cs="Times New Roman"/>
      <w:lang w:val="sv-SE" w:eastAsia="sv-SE"/>
      <w14:ligatures w14:val="none"/>
    </w:rPr>
  </w:style>
  <w:style w:type="paragraph" w:styleId="Innehll9">
    <w:name w:val="toc 9"/>
    <w:basedOn w:val="Normal"/>
    <w:next w:val="Normal"/>
    <w:autoRedefine/>
    <w:semiHidden/>
    <w:pPr>
      <w:ind w:left="1920"/>
    </w:pPr>
    <w:rPr>
      <w:rFonts w:ascii="Times New Roman" w:eastAsia="Times New Roman" w:hAnsi="Times New Roman" w:cs="Times New Roman"/>
      <w:lang w:val="sv-SE" w:eastAsia="sv-SE"/>
      <w14:ligatures w14:val="non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Normalwebb">
    <w:name w:val="Normal (Web)"/>
    <w:basedOn w:val="Normal"/>
    <w:rsid w:val="00894F14"/>
    <w:rPr>
      <w:rFonts w:ascii="Times New Roman" w:eastAsia="Times New Roman" w:hAnsi="Times New Roman" w:cs="Times New Roman"/>
      <w:lang w:val="sv-SE" w:eastAsia="sv-SE"/>
      <w14:ligatures w14:val="none"/>
    </w:rPr>
  </w:style>
  <w:style w:type="paragraph" w:styleId="Rubrik">
    <w:name w:val="Title"/>
    <w:aliases w:val="Titel"/>
    <w:basedOn w:val="Rubrik1"/>
    <w:next w:val="Normal"/>
    <w:link w:val="RubrikChar"/>
    <w:uiPriority w:val="10"/>
    <w:rsid w:val="007C0CCD"/>
    <w:pPr>
      <w:keepNext w:val="0"/>
      <w:numPr>
        <w:numId w:val="0"/>
      </w:numPr>
      <w:autoSpaceDE w:val="0"/>
      <w:autoSpaceDN w:val="0"/>
      <w:adjustRightInd w:val="0"/>
      <w:spacing w:before="0" w:after="0" w:line="204" w:lineRule="auto"/>
      <w:textAlignment w:val="center"/>
      <w:outlineLvl w:val="9"/>
    </w:pPr>
    <w:rPr>
      <w:rFonts w:asciiTheme="majorHAnsi" w:eastAsiaTheme="minorHAnsi" w:hAnsiTheme="majorHAnsi" w:cs="Open Sans"/>
      <w:b w:val="0"/>
      <w:kern w:val="0"/>
      <w:sz w:val="68"/>
      <w:szCs w:val="68"/>
      <w:lang w:eastAsia="en-US"/>
    </w:rPr>
  </w:style>
  <w:style w:type="character" w:customStyle="1" w:styleId="RubrikChar">
    <w:name w:val="Rubrik Char"/>
    <w:aliases w:val="Titel Char"/>
    <w:basedOn w:val="Standardstycketeckensnitt"/>
    <w:link w:val="Rubrik"/>
    <w:uiPriority w:val="10"/>
    <w:rsid w:val="007C0CCD"/>
    <w:rPr>
      <w:rFonts w:asciiTheme="majorHAnsi" w:eastAsiaTheme="minorHAnsi" w:hAnsiTheme="majorHAnsi" w:cs="Open Sans"/>
      <w:bCs/>
      <w:sz w:val="68"/>
      <w:szCs w:val="68"/>
      <w:lang w:val="sv-SE" w:eastAsia="en-US"/>
    </w:rPr>
  </w:style>
  <w:style w:type="character" w:styleId="Betoning">
    <w:name w:val="Emphasis"/>
    <w:basedOn w:val="Standardstycketeckensnitt"/>
    <w:uiPriority w:val="20"/>
    <w:qFormat/>
    <w:rsid w:val="004A3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9615">
      <w:bodyDiv w:val="1"/>
      <w:marLeft w:val="0"/>
      <w:marRight w:val="0"/>
      <w:marTop w:val="0"/>
      <w:marBottom w:val="0"/>
      <w:divBdr>
        <w:top w:val="none" w:sz="0" w:space="0" w:color="auto"/>
        <w:left w:val="none" w:sz="0" w:space="0" w:color="auto"/>
        <w:bottom w:val="none" w:sz="0" w:space="0" w:color="auto"/>
        <w:right w:val="none" w:sz="0" w:space="0" w:color="auto"/>
      </w:divBdr>
    </w:div>
    <w:div w:id="4509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7</Pages>
  <Words>2787</Words>
  <Characters>15003</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17755</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Marina Eriksson</cp:lastModifiedBy>
  <cp:revision>2</cp:revision>
  <cp:lastPrinted>2025-02-27T10:59:00Z</cp:lastPrinted>
  <dcterms:created xsi:type="dcterms:W3CDTF">2025-02-27T11:02:00Z</dcterms:created>
  <dcterms:modified xsi:type="dcterms:W3CDTF">2025-02-27T11:02:00Z</dcterms:modified>
</cp:coreProperties>
</file>