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5FD18C66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422AEB1" w14:textId="70189E56" w:rsidR="00337A19" w:rsidRDefault="00EF6037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3EE1AC2A" wp14:editId="7B7F4791">
                  <wp:extent cx="478155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2194AD85" w14:textId="4C17B838" w:rsidR="00337A19" w:rsidRDefault="00EF6037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72969541" wp14:editId="79585091">
                  <wp:extent cx="46355" cy="4635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" cy="4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7F46EF24" w14:textId="77777777">
        <w:trPr>
          <w:cantSplit/>
          <w:trHeight w:val="299"/>
        </w:trPr>
        <w:tc>
          <w:tcPr>
            <w:tcW w:w="861" w:type="dxa"/>
            <w:vMerge/>
          </w:tcPr>
          <w:p w14:paraId="05041108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80E0992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1D91D938" w14:textId="09DE17DA" w:rsidR="00337A19" w:rsidRDefault="00337A19" w:rsidP="009F1162">
            <w:pPr>
              <w:pStyle w:val="xDokTypNr"/>
            </w:pPr>
            <w:r>
              <w:t xml:space="preserve">BESLUT LTB </w:t>
            </w:r>
            <w:r w:rsidR="00EF6037">
              <w:t>1</w:t>
            </w:r>
            <w:r w:rsidR="00AD4385">
              <w:t>6</w:t>
            </w:r>
            <w:r>
              <w:t>/20</w:t>
            </w:r>
            <w:r w:rsidR="00EF6037">
              <w:t>25</w:t>
            </w:r>
          </w:p>
        </w:tc>
      </w:tr>
      <w:tr w:rsidR="00337A19" w14:paraId="5859D5B8" w14:textId="77777777">
        <w:trPr>
          <w:cantSplit/>
          <w:trHeight w:val="238"/>
        </w:trPr>
        <w:tc>
          <w:tcPr>
            <w:tcW w:w="861" w:type="dxa"/>
            <w:vMerge/>
          </w:tcPr>
          <w:p w14:paraId="5F5121F3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6905A71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AEA81DC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184A27A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6E665EFA" w14:textId="77777777">
        <w:trPr>
          <w:cantSplit/>
          <w:trHeight w:val="238"/>
        </w:trPr>
        <w:tc>
          <w:tcPr>
            <w:tcW w:w="861" w:type="dxa"/>
            <w:vMerge/>
          </w:tcPr>
          <w:p w14:paraId="0968E4EA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822A79F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04854499" w14:textId="26485F9C" w:rsidR="00337A19" w:rsidRDefault="00337A19">
            <w:pPr>
              <w:pStyle w:val="xDatum1"/>
            </w:pPr>
            <w:r>
              <w:t>20</w:t>
            </w:r>
            <w:r w:rsidR="00EF6037">
              <w:t>25-0</w:t>
            </w:r>
            <w:r w:rsidR="00DE635B">
              <w:t>6-04</w:t>
            </w:r>
          </w:p>
        </w:tc>
        <w:tc>
          <w:tcPr>
            <w:tcW w:w="2563" w:type="dxa"/>
            <w:vAlign w:val="center"/>
          </w:tcPr>
          <w:p w14:paraId="07A56027" w14:textId="44313835" w:rsidR="00337A19" w:rsidRDefault="00EF6037">
            <w:pPr>
              <w:pStyle w:val="xBeteckning1"/>
            </w:pPr>
            <w:r>
              <w:t>LF 15/</w:t>
            </w:r>
            <w:proofErr w:type="gramStart"/>
            <w:r>
              <w:t>2024-2025</w:t>
            </w:r>
            <w:proofErr w:type="gramEnd"/>
          </w:p>
        </w:tc>
      </w:tr>
      <w:tr w:rsidR="00337A19" w14:paraId="102AEDC7" w14:textId="77777777">
        <w:trPr>
          <w:cantSplit/>
          <w:trHeight w:val="238"/>
        </w:trPr>
        <w:tc>
          <w:tcPr>
            <w:tcW w:w="861" w:type="dxa"/>
            <w:vMerge/>
          </w:tcPr>
          <w:p w14:paraId="6856A078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E56FAFA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9E72B6D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4479CFEF" w14:textId="77777777" w:rsidR="00337A19" w:rsidRDefault="00337A19">
            <w:pPr>
              <w:pStyle w:val="xLedtext"/>
            </w:pPr>
          </w:p>
        </w:tc>
      </w:tr>
      <w:tr w:rsidR="00337A19" w14:paraId="71451424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59F098A0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E1C07D7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1465BB85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1DD78CE6" w14:textId="77777777" w:rsidR="00337A19" w:rsidRDefault="00337A19">
            <w:pPr>
              <w:pStyle w:val="xBeteckning2"/>
            </w:pPr>
          </w:p>
        </w:tc>
      </w:tr>
      <w:tr w:rsidR="00337A19" w14:paraId="7ABCFEAF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22298F3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4525D1A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6CA521D" w14:textId="77777777" w:rsidR="00337A19" w:rsidRDefault="00337A19">
            <w:pPr>
              <w:pStyle w:val="xLedtext"/>
            </w:pPr>
          </w:p>
        </w:tc>
      </w:tr>
      <w:tr w:rsidR="00337A19" w14:paraId="03D8BE69" w14:textId="77777777">
        <w:trPr>
          <w:cantSplit/>
          <w:trHeight w:val="238"/>
        </w:trPr>
        <w:tc>
          <w:tcPr>
            <w:tcW w:w="861" w:type="dxa"/>
          </w:tcPr>
          <w:p w14:paraId="3F838087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32E685BF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50A5CDE6" w14:textId="77777777" w:rsidR="00337A19" w:rsidRDefault="00337A19">
            <w:pPr>
              <w:pStyle w:val="xCelltext"/>
            </w:pPr>
          </w:p>
        </w:tc>
      </w:tr>
    </w:tbl>
    <w:p w14:paraId="2D0D6B0F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76D0D8AA" w14:textId="77777777" w:rsidR="00337A19" w:rsidRDefault="00337A19">
      <w:pPr>
        <w:pStyle w:val="ArendeOverRubrik"/>
      </w:pPr>
      <w:r>
        <w:t>Ålands lagtings beslut om antagande av</w:t>
      </w:r>
    </w:p>
    <w:p w14:paraId="44FE85CC" w14:textId="1F878CF9" w:rsidR="00EF6037" w:rsidRPr="00032BB6" w:rsidRDefault="00337A19" w:rsidP="00EF6037">
      <w:pPr>
        <w:pStyle w:val="ArendeRubrik"/>
        <w:outlineLvl w:val="0"/>
      </w:pPr>
      <w:bookmarkStart w:id="1" w:name="_Toc65564307"/>
      <w:r>
        <w:t>Landskapslag</w:t>
      </w:r>
      <w:bookmarkEnd w:id="1"/>
      <w:r w:rsidR="00A70EA5">
        <w:t xml:space="preserve"> </w:t>
      </w:r>
      <w:r w:rsidR="00AD4385" w:rsidRPr="00F33233">
        <w:t xml:space="preserve">om </w:t>
      </w:r>
      <w:r w:rsidR="00AD4385" w:rsidRPr="00803572">
        <w:t>tillämpning på Åland av lagen om biodrivmedel, flytande biobränslen och biomassabränslen</w:t>
      </w:r>
    </w:p>
    <w:p w14:paraId="307264C1" w14:textId="77777777" w:rsidR="00EF6037" w:rsidRPr="00EF6037" w:rsidRDefault="00EF6037" w:rsidP="00EF6037">
      <w:pPr>
        <w:pStyle w:val="ArendeUnderRubrik"/>
        <w:numPr>
          <w:ilvl w:val="0"/>
          <w:numId w:val="0"/>
        </w:numPr>
        <w:ind w:left="283"/>
      </w:pPr>
    </w:p>
    <w:p w14:paraId="5059931D" w14:textId="77777777" w:rsidR="00337A19" w:rsidRDefault="00337A19">
      <w:pPr>
        <w:pStyle w:val="ANormal"/>
      </w:pPr>
    </w:p>
    <w:p w14:paraId="4466CE81" w14:textId="77777777" w:rsidR="00AD4385" w:rsidRPr="00D13925" w:rsidRDefault="00337A19" w:rsidP="00AD4385">
      <w:pPr>
        <w:pStyle w:val="ANormal"/>
      </w:pPr>
      <w:r>
        <w:tab/>
        <w:t xml:space="preserve">I enlighet med lagtingets beslut </w:t>
      </w:r>
      <w:r w:rsidR="00AD4385" w:rsidRPr="00D13925">
        <w:t>föreskrivs:</w:t>
      </w:r>
    </w:p>
    <w:p w14:paraId="370D0CCC" w14:textId="77777777" w:rsidR="00AD4385" w:rsidRPr="00D13925" w:rsidRDefault="00AD4385" w:rsidP="00AD4385">
      <w:pPr>
        <w:pStyle w:val="ANormal"/>
      </w:pPr>
    </w:p>
    <w:p w14:paraId="0AB0B119" w14:textId="77777777" w:rsidR="00AD4385" w:rsidRPr="00A2348E" w:rsidRDefault="00AD4385" w:rsidP="00AD4385">
      <w:pPr>
        <w:pStyle w:val="LagParagraf"/>
      </w:pPr>
      <w:r w:rsidRPr="00A2348E">
        <w:t>1</w:t>
      </w:r>
      <w:r>
        <w:t> §</w:t>
      </w:r>
    </w:p>
    <w:p w14:paraId="3786CE65" w14:textId="77777777" w:rsidR="00AD4385" w:rsidRPr="00D13925" w:rsidRDefault="00AD4385" w:rsidP="00AD4385">
      <w:pPr>
        <w:pStyle w:val="ANormal"/>
      </w:pPr>
      <w:r w:rsidRPr="00D13925">
        <w:tab/>
        <w:t xml:space="preserve">Lagen om biodrivmedel, flytande biobränslen och biomassabränslen (FFS 393/2013), nedan kallad </w:t>
      </w:r>
      <w:proofErr w:type="spellStart"/>
      <w:r w:rsidRPr="00D13925">
        <w:t>rikslagen</w:t>
      </w:r>
      <w:proofErr w:type="spellEnd"/>
      <w:r w:rsidRPr="00D13925">
        <w:t>, ska tillämpas på Åland med de avvikelser som anges i denna lag.</w:t>
      </w:r>
    </w:p>
    <w:p w14:paraId="49A8C904" w14:textId="77777777" w:rsidR="00AD4385" w:rsidRPr="00D13925" w:rsidRDefault="00AD4385" w:rsidP="00AD4385">
      <w:pPr>
        <w:pStyle w:val="ANormal"/>
      </w:pPr>
      <w:r w:rsidRPr="00D13925">
        <w:tab/>
        <w:t xml:space="preserve">Ändringar i </w:t>
      </w:r>
      <w:proofErr w:type="spellStart"/>
      <w:r w:rsidRPr="00D13925">
        <w:t>rikslagen</w:t>
      </w:r>
      <w:proofErr w:type="spellEnd"/>
      <w:r w:rsidRPr="00D13925">
        <w:t xml:space="preserve"> ska tillämpas på Åland från det att de träder i kraft i riket, om inte annat följer av bestämmelser i denna lag.</w:t>
      </w:r>
    </w:p>
    <w:p w14:paraId="6B346D80" w14:textId="77777777" w:rsidR="00AD4385" w:rsidRPr="00D13925" w:rsidRDefault="00AD4385" w:rsidP="00AD4385">
      <w:pPr>
        <w:pStyle w:val="ANormal"/>
      </w:pPr>
    </w:p>
    <w:p w14:paraId="5559B98A" w14:textId="77777777" w:rsidR="00AD4385" w:rsidRPr="00A2348E" w:rsidRDefault="00AD4385" w:rsidP="00AD4385">
      <w:pPr>
        <w:pStyle w:val="LagParagraf"/>
      </w:pPr>
      <w:r w:rsidRPr="00A2348E">
        <w:t>2</w:t>
      </w:r>
      <w:r>
        <w:t> §</w:t>
      </w:r>
    </w:p>
    <w:p w14:paraId="6E2FCEA7" w14:textId="77777777" w:rsidR="00AD4385" w:rsidRPr="00D13925" w:rsidRDefault="00AD4385" w:rsidP="00AD4385">
      <w:pPr>
        <w:pStyle w:val="ANormal"/>
      </w:pPr>
      <w:r w:rsidRPr="00D13925">
        <w:tab/>
        <w:t xml:space="preserve">De förvaltningsuppgifter som enligt </w:t>
      </w:r>
      <w:proofErr w:type="spellStart"/>
      <w:r w:rsidRPr="00D13925">
        <w:t>rikslagen</w:t>
      </w:r>
      <w:proofErr w:type="spellEnd"/>
      <w:r w:rsidRPr="00D13925">
        <w:t xml:space="preserve"> ankommer på energimyndigheten ska på Åland skötas av Ålands energimyndighet, till den del uppgifterna faller inom landskapets behörighet.</w:t>
      </w:r>
    </w:p>
    <w:p w14:paraId="3B17CF9C" w14:textId="77777777" w:rsidR="00AD4385" w:rsidRPr="00D13925" w:rsidRDefault="00AD4385" w:rsidP="00AD4385">
      <w:pPr>
        <w:pStyle w:val="ANormal"/>
      </w:pPr>
      <w:r w:rsidRPr="00D13925">
        <w:tab/>
        <w:t xml:space="preserve">De förvaltningsuppgifter som enligt </w:t>
      </w:r>
      <w:proofErr w:type="spellStart"/>
      <w:r w:rsidRPr="00D13925">
        <w:t>rikslagen</w:t>
      </w:r>
      <w:proofErr w:type="spellEnd"/>
      <w:r w:rsidRPr="00D13925">
        <w:t xml:space="preserve"> ankommer på andra statliga myndigheter ska på Åland skötas av landskapsregeringen, till den del uppgifterna faller inom landskapets behörighet.</w:t>
      </w:r>
    </w:p>
    <w:p w14:paraId="1B845FBA" w14:textId="77777777" w:rsidR="00AD4385" w:rsidRPr="00D13925" w:rsidRDefault="00AD4385" w:rsidP="00AD4385">
      <w:pPr>
        <w:pStyle w:val="ANormal"/>
      </w:pPr>
      <w:r w:rsidRPr="00D13925">
        <w:tab/>
        <w:t xml:space="preserve">Hänvisningar i </w:t>
      </w:r>
      <w:proofErr w:type="spellStart"/>
      <w:r w:rsidRPr="00D13925">
        <w:t>rikslagen</w:t>
      </w:r>
      <w:proofErr w:type="spellEnd"/>
      <w:r w:rsidRPr="00D13925">
        <w:t xml:space="preserve"> till bestämmelser i rikslagstiftningen ska avse motsvarande bestämmelser i landskapslagstiftningen.</w:t>
      </w:r>
    </w:p>
    <w:p w14:paraId="4059240F" w14:textId="77777777" w:rsidR="00AD4385" w:rsidRPr="00D13925" w:rsidRDefault="00AD4385" w:rsidP="00AD4385">
      <w:pPr>
        <w:pStyle w:val="ANormal"/>
      </w:pPr>
      <w:r w:rsidRPr="00D13925">
        <w:tab/>
        <w:t xml:space="preserve">En kontrollör som enligt </w:t>
      </w:r>
      <w:proofErr w:type="spellStart"/>
      <w:r w:rsidRPr="00D13925">
        <w:t>rikslagen</w:t>
      </w:r>
      <w:proofErr w:type="spellEnd"/>
      <w:r w:rsidRPr="00D13925">
        <w:t xml:space="preserve"> har godkänts av energimyndigheten i riket är också godkänd på Åland. Hållbarhetssystem som godkänts av energimyndigheten i riket är också godkända på Åland.</w:t>
      </w:r>
    </w:p>
    <w:p w14:paraId="36C923D9" w14:textId="77777777" w:rsidR="00AD4385" w:rsidRPr="00D13925" w:rsidRDefault="00AD4385" w:rsidP="00AD4385">
      <w:pPr>
        <w:pStyle w:val="ANormal"/>
      </w:pPr>
    </w:p>
    <w:p w14:paraId="5D7111D9" w14:textId="77777777" w:rsidR="00AD4385" w:rsidRPr="00A2348E" w:rsidRDefault="00AD4385" w:rsidP="00AD4385">
      <w:pPr>
        <w:pStyle w:val="LagParagraf"/>
      </w:pPr>
      <w:r>
        <w:t>3 §</w:t>
      </w:r>
    </w:p>
    <w:p w14:paraId="55C69FC0" w14:textId="77777777" w:rsidR="00AD4385" w:rsidRPr="00D13925" w:rsidRDefault="00AD4385" w:rsidP="00AD4385">
      <w:pPr>
        <w:pStyle w:val="ANormal"/>
      </w:pPr>
      <w:r w:rsidRPr="00D13925">
        <w:tab/>
        <w:t xml:space="preserve">Landskapsregeringen kan inom Ålands behörighet genom landskapsförordning besluta att bestämmelser som utfärdats med stöd av </w:t>
      </w:r>
      <w:proofErr w:type="spellStart"/>
      <w:r w:rsidRPr="00D13925">
        <w:t>rikslagen</w:t>
      </w:r>
      <w:proofErr w:type="spellEnd"/>
      <w:r w:rsidRPr="00D13925">
        <w:t xml:space="preserve"> och som inte tillhör området för lag ska tillämpas på Åland oförändrade eller med de ändringar landskapsregeringen bestämmer.</w:t>
      </w:r>
    </w:p>
    <w:p w14:paraId="3FEB747F" w14:textId="77777777" w:rsidR="00AD4385" w:rsidRPr="00D13925" w:rsidRDefault="00AD4385" w:rsidP="00AD4385">
      <w:pPr>
        <w:pStyle w:val="ANormal"/>
      </w:pPr>
    </w:p>
    <w:p w14:paraId="46E10D9E" w14:textId="77777777" w:rsidR="00AD4385" w:rsidRDefault="00AD4385" w:rsidP="00AD4385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42D44C4D" w14:textId="77777777" w:rsidR="00AD4385" w:rsidRPr="00D13925" w:rsidRDefault="00AD4385" w:rsidP="00AD4385">
      <w:pPr>
        <w:pStyle w:val="ANormal"/>
      </w:pPr>
    </w:p>
    <w:p w14:paraId="65800102" w14:textId="77777777" w:rsidR="00AD4385" w:rsidRPr="00D13925" w:rsidRDefault="00AD4385" w:rsidP="00AD4385">
      <w:pPr>
        <w:pStyle w:val="ANormal"/>
      </w:pPr>
      <w:r w:rsidRPr="00D13925">
        <w:tab/>
        <w:t>Denna lag träder i kraft den…</w:t>
      </w:r>
    </w:p>
    <w:p w14:paraId="7AB39E29" w14:textId="77777777" w:rsidR="00AD4385" w:rsidRPr="00D13925" w:rsidRDefault="00AD4385" w:rsidP="00AD4385">
      <w:pPr>
        <w:pStyle w:val="ANormal"/>
      </w:pPr>
      <w:r w:rsidRPr="00D13925">
        <w:tab/>
        <w:t>Genom ikraftträdandet av denna lag upphävs landskapslag (2018:41) om tillämpning på Åland av rikslagstiftning om biodrivmedel och flytande biobränsle samt om minskning av växthusgasutsläpp från vissa drivmedel.</w:t>
      </w:r>
    </w:p>
    <w:p w14:paraId="57C79570" w14:textId="77777777" w:rsidR="00AD4385" w:rsidRPr="00D13925" w:rsidRDefault="00AD4385" w:rsidP="00AD4385">
      <w:pPr>
        <w:pStyle w:val="ANormal"/>
      </w:pPr>
    </w:p>
    <w:p w14:paraId="1EBCBDFC" w14:textId="77777777" w:rsidR="00AD4385" w:rsidRDefault="00AD4385" w:rsidP="00AD4385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176DAF7B" w14:textId="49D12D49" w:rsidR="00337A19" w:rsidRDefault="00337A19" w:rsidP="00AD4385">
      <w:pPr>
        <w:pStyle w:val="ANormal"/>
      </w:pPr>
    </w:p>
    <w:p w14:paraId="65F1C365" w14:textId="77777777" w:rsidR="00337A19" w:rsidRDefault="00337A19">
      <w:pPr>
        <w:pStyle w:val="ANormal"/>
      </w:pPr>
      <w:r>
        <w:tab/>
      </w:r>
    </w:p>
    <w:p w14:paraId="06E1DF00" w14:textId="77777777" w:rsidR="00337A19" w:rsidRDefault="00337A19">
      <w:pPr>
        <w:pStyle w:val="ANormal"/>
      </w:pPr>
    </w:p>
    <w:p w14:paraId="2234A64B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178C8C48" w14:textId="77777777">
        <w:trPr>
          <w:cantSplit/>
        </w:trPr>
        <w:tc>
          <w:tcPr>
            <w:tcW w:w="6706" w:type="dxa"/>
            <w:gridSpan w:val="2"/>
          </w:tcPr>
          <w:p w14:paraId="58DC53ED" w14:textId="02F0143E" w:rsidR="00337A19" w:rsidRDefault="00337A19">
            <w:pPr>
              <w:pStyle w:val="ANormal"/>
              <w:keepNext/>
            </w:pPr>
            <w:r>
              <w:lastRenderedPageBreak/>
              <w:tab/>
              <w:t xml:space="preserve">Mariehamn den </w:t>
            </w:r>
            <w:r w:rsidR="00DE635B">
              <w:t>4</w:t>
            </w:r>
            <w:r w:rsidR="00EF6037">
              <w:t xml:space="preserve"> </w:t>
            </w:r>
            <w:r w:rsidR="00DE635B">
              <w:t>juni</w:t>
            </w:r>
            <w:r w:rsidR="00EF6037">
              <w:t xml:space="preserve"> 2025</w:t>
            </w:r>
          </w:p>
        </w:tc>
      </w:tr>
      <w:tr w:rsidR="00337A19" w14:paraId="133092D3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05EE7030" w14:textId="77777777" w:rsidR="00337A19" w:rsidRDefault="00337A19">
            <w:pPr>
              <w:pStyle w:val="ANormal"/>
              <w:keepNext/>
            </w:pPr>
          </w:p>
          <w:p w14:paraId="2752A699" w14:textId="77777777" w:rsidR="00337A19" w:rsidRDefault="00337A19">
            <w:pPr>
              <w:pStyle w:val="ANormal"/>
              <w:keepNext/>
            </w:pPr>
          </w:p>
          <w:p w14:paraId="28CE0829" w14:textId="77777777" w:rsidR="00337A19" w:rsidRDefault="00337A19">
            <w:pPr>
              <w:pStyle w:val="ANormal"/>
              <w:keepNext/>
            </w:pPr>
          </w:p>
          <w:p w14:paraId="031BD8CD" w14:textId="63D58B4F" w:rsidR="00337A19" w:rsidRDefault="00EF6037">
            <w:pPr>
              <w:pStyle w:val="ANormal"/>
              <w:keepNext/>
              <w:jc w:val="center"/>
            </w:pPr>
            <w:r>
              <w:t xml:space="preserve">Jörgen Pettersson </w:t>
            </w:r>
            <w:r w:rsidR="00D636DC">
              <w:t xml:space="preserve">  </w:t>
            </w:r>
          </w:p>
          <w:p w14:paraId="5E58E406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2A655998" w14:textId="77777777">
        <w:tc>
          <w:tcPr>
            <w:tcW w:w="3353" w:type="dxa"/>
            <w:vAlign w:val="bottom"/>
          </w:tcPr>
          <w:p w14:paraId="497D6E8F" w14:textId="77777777" w:rsidR="00337A19" w:rsidRDefault="00337A19">
            <w:pPr>
              <w:pStyle w:val="ANormal"/>
              <w:keepNext/>
              <w:jc w:val="center"/>
            </w:pPr>
          </w:p>
          <w:p w14:paraId="6C074FD8" w14:textId="77777777" w:rsidR="00337A19" w:rsidRDefault="00337A19">
            <w:pPr>
              <w:pStyle w:val="ANormal"/>
              <w:keepNext/>
              <w:jc w:val="center"/>
            </w:pPr>
          </w:p>
          <w:p w14:paraId="6F8F00E2" w14:textId="25A39EC7" w:rsidR="00337A19" w:rsidRDefault="00EF6037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 </w:t>
            </w:r>
          </w:p>
          <w:p w14:paraId="5C21E233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AEFA15C" w14:textId="77777777" w:rsidR="00337A19" w:rsidRDefault="00337A19">
            <w:pPr>
              <w:pStyle w:val="ANormal"/>
              <w:keepNext/>
              <w:jc w:val="center"/>
            </w:pPr>
          </w:p>
          <w:p w14:paraId="760E104C" w14:textId="77777777" w:rsidR="00337A19" w:rsidRDefault="00337A19">
            <w:pPr>
              <w:pStyle w:val="ANormal"/>
              <w:keepNext/>
              <w:jc w:val="center"/>
            </w:pPr>
          </w:p>
          <w:p w14:paraId="14943790" w14:textId="6FAE8F99" w:rsidR="00337A19" w:rsidRDefault="00EF6037">
            <w:pPr>
              <w:pStyle w:val="ANormal"/>
              <w:keepNext/>
              <w:jc w:val="center"/>
            </w:pPr>
            <w:r>
              <w:t>Pernilla Söderlund</w:t>
            </w:r>
          </w:p>
          <w:p w14:paraId="15243DD9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0D2AD2B2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B7B48" w14:textId="77777777" w:rsidR="00EF6037" w:rsidRDefault="00EF6037">
      <w:r>
        <w:separator/>
      </w:r>
    </w:p>
  </w:endnote>
  <w:endnote w:type="continuationSeparator" w:id="0">
    <w:p w14:paraId="160E5918" w14:textId="77777777" w:rsidR="00EF6037" w:rsidRDefault="00EF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009FE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05609" w14:textId="112B33FD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F9433F">
      <w:rPr>
        <w:noProof/>
        <w:lang w:val="fi-FI"/>
      </w:rPr>
      <w:t>LTB152025.docx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3D2D9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A23C8" w14:textId="77777777" w:rsidR="00EF6037" w:rsidRDefault="00EF6037">
      <w:r>
        <w:separator/>
      </w:r>
    </w:p>
  </w:footnote>
  <w:footnote w:type="continuationSeparator" w:id="0">
    <w:p w14:paraId="3879F6CF" w14:textId="77777777" w:rsidR="00EF6037" w:rsidRDefault="00EF6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3A850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4CBCC966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864A0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0693077">
    <w:abstractNumId w:val="6"/>
  </w:num>
  <w:num w:numId="2" w16cid:durableId="1856647698">
    <w:abstractNumId w:val="3"/>
  </w:num>
  <w:num w:numId="3" w16cid:durableId="1454518483">
    <w:abstractNumId w:val="2"/>
  </w:num>
  <w:num w:numId="4" w16cid:durableId="1260406437">
    <w:abstractNumId w:val="1"/>
  </w:num>
  <w:num w:numId="5" w16cid:durableId="1596285788">
    <w:abstractNumId w:val="0"/>
  </w:num>
  <w:num w:numId="6" w16cid:durableId="391856248">
    <w:abstractNumId w:val="7"/>
  </w:num>
  <w:num w:numId="7" w16cid:durableId="325868320">
    <w:abstractNumId w:val="5"/>
  </w:num>
  <w:num w:numId="8" w16cid:durableId="1109936329">
    <w:abstractNumId w:val="4"/>
  </w:num>
  <w:num w:numId="9" w16cid:durableId="866942039">
    <w:abstractNumId w:val="10"/>
  </w:num>
  <w:num w:numId="10" w16cid:durableId="1851600083">
    <w:abstractNumId w:val="13"/>
  </w:num>
  <w:num w:numId="11" w16cid:durableId="1118448295">
    <w:abstractNumId w:val="12"/>
  </w:num>
  <w:num w:numId="12" w16cid:durableId="1827939746">
    <w:abstractNumId w:val="16"/>
  </w:num>
  <w:num w:numId="13" w16cid:durableId="1593853282">
    <w:abstractNumId w:val="11"/>
  </w:num>
  <w:num w:numId="14" w16cid:durableId="1666208473">
    <w:abstractNumId w:val="15"/>
  </w:num>
  <w:num w:numId="15" w16cid:durableId="1559587353">
    <w:abstractNumId w:val="9"/>
  </w:num>
  <w:num w:numId="16" w16cid:durableId="977566761">
    <w:abstractNumId w:val="21"/>
  </w:num>
  <w:num w:numId="17" w16cid:durableId="784883680">
    <w:abstractNumId w:val="8"/>
  </w:num>
  <w:num w:numId="18" w16cid:durableId="1670519286">
    <w:abstractNumId w:val="17"/>
  </w:num>
  <w:num w:numId="19" w16cid:durableId="1597514280">
    <w:abstractNumId w:val="20"/>
  </w:num>
  <w:num w:numId="20" w16cid:durableId="1347289898">
    <w:abstractNumId w:val="23"/>
  </w:num>
  <w:num w:numId="21" w16cid:durableId="1179007469">
    <w:abstractNumId w:val="22"/>
  </w:num>
  <w:num w:numId="22" w16cid:durableId="2096435530">
    <w:abstractNumId w:val="14"/>
  </w:num>
  <w:num w:numId="23" w16cid:durableId="1941836456">
    <w:abstractNumId w:val="18"/>
  </w:num>
  <w:num w:numId="24" w16cid:durableId="1924412527">
    <w:abstractNumId w:val="18"/>
  </w:num>
  <w:num w:numId="25" w16cid:durableId="1853837232">
    <w:abstractNumId w:val="19"/>
  </w:num>
  <w:num w:numId="26" w16cid:durableId="1709837440">
    <w:abstractNumId w:val="14"/>
  </w:num>
  <w:num w:numId="27" w16cid:durableId="1793555122">
    <w:abstractNumId w:val="14"/>
  </w:num>
  <w:num w:numId="28" w16cid:durableId="1738437958">
    <w:abstractNumId w:val="14"/>
  </w:num>
  <w:num w:numId="29" w16cid:durableId="1196500029">
    <w:abstractNumId w:val="14"/>
  </w:num>
  <w:num w:numId="30" w16cid:durableId="1303342453">
    <w:abstractNumId w:val="14"/>
  </w:num>
  <w:num w:numId="31" w16cid:durableId="1559319712">
    <w:abstractNumId w:val="14"/>
  </w:num>
  <w:num w:numId="32" w16cid:durableId="356276223">
    <w:abstractNumId w:val="14"/>
  </w:num>
  <w:num w:numId="33" w16cid:durableId="2067600932">
    <w:abstractNumId w:val="14"/>
  </w:num>
  <w:num w:numId="34" w16cid:durableId="1352148883">
    <w:abstractNumId w:val="14"/>
  </w:num>
  <w:num w:numId="35" w16cid:durableId="1606886865">
    <w:abstractNumId w:val="18"/>
  </w:num>
  <w:num w:numId="36" w16cid:durableId="1714186637">
    <w:abstractNumId w:val="19"/>
  </w:num>
  <w:num w:numId="37" w16cid:durableId="1640958820">
    <w:abstractNumId w:val="14"/>
  </w:num>
  <w:num w:numId="38" w16cid:durableId="399712767">
    <w:abstractNumId w:val="14"/>
  </w:num>
  <w:num w:numId="39" w16cid:durableId="492794985">
    <w:abstractNumId w:val="14"/>
  </w:num>
  <w:num w:numId="40" w16cid:durableId="1967851794">
    <w:abstractNumId w:val="14"/>
  </w:num>
  <w:num w:numId="41" w16cid:durableId="60568299">
    <w:abstractNumId w:val="14"/>
  </w:num>
  <w:num w:numId="42" w16cid:durableId="1137533067">
    <w:abstractNumId w:val="14"/>
  </w:num>
  <w:num w:numId="43" w16cid:durableId="1293443787">
    <w:abstractNumId w:val="14"/>
  </w:num>
  <w:num w:numId="44" w16cid:durableId="297927653">
    <w:abstractNumId w:val="14"/>
  </w:num>
  <w:num w:numId="45" w16cid:durableId="999556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37"/>
    <w:rsid w:val="00004B5B"/>
    <w:rsid w:val="001314DF"/>
    <w:rsid w:val="00284C7A"/>
    <w:rsid w:val="002B7848"/>
    <w:rsid w:val="002E1682"/>
    <w:rsid w:val="00337A19"/>
    <w:rsid w:val="00360830"/>
    <w:rsid w:val="0038180C"/>
    <w:rsid w:val="004D6D5E"/>
    <w:rsid w:val="004D7ED5"/>
    <w:rsid w:val="004E7D01"/>
    <w:rsid w:val="004F64FE"/>
    <w:rsid w:val="00592A3C"/>
    <w:rsid w:val="005C5E44"/>
    <w:rsid w:val="005E1BD9"/>
    <w:rsid w:val="005F6898"/>
    <w:rsid w:val="006538ED"/>
    <w:rsid w:val="008414E5"/>
    <w:rsid w:val="008632BB"/>
    <w:rsid w:val="00867707"/>
    <w:rsid w:val="008B5FA2"/>
    <w:rsid w:val="009E1423"/>
    <w:rsid w:val="009F1162"/>
    <w:rsid w:val="00A70EA5"/>
    <w:rsid w:val="00AD4385"/>
    <w:rsid w:val="00B5110A"/>
    <w:rsid w:val="00B51867"/>
    <w:rsid w:val="00BA3751"/>
    <w:rsid w:val="00BD48EF"/>
    <w:rsid w:val="00BE2983"/>
    <w:rsid w:val="00C907A5"/>
    <w:rsid w:val="00D41B39"/>
    <w:rsid w:val="00D636DC"/>
    <w:rsid w:val="00DD3988"/>
    <w:rsid w:val="00DE635B"/>
    <w:rsid w:val="00E6237B"/>
    <w:rsid w:val="00EF6037"/>
    <w:rsid w:val="00F63274"/>
    <w:rsid w:val="00F9433F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FF355"/>
  <w15:docId w15:val="{54D24F84-A670-4CB1-B667-2D2400D4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6037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locked/>
    <w:rsid w:val="00EF6037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1</TotalTime>
  <Pages>2</Pages>
  <Words>261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16/2025</dc:title>
  <dc:creator>Jessica Laaksonen</dc:creator>
  <cp:lastModifiedBy>Jessica Laaksonen</cp:lastModifiedBy>
  <cp:revision>2</cp:revision>
  <cp:lastPrinted>2025-04-25T07:46:00Z</cp:lastPrinted>
  <dcterms:created xsi:type="dcterms:W3CDTF">2025-06-05T09:06:00Z</dcterms:created>
  <dcterms:modified xsi:type="dcterms:W3CDTF">2025-06-05T09:06:00Z</dcterms:modified>
</cp:coreProperties>
</file>