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3ADE58D0" w14:textId="77777777">
        <w:trPr>
          <w:cantSplit/>
          <w:trHeight w:val="20"/>
        </w:trPr>
        <w:tc>
          <w:tcPr>
            <w:tcW w:w="861" w:type="dxa"/>
            <w:vMerge w:val="restart"/>
          </w:tcPr>
          <w:p w14:paraId="27BBC71B" w14:textId="05AB940D" w:rsidR="002401D0" w:rsidRDefault="00842262">
            <w:pPr>
              <w:pStyle w:val="xLedtext"/>
              <w:rPr>
                <w:noProof/>
              </w:rPr>
            </w:pPr>
            <w:bookmarkStart w:id="0" w:name="_top"/>
            <w:bookmarkEnd w:id="0"/>
            <w:r>
              <w:rPr>
                <w:noProof/>
              </w:rPr>
              <w:drawing>
                <wp:inline distT="0" distB="0" distL="0" distR="0" wp14:anchorId="20531F5F" wp14:editId="225B77B0">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69D210E0" w14:textId="784A8BFC" w:rsidR="002401D0" w:rsidRDefault="00842262">
            <w:pPr>
              <w:pStyle w:val="xMellanrum"/>
            </w:pPr>
            <w:r>
              <w:rPr>
                <w:noProof/>
              </w:rPr>
              <w:drawing>
                <wp:inline distT="0" distB="0" distL="0" distR="0" wp14:anchorId="2FE7530F" wp14:editId="153A4A8C">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2401D0" w14:paraId="7E22165A" w14:textId="77777777">
        <w:trPr>
          <w:cantSplit/>
          <w:trHeight w:val="299"/>
        </w:trPr>
        <w:tc>
          <w:tcPr>
            <w:tcW w:w="861" w:type="dxa"/>
            <w:vMerge/>
          </w:tcPr>
          <w:p w14:paraId="7F01EB91" w14:textId="77777777" w:rsidR="002401D0" w:rsidRDefault="002401D0">
            <w:pPr>
              <w:pStyle w:val="xLedtext"/>
            </w:pPr>
          </w:p>
        </w:tc>
        <w:tc>
          <w:tcPr>
            <w:tcW w:w="4448" w:type="dxa"/>
            <w:vAlign w:val="bottom"/>
          </w:tcPr>
          <w:p w14:paraId="07B708E0" w14:textId="77777777" w:rsidR="002401D0" w:rsidRDefault="002401D0">
            <w:pPr>
              <w:pStyle w:val="xAvsandare1"/>
            </w:pPr>
            <w:r>
              <w:t>Ålands lagting</w:t>
            </w:r>
          </w:p>
        </w:tc>
        <w:tc>
          <w:tcPr>
            <w:tcW w:w="4288" w:type="dxa"/>
            <w:gridSpan w:val="2"/>
            <w:vAlign w:val="bottom"/>
          </w:tcPr>
          <w:p w14:paraId="13DC1BC5" w14:textId="348541F9" w:rsidR="002401D0" w:rsidRDefault="002401D0" w:rsidP="00B36A8F">
            <w:pPr>
              <w:pStyle w:val="xDokTypNr"/>
            </w:pPr>
            <w:r>
              <w:t xml:space="preserve">BETÄNKANDE nr </w:t>
            </w:r>
            <w:r w:rsidR="00D82F4B">
              <w:t>10</w:t>
            </w:r>
            <w:r>
              <w:t>/</w:t>
            </w:r>
            <w:proofErr w:type="gramStart"/>
            <w:r>
              <w:t>20</w:t>
            </w:r>
            <w:r w:rsidR="00842262">
              <w:t>24</w:t>
            </w:r>
            <w:r w:rsidR="0015337C">
              <w:t>-20</w:t>
            </w:r>
            <w:r w:rsidR="00842262">
              <w:t>25</w:t>
            </w:r>
            <w:proofErr w:type="gramEnd"/>
          </w:p>
        </w:tc>
      </w:tr>
      <w:tr w:rsidR="002401D0" w14:paraId="5921005B" w14:textId="77777777">
        <w:trPr>
          <w:cantSplit/>
          <w:trHeight w:val="238"/>
        </w:trPr>
        <w:tc>
          <w:tcPr>
            <w:tcW w:w="861" w:type="dxa"/>
            <w:vMerge/>
          </w:tcPr>
          <w:p w14:paraId="7CC066F7" w14:textId="77777777" w:rsidR="002401D0" w:rsidRDefault="002401D0">
            <w:pPr>
              <w:pStyle w:val="xLedtext"/>
            </w:pPr>
          </w:p>
        </w:tc>
        <w:tc>
          <w:tcPr>
            <w:tcW w:w="4448" w:type="dxa"/>
            <w:vAlign w:val="bottom"/>
          </w:tcPr>
          <w:p w14:paraId="7C3AFDB3" w14:textId="77777777" w:rsidR="002401D0" w:rsidRDefault="002401D0">
            <w:pPr>
              <w:pStyle w:val="xLedtext"/>
            </w:pPr>
          </w:p>
        </w:tc>
        <w:tc>
          <w:tcPr>
            <w:tcW w:w="1725" w:type="dxa"/>
            <w:vAlign w:val="bottom"/>
          </w:tcPr>
          <w:p w14:paraId="7E23B27C" w14:textId="77777777" w:rsidR="002401D0" w:rsidRDefault="002401D0">
            <w:pPr>
              <w:pStyle w:val="xLedtext"/>
            </w:pPr>
            <w:r>
              <w:t>Datum</w:t>
            </w:r>
          </w:p>
        </w:tc>
        <w:tc>
          <w:tcPr>
            <w:tcW w:w="2563" w:type="dxa"/>
            <w:vAlign w:val="bottom"/>
          </w:tcPr>
          <w:p w14:paraId="3A8345FE" w14:textId="77777777" w:rsidR="002401D0" w:rsidRDefault="002401D0">
            <w:pPr>
              <w:pStyle w:val="xLedtext"/>
            </w:pPr>
          </w:p>
        </w:tc>
      </w:tr>
      <w:tr w:rsidR="002401D0" w14:paraId="6FFA064D" w14:textId="77777777">
        <w:trPr>
          <w:cantSplit/>
          <w:trHeight w:val="238"/>
        </w:trPr>
        <w:tc>
          <w:tcPr>
            <w:tcW w:w="861" w:type="dxa"/>
            <w:vMerge/>
          </w:tcPr>
          <w:p w14:paraId="62179027" w14:textId="77777777" w:rsidR="002401D0" w:rsidRDefault="002401D0">
            <w:pPr>
              <w:pStyle w:val="xAvsandare2"/>
            </w:pPr>
          </w:p>
        </w:tc>
        <w:tc>
          <w:tcPr>
            <w:tcW w:w="4448" w:type="dxa"/>
            <w:vAlign w:val="center"/>
          </w:tcPr>
          <w:p w14:paraId="3D0213FE" w14:textId="2477D552" w:rsidR="002401D0" w:rsidRDefault="00842262">
            <w:pPr>
              <w:pStyle w:val="xAvsandare2"/>
            </w:pPr>
            <w:r>
              <w:t>Finans- och närings</w:t>
            </w:r>
            <w:r w:rsidR="002401D0">
              <w:t>utskottet</w:t>
            </w:r>
          </w:p>
        </w:tc>
        <w:tc>
          <w:tcPr>
            <w:tcW w:w="1725" w:type="dxa"/>
            <w:vAlign w:val="center"/>
          </w:tcPr>
          <w:p w14:paraId="13C5B95D" w14:textId="1F8BD95C" w:rsidR="002401D0" w:rsidRDefault="002401D0">
            <w:pPr>
              <w:pStyle w:val="xDatum1"/>
            </w:pPr>
            <w:r>
              <w:t>20</w:t>
            </w:r>
            <w:r w:rsidR="00842262">
              <w:t>24-12-</w:t>
            </w:r>
            <w:r w:rsidR="00D82F4B">
              <w:t>13</w:t>
            </w:r>
          </w:p>
        </w:tc>
        <w:tc>
          <w:tcPr>
            <w:tcW w:w="2563" w:type="dxa"/>
            <w:vAlign w:val="center"/>
          </w:tcPr>
          <w:p w14:paraId="2364E035" w14:textId="77777777" w:rsidR="002401D0" w:rsidRDefault="002401D0">
            <w:pPr>
              <w:pStyle w:val="xBeteckning1"/>
            </w:pPr>
          </w:p>
        </w:tc>
      </w:tr>
      <w:tr w:rsidR="002401D0" w14:paraId="4915775D" w14:textId="77777777">
        <w:trPr>
          <w:cantSplit/>
          <w:trHeight w:val="238"/>
        </w:trPr>
        <w:tc>
          <w:tcPr>
            <w:tcW w:w="861" w:type="dxa"/>
            <w:vMerge/>
          </w:tcPr>
          <w:p w14:paraId="65D0A8E3" w14:textId="77777777" w:rsidR="002401D0" w:rsidRDefault="002401D0">
            <w:pPr>
              <w:pStyle w:val="xLedtext"/>
            </w:pPr>
          </w:p>
        </w:tc>
        <w:tc>
          <w:tcPr>
            <w:tcW w:w="4448" w:type="dxa"/>
            <w:vAlign w:val="bottom"/>
          </w:tcPr>
          <w:p w14:paraId="10EC027B" w14:textId="77777777" w:rsidR="002401D0" w:rsidRDefault="002401D0">
            <w:pPr>
              <w:pStyle w:val="xLedtext"/>
            </w:pPr>
          </w:p>
        </w:tc>
        <w:tc>
          <w:tcPr>
            <w:tcW w:w="1725" w:type="dxa"/>
            <w:vAlign w:val="bottom"/>
          </w:tcPr>
          <w:p w14:paraId="4927DF62" w14:textId="77777777" w:rsidR="002401D0" w:rsidRDefault="002401D0">
            <w:pPr>
              <w:pStyle w:val="xLedtext"/>
            </w:pPr>
          </w:p>
        </w:tc>
        <w:tc>
          <w:tcPr>
            <w:tcW w:w="2563" w:type="dxa"/>
            <w:vAlign w:val="bottom"/>
          </w:tcPr>
          <w:p w14:paraId="19B17D02" w14:textId="77777777" w:rsidR="002401D0" w:rsidRDefault="002401D0">
            <w:pPr>
              <w:pStyle w:val="xLedtext"/>
            </w:pPr>
          </w:p>
        </w:tc>
      </w:tr>
      <w:tr w:rsidR="002401D0" w14:paraId="684ACF55" w14:textId="77777777">
        <w:trPr>
          <w:cantSplit/>
          <w:trHeight w:val="238"/>
        </w:trPr>
        <w:tc>
          <w:tcPr>
            <w:tcW w:w="861" w:type="dxa"/>
            <w:vMerge/>
            <w:tcBorders>
              <w:bottom w:val="single" w:sz="4" w:space="0" w:color="auto"/>
            </w:tcBorders>
          </w:tcPr>
          <w:p w14:paraId="5791091E" w14:textId="77777777" w:rsidR="002401D0" w:rsidRDefault="002401D0">
            <w:pPr>
              <w:pStyle w:val="xAvsandare3"/>
            </w:pPr>
          </w:p>
        </w:tc>
        <w:tc>
          <w:tcPr>
            <w:tcW w:w="4448" w:type="dxa"/>
            <w:tcBorders>
              <w:bottom w:val="single" w:sz="4" w:space="0" w:color="auto"/>
            </w:tcBorders>
            <w:vAlign w:val="center"/>
          </w:tcPr>
          <w:p w14:paraId="7217B809" w14:textId="77777777" w:rsidR="002401D0" w:rsidRDefault="002401D0">
            <w:pPr>
              <w:pStyle w:val="xAvsandare3"/>
            </w:pPr>
          </w:p>
        </w:tc>
        <w:tc>
          <w:tcPr>
            <w:tcW w:w="1725" w:type="dxa"/>
            <w:tcBorders>
              <w:bottom w:val="single" w:sz="4" w:space="0" w:color="auto"/>
            </w:tcBorders>
            <w:vAlign w:val="center"/>
          </w:tcPr>
          <w:p w14:paraId="12FC1FF1" w14:textId="77777777" w:rsidR="002401D0" w:rsidRDefault="002401D0">
            <w:pPr>
              <w:pStyle w:val="xDatum2"/>
            </w:pPr>
          </w:p>
        </w:tc>
        <w:tc>
          <w:tcPr>
            <w:tcW w:w="2563" w:type="dxa"/>
            <w:tcBorders>
              <w:bottom w:val="single" w:sz="4" w:space="0" w:color="auto"/>
            </w:tcBorders>
            <w:vAlign w:val="center"/>
          </w:tcPr>
          <w:p w14:paraId="6D621EF7" w14:textId="77777777" w:rsidR="002401D0" w:rsidRDefault="002401D0">
            <w:pPr>
              <w:pStyle w:val="xBeteckning2"/>
            </w:pPr>
          </w:p>
        </w:tc>
      </w:tr>
      <w:tr w:rsidR="002401D0" w14:paraId="55F1CBD3" w14:textId="77777777">
        <w:trPr>
          <w:cantSplit/>
          <w:trHeight w:val="238"/>
        </w:trPr>
        <w:tc>
          <w:tcPr>
            <w:tcW w:w="861" w:type="dxa"/>
            <w:tcBorders>
              <w:top w:val="single" w:sz="4" w:space="0" w:color="auto"/>
            </w:tcBorders>
            <w:vAlign w:val="bottom"/>
          </w:tcPr>
          <w:p w14:paraId="1900D569" w14:textId="77777777" w:rsidR="002401D0" w:rsidRDefault="002401D0">
            <w:pPr>
              <w:pStyle w:val="xLedtext"/>
            </w:pPr>
          </w:p>
        </w:tc>
        <w:tc>
          <w:tcPr>
            <w:tcW w:w="4448" w:type="dxa"/>
            <w:tcBorders>
              <w:top w:val="single" w:sz="4" w:space="0" w:color="auto"/>
            </w:tcBorders>
            <w:vAlign w:val="bottom"/>
          </w:tcPr>
          <w:p w14:paraId="5007D557" w14:textId="77777777" w:rsidR="002401D0" w:rsidRDefault="002401D0">
            <w:pPr>
              <w:pStyle w:val="xLedtext"/>
            </w:pPr>
          </w:p>
        </w:tc>
        <w:tc>
          <w:tcPr>
            <w:tcW w:w="4288" w:type="dxa"/>
            <w:gridSpan w:val="2"/>
            <w:tcBorders>
              <w:top w:val="single" w:sz="4" w:space="0" w:color="auto"/>
            </w:tcBorders>
            <w:vAlign w:val="bottom"/>
          </w:tcPr>
          <w:p w14:paraId="57904D49" w14:textId="77777777" w:rsidR="002401D0" w:rsidRDefault="002401D0">
            <w:pPr>
              <w:pStyle w:val="xLedtext"/>
            </w:pPr>
          </w:p>
        </w:tc>
      </w:tr>
      <w:tr w:rsidR="002401D0" w14:paraId="36CDE181" w14:textId="77777777">
        <w:trPr>
          <w:cantSplit/>
          <w:trHeight w:val="238"/>
        </w:trPr>
        <w:tc>
          <w:tcPr>
            <w:tcW w:w="861" w:type="dxa"/>
          </w:tcPr>
          <w:p w14:paraId="3825437B" w14:textId="77777777" w:rsidR="002401D0" w:rsidRDefault="002401D0">
            <w:pPr>
              <w:pStyle w:val="xCelltext"/>
            </w:pPr>
          </w:p>
        </w:tc>
        <w:tc>
          <w:tcPr>
            <w:tcW w:w="4448" w:type="dxa"/>
            <w:vMerge w:val="restart"/>
          </w:tcPr>
          <w:p w14:paraId="089A99C2" w14:textId="77777777" w:rsidR="002401D0" w:rsidRDefault="002401D0">
            <w:pPr>
              <w:pStyle w:val="xMottagare1"/>
            </w:pPr>
            <w:r>
              <w:t>Till Ålands lagting</w:t>
            </w:r>
          </w:p>
        </w:tc>
        <w:tc>
          <w:tcPr>
            <w:tcW w:w="4288" w:type="dxa"/>
            <w:gridSpan w:val="2"/>
            <w:vMerge w:val="restart"/>
          </w:tcPr>
          <w:p w14:paraId="2E095350" w14:textId="77777777" w:rsidR="002401D0" w:rsidRDefault="002401D0">
            <w:pPr>
              <w:pStyle w:val="xMottagare1"/>
              <w:tabs>
                <w:tab w:val="left" w:pos="2349"/>
              </w:tabs>
            </w:pPr>
          </w:p>
        </w:tc>
      </w:tr>
      <w:tr w:rsidR="002401D0" w14:paraId="47E9B070" w14:textId="77777777">
        <w:trPr>
          <w:cantSplit/>
          <w:trHeight w:val="238"/>
        </w:trPr>
        <w:tc>
          <w:tcPr>
            <w:tcW w:w="861" w:type="dxa"/>
          </w:tcPr>
          <w:p w14:paraId="1350E99B" w14:textId="77777777" w:rsidR="002401D0" w:rsidRDefault="002401D0">
            <w:pPr>
              <w:pStyle w:val="xCelltext"/>
            </w:pPr>
          </w:p>
        </w:tc>
        <w:tc>
          <w:tcPr>
            <w:tcW w:w="4448" w:type="dxa"/>
            <w:vMerge/>
            <w:vAlign w:val="center"/>
          </w:tcPr>
          <w:p w14:paraId="221EADB0" w14:textId="77777777" w:rsidR="002401D0" w:rsidRDefault="002401D0">
            <w:pPr>
              <w:pStyle w:val="xCelltext"/>
            </w:pPr>
          </w:p>
        </w:tc>
        <w:tc>
          <w:tcPr>
            <w:tcW w:w="4288" w:type="dxa"/>
            <w:gridSpan w:val="2"/>
            <w:vMerge/>
            <w:vAlign w:val="center"/>
          </w:tcPr>
          <w:p w14:paraId="0DF9EC44" w14:textId="77777777" w:rsidR="002401D0" w:rsidRDefault="002401D0">
            <w:pPr>
              <w:pStyle w:val="xCelltext"/>
            </w:pPr>
          </w:p>
        </w:tc>
      </w:tr>
      <w:tr w:rsidR="002401D0" w14:paraId="609EE510" w14:textId="77777777">
        <w:trPr>
          <w:cantSplit/>
          <w:trHeight w:val="238"/>
        </w:trPr>
        <w:tc>
          <w:tcPr>
            <w:tcW w:w="861" w:type="dxa"/>
          </w:tcPr>
          <w:p w14:paraId="6B229A51" w14:textId="77777777" w:rsidR="002401D0" w:rsidRDefault="002401D0">
            <w:pPr>
              <w:pStyle w:val="xCelltext"/>
            </w:pPr>
          </w:p>
        </w:tc>
        <w:tc>
          <w:tcPr>
            <w:tcW w:w="4448" w:type="dxa"/>
            <w:vMerge/>
            <w:vAlign w:val="center"/>
          </w:tcPr>
          <w:p w14:paraId="29870944" w14:textId="77777777" w:rsidR="002401D0" w:rsidRDefault="002401D0">
            <w:pPr>
              <w:pStyle w:val="xCelltext"/>
            </w:pPr>
          </w:p>
        </w:tc>
        <w:tc>
          <w:tcPr>
            <w:tcW w:w="4288" w:type="dxa"/>
            <w:gridSpan w:val="2"/>
            <w:vMerge/>
            <w:vAlign w:val="center"/>
          </w:tcPr>
          <w:p w14:paraId="3C7B48A6" w14:textId="77777777" w:rsidR="002401D0" w:rsidRDefault="002401D0">
            <w:pPr>
              <w:pStyle w:val="xCelltext"/>
            </w:pPr>
          </w:p>
        </w:tc>
      </w:tr>
      <w:tr w:rsidR="002401D0" w14:paraId="40A8A14C" w14:textId="77777777">
        <w:trPr>
          <w:cantSplit/>
          <w:trHeight w:val="238"/>
        </w:trPr>
        <w:tc>
          <w:tcPr>
            <w:tcW w:w="861" w:type="dxa"/>
          </w:tcPr>
          <w:p w14:paraId="4AC69212" w14:textId="77777777" w:rsidR="002401D0" w:rsidRDefault="002401D0">
            <w:pPr>
              <w:pStyle w:val="xCelltext"/>
            </w:pPr>
          </w:p>
        </w:tc>
        <w:tc>
          <w:tcPr>
            <w:tcW w:w="4448" w:type="dxa"/>
            <w:vMerge/>
            <w:vAlign w:val="center"/>
          </w:tcPr>
          <w:p w14:paraId="3EDE8EA9" w14:textId="77777777" w:rsidR="002401D0" w:rsidRDefault="002401D0">
            <w:pPr>
              <w:pStyle w:val="xCelltext"/>
            </w:pPr>
          </w:p>
        </w:tc>
        <w:tc>
          <w:tcPr>
            <w:tcW w:w="4288" w:type="dxa"/>
            <w:gridSpan w:val="2"/>
            <w:vMerge/>
            <w:vAlign w:val="center"/>
          </w:tcPr>
          <w:p w14:paraId="7B13C63A" w14:textId="77777777" w:rsidR="002401D0" w:rsidRDefault="002401D0">
            <w:pPr>
              <w:pStyle w:val="xCelltext"/>
            </w:pPr>
          </w:p>
        </w:tc>
      </w:tr>
      <w:tr w:rsidR="002401D0" w14:paraId="1762D84B" w14:textId="77777777">
        <w:trPr>
          <w:cantSplit/>
          <w:trHeight w:val="238"/>
        </w:trPr>
        <w:tc>
          <w:tcPr>
            <w:tcW w:w="861" w:type="dxa"/>
          </w:tcPr>
          <w:p w14:paraId="2040AEC3" w14:textId="77777777" w:rsidR="002401D0" w:rsidRDefault="002401D0">
            <w:pPr>
              <w:pStyle w:val="xCelltext"/>
            </w:pPr>
          </w:p>
        </w:tc>
        <w:tc>
          <w:tcPr>
            <w:tcW w:w="4448" w:type="dxa"/>
            <w:vMerge/>
            <w:vAlign w:val="center"/>
          </w:tcPr>
          <w:p w14:paraId="6C7D339F" w14:textId="77777777" w:rsidR="002401D0" w:rsidRDefault="002401D0">
            <w:pPr>
              <w:pStyle w:val="xCelltext"/>
            </w:pPr>
          </w:p>
        </w:tc>
        <w:tc>
          <w:tcPr>
            <w:tcW w:w="4288" w:type="dxa"/>
            <w:gridSpan w:val="2"/>
            <w:vMerge/>
            <w:vAlign w:val="center"/>
          </w:tcPr>
          <w:p w14:paraId="1A32513A" w14:textId="77777777" w:rsidR="002401D0" w:rsidRDefault="002401D0">
            <w:pPr>
              <w:pStyle w:val="xCelltext"/>
            </w:pPr>
          </w:p>
        </w:tc>
      </w:tr>
    </w:tbl>
    <w:p w14:paraId="46106DE4"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7F54A9F4" w14:textId="7B103D43" w:rsidR="002401D0" w:rsidRDefault="00842262">
      <w:pPr>
        <w:pStyle w:val="ArendeOverRubrik"/>
      </w:pPr>
      <w:r>
        <w:t>Finans- och närings</w:t>
      </w:r>
      <w:r w:rsidR="002401D0">
        <w:t>utskottets betänkande</w:t>
      </w:r>
    </w:p>
    <w:p w14:paraId="26D5053A" w14:textId="122FFCBB" w:rsidR="00842262" w:rsidRPr="00842262" w:rsidRDefault="00842262" w:rsidP="00842262">
      <w:pPr>
        <w:pStyle w:val="ArendeRubrik"/>
      </w:pPr>
      <w:r>
        <w:t>Ersättning till kommunerna för vissa kostnader för personer med tillfälligt skydd under åren 2022 och 2023</w:t>
      </w:r>
    </w:p>
    <w:p w14:paraId="665C6D5A" w14:textId="7589B996" w:rsidR="002401D0" w:rsidRDefault="00842262">
      <w:pPr>
        <w:pStyle w:val="ArendeUnderRubrik"/>
      </w:pPr>
      <w:r>
        <w:t>Landskapsregeringens lagförslag LF 12/</w:t>
      </w:r>
      <w:proofErr w:type="gramStart"/>
      <w:r>
        <w:t>2024-2025</w:t>
      </w:r>
      <w:proofErr w:type="gramEnd"/>
    </w:p>
    <w:p w14:paraId="02DC0904" w14:textId="77777777" w:rsidR="002401D0" w:rsidRDefault="002401D0">
      <w:pPr>
        <w:pStyle w:val="ANormal"/>
      </w:pPr>
    </w:p>
    <w:p w14:paraId="4E528078" w14:textId="77777777" w:rsidR="002401D0" w:rsidRDefault="002401D0">
      <w:pPr>
        <w:pStyle w:val="Innehll1"/>
      </w:pPr>
      <w:r>
        <w:t>INNEHÅLL</w:t>
      </w:r>
    </w:p>
    <w:p w14:paraId="66DA3060" w14:textId="6AAC97D3" w:rsidR="00462624"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84889212" w:history="1">
        <w:r w:rsidR="00462624" w:rsidRPr="00EB2375">
          <w:rPr>
            <w:rStyle w:val="Hyperlnk"/>
          </w:rPr>
          <w:t>Sammanfattning</w:t>
        </w:r>
        <w:r w:rsidR="00462624">
          <w:rPr>
            <w:webHidden/>
          </w:rPr>
          <w:tab/>
        </w:r>
        <w:r w:rsidR="00462624">
          <w:rPr>
            <w:webHidden/>
          </w:rPr>
          <w:fldChar w:fldCharType="begin"/>
        </w:r>
        <w:r w:rsidR="00462624">
          <w:rPr>
            <w:webHidden/>
          </w:rPr>
          <w:instrText xml:space="preserve"> PAGEREF _Toc184889212 \h </w:instrText>
        </w:r>
        <w:r w:rsidR="00462624">
          <w:rPr>
            <w:webHidden/>
          </w:rPr>
        </w:r>
        <w:r w:rsidR="00462624">
          <w:rPr>
            <w:webHidden/>
          </w:rPr>
          <w:fldChar w:fldCharType="separate"/>
        </w:r>
        <w:r w:rsidR="00243A59">
          <w:rPr>
            <w:webHidden/>
          </w:rPr>
          <w:t>1</w:t>
        </w:r>
        <w:r w:rsidR="00462624">
          <w:rPr>
            <w:webHidden/>
          </w:rPr>
          <w:fldChar w:fldCharType="end"/>
        </w:r>
      </w:hyperlink>
    </w:p>
    <w:p w14:paraId="5B7EBEFF" w14:textId="7E79C6D2" w:rsidR="00462624" w:rsidRDefault="00462624">
      <w:pPr>
        <w:pStyle w:val="Innehll2"/>
        <w:rPr>
          <w:rFonts w:asciiTheme="minorHAnsi" w:eastAsiaTheme="minorEastAsia" w:hAnsiTheme="minorHAnsi" w:cstheme="minorBidi"/>
          <w:kern w:val="2"/>
          <w:sz w:val="24"/>
          <w:szCs w:val="24"/>
          <w:lang w:val="sv-FI" w:eastAsia="sv-FI"/>
          <w14:ligatures w14:val="standardContextual"/>
        </w:rPr>
      </w:pPr>
      <w:hyperlink w:anchor="_Toc184889213" w:history="1">
        <w:r w:rsidRPr="00EB2375">
          <w:rPr>
            <w:rStyle w:val="Hyperlnk"/>
          </w:rPr>
          <w:t>Landskapsregeringens förslag</w:t>
        </w:r>
        <w:r>
          <w:rPr>
            <w:webHidden/>
          </w:rPr>
          <w:tab/>
        </w:r>
        <w:r>
          <w:rPr>
            <w:webHidden/>
          </w:rPr>
          <w:fldChar w:fldCharType="begin"/>
        </w:r>
        <w:r>
          <w:rPr>
            <w:webHidden/>
          </w:rPr>
          <w:instrText xml:space="preserve"> PAGEREF _Toc184889213 \h </w:instrText>
        </w:r>
        <w:r>
          <w:rPr>
            <w:webHidden/>
          </w:rPr>
        </w:r>
        <w:r>
          <w:rPr>
            <w:webHidden/>
          </w:rPr>
          <w:fldChar w:fldCharType="separate"/>
        </w:r>
        <w:r w:rsidR="00243A59">
          <w:rPr>
            <w:webHidden/>
          </w:rPr>
          <w:t>1</w:t>
        </w:r>
        <w:r>
          <w:rPr>
            <w:webHidden/>
          </w:rPr>
          <w:fldChar w:fldCharType="end"/>
        </w:r>
      </w:hyperlink>
    </w:p>
    <w:p w14:paraId="28721A99" w14:textId="7F94A78A" w:rsidR="00462624" w:rsidRDefault="00462624">
      <w:pPr>
        <w:pStyle w:val="Innehll2"/>
        <w:rPr>
          <w:rFonts w:asciiTheme="minorHAnsi" w:eastAsiaTheme="minorEastAsia" w:hAnsiTheme="minorHAnsi" w:cstheme="minorBidi"/>
          <w:kern w:val="2"/>
          <w:sz w:val="24"/>
          <w:szCs w:val="24"/>
          <w:lang w:val="sv-FI" w:eastAsia="sv-FI"/>
          <w14:ligatures w14:val="standardContextual"/>
        </w:rPr>
      </w:pPr>
      <w:hyperlink w:anchor="_Toc184889214" w:history="1">
        <w:r w:rsidRPr="00EB2375">
          <w:rPr>
            <w:rStyle w:val="Hyperlnk"/>
          </w:rPr>
          <w:t>Utskottets förslag</w:t>
        </w:r>
        <w:r>
          <w:rPr>
            <w:webHidden/>
          </w:rPr>
          <w:tab/>
        </w:r>
        <w:r>
          <w:rPr>
            <w:webHidden/>
          </w:rPr>
          <w:fldChar w:fldCharType="begin"/>
        </w:r>
        <w:r>
          <w:rPr>
            <w:webHidden/>
          </w:rPr>
          <w:instrText xml:space="preserve"> PAGEREF _Toc184889214 \h </w:instrText>
        </w:r>
        <w:r>
          <w:rPr>
            <w:webHidden/>
          </w:rPr>
        </w:r>
        <w:r>
          <w:rPr>
            <w:webHidden/>
          </w:rPr>
          <w:fldChar w:fldCharType="separate"/>
        </w:r>
        <w:r w:rsidR="00243A59">
          <w:rPr>
            <w:webHidden/>
          </w:rPr>
          <w:t>1</w:t>
        </w:r>
        <w:r>
          <w:rPr>
            <w:webHidden/>
          </w:rPr>
          <w:fldChar w:fldCharType="end"/>
        </w:r>
      </w:hyperlink>
    </w:p>
    <w:p w14:paraId="3C7330E1" w14:textId="78BEFA56" w:rsidR="00462624" w:rsidRDefault="00462624">
      <w:pPr>
        <w:pStyle w:val="Innehll1"/>
        <w:rPr>
          <w:rFonts w:asciiTheme="minorHAnsi" w:eastAsiaTheme="minorEastAsia" w:hAnsiTheme="minorHAnsi" w:cstheme="minorBidi"/>
          <w:kern w:val="2"/>
          <w:sz w:val="24"/>
          <w:szCs w:val="24"/>
          <w:lang w:val="sv-FI" w:eastAsia="sv-FI"/>
          <w14:ligatures w14:val="standardContextual"/>
        </w:rPr>
      </w:pPr>
      <w:hyperlink w:anchor="_Toc184889215" w:history="1">
        <w:r w:rsidRPr="00EB2375">
          <w:rPr>
            <w:rStyle w:val="Hyperlnk"/>
          </w:rPr>
          <w:t>Utskottets synpunkter</w:t>
        </w:r>
        <w:r>
          <w:rPr>
            <w:webHidden/>
          </w:rPr>
          <w:tab/>
        </w:r>
        <w:r>
          <w:rPr>
            <w:webHidden/>
          </w:rPr>
          <w:fldChar w:fldCharType="begin"/>
        </w:r>
        <w:r>
          <w:rPr>
            <w:webHidden/>
          </w:rPr>
          <w:instrText xml:space="preserve"> PAGEREF _Toc184889215 \h </w:instrText>
        </w:r>
        <w:r>
          <w:rPr>
            <w:webHidden/>
          </w:rPr>
        </w:r>
        <w:r>
          <w:rPr>
            <w:webHidden/>
          </w:rPr>
          <w:fldChar w:fldCharType="separate"/>
        </w:r>
        <w:r w:rsidR="00243A59">
          <w:rPr>
            <w:webHidden/>
          </w:rPr>
          <w:t>1</w:t>
        </w:r>
        <w:r>
          <w:rPr>
            <w:webHidden/>
          </w:rPr>
          <w:fldChar w:fldCharType="end"/>
        </w:r>
      </w:hyperlink>
    </w:p>
    <w:p w14:paraId="2A2704A7" w14:textId="1B9C60AE" w:rsidR="00462624" w:rsidRDefault="00462624">
      <w:pPr>
        <w:pStyle w:val="Innehll1"/>
        <w:rPr>
          <w:rFonts w:asciiTheme="minorHAnsi" w:eastAsiaTheme="minorEastAsia" w:hAnsiTheme="minorHAnsi" w:cstheme="minorBidi"/>
          <w:kern w:val="2"/>
          <w:sz w:val="24"/>
          <w:szCs w:val="24"/>
          <w:lang w:val="sv-FI" w:eastAsia="sv-FI"/>
          <w14:ligatures w14:val="standardContextual"/>
        </w:rPr>
      </w:pPr>
      <w:hyperlink w:anchor="_Toc184889216" w:history="1">
        <w:r w:rsidRPr="00EB2375">
          <w:rPr>
            <w:rStyle w:val="Hyperlnk"/>
          </w:rPr>
          <w:t>Ärendets behandling</w:t>
        </w:r>
        <w:r>
          <w:rPr>
            <w:webHidden/>
          </w:rPr>
          <w:tab/>
        </w:r>
        <w:r>
          <w:rPr>
            <w:webHidden/>
          </w:rPr>
          <w:fldChar w:fldCharType="begin"/>
        </w:r>
        <w:r>
          <w:rPr>
            <w:webHidden/>
          </w:rPr>
          <w:instrText xml:space="preserve"> PAGEREF _Toc184889216 \h </w:instrText>
        </w:r>
        <w:r>
          <w:rPr>
            <w:webHidden/>
          </w:rPr>
        </w:r>
        <w:r>
          <w:rPr>
            <w:webHidden/>
          </w:rPr>
          <w:fldChar w:fldCharType="separate"/>
        </w:r>
        <w:r w:rsidR="00243A59">
          <w:rPr>
            <w:webHidden/>
          </w:rPr>
          <w:t>2</w:t>
        </w:r>
        <w:r>
          <w:rPr>
            <w:webHidden/>
          </w:rPr>
          <w:fldChar w:fldCharType="end"/>
        </w:r>
      </w:hyperlink>
    </w:p>
    <w:p w14:paraId="35EA3723" w14:textId="7E0B7448" w:rsidR="00462624" w:rsidRDefault="00462624">
      <w:pPr>
        <w:pStyle w:val="Innehll1"/>
        <w:rPr>
          <w:rFonts w:asciiTheme="minorHAnsi" w:eastAsiaTheme="minorEastAsia" w:hAnsiTheme="minorHAnsi" w:cstheme="minorBidi"/>
          <w:kern w:val="2"/>
          <w:sz w:val="24"/>
          <w:szCs w:val="24"/>
          <w:lang w:val="sv-FI" w:eastAsia="sv-FI"/>
          <w14:ligatures w14:val="standardContextual"/>
        </w:rPr>
      </w:pPr>
      <w:hyperlink w:anchor="_Toc184889217" w:history="1">
        <w:r w:rsidRPr="00EB2375">
          <w:rPr>
            <w:rStyle w:val="Hyperlnk"/>
          </w:rPr>
          <w:t>Utskottets förslag</w:t>
        </w:r>
        <w:r>
          <w:rPr>
            <w:webHidden/>
          </w:rPr>
          <w:tab/>
        </w:r>
        <w:r>
          <w:rPr>
            <w:webHidden/>
          </w:rPr>
          <w:fldChar w:fldCharType="begin"/>
        </w:r>
        <w:r>
          <w:rPr>
            <w:webHidden/>
          </w:rPr>
          <w:instrText xml:space="preserve"> PAGEREF _Toc184889217 \h </w:instrText>
        </w:r>
        <w:r>
          <w:rPr>
            <w:webHidden/>
          </w:rPr>
        </w:r>
        <w:r>
          <w:rPr>
            <w:webHidden/>
          </w:rPr>
          <w:fldChar w:fldCharType="separate"/>
        </w:r>
        <w:r w:rsidR="00243A59">
          <w:rPr>
            <w:webHidden/>
          </w:rPr>
          <w:t>2</w:t>
        </w:r>
        <w:r>
          <w:rPr>
            <w:webHidden/>
          </w:rPr>
          <w:fldChar w:fldCharType="end"/>
        </w:r>
      </w:hyperlink>
    </w:p>
    <w:p w14:paraId="2AA6DE90" w14:textId="75520397" w:rsidR="002401D0" w:rsidRDefault="002401D0">
      <w:pPr>
        <w:pStyle w:val="ANormal"/>
        <w:rPr>
          <w:noProof/>
        </w:rPr>
      </w:pPr>
      <w:r>
        <w:rPr>
          <w:rFonts w:ascii="Verdana" w:hAnsi="Verdana"/>
          <w:noProof/>
          <w:sz w:val="16"/>
          <w:szCs w:val="36"/>
        </w:rPr>
        <w:fldChar w:fldCharType="end"/>
      </w:r>
    </w:p>
    <w:p w14:paraId="636E525D" w14:textId="77777777" w:rsidR="002401D0" w:rsidRDefault="002401D0">
      <w:pPr>
        <w:pStyle w:val="RubrikA"/>
      </w:pPr>
      <w:bookmarkStart w:id="1" w:name="_Toc529800932"/>
      <w:bookmarkStart w:id="2" w:name="_Toc184889212"/>
      <w:r>
        <w:t>Sammanfattning</w:t>
      </w:r>
      <w:bookmarkEnd w:id="1"/>
      <w:bookmarkEnd w:id="2"/>
    </w:p>
    <w:p w14:paraId="1A5AB053" w14:textId="77777777" w:rsidR="002401D0" w:rsidRDefault="002401D0">
      <w:pPr>
        <w:pStyle w:val="Rubrikmellanrum"/>
      </w:pPr>
    </w:p>
    <w:p w14:paraId="242B2144" w14:textId="1F8B16D7" w:rsidR="002401D0" w:rsidRDefault="00842262">
      <w:pPr>
        <w:pStyle w:val="RubrikB"/>
      </w:pPr>
      <w:bookmarkStart w:id="3" w:name="_Toc529800933"/>
      <w:bookmarkStart w:id="4" w:name="_Toc184889213"/>
      <w:r>
        <w:t>Landskapsregeringens</w:t>
      </w:r>
      <w:r w:rsidR="002401D0">
        <w:t xml:space="preserve"> förslag</w:t>
      </w:r>
      <w:bookmarkEnd w:id="3"/>
      <w:bookmarkEnd w:id="4"/>
    </w:p>
    <w:p w14:paraId="25A801A0" w14:textId="77777777" w:rsidR="002401D0" w:rsidRDefault="002401D0">
      <w:pPr>
        <w:pStyle w:val="Rubrikmellanrum"/>
      </w:pPr>
    </w:p>
    <w:p w14:paraId="70D93C07" w14:textId="77777777" w:rsidR="00842262" w:rsidRDefault="00842262" w:rsidP="00842262">
      <w:pPr>
        <w:pStyle w:val="ANormal"/>
      </w:pPr>
      <w:r>
        <w:t>Landskapsregeringen föreslår att kommunerna kompenseras för kostnader för barnomsorg och grundskola som uppstått under åren 2022 och 2023 till följd av att personer som beviljats tillfälligt uppehållstillstånd på grund av tillfälligt skydd har varit bosatta i en kommun utan att ha den som hemkommun. Ersättningen har beräknats så att den ska motsvara kalkylerade landskapsandelar för barnomsorg och för grundskola som kommunen skulle ha tilldelats om personerna i fråga skulle ha haft kommunen som hemkommun.</w:t>
      </w:r>
    </w:p>
    <w:p w14:paraId="58E0CE8E" w14:textId="77777777" w:rsidR="00842262" w:rsidRPr="002D7BAC" w:rsidRDefault="00842262" w:rsidP="00842262">
      <w:pPr>
        <w:tabs>
          <w:tab w:val="left" w:pos="283"/>
        </w:tabs>
        <w:jc w:val="both"/>
        <w:rPr>
          <w:sz w:val="22"/>
          <w:szCs w:val="20"/>
        </w:rPr>
      </w:pPr>
      <w:r>
        <w:rPr>
          <w:sz w:val="22"/>
          <w:szCs w:val="20"/>
        </w:rPr>
        <w:tab/>
      </w:r>
      <w:r w:rsidRPr="002D7BAC">
        <w:rPr>
          <w:sz w:val="22"/>
          <w:szCs w:val="20"/>
        </w:rPr>
        <w:t xml:space="preserve">Den föreslagna lagen </w:t>
      </w:r>
      <w:r>
        <w:rPr>
          <w:sz w:val="22"/>
          <w:szCs w:val="20"/>
        </w:rPr>
        <w:t xml:space="preserve">bör träda i kraft så snart som möjligt. Lagförslaget </w:t>
      </w:r>
      <w:r w:rsidRPr="002D7BAC">
        <w:rPr>
          <w:sz w:val="22"/>
          <w:szCs w:val="20"/>
        </w:rPr>
        <w:t>sammanhänger med landskaps</w:t>
      </w:r>
      <w:r>
        <w:rPr>
          <w:sz w:val="22"/>
          <w:szCs w:val="20"/>
        </w:rPr>
        <w:t>regeringens förslag till fjärde ändring av</w:t>
      </w:r>
      <w:r w:rsidRPr="002D7BAC">
        <w:rPr>
          <w:sz w:val="22"/>
          <w:szCs w:val="20"/>
        </w:rPr>
        <w:t xml:space="preserve"> budget</w:t>
      </w:r>
      <w:r>
        <w:rPr>
          <w:sz w:val="22"/>
          <w:szCs w:val="20"/>
        </w:rPr>
        <w:t>en för 2024</w:t>
      </w:r>
      <w:r w:rsidRPr="002D7BAC">
        <w:rPr>
          <w:sz w:val="22"/>
          <w:szCs w:val="20"/>
        </w:rPr>
        <w:t xml:space="preserve"> på ett sådant sätt att den bör sättas i kraft på de grunder som anges i 20</w:t>
      </w:r>
      <w:r>
        <w:rPr>
          <w:sz w:val="22"/>
          <w:szCs w:val="20"/>
        </w:rPr>
        <w:t> §</w:t>
      </w:r>
      <w:r w:rsidRPr="002D7BAC">
        <w:rPr>
          <w:sz w:val="22"/>
          <w:szCs w:val="20"/>
        </w:rPr>
        <w:t xml:space="preserve"> 3</w:t>
      </w:r>
      <w:r>
        <w:rPr>
          <w:sz w:val="22"/>
          <w:szCs w:val="20"/>
        </w:rPr>
        <w:t> mom.</w:t>
      </w:r>
      <w:r w:rsidRPr="002D7BAC">
        <w:rPr>
          <w:sz w:val="22"/>
          <w:szCs w:val="20"/>
        </w:rPr>
        <w:t xml:space="preserve"> självstyrelselagen.</w:t>
      </w:r>
    </w:p>
    <w:p w14:paraId="39531B63" w14:textId="0802DCB2" w:rsidR="002401D0" w:rsidRDefault="002401D0">
      <w:pPr>
        <w:pStyle w:val="ANormal"/>
      </w:pPr>
    </w:p>
    <w:p w14:paraId="0F5E394D" w14:textId="77777777" w:rsidR="002401D0" w:rsidRDefault="002401D0">
      <w:pPr>
        <w:pStyle w:val="RubrikB"/>
      </w:pPr>
      <w:bookmarkStart w:id="5" w:name="_Toc529800934"/>
      <w:bookmarkStart w:id="6" w:name="_Toc184889214"/>
      <w:r>
        <w:t>Utskottets förslag</w:t>
      </w:r>
      <w:bookmarkEnd w:id="5"/>
      <w:bookmarkEnd w:id="6"/>
    </w:p>
    <w:p w14:paraId="2CC8EE07" w14:textId="77777777" w:rsidR="002401D0" w:rsidRDefault="002401D0">
      <w:pPr>
        <w:pStyle w:val="Rubrikmellanrum"/>
      </w:pPr>
    </w:p>
    <w:p w14:paraId="132C689F" w14:textId="6962ACF0" w:rsidR="002401D0" w:rsidRDefault="00EE3538">
      <w:pPr>
        <w:pStyle w:val="ANormal"/>
      </w:pPr>
      <w:r w:rsidRPr="00EE3538">
        <w:t>Utskottet föreslår att lagförslaget godkänns.</w:t>
      </w:r>
    </w:p>
    <w:p w14:paraId="2B695BFC" w14:textId="77777777" w:rsidR="00EE3538" w:rsidRDefault="00EE3538">
      <w:pPr>
        <w:pStyle w:val="ANormal"/>
      </w:pPr>
    </w:p>
    <w:p w14:paraId="29B653E2" w14:textId="77777777" w:rsidR="002401D0" w:rsidRDefault="002401D0">
      <w:pPr>
        <w:pStyle w:val="RubrikA"/>
      </w:pPr>
      <w:bookmarkStart w:id="7" w:name="_Toc529800935"/>
      <w:bookmarkStart w:id="8" w:name="_Toc184889215"/>
      <w:r>
        <w:t>Utskottets synpunkter</w:t>
      </w:r>
      <w:bookmarkEnd w:id="7"/>
      <w:bookmarkEnd w:id="8"/>
    </w:p>
    <w:p w14:paraId="3A596BEE" w14:textId="77777777" w:rsidR="00EE3538" w:rsidRDefault="00EE3538" w:rsidP="00EE3538">
      <w:pPr>
        <w:pStyle w:val="Rubrikmellanrum"/>
      </w:pPr>
    </w:p>
    <w:p w14:paraId="1C34DE6B" w14:textId="0D026CAD" w:rsidR="00EB6885" w:rsidRDefault="00D82F4B" w:rsidP="00D82F4B">
      <w:pPr>
        <w:pStyle w:val="ANormal"/>
      </w:pPr>
      <w:r>
        <w:t xml:space="preserve">Utskottet konstaterar att kommunerna på Åland har tagit emot över 300 ukrainska medborgare i samband med Rysslands anfallskrig mot Ukraina. De ukrainska medborgarna har fått tillfälligt skydd enligt direktiv 2001/55/EG, även kallat </w:t>
      </w:r>
      <w:r w:rsidR="009B7256">
        <w:t>mass</w:t>
      </w:r>
      <w:r>
        <w:t>flykt</w:t>
      </w:r>
      <w:r w:rsidR="00243A59">
        <w:t>sdire</w:t>
      </w:r>
      <w:r>
        <w:t xml:space="preserve">ktivet. Detta har föranlett att barn från Ukraina har varit inskrivna i kommunernas barnomsorgs- och skolverksamhet </w:t>
      </w:r>
      <w:r w:rsidR="009B7256">
        <w:t xml:space="preserve">under </w:t>
      </w:r>
      <w:r>
        <w:t>åren 2022 – 2024</w:t>
      </w:r>
      <w:r w:rsidR="009B7256">
        <w:t>,</w:t>
      </w:r>
      <w:r w:rsidR="00EB6885">
        <w:t xml:space="preserve"> oavsett om de har varit </w:t>
      </w:r>
      <w:r w:rsidR="009B7256">
        <w:t xml:space="preserve">befolkningsbokförda </w:t>
      </w:r>
      <w:r w:rsidR="00EB6885">
        <w:t>i kommunen</w:t>
      </w:r>
      <w:r w:rsidR="009B7256">
        <w:t xml:space="preserve"> eller inte</w:t>
      </w:r>
      <w:r w:rsidR="00EB6885">
        <w:t>.</w:t>
      </w:r>
    </w:p>
    <w:p w14:paraId="568C4E27" w14:textId="1846930C" w:rsidR="00D82F4B" w:rsidRDefault="00EB6885" w:rsidP="00D82F4B">
      <w:pPr>
        <w:pStyle w:val="ANormal"/>
      </w:pPr>
      <w:r>
        <w:tab/>
      </w:r>
      <w:r w:rsidR="00D82F4B">
        <w:t xml:space="preserve">En ersättning till de åländska och de finska kommunerna har utlovats av den finska staten. I </w:t>
      </w:r>
      <w:r w:rsidR="00EE61A4">
        <w:t xml:space="preserve">riket </w:t>
      </w:r>
      <w:r w:rsidR="00D82F4B">
        <w:t>kanaliserades</w:t>
      </w:r>
      <w:r w:rsidR="00EE61A4">
        <w:t xml:space="preserve"> ersättningen</w:t>
      </w:r>
      <w:r w:rsidR="00D82F4B">
        <w:t xml:space="preserve"> genom Finlands statsandelssystem</w:t>
      </w:r>
      <w:r w:rsidR="00EE61A4">
        <w:t xml:space="preserve">, vilket ledde till att </w:t>
      </w:r>
      <w:r w:rsidR="00D82F4B">
        <w:t>ersättning</w:t>
      </w:r>
      <w:r w:rsidR="00EE61A4">
        <w:t>arna</w:t>
      </w:r>
      <w:r w:rsidR="00D82F4B">
        <w:t xml:space="preserve"> till de åländska kommunerna</w:t>
      </w:r>
      <w:r w:rsidR="00EE61A4">
        <w:t xml:space="preserve"> uteblev</w:t>
      </w:r>
      <w:r w:rsidR="00D82F4B">
        <w:t>. Trots upprepade kontakter till olika ministerier i Finland har landskapsregeringen inte fått ersättning</w:t>
      </w:r>
      <w:r w:rsidR="00EE61A4">
        <w:t>sfrågan klarlagd</w:t>
      </w:r>
      <w:r w:rsidR="00D82F4B">
        <w:t>.</w:t>
      </w:r>
    </w:p>
    <w:p w14:paraId="5F9F041C" w14:textId="64F13C63" w:rsidR="00D82F4B" w:rsidRDefault="00D82F4B" w:rsidP="00D82F4B">
      <w:pPr>
        <w:pStyle w:val="ANormal"/>
      </w:pPr>
      <w:r>
        <w:tab/>
        <w:t xml:space="preserve">Utskottet konstaterar att landskapsregeringen avser ersätta kommunerna för de kostnader som uppstått i och med att ersättningen från den finska </w:t>
      </w:r>
      <w:r>
        <w:lastRenderedPageBreak/>
        <w:t>staten uteblivit. Utifrån landskapsregeringens beräkningar uppgår kompensation</w:t>
      </w:r>
      <w:r w:rsidR="0032063A">
        <w:t>sbehovet</w:t>
      </w:r>
      <w:r>
        <w:t xml:space="preserve"> till cirka 1</w:t>
      </w:r>
      <w:r w:rsidR="0032063A">
        <w:t>,</w:t>
      </w:r>
      <w:r>
        <w:t>1</w:t>
      </w:r>
      <w:r w:rsidR="0032063A">
        <w:t xml:space="preserve"> miljoner</w:t>
      </w:r>
      <w:r>
        <w:t xml:space="preserve"> euro, vilket även är det anslag</w:t>
      </w:r>
      <w:r w:rsidR="007E0F6A">
        <w:t xml:space="preserve"> som upptas</w:t>
      </w:r>
      <w:r>
        <w:t xml:space="preserve"> i fjärde ändringsbudgeten</w:t>
      </w:r>
      <w:r w:rsidR="007E0F6A">
        <w:t xml:space="preserve"> för</w:t>
      </w:r>
      <w:r>
        <w:t xml:space="preserve"> </w:t>
      </w:r>
      <w:r w:rsidR="007E0F6A">
        <w:t>2024 (BF nr 2/</w:t>
      </w:r>
      <w:proofErr w:type="gramStart"/>
      <w:r w:rsidR="007E0F6A">
        <w:t>2024-2025</w:t>
      </w:r>
      <w:proofErr w:type="gramEnd"/>
      <w:r w:rsidR="007E0F6A">
        <w:t>).</w:t>
      </w:r>
    </w:p>
    <w:p w14:paraId="222A5823" w14:textId="248683D0" w:rsidR="008E58CE" w:rsidRDefault="008E58CE" w:rsidP="008E58CE">
      <w:pPr>
        <w:pStyle w:val="ANormal"/>
      </w:pPr>
      <w:r>
        <w:tab/>
        <w:t xml:space="preserve">Utskottet anser att det är nödvändigt att kommunerna kompenseras så fort som möjligt. I och med att ersättningsfrågan ännu inte klarlagts med staten föreslås att landskapsregeringen initialt tar ansvar gentemot kommunerna på statens vägnar. </w:t>
      </w:r>
    </w:p>
    <w:p w14:paraId="1A23B1B5" w14:textId="0F52196F" w:rsidR="00C11E11" w:rsidRDefault="00BE5168" w:rsidP="004B29C4">
      <w:pPr>
        <w:pStyle w:val="ANormal"/>
      </w:pPr>
      <w:r>
        <w:tab/>
      </w:r>
      <w:r w:rsidR="007C4712">
        <w:t>Med hänvisning till att kommunerna haft kostnader under flera år redan föreslås l</w:t>
      </w:r>
      <w:r w:rsidR="007E0F6A">
        <w:t>agen träda i kraft med stöd av 20 § 3 mom. s</w:t>
      </w:r>
      <w:r w:rsidR="007E0F6A" w:rsidRPr="00BE5168">
        <w:t>jälvstyrelselag (1991:71) för Åland</w:t>
      </w:r>
      <w:r w:rsidR="007E0F6A">
        <w:t xml:space="preserve"> som en så kallad budgetlag.</w:t>
      </w:r>
    </w:p>
    <w:p w14:paraId="0C66DC5E" w14:textId="77777777" w:rsidR="002401D0" w:rsidRDefault="002401D0">
      <w:pPr>
        <w:pStyle w:val="ANormal"/>
      </w:pPr>
    </w:p>
    <w:p w14:paraId="6120B360" w14:textId="77777777" w:rsidR="002401D0" w:rsidRDefault="002401D0">
      <w:pPr>
        <w:pStyle w:val="RubrikA"/>
      </w:pPr>
      <w:bookmarkStart w:id="9" w:name="_Toc529800936"/>
      <w:bookmarkStart w:id="10" w:name="_Toc184889216"/>
      <w:r>
        <w:t>Ärendets behandling</w:t>
      </w:r>
      <w:bookmarkEnd w:id="9"/>
      <w:bookmarkEnd w:id="10"/>
    </w:p>
    <w:p w14:paraId="3E8E50AD" w14:textId="77777777" w:rsidR="002401D0" w:rsidRDefault="002401D0">
      <w:pPr>
        <w:pStyle w:val="Rubrikmellanrum"/>
      </w:pPr>
    </w:p>
    <w:p w14:paraId="2D0409E8" w14:textId="564F6DB1" w:rsidR="00842262" w:rsidRDefault="00842262" w:rsidP="00842262">
      <w:pPr>
        <w:pStyle w:val="ANormal"/>
      </w:pPr>
      <w:r>
        <w:t>Lagtinget har den 1</w:t>
      </w:r>
      <w:r w:rsidR="00EB6885">
        <w:t>1</w:t>
      </w:r>
      <w:r>
        <w:t xml:space="preserve"> december 2024</w:t>
      </w:r>
      <w:r w:rsidRPr="00203ACF">
        <w:t xml:space="preserve"> </w:t>
      </w:r>
      <w:proofErr w:type="spellStart"/>
      <w:r w:rsidRPr="00203ACF">
        <w:t>inbegärt</w:t>
      </w:r>
      <w:proofErr w:type="spellEnd"/>
      <w:r w:rsidRPr="00203ACF">
        <w:t xml:space="preserve"> finans- och näringsut</w:t>
      </w:r>
      <w:r>
        <w:t>s</w:t>
      </w:r>
      <w:r w:rsidRPr="00203ACF">
        <w:t xml:space="preserve">kottets yttrande över </w:t>
      </w:r>
      <w:r>
        <w:t>lagförslaget.</w:t>
      </w:r>
    </w:p>
    <w:p w14:paraId="0EFCE585" w14:textId="364E9DC7" w:rsidR="00842262" w:rsidRDefault="00842262" w:rsidP="00842262">
      <w:pPr>
        <w:pStyle w:val="ANormal"/>
      </w:pPr>
      <w:r>
        <w:tab/>
        <w:t>Utskottet har i ärendet hör</w:t>
      </w:r>
      <w:r w:rsidR="004B29C4">
        <w:t xml:space="preserve">t </w:t>
      </w:r>
      <w:proofErr w:type="spellStart"/>
      <w:r w:rsidR="004B29C4">
        <w:t>vicelantråd</w:t>
      </w:r>
      <w:r w:rsidR="007E0F6A">
        <w:t>et</w:t>
      </w:r>
      <w:proofErr w:type="spellEnd"/>
      <w:r w:rsidR="004B29C4">
        <w:t xml:space="preserve"> Annika </w:t>
      </w:r>
      <w:proofErr w:type="spellStart"/>
      <w:r w:rsidR="004B29C4">
        <w:t>Hambrudd</w:t>
      </w:r>
      <w:proofErr w:type="spellEnd"/>
      <w:r w:rsidR="004B29C4">
        <w:t>, minister</w:t>
      </w:r>
      <w:r w:rsidR="007E0F6A">
        <w:t>n</w:t>
      </w:r>
      <w:r w:rsidR="004B29C4">
        <w:t xml:space="preserve"> Mats Perämaa, finanschefen Conny Nyholm och budgetplaneraren Robert Lindholm.</w:t>
      </w:r>
    </w:p>
    <w:p w14:paraId="16FDE9CC" w14:textId="77777777" w:rsidR="00842262" w:rsidRDefault="00842262" w:rsidP="00842262">
      <w:pPr>
        <w:pStyle w:val="ANormal"/>
        <w:rPr>
          <w:lang w:val="sv-FI"/>
        </w:rPr>
      </w:pPr>
      <w:r>
        <w:tab/>
      </w:r>
      <w:r w:rsidRPr="00A918BB">
        <w:rPr>
          <w:lang w:val="sv-FI"/>
        </w:rPr>
        <w:t>I ärendets avgörande behandling deltog ordföranden John Holmberg, viceordföranden Nina Fellman, ledamöterna Anders Ekström,</w:t>
      </w:r>
      <w:r>
        <w:rPr>
          <w:lang w:val="sv-FI"/>
        </w:rPr>
        <w:t xml:space="preserve"> Jörgen Gustafsson,</w:t>
      </w:r>
      <w:r w:rsidRPr="00A918BB">
        <w:rPr>
          <w:lang w:val="sv-FI"/>
        </w:rPr>
        <w:t xml:space="preserve"> </w:t>
      </w:r>
      <w:r>
        <w:rPr>
          <w:lang w:val="sv-FI"/>
        </w:rPr>
        <w:t xml:space="preserve">Roger Höglund, </w:t>
      </w:r>
      <w:r w:rsidRPr="00A918BB">
        <w:rPr>
          <w:lang w:val="sv-FI"/>
        </w:rPr>
        <w:t>Andreas Kanborg</w:t>
      </w:r>
      <w:r>
        <w:rPr>
          <w:lang w:val="sv-FI"/>
        </w:rPr>
        <w:t xml:space="preserve"> och Wille Valve</w:t>
      </w:r>
      <w:r w:rsidRPr="00A918BB">
        <w:rPr>
          <w:lang w:val="sv-FI"/>
        </w:rPr>
        <w:t>.</w:t>
      </w:r>
    </w:p>
    <w:p w14:paraId="74B9DEC7" w14:textId="361A60E5" w:rsidR="002401D0" w:rsidRPr="00842262" w:rsidRDefault="002401D0">
      <w:pPr>
        <w:pStyle w:val="ANormal"/>
        <w:rPr>
          <w:lang w:val="sv-FI"/>
        </w:rPr>
      </w:pPr>
    </w:p>
    <w:p w14:paraId="19A461A5" w14:textId="77777777" w:rsidR="002401D0" w:rsidRDefault="002401D0">
      <w:pPr>
        <w:pStyle w:val="ANormal"/>
      </w:pPr>
    </w:p>
    <w:p w14:paraId="5242B967" w14:textId="77777777" w:rsidR="002401D0" w:rsidRDefault="002401D0">
      <w:pPr>
        <w:pStyle w:val="RubrikA"/>
      </w:pPr>
      <w:bookmarkStart w:id="11" w:name="_Toc529800937"/>
      <w:bookmarkStart w:id="12" w:name="_Toc184889217"/>
      <w:r>
        <w:t>Utskottets förslag</w:t>
      </w:r>
      <w:bookmarkEnd w:id="11"/>
      <w:bookmarkEnd w:id="12"/>
    </w:p>
    <w:p w14:paraId="64CF82AD" w14:textId="77777777" w:rsidR="002401D0" w:rsidRDefault="002401D0">
      <w:pPr>
        <w:pStyle w:val="Rubrikmellanrum"/>
      </w:pPr>
    </w:p>
    <w:p w14:paraId="07D51406" w14:textId="77777777" w:rsidR="002401D0" w:rsidRDefault="002401D0">
      <w:pPr>
        <w:pStyle w:val="ANormal"/>
      </w:pPr>
      <w:r>
        <w:t>Med hänvisning till det anförda föreslår utskottet</w:t>
      </w:r>
    </w:p>
    <w:p w14:paraId="146DD03F" w14:textId="77777777" w:rsidR="002401D0" w:rsidRDefault="002401D0">
      <w:pPr>
        <w:pStyle w:val="ANormal"/>
      </w:pPr>
    </w:p>
    <w:p w14:paraId="54FB92E6" w14:textId="72A09E1B" w:rsidR="00842262" w:rsidRDefault="002401D0" w:rsidP="00DC5313">
      <w:pPr>
        <w:pStyle w:val="Klam"/>
      </w:pPr>
      <w:r>
        <w:t>att lagtinget</w:t>
      </w:r>
      <w:r w:rsidR="00842262">
        <w:t xml:space="preserve"> antar lagförslaget </w:t>
      </w:r>
      <w:r w:rsidR="00DC5313">
        <w:t>i föreslagen lydelse</w:t>
      </w:r>
    </w:p>
    <w:p w14:paraId="1DA13A93" w14:textId="77777777" w:rsidR="007E0F6A" w:rsidRDefault="007E0F6A" w:rsidP="007E0F6A">
      <w:pPr>
        <w:pStyle w:val="ANormal"/>
      </w:pPr>
    </w:p>
    <w:p w14:paraId="303820C1" w14:textId="650E65B3" w:rsidR="007E0F6A" w:rsidRPr="007E0F6A" w:rsidRDefault="007E0F6A" w:rsidP="007E0F6A">
      <w:pPr>
        <w:pStyle w:val="Klam"/>
      </w:pPr>
      <w:r w:rsidRPr="002D7BAC">
        <w:t xml:space="preserve">att </w:t>
      </w:r>
      <w:r w:rsidR="008E58CE">
        <w:t>lagen</w:t>
      </w:r>
      <w:r w:rsidRPr="002D7BAC">
        <w:t xml:space="preserve"> bör sättas i kraft på de grunder som anges i 20</w:t>
      </w:r>
      <w:r>
        <w:t> §</w:t>
      </w:r>
      <w:r w:rsidRPr="002D7BAC">
        <w:t xml:space="preserve"> 3</w:t>
      </w:r>
      <w:r>
        <w:t> mom.</w:t>
      </w:r>
      <w:r w:rsidRPr="002D7BAC">
        <w:t xml:space="preserve"> självstyrelselagen.</w:t>
      </w:r>
    </w:p>
    <w:p w14:paraId="3E6FFFC7" w14:textId="77777777" w:rsidR="00DC5313" w:rsidRDefault="00DC5313" w:rsidP="00DC5313">
      <w:pPr>
        <w:pStyle w:val="ANormal"/>
      </w:pPr>
    </w:p>
    <w:p w14:paraId="42643586" w14:textId="77777777" w:rsidR="00DC5313" w:rsidRDefault="00DC5313" w:rsidP="00DC5313">
      <w:pPr>
        <w:pStyle w:val="ANormal"/>
      </w:pPr>
    </w:p>
    <w:p w14:paraId="44730F6C" w14:textId="77777777" w:rsidR="00DC5313" w:rsidRDefault="00DC5313" w:rsidP="00DC5313">
      <w:pPr>
        <w:pStyle w:val="ANormal"/>
      </w:pPr>
    </w:p>
    <w:p w14:paraId="22C3C216" w14:textId="77777777" w:rsidR="00DC5313" w:rsidRDefault="00DC5313" w:rsidP="00DC5313">
      <w:pPr>
        <w:pStyle w:val="ANormal"/>
      </w:pPr>
    </w:p>
    <w:p w14:paraId="6124CCB6" w14:textId="77777777" w:rsidR="00DC5313" w:rsidRDefault="00DC5313" w:rsidP="00DC5313">
      <w:pPr>
        <w:pStyle w:val="ANormal"/>
        <w:jc w:val="center"/>
      </w:pPr>
      <w:hyperlink w:anchor="_top" w:tooltip="Klicka för att gå till toppen av dokumentet" w:history="1">
        <w:r>
          <w:rPr>
            <w:rStyle w:val="Hyperlnk"/>
          </w:rPr>
          <w:t>__________________</w:t>
        </w:r>
      </w:hyperlink>
    </w:p>
    <w:p w14:paraId="5BCE4DDD" w14:textId="77777777" w:rsidR="00DC5313" w:rsidRPr="00F90739" w:rsidRDefault="00DC5313" w:rsidP="00DC5313">
      <w:pPr>
        <w:pStyle w:val="ANormal"/>
      </w:pPr>
    </w:p>
    <w:p w14:paraId="5499BB96" w14:textId="77777777" w:rsidR="002401D0" w:rsidRDefault="002401D0">
      <w:pPr>
        <w:pStyle w:val="ANormal"/>
      </w:pPr>
    </w:p>
    <w:p w14:paraId="28BE45CE"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676BD200" w14:textId="77777777">
        <w:trPr>
          <w:cantSplit/>
        </w:trPr>
        <w:tc>
          <w:tcPr>
            <w:tcW w:w="7931" w:type="dxa"/>
            <w:gridSpan w:val="2"/>
          </w:tcPr>
          <w:p w14:paraId="2688C149" w14:textId="2F778A56" w:rsidR="002401D0" w:rsidRDefault="002401D0">
            <w:pPr>
              <w:pStyle w:val="ANormal"/>
              <w:keepNext/>
            </w:pPr>
            <w:r>
              <w:t xml:space="preserve">Mariehamn den </w:t>
            </w:r>
            <w:r w:rsidR="00EB6885">
              <w:t>13</w:t>
            </w:r>
            <w:r w:rsidR="00842262">
              <w:t xml:space="preserve"> december 2024</w:t>
            </w:r>
          </w:p>
        </w:tc>
      </w:tr>
      <w:tr w:rsidR="002401D0" w14:paraId="5848DCA6" w14:textId="77777777">
        <w:tc>
          <w:tcPr>
            <w:tcW w:w="4454" w:type="dxa"/>
            <w:vAlign w:val="bottom"/>
          </w:tcPr>
          <w:p w14:paraId="2E644AF4" w14:textId="77777777" w:rsidR="002401D0" w:rsidRDefault="002401D0">
            <w:pPr>
              <w:pStyle w:val="ANormal"/>
              <w:keepNext/>
            </w:pPr>
          </w:p>
          <w:p w14:paraId="589C3D45" w14:textId="77777777" w:rsidR="002401D0" w:rsidRDefault="002401D0">
            <w:pPr>
              <w:pStyle w:val="ANormal"/>
              <w:keepNext/>
            </w:pPr>
          </w:p>
          <w:p w14:paraId="327EE27B" w14:textId="77777777" w:rsidR="008E58CE" w:rsidRDefault="008E58CE">
            <w:pPr>
              <w:pStyle w:val="ANormal"/>
              <w:keepNext/>
            </w:pPr>
          </w:p>
          <w:p w14:paraId="7CE7569B" w14:textId="0DBD520F" w:rsidR="002401D0" w:rsidRDefault="002401D0">
            <w:pPr>
              <w:pStyle w:val="ANormal"/>
              <w:keepNext/>
            </w:pPr>
            <w:r>
              <w:t>Ordförande</w:t>
            </w:r>
            <w:r w:rsidR="00842262">
              <w:t xml:space="preserve"> </w:t>
            </w:r>
          </w:p>
        </w:tc>
        <w:tc>
          <w:tcPr>
            <w:tcW w:w="3477" w:type="dxa"/>
            <w:vAlign w:val="bottom"/>
          </w:tcPr>
          <w:p w14:paraId="51F270A5" w14:textId="77777777" w:rsidR="002401D0" w:rsidRDefault="002401D0">
            <w:pPr>
              <w:pStyle w:val="ANormal"/>
              <w:keepNext/>
            </w:pPr>
          </w:p>
          <w:p w14:paraId="5CD838FD" w14:textId="77777777" w:rsidR="002401D0" w:rsidRDefault="002401D0">
            <w:pPr>
              <w:pStyle w:val="ANormal"/>
              <w:keepNext/>
            </w:pPr>
          </w:p>
          <w:p w14:paraId="6E0F33F3" w14:textId="7E436395" w:rsidR="002401D0" w:rsidRDefault="00842262">
            <w:pPr>
              <w:pStyle w:val="ANormal"/>
              <w:keepNext/>
            </w:pPr>
            <w:r>
              <w:t>John Holmberg</w:t>
            </w:r>
          </w:p>
        </w:tc>
      </w:tr>
      <w:tr w:rsidR="002401D0" w14:paraId="02FFE908" w14:textId="77777777">
        <w:tc>
          <w:tcPr>
            <w:tcW w:w="4454" w:type="dxa"/>
            <w:vAlign w:val="bottom"/>
          </w:tcPr>
          <w:p w14:paraId="7E45B161" w14:textId="77777777" w:rsidR="002401D0" w:rsidRDefault="002401D0">
            <w:pPr>
              <w:pStyle w:val="ANormal"/>
              <w:keepNext/>
            </w:pPr>
          </w:p>
          <w:p w14:paraId="52B2D7B7" w14:textId="77777777" w:rsidR="002401D0" w:rsidRDefault="002401D0">
            <w:pPr>
              <w:pStyle w:val="ANormal"/>
              <w:keepNext/>
            </w:pPr>
          </w:p>
          <w:p w14:paraId="320A5C86" w14:textId="77777777" w:rsidR="002401D0" w:rsidRDefault="002401D0">
            <w:pPr>
              <w:pStyle w:val="ANormal"/>
              <w:keepNext/>
            </w:pPr>
            <w:r>
              <w:t>Sekreterare</w:t>
            </w:r>
          </w:p>
        </w:tc>
        <w:tc>
          <w:tcPr>
            <w:tcW w:w="3477" w:type="dxa"/>
            <w:vAlign w:val="bottom"/>
          </w:tcPr>
          <w:p w14:paraId="528C60BD" w14:textId="77777777" w:rsidR="002401D0" w:rsidRDefault="002401D0">
            <w:pPr>
              <w:pStyle w:val="ANormal"/>
              <w:keepNext/>
            </w:pPr>
          </w:p>
          <w:p w14:paraId="6E680740" w14:textId="77777777" w:rsidR="002401D0" w:rsidRDefault="002401D0">
            <w:pPr>
              <w:pStyle w:val="ANormal"/>
              <w:keepNext/>
            </w:pPr>
          </w:p>
          <w:p w14:paraId="27EB253A" w14:textId="755359DE" w:rsidR="002401D0" w:rsidRDefault="00842262">
            <w:pPr>
              <w:pStyle w:val="ANormal"/>
              <w:keepNext/>
            </w:pPr>
            <w:r>
              <w:t xml:space="preserve">Sten Eriksson </w:t>
            </w:r>
          </w:p>
        </w:tc>
      </w:tr>
    </w:tbl>
    <w:p w14:paraId="2E9B8BE8"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6D537" w14:textId="77777777" w:rsidR="00842262" w:rsidRDefault="00842262">
      <w:r>
        <w:separator/>
      </w:r>
    </w:p>
  </w:endnote>
  <w:endnote w:type="continuationSeparator" w:id="0">
    <w:p w14:paraId="164C32AA" w14:textId="77777777" w:rsidR="00842262" w:rsidRDefault="00842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C292D"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4F1CE" w14:textId="1BE1CD02" w:rsidR="002401D0" w:rsidRDefault="002401D0">
    <w:pPr>
      <w:pStyle w:val="Sidfot"/>
      <w:rPr>
        <w:lang w:val="fi-FI"/>
      </w:rPr>
    </w:pPr>
    <w:r>
      <w:fldChar w:fldCharType="begin"/>
    </w:r>
    <w:r>
      <w:rPr>
        <w:lang w:val="fi-FI"/>
      </w:rPr>
      <w:instrText xml:space="preserve"> FILENAME  \* MERGEFORMAT </w:instrText>
    </w:r>
    <w:r>
      <w:fldChar w:fldCharType="separate"/>
    </w:r>
    <w:r w:rsidR="00243A59">
      <w:rPr>
        <w:noProof/>
        <w:lang w:val="fi-FI"/>
      </w:rPr>
      <w:t>FNU1020242025.docx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768081"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7C67B8" w14:textId="77777777" w:rsidR="00842262" w:rsidRDefault="00842262">
      <w:r>
        <w:separator/>
      </w:r>
    </w:p>
  </w:footnote>
  <w:footnote w:type="continuationSeparator" w:id="0">
    <w:p w14:paraId="6CA0CC2D" w14:textId="77777777" w:rsidR="00842262" w:rsidRDefault="00842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3649D"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4DF7CEA6"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93B22"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348992393">
    <w:abstractNumId w:val="6"/>
  </w:num>
  <w:num w:numId="2" w16cid:durableId="1492136143">
    <w:abstractNumId w:val="3"/>
  </w:num>
  <w:num w:numId="3" w16cid:durableId="705132295">
    <w:abstractNumId w:val="2"/>
  </w:num>
  <w:num w:numId="4" w16cid:durableId="578297184">
    <w:abstractNumId w:val="1"/>
  </w:num>
  <w:num w:numId="5" w16cid:durableId="357700349">
    <w:abstractNumId w:val="0"/>
  </w:num>
  <w:num w:numId="6" w16cid:durableId="961182317">
    <w:abstractNumId w:val="7"/>
  </w:num>
  <w:num w:numId="7" w16cid:durableId="1745954645">
    <w:abstractNumId w:val="5"/>
  </w:num>
  <w:num w:numId="8" w16cid:durableId="470294733">
    <w:abstractNumId w:val="4"/>
  </w:num>
  <w:num w:numId="9" w16cid:durableId="591400069">
    <w:abstractNumId w:val="10"/>
  </w:num>
  <w:num w:numId="10" w16cid:durableId="1824541463">
    <w:abstractNumId w:val="13"/>
  </w:num>
  <w:num w:numId="11" w16cid:durableId="115217645">
    <w:abstractNumId w:val="12"/>
  </w:num>
  <w:num w:numId="12" w16cid:durableId="25524914">
    <w:abstractNumId w:val="16"/>
  </w:num>
  <w:num w:numId="13" w16cid:durableId="1451164829">
    <w:abstractNumId w:val="11"/>
  </w:num>
  <w:num w:numId="14" w16cid:durableId="902907464">
    <w:abstractNumId w:val="15"/>
  </w:num>
  <w:num w:numId="15" w16cid:durableId="139421296">
    <w:abstractNumId w:val="9"/>
  </w:num>
  <w:num w:numId="16" w16cid:durableId="878318108">
    <w:abstractNumId w:val="21"/>
  </w:num>
  <w:num w:numId="17" w16cid:durableId="1999727429">
    <w:abstractNumId w:val="8"/>
  </w:num>
  <w:num w:numId="18" w16cid:durableId="293871364">
    <w:abstractNumId w:val="17"/>
  </w:num>
  <w:num w:numId="19" w16cid:durableId="616108447">
    <w:abstractNumId w:val="20"/>
  </w:num>
  <w:num w:numId="20" w16cid:durableId="952517929">
    <w:abstractNumId w:val="23"/>
  </w:num>
  <w:num w:numId="21" w16cid:durableId="9068528">
    <w:abstractNumId w:val="22"/>
  </w:num>
  <w:num w:numId="22" w16cid:durableId="1441997047">
    <w:abstractNumId w:val="14"/>
  </w:num>
  <w:num w:numId="23" w16cid:durableId="1411152869">
    <w:abstractNumId w:val="18"/>
  </w:num>
  <w:num w:numId="24" w16cid:durableId="1266958445">
    <w:abstractNumId w:val="18"/>
  </w:num>
  <w:num w:numId="25" w16cid:durableId="1230772092">
    <w:abstractNumId w:val="19"/>
  </w:num>
  <w:num w:numId="26" w16cid:durableId="360791261">
    <w:abstractNumId w:val="14"/>
  </w:num>
  <w:num w:numId="27" w16cid:durableId="545795668">
    <w:abstractNumId w:val="14"/>
  </w:num>
  <w:num w:numId="28" w16cid:durableId="429474158">
    <w:abstractNumId w:val="14"/>
  </w:num>
  <w:num w:numId="29" w16cid:durableId="1567109779">
    <w:abstractNumId w:val="14"/>
  </w:num>
  <w:num w:numId="30" w16cid:durableId="1966425533">
    <w:abstractNumId w:val="14"/>
  </w:num>
  <w:num w:numId="31" w16cid:durableId="550923851">
    <w:abstractNumId w:val="14"/>
  </w:num>
  <w:num w:numId="32" w16cid:durableId="170410413">
    <w:abstractNumId w:val="14"/>
  </w:num>
  <w:num w:numId="33" w16cid:durableId="1060979654">
    <w:abstractNumId w:val="14"/>
  </w:num>
  <w:num w:numId="34" w16cid:durableId="1366177212">
    <w:abstractNumId w:val="14"/>
  </w:num>
  <w:num w:numId="35" w16cid:durableId="568926251">
    <w:abstractNumId w:val="18"/>
  </w:num>
  <w:num w:numId="36" w16cid:durableId="1070233576">
    <w:abstractNumId w:val="19"/>
  </w:num>
  <w:num w:numId="37" w16cid:durableId="1153452763">
    <w:abstractNumId w:val="14"/>
  </w:num>
  <w:num w:numId="38" w16cid:durableId="2106031995">
    <w:abstractNumId w:val="14"/>
  </w:num>
  <w:num w:numId="39" w16cid:durableId="1980449995">
    <w:abstractNumId w:val="14"/>
  </w:num>
  <w:num w:numId="40" w16cid:durableId="1572540490">
    <w:abstractNumId w:val="14"/>
  </w:num>
  <w:num w:numId="41" w16cid:durableId="716707813">
    <w:abstractNumId w:val="14"/>
  </w:num>
  <w:num w:numId="42" w16cid:durableId="1321424948">
    <w:abstractNumId w:val="14"/>
  </w:num>
  <w:num w:numId="43" w16cid:durableId="225385175">
    <w:abstractNumId w:val="14"/>
  </w:num>
  <w:num w:numId="44" w16cid:durableId="1366910005">
    <w:abstractNumId w:val="14"/>
  </w:num>
  <w:num w:numId="45" w16cid:durableId="5501140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62"/>
    <w:rsid w:val="00015E9C"/>
    <w:rsid w:val="00051556"/>
    <w:rsid w:val="000B2DC9"/>
    <w:rsid w:val="000D6353"/>
    <w:rsid w:val="000F7417"/>
    <w:rsid w:val="0015337C"/>
    <w:rsid w:val="002401D0"/>
    <w:rsid w:val="00243A59"/>
    <w:rsid w:val="0032063A"/>
    <w:rsid w:val="003320AA"/>
    <w:rsid w:val="0036359C"/>
    <w:rsid w:val="00462624"/>
    <w:rsid w:val="004B29C4"/>
    <w:rsid w:val="005A7AEB"/>
    <w:rsid w:val="006B2E9E"/>
    <w:rsid w:val="00723B93"/>
    <w:rsid w:val="007C4712"/>
    <w:rsid w:val="007E0F6A"/>
    <w:rsid w:val="00811D50"/>
    <w:rsid w:val="00817B04"/>
    <w:rsid w:val="00842262"/>
    <w:rsid w:val="008E58CE"/>
    <w:rsid w:val="0093689A"/>
    <w:rsid w:val="00957C36"/>
    <w:rsid w:val="009B7256"/>
    <w:rsid w:val="009D73B2"/>
    <w:rsid w:val="009F6BA9"/>
    <w:rsid w:val="009F7CE2"/>
    <w:rsid w:val="00A72A78"/>
    <w:rsid w:val="00B32E91"/>
    <w:rsid w:val="00B36A8F"/>
    <w:rsid w:val="00B90DEC"/>
    <w:rsid w:val="00BB5BDC"/>
    <w:rsid w:val="00BE5168"/>
    <w:rsid w:val="00C11E11"/>
    <w:rsid w:val="00C14D84"/>
    <w:rsid w:val="00CB087E"/>
    <w:rsid w:val="00CF700E"/>
    <w:rsid w:val="00D82F4B"/>
    <w:rsid w:val="00DC45B2"/>
    <w:rsid w:val="00DC5313"/>
    <w:rsid w:val="00DC58B4"/>
    <w:rsid w:val="00EA647A"/>
    <w:rsid w:val="00EB6885"/>
    <w:rsid w:val="00EE3538"/>
    <w:rsid w:val="00EE61A4"/>
    <w:rsid w:val="00FA6126"/>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254FC1"/>
  <w15:chartTrackingRefBased/>
  <w15:docId w15:val="{6485531A-F5B9-487A-9C47-6ADA341C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2262"/>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ANormalChar">
    <w:name w:val="ANormal Char"/>
    <w:link w:val="ANormal"/>
    <w:rsid w:val="00842262"/>
    <w:rPr>
      <w:sz w:val="22"/>
      <w:lang w:val="sv-SE" w:eastAsia="sv-SE"/>
    </w:rPr>
  </w:style>
  <w:style w:type="table" w:styleId="Tabellrutnt">
    <w:name w:val="Table Grid"/>
    <w:basedOn w:val="Normaltabell"/>
    <w:uiPriority w:val="39"/>
    <w:rsid w:val="0084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LT-Betänkande.dot</Template>
  <TotalTime>1</TotalTime>
  <Pages>2</Pages>
  <Words>507</Words>
  <Characters>3820</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Finans- och näringsutskottets betänkande nr x/2024-2025</vt:lpstr>
    </vt:vector>
  </TitlesOfParts>
  <Company>Ålands lagting</Company>
  <LinksUpToDate>false</LinksUpToDate>
  <CharactersWithSpaces>4319</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Finans- och näringsutskottets betänkande nr x/2024-2025</dc:title>
  <dc:subject/>
  <dc:creator>Jessica Laaksonen</dc:creator>
  <cp:keywords/>
  <cp:lastModifiedBy>Jessica Laaksonen</cp:lastModifiedBy>
  <cp:revision>2</cp:revision>
  <cp:lastPrinted>2024-12-13T08:07:00Z</cp:lastPrinted>
  <dcterms:created xsi:type="dcterms:W3CDTF">2024-12-13T08:45:00Z</dcterms:created>
  <dcterms:modified xsi:type="dcterms:W3CDTF">2024-12-13T08:45:00Z</dcterms:modified>
</cp:coreProperties>
</file>