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2C073DB8" w:rsidR="00337A19" w:rsidRDefault="00337A19" w:rsidP="009F1162">
            <w:pPr>
              <w:pStyle w:val="xDokTypNr"/>
            </w:pPr>
            <w:r>
              <w:t xml:space="preserve">BESLUT LTB </w:t>
            </w:r>
            <w:r w:rsidR="005D491A">
              <w:t>58</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2B4F6589" w:rsidR="00337A19" w:rsidRDefault="00337A19">
            <w:pPr>
              <w:pStyle w:val="xDatum1"/>
            </w:pPr>
            <w:r>
              <w:t>20</w:t>
            </w:r>
            <w:r w:rsidR="008B640D">
              <w:t>26-0</w:t>
            </w:r>
            <w:r w:rsidR="00C14D12">
              <w:t>5-20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4CD568D2" w14:textId="398670EB" w:rsidR="00686FE3" w:rsidRPr="007C01C1" w:rsidRDefault="00337A19" w:rsidP="007C01C1">
      <w:pPr>
        <w:pStyle w:val="ArendeRubrik"/>
        <w:outlineLvl w:val="0"/>
        <w:rPr>
          <w:lang w:val="sv-FI"/>
        </w:rPr>
      </w:pPr>
      <w:bookmarkStart w:id="1" w:name="_Toc65564307"/>
      <w:r>
        <w:t>Landskapsl</w:t>
      </w:r>
      <w:bookmarkEnd w:id="1"/>
      <w:r w:rsidR="00E7439A">
        <w:t xml:space="preserve">ag </w:t>
      </w:r>
      <w:bookmarkStart w:id="2" w:name="_Toc171936400"/>
      <w:r w:rsidR="007C01C1">
        <w:t xml:space="preserve">om ändring av landskapslagen om </w:t>
      </w:r>
      <w:bookmarkEnd w:id="2"/>
      <w:r w:rsidR="008F4085" w:rsidRPr="003A2997">
        <w:t>lagtingets kansli</w:t>
      </w:r>
    </w:p>
    <w:p w14:paraId="29E1F5F4" w14:textId="77777777" w:rsidR="007C01C1" w:rsidRPr="00686FE3" w:rsidRDefault="007C01C1" w:rsidP="007C01C1">
      <w:pPr>
        <w:pStyle w:val="ArendeUnderRubrik"/>
        <w:numPr>
          <w:ilvl w:val="0"/>
          <w:numId w:val="0"/>
        </w:numPr>
        <w:ind w:left="283"/>
      </w:pPr>
    </w:p>
    <w:p w14:paraId="6C9B6D94" w14:textId="77777777" w:rsidR="008F4085" w:rsidRPr="003A2997" w:rsidRDefault="00337A19" w:rsidP="008F4085">
      <w:pPr>
        <w:pStyle w:val="ANormal"/>
      </w:pPr>
      <w:r>
        <w:tab/>
        <w:t xml:space="preserve">I enlighet med lagtingets beslut </w:t>
      </w:r>
      <w:bookmarkStart w:id="3" w:name="_Hlk165886469"/>
      <w:r w:rsidR="008F4085" w:rsidRPr="003A2997">
        <w:rPr>
          <w:b/>
          <w:bCs/>
        </w:rPr>
        <w:t>ändras</w:t>
      </w:r>
      <w:r w:rsidR="008F4085" w:rsidRPr="003A2997">
        <w:t xml:space="preserve"> </w:t>
      </w:r>
      <w:proofErr w:type="gramStart"/>
      <w:r w:rsidR="008F4085" w:rsidRPr="003A2997">
        <w:t>3-6</w:t>
      </w:r>
      <w:proofErr w:type="gramEnd"/>
      <w:r w:rsidR="008F4085">
        <w:t> §</w:t>
      </w:r>
      <w:r w:rsidR="008F4085" w:rsidRPr="003A2997">
        <w:t>§ landskapslagen (2013:21) om lagtingets kansli som följer:</w:t>
      </w:r>
    </w:p>
    <w:p w14:paraId="21C7C7DF" w14:textId="77777777" w:rsidR="008F4085" w:rsidRPr="003A2997" w:rsidRDefault="008F4085" w:rsidP="008F4085">
      <w:pPr>
        <w:pStyle w:val="ANormal"/>
      </w:pPr>
    </w:p>
    <w:p w14:paraId="084B684B" w14:textId="77777777" w:rsidR="008F4085" w:rsidRPr="003A2997" w:rsidRDefault="008F4085" w:rsidP="008F4085">
      <w:pPr>
        <w:pStyle w:val="LagParagraf"/>
      </w:pPr>
      <w:r w:rsidRPr="003A2997">
        <w:t>3</w:t>
      </w:r>
      <w:r>
        <w:t> §</w:t>
      </w:r>
    </w:p>
    <w:p w14:paraId="4FECB427" w14:textId="77777777" w:rsidR="008F4085" w:rsidRPr="003A2997" w:rsidRDefault="008F4085" w:rsidP="008F4085">
      <w:pPr>
        <w:pStyle w:val="LagPararubrik"/>
      </w:pPr>
      <w:r w:rsidRPr="003A2997">
        <w:t>Tillämpliga bestämmelser</w:t>
      </w:r>
    </w:p>
    <w:p w14:paraId="46C80AC5" w14:textId="77777777" w:rsidR="008F4085" w:rsidRDefault="008F4085" w:rsidP="008F4085">
      <w:pPr>
        <w:pStyle w:val="ANormal"/>
      </w:pPr>
      <w:r w:rsidRPr="003A2997">
        <w:tab/>
        <w:t>De landskapslagar och landskapsförordningar som gäller tjänsteinnehavarna vid landskapsregeringens allmänna förvaltning gäller i tillämpliga delar även tjänsteinnehavarna vid lagtingets kansli. Landskapslagen (1999:44) om tjänstledighet för uppdrag som riksdagsledamot, lagtingsledamot eller medlem av landska</w:t>
      </w:r>
      <w:r>
        <w:t>p</w:t>
      </w:r>
      <w:r w:rsidRPr="003A2997">
        <w:t xml:space="preserve">sregeringen gäller dock inte lagtingsdirektören, biträdande lagtingsdirektören och utskottssekreterare till den del den berör rätten till </w:t>
      </w:r>
      <w:r>
        <w:t>tjänstledighet</w:t>
      </w:r>
      <w:r w:rsidRPr="003A2997">
        <w:t xml:space="preserve"> för uppdrag som lagtingsledamot.</w:t>
      </w:r>
    </w:p>
    <w:p w14:paraId="0351EFCD" w14:textId="77777777" w:rsidR="008F4085" w:rsidRPr="003A2997" w:rsidRDefault="008F4085" w:rsidP="008F4085">
      <w:pPr>
        <w:pStyle w:val="ANormal"/>
      </w:pPr>
      <w:r>
        <w:rPr>
          <w:shd w:val="clear" w:color="auto" w:fill="FFFFFF"/>
        </w:rPr>
        <w:tab/>
        <w:t>De uppgifter som enligt de i 1 mom. nämnda bestämmelserna ankommer på arbetsgivaren eller landskapsregeringen, ankommer i fråga om lagtinget på kanslikommissionen om uppgiften inte har delegerats.</w:t>
      </w:r>
    </w:p>
    <w:p w14:paraId="796942D7" w14:textId="77777777" w:rsidR="008F4085" w:rsidRPr="003A2997" w:rsidRDefault="008F4085" w:rsidP="008F4085">
      <w:pPr>
        <w:pStyle w:val="ANormal"/>
      </w:pPr>
    </w:p>
    <w:p w14:paraId="56363B3A" w14:textId="77777777" w:rsidR="008F4085" w:rsidRPr="003A2997" w:rsidRDefault="008F4085" w:rsidP="008F4085">
      <w:pPr>
        <w:pStyle w:val="LagParagraf"/>
      </w:pPr>
      <w:r w:rsidRPr="003A2997">
        <w:t>4</w:t>
      </w:r>
      <w:r>
        <w:t> §</w:t>
      </w:r>
    </w:p>
    <w:p w14:paraId="798AFA0E" w14:textId="77777777" w:rsidR="008F4085" w:rsidRPr="003A2997" w:rsidRDefault="008F4085" w:rsidP="008F4085">
      <w:pPr>
        <w:pStyle w:val="LagPararubrik"/>
      </w:pPr>
      <w:r w:rsidRPr="003A2997">
        <w:t>Tjänstekollektivavtal</w:t>
      </w:r>
    </w:p>
    <w:p w14:paraId="63A7F10E" w14:textId="4EB64F6A" w:rsidR="008F4085" w:rsidRPr="003A2997" w:rsidRDefault="008F4085" w:rsidP="008F4085">
      <w:pPr>
        <w:pStyle w:val="ANormal"/>
      </w:pPr>
      <w:r w:rsidRPr="003A2997">
        <w:tab/>
        <w:t>Villkoren för tjänsterna vid lagtingets kansli fastställs genom tjänstekollektivavtal i enlighet med landskapslagen (1978:22) om tjänstekollektivavtal. Tjänsteinnehavare kan dock i enlighet med beslut i kanslikommissionen utses till en tjänst med avtalslön i enlighet med motsvarande bestämmelser för tjänsteinnehavarna vid Ålands landskapsregeringes allmänna förvaltning.</w:t>
      </w:r>
    </w:p>
    <w:p w14:paraId="3CD79D99" w14:textId="77777777" w:rsidR="008F4085" w:rsidRPr="003A2997" w:rsidRDefault="008F4085" w:rsidP="008F4085">
      <w:pPr>
        <w:pStyle w:val="ANormal"/>
      </w:pPr>
    </w:p>
    <w:p w14:paraId="36C5C58F" w14:textId="77777777" w:rsidR="008F4085" w:rsidRPr="003A2997" w:rsidRDefault="008F4085" w:rsidP="008F4085">
      <w:pPr>
        <w:pStyle w:val="LagParagraf"/>
      </w:pPr>
      <w:r w:rsidRPr="003A2997">
        <w:t>5</w:t>
      </w:r>
      <w:r>
        <w:t> §</w:t>
      </w:r>
    </w:p>
    <w:p w14:paraId="5C38C3A8" w14:textId="77777777" w:rsidR="008F4085" w:rsidRPr="003A2997" w:rsidRDefault="008F4085" w:rsidP="008F4085">
      <w:pPr>
        <w:pStyle w:val="LagPararubrik"/>
      </w:pPr>
      <w:r w:rsidRPr="003A2997">
        <w:t>Instruktioner</w:t>
      </w:r>
    </w:p>
    <w:p w14:paraId="08B6F387" w14:textId="77777777" w:rsidR="008F4085" w:rsidRPr="003A2997" w:rsidRDefault="008F4085" w:rsidP="008F4085">
      <w:pPr>
        <w:pStyle w:val="ANormal"/>
      </w:pPr>
      <w:r w:rsidRPr="003A2997">
        <w:tab/>
        <w:t>Kanslikommissionen kan vid behov besluta om instruktioner för lagtingskansliets tjänsteinnehavare.</w:t>
      </w:r>
    </w:p>
    <w:p w14:paraId="6DA9404E" w14:textId="77777777" w:rsidR="008F4085" w:rsidRPr="003A2997" w:rsidRDefault="008F4085" w:rsidP="008F4085">
      <w:pPr>
        <w:pStyle w:val="ANormal"/>
      </w:pPr>
    </w:p>
    <w:p w14:paraId="1114EE5E" w14:textId="77777777" w:rsidR="008F4085" w:rsidRPr="003A2997" w:rsidRDefault="008F4085" w:rsidP="008F4085">
      <w:pPr>
        <w:pStyle w:val="LagParagraf"/>
      </w:pPr>
      <w:r w:rsidRPr="003A2997">
        <w:t>6</w:t>
      </w:r>
      <w:r>
        <w:t> §</w:t>
      </w:r>
    </w:p>
    <w:p w14:paraId="6B0953B4" w14:textId="77777777" w:rsidR="008F4085" w:rsidRPr="003A2997" w:rsidRDefault="008F4085" w:rsidP="008F4085">
      <w:pPr>
        <w:pStyle w:val="LagPararubrik"/>
      </w:pPr>
      <w:r w:rsidRPr="003A2997">
        <w:t>Rättelseyrkande</w:t>
      </w:r>
    </w:p>
    <w:p w14:paraId="5FDD0C23" w14:textId="77777777" w:rsidR="008F4085" w:rsidRDefault="008F4085" w:rsidP="008F4085">
      <w:pPr>
        <w:pStyle w:val="ANormal"/>
      </w:pPr>
      <w:r w:rsidRPr="003A2997">
        <w:tab/>
        <w:t>Den som berörs av ett beslut som har fattats av en tjänsteinnehavare vid lagtingets kansli och som är missnöjd med beslutet kan få beslutet prövat av kanslikommissionen genom att skriftligen yrka på rättelse av beslutet. Rättelseyrkandet ska göras inom 14 dagar från det att beslutet delgavs. Ett beslut över vilket rättelseyrkande får göras får inte överklagas genom besvär.</w:t>
      </w:r>
    </w:p>
    <w:p w14:paraId="3E277C59" w14:textId="77777777" w:rsidR="008F4085" w:rsidRPr="00190920" w:rsidRDefault="008F4085" w:rsidP="008F4085">
      <w:pPr>
        <w:pStyle w:val="ANormal"/>
      </w:pPr>
    </w:p>
    <w:p w14:paraId="0BDA2FD0" w14:textId="77777777" w:rsidR="008F4085" w:rsidRDefault="008F4085" w:rsidP="008F4085">
      <w:pPr>
        <w:pStyle w:val="ANormal"/>
        <w:jc w:val="center"/>
      </w:pPr>
      <w:hyperlink w:anchor="_top" w:tooltip="Klicka för att gå till toppen av dokumentet" w:history="1">
        <w:r>
          <w:rPr>
            <w:rStyle w:val="Hyperlnk"/>
          </w:rPr>
          <w:t>__________________</w:t>
        </w:r>
      </w:hyperlink>
    </w:p>
    <w:p w14:paraId="4C68EAFF" w14:textId="77777777" w:rsidR="008F4085" w:rsidRPr="00190920" w:rsidRDefault="008F4085" w:rsidP="008F4085">
      <w:pPr>
        <w:pStyle w:val="ANormal"/>
        <w:rPr>
          <w:lang w:val="sv-FI"/>
        </w:rPr>
      </w:pPr>
    </w:p>
    <w:p w14:paraId="700C0775" w14:textId="77777777" w:rsidR="008F4085" w:rsidRPr="00190920" w:rsidRDefault="008F4085" w:rsidP="008F4085">
      <w:pPr>
        <w:pStyle w:val="ANormal"/>
      </w:pPr>
      <w:r w:rsidRPr="00190920">
        <w:tab/>
        <w:t>Denna lag träder i kraft</w:t>
      </w:r>
      <w:r>
        <w:t xml:space="preserve"> den</w:t>
      </w:r>
    </w:p>
    <w:p w14:paraId="18871701" w14:textId="77777777" w:rsidR="008F4085" w:rsidRDefault="008F4085" w:rsidP="008F4085">
      <w:pPr>
        <w:pStyle w:val="ANormal"/>
        <w:jc w:val="center"/>
      </w:pPr>
      <w:hyperlink w:anchor="_top" w:tooltip="Klicka för att gå till toppen av dokumentet" w:history="1">
        <w:r>
          <w:rPr>
            <w:rStyle w:val="Hyperlnk"/>
          </w:rPr>
          <w:t>__________________</w:t>
        </w:r>
      </w:hyperlink>
    </w:p>
    <w:p w14:paraId="43594427" w14:textId="118A52D0" w:rsidR="00686FE3" w:rsidRDefault="00686FE3" w:rsidP="008F4085">
      <w:pPr>
        <w:pStyle w:val="ANormal"/>
      </w:pPr>
    </w:p>
    <w:bookmarkEnd w:id="3"/>
    <w:p w14:paraId="28063AB0" w14:textId="52986D59" w:rsidR="00337A19" w:rsidRDefault="00337A19" w:rsidP="00686FE3">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615B1055" w:rsidR="00337A19" w:rsidRDefault="00337A19">
            <w:pPr>
              <w:pStyle w:val="ANormal"/>
              <w:keepNext/>
            </w:pPr>
            <w:r>
              <w:lastRenderedPageBreak/>
              <w:tab/>
              <w:t xml:space="preserve">Mariehamn den </w:t>
            </w:r>
            <w:r w:rsidR="005D491A">
              <w:t>2</w:t>
            </w:r>
            <w:r w:rsidR="00C14D12">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8BC1" w14:textId="77777777" w:rsidR="00BB55BA" w:rsidRDefault="00BB55BA">
      <w:r>
        <w:separator/>
      </w:r>
    </w:p>
  </w:endnote>
  <w:endnote w:type="continuationSeparator" w:id="0">
    <w:p w14:paraId="08B4A025" w14:textId="77777777" w:rsidR="00BB55BA" w:rsidRDefault="00BB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2C47F55A" w:rsidR="00867707" w:rsidRDefault="00867707">
    <w:pPr>
      <w:pStyle w:val="Sidfot"/>
      <w:rPr>
        <w:lang w:val="fi-FI"/>
      </w:rPr>
    </w:pPr>
    <w:r>
      <w:fldChar w:fldCharType="begin"/>
    </w:r>
    <w:r>
      <w:rPr>
        <w:lang w:val="fi-FI"/>
      </w:rPr>
      <w:instrText xml:space="preserve"> FILENAME  \* MERGEFORMAT </w:instrText>
    </w:r>
    <w:r>
      <w:fldChar w:fldCharType="separate"/>
    </w:r>
    <w:r w:rsidR="00F658C2">
      <w:rPr>
        <w:noProof/>
        <w:lang w:val="fi-FI"/>
      </w:rPr>
      <w:t>LTB342026.docx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D0CF" w14:textId="77777777" w:rsidR="00BB55BA" w:rsidRDefault="00BB55BA">
      <w:r>
        <w:separator/>
      </w:r>
    </w:p>
  </w:footnote>
  <w:footnote w:type="continuationSeparator" w:id="0">
    <w:p w14:paraId="3928FE5F" w14:textId="77777777" w:rsidR="00BB55BA" w:rsidRDefault="00BB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0F119D"/>
    <w:rsid w:val="001732E7"/>
    <w:rsid w:val="00194B60"/>
    <w:rsid w:val="0021332F"/>
    <w:rsid w:val="002150BD"/>
    <w:rsid w:val="00244F51"/>
    <w:rsid w:val="00284C7A"/>
    <w:rsid w:val="002D3D4F"/>
    <w:rsid w:val="002E1682"/>
    <w:rsid w:val="002F3225"/>
    <w:rsid w:val="00337A19"/>
    <w:rsid w:val="0038180C"/>
    <w:rsid w:val="003867BD"/>
    <w:rsid w:val="003B2C07"/>
    <w:rsid w:val="004C4C6D"/>
    <w:rsid w:val="004D7ED5"/>
    <w:rsid w:val="004E7D01"/>
    <w:rsid w:val="004F64FE"/>
    <w:rsid w:val="00580833"/>
    <w:rsid w:val="005A5095"/>
    <w:rsid w:val="005A7363"/>
    <w:rsid w:val="005C5E44"/>
    <w:rsid w:val="005D491A"/>
    <w:rsid w:val="005D5AD4"/>
    <w:rsid w:val="005E1BD9"/>
    <w:rsid w:val="005E4716"/>
    <w:rsid w:val="005F4508"/>
    <w:rsid w:val="005F6898"/>
    <w:rsid w:val="00605DA1"/>
    <w:rsid w:val="006538ED"/>
    <w:rsid w:val="00686FE3"/>
    <w:rsid w:val="00691BF3"/>
    <w:rsid w:val="007632F6"/>
    <w:rsid w:val="007C01C1"/>
    <w:rsid w:val="007D34F2"/>
    <w:rsid w:val="0080530D"/>
    <w:rsid w:val="008414E5"/>
    <w:rsid w:val="00867707"/>
    <w:rsid w:val="008B5FA2"/>
    <w:rsid w:val="008B640D"/>
    <w:rsid w:val="008F4085"/>
    <w:rsid w:val="00975705"/>
    <w:rsid w:val="009B6ACC"/>
    <w:rsid w:val="009C306E"/>
    <w:rsid w:val="009E1423"/>
    <w:rsid w:val="009F1162"/>
    <w:rsid w:val="00A10529"/>
    <w:rsid w:val="00A14D92"/>
    <w:rsid w:val="00A73AE2"/>
    <w:rsid w:val="00A84D82"/>
    <w:rsid w:val="00AB15A5"/>
    <w:rsid w:val="00AD314B"/>
    <w:rsid w:val="00B5110A"/>
    <w:rsid w:val="00B63004"/>
    <w:rsid w:val="00B734AF"/>
    <w:rsid w:val="00BA3751"/>
    <w:rsid w:val="00BB55BA"/>
    <w:rsid w:val="00BD48EF"/>
    <w:rsid w:val="00BE2983"/>
    <w:rsid w:val="00BE3496"/>
    <w:rsid w:val="00BE62DA"/>
    <w:rsid w:val="00C14D12"/>
    <w:rsid w:val="00C649D7"/>
    <w:rsid w:val="00C81EA3"/>
    <w:rsid w:val="00C833A2"/>
    <w:rsid w:val="00D30773"/>
    <w:rsid w:val="00D636DC"/>
    <w:rsid w:val="00DB20FD"/>
    <w:rsid w:val="00DC7AE6"/>
    <w:rsid w:val="00DD3988"/>
    <w:rsid w:val="00E57A41"/>
    <w:rsid w:val="00E6237B"/>
    <w:rsid w:val="00E7439A"/>
    <w:rsid w:val="00E7579E"/>
    <w:rsid w:val="00F658C2"/>
    <w:rsid w:val="00F82906"/>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2</Pages>
  <Words>363</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58/2026</dc:title>
  <dc:creator>Jessica Laaksonen</dc:creator>
  <cp:lastModifiedBy>Jessica Laaksonen</cp:lastModifiedBy>
  <cp:revision>2</cp:revision>
  <cp:lastPrinted>2026-01-27T11:58:00Z</cp:lastPrinted>
  <dcterms:created xsi:type="dcterms:W3CDTF">2026-05-21T16:05:00Z</dcterms:created>
  <dcterms:modified xsi:type="dcterms:W3CDTF">2026-05-21T16:05:00Z</dcterms:modified>
</cp:coreProperties>
</file>