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6F382F7F" w:rsidR="00337A19" w:rsidRDefault="00337A19" w:rsidP="009F1162">
            <w:pPr>
              <w:pStyle w:val="xDokTypNr"/>
            </w:pPr>
            <w:r>
              <w:t xml:space="preserve">BESLUT LTB </w:t>
            </w:r>
            <w:r w:rsidR="00390CFE">
              <w:t>51</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3498A9DF" w:rsidR="00337A19" w:rsidRDefault="00337A19">
            <w:pPr>
              <w:pStyle w:val="xDatum1"/>
            </w:pPr>
            <w:r>
              <w:t>20</w:t>
            </w:r>
            <w:r w:rsidR="008B640D">
              <w:t>26-0</w:t>
            </w:r>
            <w:r w:rsidR="00AA7D40">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5D195EDF" w14:textId="369C8245" w:rsidR="00AD314B" w:rsidRPr="00AD314B" w:rsidRDefault="00337A19" w:rsidP="00AD314B">
      <w:pPr>
        <w:pStyle w:val="ArendeRubrik"/>
        <w:outlineLvl w:val="0"/>
      </w:pPr>
      <w:bookmarkStart w:id="1" w:name="_Toc65564307"/>
      <w:r>
        <w:t>Landskapslag</w:t>
      </w:r>
      <w:bookmarkStart w:id="2" w:name="_Toc123650488"/>
      <w:bookmarkEnd w:id="1"/>
      <w:r w:rsidR="009C306E">
        <w:t xml:space="preserve"> </w:t>
      </w:r>
      <w:bookmarkEnd w:id="2"/>
      <w:r w:rsidR="00E57A41" w:rsidRPr="00190920">
        <w:t xml:space="preserve">om ändring av landskapslagen </w:t>
      </w:r>
      <w:r w:rsidR="00580833" w:rsidRPr="00190920">
        <w:t xml:space="preserve">om </w:t>
      </w:r>
      <w:r w:rsidR="00AD314B" w:rsidRPr="00190920">
        <w:rPr>
          <w:lang w:val="sv-FI"/>
        </w:rPr>
        <w:t>Ålands ombudsmannamyndighet</w:t>
      </w:r>
    </w:p>
    <w:p w14:paraId="52625708" w14:textId="77777777" w:rsidR="007D34F2" w:rsidRDefault="007D34F2" w:rsidP="00E57A41">
      <w:pPr>
        <w:pStyle w:val="ArendeUnderRubrik"/>
        <w:numPr>
          <w:ilvl w:val="0"/>
          <w:numId w:val="0"/>
        </w:numPr>
        <w:ind w:left="283" w:hanging="283"/>
      </w:pPr>
    </w:p>
    <w:p w14:paraId="5CC0D3D3" w14:textId="77777777" w:rsidR="00E57A41" w:rsidRPr="00E57A41" w:rsidRDefault="00E57A41" w:rsidP="00E57A41">
      <w:pPr>
        <w:pStyle w:val="ArendeUnderRubrik"/>
        <w:numPr>
          <w:ilvl w:val="0"/>
          <w:numId w:val="0"/>
        </w:numPr>
        <w:ind w:left="283" w:hanging="283"/>
      </w:pPr>
    </w:p>
    <w:p w14:paraId="527D7125" w14:textId="77777777" w:rsidR="00AD314B" w:rsidRDefault="00337A19" w:rsidP="00AD314B">
      <w:pPr>
        <w:pStyle w:val="ANormal"/>
      </w:pPr>
      <w:r>
        <w:tab/>
        <w:t xml:space="preserve">I enlighet med lagtingets beslut </w:t>
      </w:r>
    </w:p>
    <w:p w14:paraId="27881EB7" w14:textId="316A74FB" w:rsidR="00AD314B" w:rsidRPr="00A01331" w:rsidRDefault="00AD314B" w:rsidP="00AD314B">
      <w:pPr>
        <w:pStyle w:val="ANormal"/>
        <w:rPr>
          <w:lang w:val="sv-FI"/>
        </w:rPr>
      </w:pPr>
      <w:r>
        <w:tab/>
      </w:r>
      <w:r w:rsidRPr="00A01331">
        <w:rPr>
          <w:b/>
          <w:bCs/>
          <w:lang w:val="sv-FI"/>
        </w:rPr>
        <w:t>upphävs</w:t>
      </w:r>
      <w:r w:rsidRPr="00A01331">
        <w:rPr>
          <w:lang w:val="sv-FI"/>
        </w:rPr>
        <w:t xml:space="preserve"> 26</w:t>
      </w:r>
      <w:r>
        <w:rPr>
          <w:lang w:val="sv-FI"/>
        </w:rPr>
        <w:t> </w:t>
      </w:r>
      <w:r w:rsidRPr="00A01331">
        <w:rPr>
          <w:lang w:val="sv-FI"/>
        </w:rPr>
        <w:t>§ landskapslagen (2014:33) om Åland ombudsmannamyndighet samt</w:t>
      </w:r>
    </w:p>
    <w:p w14:paraId="2C0F207B" w14:textId="77777777" w:rsidR="00AD314B" w:rsidRPr="00190920" w:rsidRDefault="00AD314B" w:rsidP="00AD314B">
      <w:pPr>
        <w:pStyle w:val="ANormal"/>
        <w:rPr>
          <w:lang w:val="sv-FI"/>
        </w:rPr>
      </w:pPr>
      <w:r w:rsidRPr="00A01331">
        <w:rPr>
          <w:b/>
          <w:bCs/>
          <w:lang w:val="sv-FI"/>
        </w:rPr>
        <w:tab/>
        <w:t>ändras</w:t>
      </w:r>
      <w:r w:rsidRPr="00A01331">
        <w:rPr>
          <w:lang w:val="sv-FI"/>
        </w:rPr>
        <w:t xml:space="preserve"> </w:t>
      </w:r>
      <w:r w:rsidRPr="002C36F0">
        <w:rPr>
          <w:lang w:val="sv-FI"/>
        </w:rPr>
        <w:t>8 och 9 §§,</w:t>
      </w:r>
      <w:r w:rsidRPr="00A01331">
        <w:rPr>
          <w:lang w:val="sv-FI"/>
        </w:rPr>
        <w:t xml:space="preserve"> 10 § 3 mom., 14 §, 15 § 1 och 4 mom. och 20 § 1 mom. som följer:</w:t>
      </w:r>
    </w:p>
    <w:p w14:paraId="5B5DEBE5" w14:textId="77777777" w:rsidR="00AD314B" w:rsidRPr="00190920" w:rsidRDefault="00AD314B" w:rsidP="00AD314B">
      <w:pPr>
        <w:pStyle w:val="ANormal"/>
        <w:rPr>
          <w:lang w:val="sv-FI"/>
        </w:rPr>
      </w:pPr>
    </w:p>
    <w:p w14:paraId="3D2F8888" w14:textId="77777777" w:rsidR="00AD314B" w:rsidRDefault="00AD314B" w:rsidP="00AD314B">
      <w:pPr>
        <w:pStyle w:val="LagParagraf"/>
        <w:rPr>
          <w:lang w:val="sv-FI"/>
        </w:rPr>
      </w:pPr>
    </w:p>
    <w:p w14:paraId="6395A92A" w14:textId="77777777" w:rsidR="00AD314B" w:rsidRPr="00190920" w:rsidRDefault="00AD314B" w:rsidP="00AD314B">
      <w:pPr>
        <w:pStyle w:val="LagParagraf"/>
        <w:rPr>
          <w:lang w:val="sv-FI"/>
        </w:rPr>
      </w:pPr>
      <w:r w:rsidRPr="00190920">
        <w:rPr>
          <w:lang w:val="sv-FI"/>
        </w:rPr>
        <w:t>8</w:t>
      </w:r>
      <w:r>
        <w:rPr>
          <w:lang w:val="sv-FI"/>
        </w:rPr>
        <w:t> §</w:t>
      </w:r>
    </w:p>
    <w:p w14:paraId="7F878F57" w14:textId="77777777" w:rsidR="00AD314B" w:rsidRPr="00190920" w:rsidRDefault="00AD314B" w:rsidP="00AD314B">
      <w:pPr>
        <w:pStyle w:val="LagPararubrik"/>
        <w:rPr>
          <w:lang w:val="sv-FI"/>
        </w:rPr>
      </w:pPr>
      <w:r w:rsidRPr="00190920">
        <w:rPr>
          <w:lang w:val="sv-FI"/>
        </w:rPr>
        <w:t>Anställningsförhållanden</w:t>
      </w:r>
    </w:p>
    <w:p w14:paraId="0E92E9B4" w14:textId="77777777" w:rsidR="00AD314B" w:rsidRPr="00190920" w:rsidRDefault="00AD314B" w:rsidP="00AD314B">
      <w:pPr>
        <w:pStyle w:val="ANormal"/>
        <w:rPr>
          <w:lang w:val="sv-FI"/>
        </w:rPr>
      </w:pPr>
      <w:r w:rsidRPr="00190920">
        <w:rPr>
          <w:shd w:val="clear" w:color="auto" w:fill="FFFFFF"/>
        </w:rPr>
        <w:tab/>
        <w:t xml:space="preserve">Vid </w:t>
      </w:r>
      <w:r w:rsidRPr="00190920">
        <w:t>myndigheten</w:t>
      </w:r>
      <w:r w:rsidRPr="00190920">
        <w:rPr>
          <w:shd w:val="clear" w:color="auto" w:fill="FFFFFF"/>
        </w:rPr>
        <w:t xml:space="preserve"> kan det finnas personal i </w:t>
      </w:r>
      <w:r>
        <w:rPr>
          <w:shd w:val="clear" w:color="auto" w:fill="FFFFFF"/>
        </w:rPr>
        <w:t>tjänsteförhållande och arbetsavtalsförhållande</w:t>
      </w:r>
      <w:r w:rsidRPr="00190920">
        <w:rPr>
          <w:shd w:val="clear" w:color="auto" w:fill="FFFFFF"/>
        </w:rPr>
        <w:t>.</w:t>
      </w:r>
    </w:p>
    <w:p w14:paraId="351C63DA" w14:textId="77777777" w:rsidR="00AD314B" w:rsidRPr="00190920" w:rsidRDefault="00AD314B" w:rsidP="00AD314B">
      <w:pPr>
        <w:pStyle w:val="ANormal"/>
        <w:rPr>
          <w:lang w:val="sv-FI"/>
        </w:rPr>
      </w:pPr>
    </w:p>
    <w:p w14:paraId="1D2F6449" w14:textId="77777777" w:rsidR="00AD314B" w:rsidRPr="00190920" w:rsidRDefault="00AD314B" w:rsidP="00AD314B">
      <w:pPr>
        <w:pStyle w:val="LagParagraf"/>
        <w:rPr>
          <w:shd w:val="clear" w:color="auto" w:fill="FFFFFF"/>
        </w:rPr>
      </w:pPr>
      <w:r w:rsidRPr="00190920">
        <w:rPr>
          <w:shd w:val="clear" w:color="auto" w:fill="FFFFFF"/>
        </w:rPr>
        <w:t>9</w:t>
      </w:r>
      <w:r>
        <w:rPr>
          <w:shd w:val="clear" w:color="auto" w:fill="FFFFFF"/>
        </w:rPr>
        <w:t> §</w:t>
      </w:r>
    </w:p>
    <w:p w14:paraId="3E26FFF0" w14:textId="77777777" w:rsidR="00AD314B" w:rsidRPr="00190920" w:rsidRDefault="00AD314B" w:rsidP="00AD314B">
      <w:pPr>
        <w:pStyle w:val="LagPararubrik"/>
      </w:pPr>
      <w:r w:rsidRPr="00190920">
        <w:t>Tjänster vid ombudsmannamyndigheten</w:t>
      </w:r>
    </w:p>
    <w:p w14:paraId="79357599" w14:textId="77777777" w:rsidR="00AD314B" w:rsidRPr="001A57B0" w:rsidRDefault="00AD314B" w:rsidP="00AD314B">
      <w:pPr>
        <w:pStyle w:val="ANormal"/>
      </w:pPr>
      <w:r>
        <w:tab/>
      </w:r>
      <w:r w:rsidRPr="001A57B0">
        <w:t>För skötseln av de uppgifter som avses i 2</w:t>
      </w:r>
      <w:r>
        <w:t> kap.</w:t>
      </w:r>
      <w:r w:rsidRPr="001A57B0">
        <w:t xml:space="preserve"> inrättar landskapsregeringen tjänster vid ombudsmannamyndigheten. Vilka tjänster som ska finnas vid ombudsmannamyndigheten då denna lag träder i kraft bestäms närmare av landskapsregeringen i enlighet med vad som följer av bestämmelserna i 6</w:t>
      </w:r>
      <w:r>
        <w:t> kap.</w:t>
      </w:r>
      <w:r w:rsidRPr="001A57B0">
        <w:t xml:space="preserve"> Tjänster</w:t>
      </w:r>
      <w:r>
        <w:t>na</w:t>
      </w:r>
      <w:r w:rsidRPr="001A57B0">
        <w:t xml:space="preserve"> kan </w:t>
      </w:r>
      <w:r>
        <w:t>tillsättas</w:t>
      </w:r>
      <w:r w:rsidRPr="001A57B0">
        <w:t xml:space="preserve"> för viss tid.</w:t>
      </w:r>
    </w:p>
    <w:p w14:paraId="12ED5F81" w14:textId="77777777" w:rsidR="00AD314B" w:rsidRDefault="00AD314B" w:rsidP="00AD314B">
      <w:pPr>
        <w:pStyle w:val="ANormal"/>
        <w:rPr>
          <w:shd w:val="clear" w:color="auto" w:fill="FFFFFF"/>
        </w:rPr>
      </w:pPr>
      <w:r w:rsidRPr="00190920">
        <w:rPr>
          <w:shd w:val="clear" w:color="auto" w:fill="FFFFFF"/>
        </w:rPr>
        <w:tab/>
        <w:t>Andra tjänster än de tjänster som anges i 1</w:t>
      </w:r>
      <w:r>
        <w:rPr>
          <w:shd w:val="clear" w:color="auto" w:fill="FFFFFF"/>
        </w:rPr>
        <w:t> mom.</w:t>
      </w:r>
      <w:r w:rsidRPr="00190920">
        <w:rPr>
          <w:shd w:val="clear" w:color="auto" w:fill="FFFFFF"/>
        </w:rPr>
        <w:t xml:space="preserve"> inrättas och indras av ombudsmannamyndigheten efter att landskapsregeringens utlåtande inhämtats. För de tjänster som ombudsmannamyndigheten har för avsikt att inrätta eller indra ska behovsutredningar som sammanställts enligt landskapslagen </w:t>
      </w:r>
      <w:r w:rsidRPr="00AD314B">
        <w:rPr>
          <w:shd w:val="clear" w:color="auto" w:fill="FFFFFF"/>
        </w:rPr>
        <w:t>(</w:t>
      </w:r>
      <w:proofErr w:type="spellStart"/>
      <w:proofErr w:type="gramStart"/>
      <w:r w:rsidRPr="00AD314B">
        <w:rPr>
          <w:shd w:val="clear" w:color="auto" w:fill="FFFFFF"/>
        </w:rPr>
        <w:t>xx:xx</w:t>
      </w:r>
      <w:proofErr w:type="spellEnd"/>
      <w:proofErr w:type="gramEnd"/>
      <w:r w:rsidRPr="00AD314B">
        <w:rPr>
          <w:shd w:val="clear" w:color="auto" w:fill="FFFFFF"/>
        </w:rPr>
        <w:t>)</w:t>
      </w:r>
      <w:r w:rsidRPr="008E5E60">
        <w:rPr>
          <w:shd w:val="clear" w:color="auto" w:fill="FFFFFF"/>
        </w:rPr>
        <w:t xml:space="preserve"> </w:t>
      </w:r>
      <w:r w:rsidRPr="00190920">
        <w:rPr>
          <w:shd w:val="clear" w:color="auto" w:fill="FFFFFF"/>
        </w:rPr>
        <w:t>om landskapets tjänsteinnehavare överlämnas till landskapsregeringen i samband med ombudsmannamyndighetens budgetförslag. Landskapsregeringen ska avge utlåtande efter att förslaget till budget överlämnats till lagtinget och senast en månad efter att lagtinget fastställt budgeten. Om ombudsmannamyndigheten har för avsikt att fatta beslut om inrättande eller indragning inom gällande budget kan behovsutredningen överlämnas vid en annan tidpunkt och landskapsregeringen ska avge utlåtande inom tre månader.</w:t>
      </w:r>
    </w:p>
    <w:p w14:paraId="37758126" w14:textId="77777777" w:rsidR="00AD314B" w:rsidRPr="00283BB1" w:rsidRDefault="00AD314B" w:rsidP="00AD314B">
      <w:pPr>
        <w:pStyle w:val="ANormal"/>
      </w:pPr>
      <w:r>
        <w:tab/>
        <w:t>Landskapsregeringen kan utfärda anvisningar för behandlingen av frågor som gäller</w:t>
      </w:r>
      <w:r w:rsidRPr="00FF1EB4">
        <w:t xml:space="preserve"> </w:t>
      </w:r>
      <w:r>
        <w:t>uppsägning eller hävning av tjänsteförhållanden eller varning åt tjänsteinnehavare samt</w:t>
      </w:r>
      <w:r w:rsidRPr="00635E46">
        <w:t xml:space="preserve"> </w:t>
      </w:r>
      <w:r>
        <w:t>ombildning av tjänsteförhållanden till arbetsavtalsförhållanden.</w:t>
      </w:r>
    </w:p>
    <w:p w14:paraId="31E86BDE" w14:textId="77777777" w:rsidR="00AD314B" w:rsidRPr="00190920" w:rsidRDefault="00AD314B" w:rsidP="00AD314B">
      <w:pPr>
        <w:pStyle w:val="ANormal"/>
        <w:rPr>
          <w:lang w:val="sv-FI"/>
        </w:rPr>
      </w:pPr>
      <w:r>
        <w:t xml:space="preserve"> </w:t>
      </w:r>
    </w:p>
    <w:p w14:paraId="3C7EEE0E" w14:textId="77777777" w:rsidR="00AD314B" w:rsidRPr="00190920" w:rsidRDefault="00AD314B" w:rsidP="00AD314B">
      <w:pPr>
        <w:pStyle w:val="LagParagraf"/>
        <w:rPr>
          <w:lang w:val="sv-FI"/>
        </w:rPr>
      </w:pPr>
      <w:r w:rsidRPr="00190920">
        <w:rPr>
          <w:lang w:val="sv-FI"/>
        </w:rPr>
        <w:t>10</w:t>
      </w:r>
      <w:r>
        <w:rPr>
          <w:lang w:val="sv-FI"/>
        </w:rPr>
        <w:t> §</w:t>
      </w:r>
    </w:p>
    <w:p w14:paraId="6C7F50B9" w14:textId="77777777" w:rsidR="00AD314B" w:rsidRPr="00190920" w:rsidRDefault="00AD314B" w:rsidP="00AD314B">
      <w:pPr>
        <w:pStyle w:val="LagPararubrik"/>
        <w:rPr>
          <w:lang w:val="sv-FI"/>
        </w:rPr>
      </w:pPr>
      <w:r w:rsidRPr="00190920">
        <w:rPr>
          <w:lang w:val="sv-FI"/>
        </w:rPr>
        <w:t>Behörighetskrav</w:t>
      </w:r>
    </w:p>
    <w:p w14:paraId="6B48A78A" w14:textId="77777777" w:rsidR="00AD314B" w:rsidRDefault="00AD314B" w:rsidP="00AD314B">
      <w:pPr>
        <w:pStyle w:val="ANormal"/>
      </w:pPr>
      <w:r>
        <w:t>- - - - - - - - - - - - - - - - - - - - - - - - - - - - - - - - - - - - - - - - - - - - - - - - - - - -</w:t>
      </w:r>
    </w:p>
    <w:p w14:paraId="5D504D58" w14:textId="77777777" w:rsidR="00AD314B" w:rsidRPr="00190920" w:rsidRDefault="00AD314B" w:rsidP="00AD314B">
      <w:pPr>
        <w:pStyle w:val="ANormal"/>
        <w:rPr>
          <w:lang w:val="sv-FI"/>
        </w:rPr>
      </w:pPr>
      <w:r w:rsidRPr="00190920">
        <w:rPr>
          <w:lang w:val="sv-FI"/>
        </w:rPr>
        <w:tab/>
        <w:t>Behörighetskraven för de tjänster som avses i 9</w:t>
      </w:r>
      <w:r>
        <w:rPr>
          <w:lang w:val="sv-FI"/>
        </w:rPr>
        <w:t> §</w:t>
      </w:r>
      <w:r w:rsidRPr="00190920">
        <w:rPr>
          <w:lang w:val="sv-FI"/>
        </w:rPr>
        <w:t xml:space="preserve"> 2</w:t>
      </w:r>
      <w:r>
        <w:rPr>
          <w:lang w:val="sv-FI"/>
        </w:rPr>
        <w:t> mom.</w:t>
      </w:r>
      <w:r w:rsidRPr="00190920">
        <w:rPr>
          <w:lang w:val="sv-FI"/>
        </w:rPr>
        <w:t xml:space="preserve"> fastställs i samband med att dessa tjänster inrättas.</w:t>
      </w:r>
    </w:p>
    <w:p w14:paraId="6CB41EAE" w14:textId="77777777" w:rsidR="00AD314B" w:rsidRPr="00190920" w:rsidRDefault="00AD314B" w:rsidP="00AD314B">
      <w:pPr>
        <w:pStyle w:val="ANormal"/>
        <w:rPr>
          <w:lang w:val="sv-FI"/>
        </w:rPr>
      </w:pPr>
    </w:p>
    <w:p w14:paraId="5509E0C3" w14:textId="77777777" w:rsidR="00AD314B" w:rsidRPr="00190920" w:rsidRDefault="00AD314B" w:rsidP="00AD314B">
      <w:pPr>
        <w:pStyle w:val="LagParagraf"/>
        <w:rPr>
          <w:lang w:val="sv-FI"/>
        </w:rPr>
      </w:pPr>
      <w:r w:rsidRPr="00190920">
        <w:rPr>
          <w:lang w:val="sv-FI"/>
        </w:rPr>
        <w:t>14</w:t>
      </w:r>
      <w:r>
        <w:rPr>
          <w:lang w:val="sv-FI"/>
        </w:rPr>
        <w:t> §</w:t>
      </w:r>
    </w:p>
    <w:p w14:paraId="770073E0" w14:textId="77777777" w:rsidR="00AD314B" w:rsidRPr="00190920" w:rsidRDefault="00AD314B" w:rsidP="00AD314B">
      <w:pPr>
        <w:pStyle w:val="LagPararubrik"/>
        <w:rPr>
          <w:lang w:val="sv-FI"/>
        </w:rPr>
      </w:pPr>
      <w:r>
        <w:rPr>
          <w:lang w:val="sv-FI"/>
        </w:rPr>
        <w:t>M</w:t>
      </w:r>
      <w:r w:rsidRPr="00190920">
        <w:rPr>
          <w:lang w:val="sv-FI"/>
        </w:rPr>
        <w:t>yndighetschef</w:t>
      </w:r>
    </w:p>
    <w:p w14:paraId="676A4CD0" w14:textId="77777777" w:rsidR="00AD314B" w:rsidRPr="00190920" w:rsidRDefault="00AD314B" w:rsidP="00AD314B">
      <w:pPr>
        <w:pStyle w:val="ANormal"/>
        <w:rPr>
          <w:lang w:val="sv-FI"/>
        </w:rPr>
      </w:pPr>
      <w:r w:rsidRPr="00190920">
        <w:rPr>
          <w:lang w:val="sv-FI"/>
        </w:rPr>
        <w:tab/>
        <w:t xml:space="preserve">Landskapsregeringen förordnar en tjänsteinnehavare vid ombudsmannamyndigheten för att vid sidan av sina övriga uppgifter sköta </w:t>
      </w:r>
      <w:r w:rsidRPr="00190920">
        <w:rPr>
          <w:lang w:val="sv-FI"/>
        </w:rPr>
        <w:lastRenderedPageBreak/>
        <w:t>myndighetschefens uppgifter enligt denna lag.</w:t>
      </w:r>
      <w:r w:rsidRPr="00C70DF5">
        <w:rPr>
          <w:lang w:val="sv-FI"/>
        </w:rPr>
        <w:t xml:space="preserve"> </w:t>
      </w:r>
      <w:r w:rsidRPr="00190920">
        <w:rPr>
          <w:lang w:val="sv-FI"/>
        </w:rPr>
        <w:t>Landskapsregeringen fattar beslut om frågor som gäller myndighetschefen.</w:t>
      </w:r>
    </w:p>
    <w:p w14:paraId="7411ABE3" w14:textId="77777777" w:rsidR="00AD314B" w:rsidRDefault="00AD314B" w:rsidP="00AD314B">
      <w:pPr>
        <w:pStyle w:val="ANormal"/>
        <w:rPr>
          <w:lang w:val="sv-FI"/>
        </w:rPr>
      </w:pPr>
      <w:r w:rsidRPr="00190920">
        <w:rPr>
          <w:lang w:val="sv-FI"/>
        </w:rPr>
        <w:tab/>
        <w:t>Det förordnande som avses i 1</w:t>
      </w:r>
      <w:r>
        <w:rPr>
          <w:lang w:val="sv-FI"/>
        </w:rPr>
        <w:t> mom.</w:t>
      </w:r>
      <w:r w:rsidRPr="00190920">
        <w:rPr>
          <w:lang w:val="sv-FI"/>
        </w:rPr>
        <w:t xml:space="preserve"> ska avse en viss tid, dock högst fem år. Senast ett halvår innan förordnandet upphör ska landskapsregeringen ta ställning till vilken tjänsteinnehavare vid ombudsmannamyndigheten som ska förordnas att sköta de uppgifter som ankommer på myndighetschefen.</w:t>
      </w:r>
    </w:p>
    <w:p w14:paraId="64FC2BFB" w14:textId="77777777" w:rsidR="00AD314B" w:rsidRPr="00190920" w:rsidRDefault="00AD314B" w:rsidP="00AD314B">
      <w:pPr>
        <w:pStyle w:val="ANormal"/>
        <w:rPr>
          <w:lang w:val="sv-FI"/>
        </w:rPr>
      </w:pPr>
    </w:p>
    <w:p w14:paraId="39303A97" w14:textId="77777777" w:rsidR="00AD314B" w:rsidRPr="00190920" w:rsidRDefault="00AD314B" w:rsidP="00AD314B">
      <w:pPr>
        <w:pStyle w:val="LagParagraf"/>
        <w:rPr>
          <w:lang w:val="sv-FI"/>
        </w:rPr>
      </w:pPr>
      <w:r w:rsidRPr="00190920">
        <w:rPr>
          <w:lang w:val="sv-FI"/>
        </w:rPr>
        <w:t>15</w:t>
      </w:r>
      <w:r>
        <w:rPr>
          <w:lang w:val="sv-FI"/>
        </w:rPr>
        <w:t> §</w:t>
      </w:r>
    </w:p>
    <w:p w14:paraId="0A4476BE" w14:textId="77777777" w:rsidR="00AD314B" w:rsidRPr="00190920" w:rsidRDefault="00AD314B" w:rsidP="00AD314B">
      <w:pPr>
        <w:pStyle w:val="LagPararubrik"/>
        <w:rPr>
          <w:lang w:val="sv-FI"/>
        </w:rPr>
      </w:pPr>
      <w:r w:rsidRPr="00190920">
        <w:rPr>
          <w:lang w:val="sv-FI"/>
        </w:rPr>
        <w:t>Myndighetschefens uppgifter</w:t>
      </w:r>
    </w:p>
    <w:p w14:paraId="7F8C203A" w14:textId="77777777" w:rsidR="00AD314B" w:rsidRPr="00190920" w:rsidRDefault="00AD314B" w:rsidP="00AD314B">
      <w:pPr>
        <w:pStyle w:val="ANormal"/>
        <w:rPr>
          <w:lang w:val="sv-FI"/>
        </w:rPr>
      </w:pPr>
      <w:r w:rsidRPr="00190920">
        <w:rPr>
          <w:lang w:val="sv-FI"/>
        </w:rPr>
        <w:tab/>
        <w:t>Myndighetschefen fattar beslut i de ärenden som rör administration och personal, om inte en annan tjänsteinnehavare enligt lag eller arbetsordningen getts en sådan beslutanderätt.</w:t>
      </w:r>
    </w:p>
    <w:p w14:paraId="3DBD3CAB" w14:textId="77777777" w:rsidR="00AD314B" w:rsidRDefault="00AD314B" w:rsidP="00AD314B">
      <w:pPr>
        <w:pStyle w:val="ANormal"/>
      </w:pPr>
      <w:r>
        <w:t>- - - - - - - - - - - - - - - - - - - - - - - - - - - - - - - - - - - - - - - - - - - - - - - - - - - -</w:t>
      </w:r>
    </w:p>
    <w:p w14:paraId="2C165A35" w14:textId="6487A1FC" w:rsidR="00AD314B" w:rsidRDefault="00AD314B" w:rsidP="00BD4DE2">
      <w:pPr>
        <w:pStyle w:val="ANormal"/>
        <w:rPr>
          <w:lang w:val="sv-FI"/>
        </w:rPr>
      </w:pPr>
      <w:r w:rsidRPr="00190920">
        <w:rPr>
          <w:lang w:val="sv-FI"/>
        </w:rPr>
        <w:tab/>
        <w:t>När myndighetschefen är förhindrad att sköta sina lagstadgade uppgifter kan en annan tjänsteinnehavare vid myndigheten, i enlighet med vad som bestämts i arbetsordningen, sköta uppgifterna.</w:t>
      </w:r>
    </w:p>
    <w:p w14:paraId="708F785F" w14:textId="77777777" w:rsidR="00AD314B" w:rsidRDefault="00AD314B" w:rsidP="00AD314B">
      <w:pPr>
        <w:pStyle w:val="LagParagraf"/>
        <w:rPr>
          <w:lang w:val="sv-FI"/>
        </w:rPr>
      </w:pPr>
    </w:p>
    <w:p w14:paraId="4B09BB8A" w14:textId="77777777" w:rsidR="00AD314B" w:rsidRPr="00190920" w:rsidRDefault="00AD314B" w:rsidP="00AD314B">
      <w:pPr>
        <w:pStyle w:val="LagParagraf"/>
        <w:rPr>
          <w:lang w:val="sv-FI"/>
        </w:rPr>
      </w:pPr>
      <w:r w:rsidRPr="00190920">
        <w:rPr>
          <w:lang w:val="sv-FI"/>
        </w:rPr>
        <w:t>20</w:t>
      </w:r>
      <w:r>
        <w:rPr>
          <w:lang w:val="sv-FI"/>
        </w:rPr>
        <w:t> §</w:t>
      </w:r>
    </w:p>
    <w:p w14:paraId="4F6C6DAE" w14:textId="77777777" w:rsidR="00AD314B" w:rsidRPr="00190920" w:rsidRDefault="00AD314B" w:rsidP="00AD314B">
      <w:pPr>
        <w:pStyle w:val="LagPararubrik"/>
        <w:rPr>
          <w:lang w:val="sv-FI"/>
        </w:rPr>
      </w:pPr>
      <w:r w:rsidRPr="00190920">
        <w:rPr>
          <w:lang w:val="sv-FI"/>
        </w:rPr>
        <w:t>Skyldighet att lämna uppgifter till ombudsmannamyndigheten</w:t>
      </w:r>
    </w:p>
    <w:p w14:paraId="0DB8902B" w14:textId="77777777" w:rsidR="00AD314B" w:rsidRPr="00190920" w:rsidRDefault="00AD314B" w:rsidP="00AD314B">
      <w:pPr>
        <w:pStyle w:val="ANormal"/>
        <w:rPr>
          <w:lang w:val="sv-FI"/>
        </w:rPr>
      </w:pPr>
      <w:r w:rsidRPr="00190920">
        <w:rPr>
          <w:lang w:val="sv-FI"/>
        </w:rPr>
        <w:tab/>
        <w:t>Landskapets tjänsteinnehavare och kommunernas tjänstemän är skyldiga att på uppmaning av en företrädare för ombudsmannamyndigheten lämna de uppgifter som kan vara av betydelse för den verksamhet myndigheten bedriver i enlighet med denna lag och annan lagstiftning.</w:t>
      </w:r>
    </w:p>
    <w:p w14:paraId="7C7F80EF" w14:textId="77777777" w:rsidR="00AD314B" w:rsidRDefault="00AD314B" w:rsidP="00AD314B">
      <w:pPr>
        <w:pStyle w:val="ANormal"/>
      </w:pPr>
      <w:r>
        <w:t>- - - - - - - - - - - - - - - - - - - - - - - - - - - - - - - - - - - - - - - - - - - - - - - - - - - -</w:t>
      </w:r>
    </w:p>
    <w:p w14:paraId="42823D52" w14:textId="77777777" w:rsidR="00AD314B" w:rsidRPr="00190920" w:rsidRDefault="00AD314B" w:rsidP="00AD314B">
      <w:pPr>
        <w:pStyle w:val="ANormal"/>
        <w:rPr>
          <w:lang w:val="sv-FI"/>
        </w:rPr>
      </w:pPr>
    </w:p>
    <w:bookmarkStart w:id="3" w:name="_Hlk117771764"/>
    <w:bookmarkStart w:id="4" w:name="_Hlk117771938"/>
    <w:p w14:paraId="19774D3B" w14:textId="77777777" w:rsidR="00AD314B" w:rsidRDefault="00AD314B" w:rsidP="00AD314B">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10DA8D21" w14:textId="77777777" w:rsidR="00AD314B" w:rsidRPr="00190920" w:rsidRDefault="00AD314B" w:rsidP="00AD314B">
      <w:pPr>
        <w:pStyle w:val="ANormal"/>
        <w:rPr>
          <w:lang w:val="sv-FI"/>
        </w:rPr>
      </w:pPr>
    </w:p>
    <w:p w14:paraId="2B64E369" w14:textId="77777777" w:rsidR="00AD314B" w:rsidRPr="00190920" w:rsidRDefault="00AD314B" w:rsidP="00AD314B">
      <w:pPr>
        <w:pStyle w:val="ANormal"/>
        <w:rPr>
          <w:lang w:val="sv-FI"/>
        </w:rPr>
      </w:pPr>
      <w:r w:rsidRPr="00190920">
        <w:rPr>
          <w:lang w:val="sv-FI"/>
        </w:rPr>
        <w:tab/>
        <w:t>Denna lag träder i kraft den</w:t>
      </w:r>
    </w:p>
    <w:p w14:paraId="5875045E" w14:textId="77777777" w:rsidR="00AD314B" w:rsidRDefault="00AD314B" w:rsidP="00AD314B">
      <w:pPr>
        <w:pStyle w:val="ANormal"/>
        <w:jc w:val="center"/>
      </w:pPr>
      <w:hyperlink w:anchor="_top" w:tooltip="Klicka för att gå till toppen av dokumentet" w:history="1">
        <w:r>
          <w:rPr>
            <w:rStyle w:val="Hyperlnk"/>
          </w:rPr>
          <w:t>__________________</w:t>
        </w:r>
      </w:hyperlink>
    </w:p>
    <w:bookmarkEnd w:id="3"/>
    <w:bookmarkEnd w:id="4"/>
    <w:p w14:paraId="28063AB0" w14:textId="1C356018" w:rsidR="00337A19" w:rsidRDefault="00337A19" w:rsidP="00AD314B">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1AE373F3" w:rsidR="00337A19" w:rsidRDefault="00337A19">
            <w:pPr>
              <w:pStyle w:val="ANormal"/>
              <w:keepNext/>
            </w:pPr>
            <w:r>
              <w:tab/>
              <w:t xml:space="preserve">Mariehamn den </w:t>
            </w:r>
            <w:r w:rsidR="00390CFE">
              <w:t>2</w:t>
            </w:r>
            <w:r w:rsidR="00AA7D40">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1EA9" w14:textId="77777777" w:rsidR="00563809" w:rsidRDefault="00563809">
      <w:r>
        <w:separator/>
      </w:r>
    </w:p>
  </w:endnote>
  <w:endnote w:type="continuationSeparator" w:id="0">
    <w:p w14:paraId="27E3F9E4" w14:textId="77777777" w:rsidR="00563809" w:rsidRDefault="005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17DC9369" w:rsidR="00867707" w:rsidRDefault="00867707">
    <w:pPr>
      <w:pStyle w:val="Sidfot"/>
      <w:rPr>
        <w:lang w:val="fi-FI"/>
      </w:rPr>
    </w:pPr>
    <w:r>
      <w:fldChar w:fldCharType="begin"/>
    </w:r>
    <w:r>
      <w:rPr>
        <w:lang w:val="fi-FI"/>
      </w:rPr>
      <w:instrText xml:space="preserve"> FILENAME  \* MERGEFORMAT </w:instrText>
    </w:r>
    <w:r>
      <w:fldChar w:fldCharType="separate"/>
    </w:r>
    <w:r w:rsidR="00A84D82">
      <w:rPr>
        <w:noProof/>
        <w:lang w:val="fi-FI"/>
      </w:rPr>
      <w:t>LTB272026.docx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6399" w14:textId="77777777" w:rsidR="00563809" w:rsidRDefault="00563809">
      <w:r>
        <w:separator/>
      </w:r>
    </w:p>
  </w:footnote>
  <w:footnote w:type="continuationSeparator" w:id="0">
    <w:p w14:paraId="55D7F9A9" w14:textId="77777777" w:rsidR="00563809" w:rsidRDefault="0056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24FE0"/>
    <w:rsid w:val="001732E7"/>
    <w:rsid w:val="0021332F"/>
    <w:rsid w:val="00244F51"/>
    <w:rsid w:val="00284C7A"/>
    <w:rsid w:val="002D3D4F"/>
    <w:rsid w:val="002E1682"/>
    <w:rsid w:val="00337A19"/>
    <w:rsid w:val="0038180C"/>
    <w:rsid w:val="003867BD"/>
    <w:rsid w:val="00390CFE"/>
    <w:rsid w:val="003B2C07"/>
    <w:rsid w:val="004D7ED5"/>
    <w:rsid w:val="004E7D01"/>
    <w:rsid w:val="004F64FE"/>
    <w:rsid w:val="00563809"/>
    <w:rsid w:val="00580833"/>
    <w:rsid w:val="005A5095"/>
    <w:rsid w:val="005A7363"/>
    <w:rsid w:val="005C5E44"/>
    <w:rsid w:val="005D5AD4"/>
    <w:rsid w:val="005E1BD9"/>
    <w:rsid w:val="005F4508"/>
    <w:rsid w:val="005F6898"/>
    <w:rsid w:val="00605DA1"/>
    <w:rsid w:val="006538ED"/>
    <w:rsid w:val="007632F6"/>
    <w:rsid w:val="007D34F2"/>
    <w:rsid w:val="0080530D"/>
    <w:rsid w:val="008414E5"/>
    <w:rsid w:val="00867707"/>
    <w:rsid w:val="008B5FA2"/>
    <w:rsid w:val="008B640D"/>
    <w:rsid w:val="009C306E"/>
    <w:rsid w:val="009E1423"/>
    <w:rsid w:val="009F1162"/>
    <w:rsid w:val="00A10529"/>
    <w:rsid w:val="00A14D92"/>
    <w:rsid w:val="00A73AE2"/>
    <w:rsid w:val="00A84D82"/>
    <w:rsid w:val="00AA7D40"/>
    <w:rsid w:val="00AB15A5"/>
    <w:rsid w:val="00AD314B"/>
    <w:rsid w:val="00B5110A"/>
    <w:rsid w:val="00B63004"/>
    <w:rsid w:val="00BA3751"/>
    <w:rsid w:val="00BD48EF"/>
    <w:rsid w:val="00BD4DE2"/>
    <w:rsid w:val="00BE2983"/>
    <w:rsid w:val="00BE3496"/>
    <w:rsid w:val="00BE62DA"/>
    <w:rsid w:val="00C81EA3"/>
    <w:rsid w:val="00D30773"/>
    <w:rsid w:val="00D636DC"/>
    <w:rsid w:val="00DB20FD"/>
    <w:rsid w:val="00DC7AE6"/>
    <w:rsid w:val="00DD3988"/>
    <w:rsid w:val="00E57A41"/>
    <w:rsid w:val="00E6237B"/>
    <w:rsid w:val="00E7579E"/>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640</Words>
  <Characters>3392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51/2026</dc:title>
  <dc:creator>Jessica Laaksonen</dc:creator>
  <cp:lastModifiedBy>Jessica Laaksonen</cp:lastModifiedBy>
  <cp:revision>2</cp:revision>
  <cp:lastPrinted>2026-01-27T11:33:00Z</cp:lastPrinted>
  <dcterms:created xsi:type="dcterms:W3CDTF">2026-05-21T15:56:00Z</dcterms:created>
  <dcterms:modified xsi:type="dcterms:W3CDTF">2026-05-21T15:56:00Z</dcterms:modified>
</cp:coreProperties>
</file>