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43507C08" w14:textId="77777777">
        <w:trPr>
          <w:cantSplit/>
          <w:trHeight w:val="20"/>
        </w:trPr>
        <w:tc>
          <w:tcPr>
            <w:tcW w:w="861" w:type="dxa"/>
            <w:vMerge w:val="restart"/>
          </w:tcPr>
          <w:p w14:paraId="4654CAF0" w14:textId="4DEB12C8" w:rsidR="00AF3004" w:rsidRDefault="00D70139">
            <w:pPr>
              <w:pStyle w:val="xLedtext"/>
              <w:keepNext/>
              <w:rPr>
                <w:noProof/>
              </w:rPr>
            </w:pPr>
            <w:r>
              <w:rPr>
                <w:noProof/>
                <w:sz w:val="20"/>
              </w:rPr>
              <w:drawing>
                <wp:anchor distT="0" distB="0" distL="114300" distR="114300" simplePos="0" relativeHeight="251657728" behindDoc="0" locked="0" layoutInCell="1" allowOverlap="1" wp14:anchorId="17E66021" wp14:editId="4E3C6B2E">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3DFA3859" w14:textId="4D9B67B0" w:rsidR="00AF3004" w:rsidRDefault="00D70139">
            <w:pPr>
              <w:pStyle w:val="xMellanrum"/>
            </w:pPr>
            <w:r>
              <w:rPr>
                <w:noProof/>
              </w:rPr>
              <w:drawing>
                <wp:inline distT="0" distB="0" distL="0" distR="0" wp14:anchorId="7C028BFB" wp14:editId="332FD8C2">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0594FBD9" w14:textId="77777777">
        <w:trPr>
          <w:cantSplit/>
          <w:trHeight w:val="299"/>
        </w:trPr>
        <w:tc>
          <w:tcPr>
            <w:tcW w:w="861" w:type="dxa"/>
            <w:vMerge/>
          </w:tcPr>
          <w:p w14:paraId="01B3269C" w14:textId="77777777" w:rsidR="00AF3004" w:rsidRDefault="00AF3004">
            <w:pPr>
              <w:pStyle w:val="xLedtext"/>
            </w:pPr>
          </w:p>
        </w:tc>
        <w:tc>
          <w:tcPr>
            <w:tcW w:w="4448" w:type="dxa"/>
            <w:vAlign w:val="bottom"/>
          </w:tcPr>
          <w:p w14:paraId="50DCF122" w14:textId="77777777" w:rsidR="00AF3004" w:rsidRDefault="00AF3004">
            <w:pPr>
              <w:pStyle w:val="xAvsandare1"/>
            </w:pPr>
          </w:p>
        </w:tc>
        <w:tc>
          <w:tcPr>
            <w:tcW w:w="4288" w:type="dxa"/>
            <w:gridSpan w:val="2"/>
            <w:vAlign w:val="bottom"/>
          </w:tcPr>
          <w:p w14:paraId="471B839D" w14:textId="1DA62434" w:rsidR="00AF3004" w:rsidRDefault="00D70139">
            <w:pPr>
              <w:pStyle w:val="xDokTypNr"/>
            </w:pPr>
            <w:r>
              <w:t>LAGFÖRSLAG</w:t>
            </w:r>
            <w:r w:rsidR="00AF3004">
              <w:t xml:space="preserve"> nr </w:t>
            </w:r>
            <w:r w:rsidR="006C2814">
              <w:t>8</w:t>
            </w:r>
            <w:r w:rsidR="00AF3004">
              <w:t>/20</w:t>
            </w:r>
            <w:r w:rsidR="00104D57">
              <w:t>24</w:t>
            </w:r>
            <w:r>
              <w:t>–</w:t>
            </w:r>
            <w:r w:rsidR="00AF3004">
              <w:t>20</w:t>
            </w:r>
            <w:r w:rsidR="00104D57">
              <w:t>25</w:t>
            </w:r>
          </w:p>
        </w:tc>
      </w:tr>
      <w:tr w:rsidR="00AF3004" w14:paraId="45B9C96C" w14:textId="77777777">
        <w:trPr>
          <w:cantSplit/>
          <w:trHeight w:val="238"/>
        </w:trPr>
        <w:tc>
          <w:tcPr>
            <w:tcW w:w="861" w:type="dxa"/>
            <w:vMerge/>
          </w:tcPr>
          <w:p w14:paraId="3F8E7731" w14:textId="77777777" w:rsidR="00AF3004" w:rsidRDefault="00AF3004">
            <w:pPr>
              <w:pStyle w:val="xLedtext"/>
            </w:pPr>
          </w:p>
        </w:tc>
        <w:tc>
          <w:tcPr>
            <w:tcW w:w="4448" w:type="dxa"/>
            <w:vAlign w:val="bottom"/>
          </w:tcPr>
          <w:p w14:paraId="577F77F4" w14:textId="77777777" w:rsidR="00AF3004" w:rsidRDefault="00AF3004">
            <w:pPr>
              <w:pStyle w:val="xLedtext"/>
            </w:pPr>
          </w:p>
        </w:tc>
        <w:tc>
          <w:tcPr>
            <w:tcW w:w="1725" w:type="dxa"/>
            <w:vAlign w:val="bottom"/>
          </w:tcPr>
          <w:p w14:paraId="5029ADB9" w14:textId="77777777" w:rsidR="00AF3004" w:rsidRDefault="00AF3004">
            <w:pPr>
              <w:pStyle w:val="xLedtext"/>
              <w:rPr>
                <w:lang w:val="de-DE"/>
              </w:rPr>
            </w:pPr>
            <w:r>
              <w:rPr>
                <w:lang w:val="de-DE"/>
              </w:rPr>
              <w:t>Datum</w:t>
            </w:r>
          </w:p>
        </w:tc>
        <w:tc>
          <w:tcPr>
            <w:tcW w:w="2563" w:type="dxa"/>
            <w:vAlign w:val="bottom"/>
          </w:tcPr>
          <w:p w14:paraId="69FA6321" w14:textId="77777777" w:rsidR="00AF3004" w:rsidRDefault="00AF3004">
            <w:pPr>
              <w:pStyle w:val="xLedtext"/>
              <w:rPr>
                <w:lang w:val="de-DE"/>
              </w:rPr>
            </w:pPr>
          </w:p>
        </w:tc>
      </w:tr>
      <w:tr w:rsidR="00AF3004" w14:paraId="78A8031C" w14:textId="77777777">
        <w:trPr>
          <w:cantSplit/>
          <w:trHeight w:val="238"/>
        </w:trPr>
        <w:tc>
          <w:tcPr>
            <w:tcW w:w="861" w:type="dxa"/>
            <w:vMerge/>
          </w:tcPr>
          <w:p w14:paraId="03710550" w14:textId="77777777" w:rsidR="00AF3004" w:rsidRDefault="00AF3004">
            <w:pPr>
              <w:pStyle w:val="xAvsandare2"/>
              <w:rPr>
                <w:lang w:val="de-DE"/>
              </w:rPr>
            </w:pPr>
          </w:p>
        </w:tc>
        <w:tc>
          <w:tcPr>
            <w:tcW w:w="4448" w:type="dxa"/>
            <w:vAlign w:val="center"/>
          </w:tcPr>
          <w:p w14:paraId="21E56FB5" w14:textId="77777777" w:rsidR="00AF3004" w:rsidRDefault="00AF3004">
            <w:pPr>
              <w:pStyle w:val="xAvsandare2"/>
              <w:rPr>
                <w:lang w:val="de-DE"/>
              </w:rPr>
            </w:pPr>
          </w:p>
        </w:tc>
        <w:tc>
          <w:tcPr>
            <w:tcW w:w="1725" w:type="dxa"/>
            <w:vAlign w:val="center"/>
          </w:tcPr>
          <w:p w14:paraId="79FB3B95" w14:textId="5214C3EB" w:rsidR="00AF3004" w:rsidRDefault="00AF3004">
            <w:pPr>
              <w:pStyle w:val="xDatum1"/>
              <w:rPr>
                <w:lang w:val="de-DE"/>
              </w:rPr>
            </w:pPr>
            <w:r>
              <w:rPr>
                <w:lang w:val="de-DE"/>
              </w:rPr>
              <w:t>20</w:t>
            </w:r>
            <w:r w:rsidR="006C2814">
              <w:rPr>
                <w:lang w:val="de-DE"/>
              </w:rPr>
              <w:t>24</w:t>
            </w:r>
            <w:r>
              <w:rPr>
                <w:lang w:val="de-DE"/>
              </w:rPr>
              <w:t>-</w:t>
            </w:r>
            <w:r w:rsidR="006C2814">
              <w:rPr>
                <w:lang w:val="de-DE"/>
              </w:rPr>
              <w:t>11</w:t>
            </w:r>
            <w:r>
              <w:rPr>
                <w:lang w:val="de-DE"/>
              </w:rPr>
              <w:t>-</w:t>
            </w:r>
            <w:r w:rsidR="006C2814">
              <w:rPr>
                <w:lang w:val="de-DE"/>
              </w:rPr>
              <w:t>21</w:t>
            </w:r>
          </w:p>
        </w:tc>
        <w:tc>
          <w:tcPr>
            <w:tcW w:w="2563" w:type="dxa"/>
            <w:vAlign w:val="center"/>
          </w:tcPr>
          <w:p w14:paraId="3629B240" w14:textId="77777777" w:rsidR="00AF3004" w:rsidRDefault="00AF3004">
            <w:pPr>
              <w:pStyle w:val="xBeteckning1"/>
              <w:rPr>
                <w:lang w:val="de-DE"/>
              </w:rPr>
            </w:pPr>
          </w:p>
        </w:tc>
      </w:tr>
      <w:tr w:rsidR="00AF3004" w14:paraId="4C4EAB62" w14:textId="77777777">
        <w:trPr>
          <w:cantSplit/>
          <w:trHeight w:val="238"/>
        </w:trPr>
        <w:tc>
          <w:tcPr>
            <w:tcW w:w="861" w:type="dxa"/>
            <w:vMerge/>
          </w:tcPr>
          <w:p w14:paraId="608C3C69" w14:textId="77777777" w:rsidR="00AF3004" w:rsidRDefault="00AF3004">
            <w:pPr>
              <w:pStyle w:val="xLedtext"/>
              <w:rPr>
                <w:lang w:val="de-DE"/>
              </w:rPr>
            </w:pPr>
          </w:p>
        </w:tc>
        <w:tc>
          <w:tcPr>
            <w:tcW w:w="4448" w:type="dxa"/>
            <w:vAlign w:val="bottom"/>
          </w:tcPr>
          <w:p w14:paraId="7EF67011" w14:textId="77777777" w:rsidR="00AF3004" w:rsidRDefault="00AF3004">
            <w:pPr>
              <w:pStyle w:val="xLedtext"/>
              <w:rPr>
                <w:lang w:val="de-DE"/>
              </w:rPr>
            </w:pPr>
          </w:p>
        </w:tc>
        <w:tc>
          <w:tcPr>
            <w:tcW w:w="1725" w:type="dxa"/>
            <w:vAlign w:val="bottom"/>
          </w:tcPr>
          <w:p w14:paraId="4F3639E8" w14:textId="77777777" w:rsidR="00AF3004" w:rsidRDefault="00AF3004">
            <w:pPr>
              <w:pStyle w:val="xLedtext"/>
              <w:rPr>
                <w:lang w:val="de-DE"/>
              </w:rPr>
            </w:pPr>
          </w:p>
        </w:tc>
        <w:tc>
          <w:tcPr>
            <w:tcW w:w="2563" w:type="dxa"/>
            <w:vAlign w:val="bottom"/>
          </w:tcPr>
          <w:p w14:paraId="6E584B53" w14:textId="77777777" w:rsidR="00AF3004" w:rsidRDefault="00AF3004">
            <w:pPr>
              <w:pStyle w:val="xLedtext"/>
              <w:rPr>
                <w:lang w:val="de-DE"/>
              </w:rPr>
            </w:pPr>
          </w:p>
        </w:tc>
      </w:tr>
      <w:tr w:rsidR="00AF3004" w14:paraId="27A4310F" w14:textId="77777777">
        <w:trPr>
          <w:cantSplit/>
          <w:trHeight w:val="238"/>
        </w:trPr>
        <w:tc>
          <w:tcPr>
            <w:tcW w:w="861" w:type="dxa"/>
            <w:vMerge/>
            <w:tcBorders>
              <w:bottom w:val="single" w:sz="4" w:space="0" w:color="auto"/>
            </w:tcBorders>
          </w:tcPr>
          <w:p w14:paraId="0111AEBD" w14:textId="77777777" w:rsidR="00AF3004" w:rsidRDefault="00AF3004">
            <w:pPr>
              <w:pStyle w:val="xAvsandare3"/>
              <w:rPr>
                <w:lang w:val="de-DE"/>
              </w:rPr>
            </w:pPr>
          </w:p>
        </w:tc>
        <w:tc>
          <w:tcPr>
            <w:tcW w:w="4448" w:type="dxa"/>
            <w:tcBorders>
              <w:bottom w:val="single" w:sz="4" w:space="0" w:color="auto"/>
            </w:tcBorders>
            <w:vAlign w:val="center"/>
          </w:tcPr>
          <w:p w14:paraId="1E693DDD" w14:textId="77777777" w:rsidR="00AF3004" w:rsidRDefault="00AF3004">
            <w:pPr>
              <w:pStyle w:val="xAvsandare3"/>
              <w:rPr>
                <w:lang w:val="de-DE"/>
              </w:rPr>
            </w:pPr>
          </w:p>
        </w:tc>
        <w:tc>
          <w:tcPr>
            <w:tcW w:w="1725" w:type="dxa"/>
            <w:tcBorders>
              <w:bottom w:val="single" w:sz="4" w:space="0" w:color="auto"/>
            </w:tcBorders>
            <w:vAlign w:val="center"/>
          </w:tcPr>
          <w:p w14:paraId="4676F96A" w14:textId="77777777" w:rsidR="00AF3004" w:rsidRDefault="00AF3004">
            <w:pPr>
              <w:pStyle w:val="xDatum2"/>
              <w:rPr>
                <w:lang w:val="de-DE"/>
              </w:rPr>
            </w:pPr>
          </w:p>
        </w:tc>
        <w:tc>
          <w:tcPr>
            <w:tcW w:w="2563" w:type="dxa"/>
            <w:tcBorders>
              <w:bottom w:val="single" w:sz="4" w:space="0" w:color="auto"/>
            </w:tcBorders>
            <w:vAlign w:val="center"/>
          </w:tcPr>
          <w:p w14:paraId="5D4B2A57" w14:textId="77777777" w:rsidR="00AF3004" w:rsidRDefault="00AF3004">
            <w:pPr>
              <w:pStyle w:val="xBeteckning2"/>
              <w:rPr>
                <w:lang w:val="de-DE"/>
              </w:rPr>
            </w:pPr>
          </w:p>
        </w:tc>
      </w:tr>
      <w:tr w:rsidR="00AF3004" w14:paraId="230A24F7" w14:textId="77777777">
        <w:trPr>
          <w:cantSplit/>
          <w:trHeight w:val="238"/>
        </w:trPr>
        <w:tc>
          <w:tcPr>
            <w:tcW w:w="861" w:type="dxa"/>
            <w:tcBorders>
              <w:top w:val="single" w:sz="4" w:space="0" w:color="auto"/>
            </w:tcBorders>
            <w:vAlign w:val="bottom"/>
          </w:tcPr>
          <w:p w14:paraId="60FAE40A" w14:textId="77777777" w:rsidR="00AF3004" w:rsidRDefault="00AF3004">
            <w:pPr>
              <w:pStyle w:val="xLedtext"/>
              <w:rPr>
                <w:lang w:val="de-DE"/>
              </w:rPr>
            </w:pPr>
          </w:p>
        </w:tc>
        <w:tc>
          <w:tcPr>
            <w:tcW w:w="4448" w:type="dxa"/>
            <w:tcBorders>
              <w:top w:val="single" w:sz="4" w:space="0" w:color="auto"/>
            </w:tcBorders>
            <w:vAlign w:val="bottom"/>
          </w:tcPr>
          <w:p w14:paraId="140B3A70" w14:textId="77777777" w:rsidR="00AF3004" w:rsidRDefault="00AF3004">
            <w:pPr>
              <w:pStyle w:val="xLedtext"/>
              <w:rPr>
                <w:lang w:val="de-DE"/>
              </w:rPr>
            </w:pPr>
          </w:p>
        </w:tc>
        <w:tc>
          <w:tcPr>
            <w:tcW w:w="4288" w:type="dxa"/>
            <w:gridSpan w:val="2"/>
            <w:tcBorders>
              <w:top w:val="single" w:sz="4" w:space="0" w:color="auto"/>
            </w:tcBorders>
            <w:vAlign w:val="bottom"/>
          </w:tcPr>
          <w:p w14:paraId="0DCD9642" w14:textId="77777777" w:rsidR="00AF3004" w:rsidRDefault="00AF3004">
            <w:pPr>
              <w:pStyle w:val="xLedtext"/>
              <w:rPr>
                <w:lang w:val="de-DE"/>
              </w:rPr>
            </w:pPr>
          </w:p>
        </w:tc>
      </w:tr>
      <w:tr w:rsidR="00AF3004" w14:paraId="6EBFA3C8" w14:textId="77777777">
        <w:trPr>
          <w:cantSplit/>
          <w:trHeight w:val="238"/>
        </w:trPr>
        <w:tc>
          <w:tcPr>
            <w:tcW w:w="861" w:type="dxa"/>
          </w:tcPr>
          <w:p w14:paraId="5738DA0A" w14:textId="77777777" w:rsidR="00AF3004" w:rsidRDefault="00AF3004">
            <w:pPr>
              <w:pStyle w:val="xCelltext"/>
              <w:rPr>
                <w:lang w:val="de-DE"/>
              </w:rPr>
            </w:pPr>
          </w:p>
        </w:tc>
        <w:tc>
          <w:tcPr>
            <w:tcW w:w="4448" w:type="dxa"/>
            <w:vMerge w:val="restart"/>
          </w:tcPr>
          <w:p w14:paraId="3B11A852" w14:textId="77777777" w:rsidR="00AF3004" w:rsidRDefault="00AF3004">
            <w:pPr>
              <w:pStyle w:val="xMottagare1"/>
            </w:pPr>
            <w:bookmarkStart w:id="0" w:name="_top"/>
            <w:bookmarkEnd w:id="0"/>
            <w:r>
              <w:t>Till Ålands lagting</w:t>
            </w:r>
          </w:p>
        </w:tc>
        <w:tc>
          <w:tcPr>
            <w:tcW w:w="4288" w:type="dxa"/>
            <w:gridSpan w:val="2"/>
            <w:vMerge w:val="restart"/>
          </w:tcPr>
          <w:p w14:paraId="2F7320D7" w14:textId="4CF90F43" w:rsidR="00F51968" w:rsidRPr="00F51968" w:rsidRDefault="00F51968" w:rsidP="00104D57">
            <w:pPr>
              <w:pStyle w:val="xMottagare2"/>
            </w:pPr>
          </w:p>
        </w:tc>
      </w:tr>
      <w:tr w:rsidR="00AF3004" w14:paraId="1C345C6C" w14:textId="77777777">
        <w:trPr>
          <w:cantSplit/>
          <w:trHeight w:val="238"/>
        </w:trPr>
        <w:tc>
          <w:tcPr>
            <w:tcW w:w="861" w:type="dxa"/>
          </w:tcPr>
          <w:p w14:paraId="48FB1B07" w14:textId="77777777" w:rsidR="00AF3004" w:rsidRDefault="00AF3004">
            <w:pPr>
              <w:pStyle w:val="xCelltext"/>
            </w:pPr>
          </w:p>
        </w:tc>
        <w:tc>
          <w:tcPr>
            <w:tcW w:w="4448" w:type="dxa"/>
            <w:vMerge/>
            <w:vAlign w:val="center"/>
          </w:tcPr>
          <w:p w14:paraId="6448C09F" w14:textId="77777777" w:rsidR="00AF3004" w:rsidRDefault="00AF3004">
            <w:pPr>
              <w:pStyle w:val="xCelltext"/>
            </w:pPr>
          </w:p>
        </w:tc>
        <w:tc>
          <w:tcPr>
            <w:tcW w:w="4288" w:type="dxa"/>
            <w:gridSpan w:val="2"/>
            <w:vMerge/>
            <w:vAlign w:val="center"/>
          </w:tcPr>
          <w:p w14:paraId="56126EE0" w14:textId="77777777" w:rsidR="00AF3004" w:rsidRDefault="00AF3004">
            <w:pPr>
              <w:pStyle w:val="xCelltext"/>
            </w:pPr>
          </w:p>
        </w:tc>
      </w:tr>
      <w:tr w:rsidR="00AF3004" w14:paraId="7C5EF5FB" w14:textId="77777777">
        <w:trPr>
          <w:cantSplit/>
          <w:trHeight w:val="238"/>
        </w:trPr>
        <w:tc>
          <w:tcPr>
            <w:tcW w:w="861" w:type="dxa"/>
          </w:tcPr>
          <w:p w14:paraId="1FCA54EE" w14:textId="77777777" w:rsidR="00AF3004" w:rsidRDefault="00AF3004">
            <w:pPr>
              <w:pStyle w:val="xCelltext"/>
            </w:pPr>
          </w:p>
        </w:tc>
        <w:tc>
          <w:tcPr>
            <w:tcW w:w="4448" w:type="dxa"/>
            <w:vMerge/>
            <w:vAlign w:val="center"/>
          </w:tcPr>
          <w:p w14:paraId="3029030E" w14:textId="77777777" w:rsidR="00AF3004" w:rsidRDefault="00AF3004">
            <w:pPr>
              <w:pStyle w:val="xCelltext"/>
            </w:pPr>
          </w:p>
        </w:tc>
        <w:tc>
          <w:tcPr>
            <w:tcW w:w="4288" w:type="dxa"/>
            <w:gridSpan w:val="2"/>
            <w:vMerge/>
            <w:vAlign w:val="center"/>
          </w:tcPr>
          <w:p w14:paraId="30670CB3" w14:textId="77777777" w:rsidR="00AF3004" w:rsidRDefault="00AF3004">
            <w:pPr>
              <w:pStyle w:val="xCelltext"/>
            </w:pPr>
          </w:p>
        </w:tc>
      </w:tr>
      <w:tr w:rsidR="00AF3004" w14:paraId="1774B0BD" w14:textId="77777777">
        <w:trPr>
          <w:cantSplit/>
          <w:trHeight w:val="238"/>
        </w:trPr>
        <w:tc>
          <w:tcPr>
            <w:tcW w:w="861" w:type="dxa"/>
          </w:tcPr>
          <w:p w14:paraId="620F9EE9" w14:textId="77777777" w:rsidR="00AF3004" w:rsidRDefault="00AF3004">
            <w:pPr>
              <w:pStyle w:val="xCelltext"/>
            </w:pPr>
          </w:p>
        </w:tc>
        <w:tc>
          <w:tcPr>
            <w:tcW w:w="4448" w:type="dxa"/>
            <w:vMerge/>
            <w:vAlign w:val="center"/>
          </w:tcPr>
          <w:p w14:paraId="0C502CE2" w14:textId="77777777" w:rsidR="00AF3004" w:rsidRDefault="00AF3004">
            <w:pPr>
              <w:pStyle w:val="xCelltext"/>
            </w:pPr>
          </w:p>
        </w:tc>
        <w:tc>
          <w:tcPr>
            <w:tcW w:w="4288" w:type="dxa"/>
            <w:gridSpan w:val="2"/>
            <w:vMerge/>
            <w:vAlign w:val="center"/>
          </w:tcPr>
          <w:p w14:paraId="7AD6A494" w14:textId="77777777" w:rsidR="00AF3004" w:rsidRDefault="00AF3004">
            <w:pPr>
              <w:pStyle w:val="xCelltext"/>
            </w:pPr>
          </w:p>
        </w:tc>
      </w:tr>
      <w:tr w:rsidR="00AF3004" w14:paraId="4A7C4393" w14:textId="77777777">
        <w:trPr>
          <w:cantSplit/>
          <w:trHeight w:val="238"/>
        </w:trPr>
        <w:tc>
          <w:tcPr>
            <w:tcW w:w="861" w:type="dxa"/>
          </w:tcPr>
          <w:p w14:paraId="72ACF695" w14:textId="77777777" w:rsidR="00AF3004" w:rsidRDefault="00AF3004">
            <w:pPr>
              <w:pStyle w:val="xCelltext"/>
            </w:pPr>
          </w:p>
        </w:tc>
        <w:tc>
          <w:tcPr>
            <w:tcW w:w="4448" w:type="dxa"/>
            <w:vMerge/>
            <w:vAlign w:val="center"/>
          </w:tcPr>
          <w:p w14:paraId="707CAD9C" w14:textId="77777777" w:rsidR="00AF3004" w:rsidRDefault="00AF3004">
            <w:pPr>
              <w:pStyle w:val="xCelltext"/>
            </w:pPr>
          </w:p>
        </w:tc>
        <w:tc>
          <w:tcPr>
            <w:tcW w:w="4288" w:type="dxa"/>
            <w:gridSpan w:val="2"/>
            <w:vMerge/>
            <w:vAlign w:val="center"/>
          </w:tcPr>
          <w:p w14:paraId="7A1D20B2" w14:textId="77777777" w:rsidR="00AF3004" w:rsidRDefault="00AF3004">
            <w:pPr>
              <w:pStyle w:val="xCelltext"/>
            </w:pPr>
          </w:p>
        </w:tc>
      </w:tr>
    </w:tbl>
    <w:p w14:paraId="1C39426F" w14:textId="77777777"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14:paraId="5BB6629B" w14:textId="2176D10D" w:rsidR="00AF3004" w:rsidRDefault="00805A84">
      <w:pPr>
        <w:pStyle w:val="ArendeRubrik"/>
      </w:pPr>
      <w:r>
        <w:t>Ändring</w:t>
      </w:r>
      <w:r w:rsidR="00D62BE4">
        <w:t xml:space="preserve"> av kommunalskattesatsen för samfund</w:t>
      </w:r>
    </w:p>
    <w:p w14:paraId="7EF1BCAE" w14:textId="77777777" w:rsidR="00AF3004" w:rsidRDefault="00AF3004">
      <w:pPr>
        <w:pStyle w:val="ANormal"/>
      </w:pPr>
    </w:p>
    <w:p w14:paraId="1AE06064" w14:textId="77777777" w:rsidR="00AF3004" w:rsidRDefault="00AF3004">
      <w:pPr>
        <w:pStyle w:val="ANormal"/>
      </w:pPr>
    </w:p>
    <w:p w14:paraId="2CDE9580" w14:textId="77777777" w:rsidR="00AF3004" w:rsidRDefault="00AF3004">
      <w:pPr>
        <w:pStyle w:val="RubrikA"/>
      </w:pPr>
      <w:bookmarkStart w:id="1" w:name="_Toc182991904"/>
      <w:r>
        <w:t>Huvudsakligt innehåll</w:t>
      </w:r>
      <w:bookmarkEnd w:id="1"/>
    </w:p>
    <w:p w14:paraId="721A19AD" w14:textId="77777777" w:rsidR="00AF3004" w:rsidRDefault="00AF3004">
      <w:pPr>
        <w:pStyle w:val="Rubrikmellanrum"/>
      </w:pPr>
    </w:p>
    <w:p w14:paraId="6E57FB4E" w14:textId="766DB1FF" w:rsidR="00AF3004" w:rsidRDefault="008C78E7">
      <w:pPr>
        <w:pStyle w:val="ANormal"/>
      </w:pPr>
      <w:r>
        <w:t xml:space="preserve">Landskapsregeringen föreslår att kommunalskattesatserna för samfund och samfällda förmåner justeras så att </w:t>
      </w:r>
      <w:r w:rsidR="00FC18D6">
        <w:t>de totala skattesatserna förblir på nuvarande nivå, det vill säga 20 respektive 26,5</w:t>
      </w:r>
      <w:r w:rsidR="005D4503">
        <w:t xml:space="preserve"> </w:t>
      </w:r>
      <w:r w:rsidR="00FC18D6">
        <w:t>procent.</w:t>
      </w:r>
      <w:r w:rsidR="006848DB">
        <w:t xml:space="preserve"> Förslaget föranleds av att fördelningen av samfundsskatten mellan staten och kommunerna förändras. De föreslagna ändringarna gäller såväl de temporära skattesatserna under skatteåren 2025–2029 som de permanenta skattesatserna som tillämpas från och med skatteåret 2030.</w:t>
      </w:r>
    </w:p>
    <w:p w14:paraId="4050CA1C" w14:textId="621AF6FD" w:rsidR="00AF3004" w:rsidRDefault="006848DB">
      <w:pPr>
        <w:pStyle w:val="ANormal"/>
      </w:pPr>
      <w:r>
        <w:tab/>
        <w:t>Med hänvisning till att de föreslagna skattesatserna ska tillämpas från och med skatteåret 2025 bör lagstiftningen träda i kraft så snart som möjligt.</w:t>
      </w:r>
    </w:p>
    <w:p w14:paraId="42791981" w14:textId="77777777" w:rsidR="006848DB" w:rsidRDefault="006848DB">
      <w:pPr>
        <w:pStyle w:val="ANormal"/>
      </w:pPr>
    </w:p>
    <w:p w14:paraId="766667DD" w14:textId="77777777" w:rsidR="00AF3004" w:rsidRDefault="00AF3004">
      <w:pPr>
        <w:pStyle w:val="ANormal"/>
        <w:jc w:val="center"/>
      </w:pPr>
      <w:hyperlink w:anchor="_top" w:tooltip="Klicka för att gå till toppen av dokumentet" w:history="1">
        <w:r>
          <w:rPr>
            <w:rStyle w:val="Hyperlnk"/>
          </w:rPr>
          <w:t>__________________</w:t>
        </w:r>
      </w:hyperlink>
    </w:p>
    <w:p w14:paraId="51AB855E" w14:textId="77777777" w:rsidR="00AF3004" w:rsidRDefault="00AF3004">
      <w:pPr>
        <w:pStyle w:val="ANormal"/>
      </w:pPr>
    </w:p>
    <w:p w14:paraId="3C283932" w14:textId="77777777" w:rsidR="00AF3004" w:rsidRDefault="00AF3004">
      <w:pPr>
        <w:pStyle w:val="ANormal"/>
      </w:pPr>
      <w:r>
        <w:br w:type="page"/>
      </w:r>
    </w:p>
    <w:p w14:paraId="6E270908" w14:textId="77777777" w:rsidR="00AF3004" w:rsidRDefault="00AF3004">
      <w:pPr>
        <w:pStyle w:val="Innehll1"/>
      </w:pPr>
      <w:r>
        <w:lastRenderedPageBreak/>
        <w:t>INNEHÅLL</w:t>
      </w:r>
    </w:p>
    <w:p w14:paraId="1901C15E" w14:textId="51E916CF" w:rsidR="00244024"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82991904" w:history="1">
        <w:r w:rsidR="00244024" w:rsidRPr="003638CB">
          <w:rPr>
            <w:rStyle w:val="Hyperlnk"/>
          </w:rPr>
          <w:t>Huvudsakligt innehåll</w:t>
        </w:r>
        <w:r w:rsidR="00244024">
          <w:rPr>
            <w:webHidden/>
          </w:rPr>
          <w:tab/>
        </w:r>
        <w:r w:rsidR="00244024">
          <w:rPr>
            <w:webHidden/>
          </w:rPr>
          <w:fldChar w:fldCharType="begin"/>
        </w:r>
        <w:r w:rsidR="00244024">
          <w:rPr>
            <w:webHidden/>
          </w:rPr>
          <w:instrText xml:space="preserve"> PAGEREF _Toc182991904 \h </w:instrText>
        </w:r>
        <w:r w:rsidR="00244024">
          <w:rPr>
            <w:webHidden/>
          </w:rPr>
        </w:r>
        <w:r w:rsidR="00244024">
          <w:rPr>
            <w:webHidden/>
          </w:rPr>
          <w:fldChar w:fldCharType="separate"/>
        </w:r>
        <w:r w:rsidR="00244024">
          <w:rPr>
            <w:webHidden/>
          </w:rPr>
          <w:t>1</w:t>
        </w:r>
        <w:r w:rsidR="00244024">
          <w:rPr>
            <w:webHidden/>
          </w:rPr>
          <w:fldChar w:fldCharType="end"/>
        </w:r>
      </w:hyperlink>
    </w:p>
    <w:p w14:paraId="7363F60E" w14:textId="34DACAF3" w:rsidR="00244024" w:rsidRDefault="00244024">
      <w:pPr>
        <w:pStyle w:val="Innehll1"/>
        <w:rPr>
          <w:rFonts w:asciiTheme="minorHAnsi" w:eastAsiaTheme="minorEastAsia" w:hAnsiTheme="minorHAnsi" w:cstheme="minorBidi"/>
          <w:kern w:val="2"/>
          <w:sz w:val="24"/>
          <w:szCs w:val="24"/>
          <w:lang w:val="sv-FI" w:eastAsia="sv-FI"/>
          <w14:ligatures w14:val="standardContextual"/>
        </w:rPr>
      </w:pPr>
      <w:hyperlink w:anchor="_Toc182991905" w:history="1">
        <w:r w:rsidRPr="003638CB">
          <w:rPr>
            <w:rStyle w:val="Hyperlnk"/>
          </w:rPr>
          <w:t>Motivering</w:t>
        </w:r>
        <w:r>
          <w:rPr>
            <w:webHidden/>
          </w:rPr>
          <w:tab/>
        </w:r>
        <w:r>
          <w:rPr>
            <w:webHidden/>
          </w:rPr>
          <w:fldChar w:fldCharType="begin"/>
        </w:r>
        <w:r>
          <w:rPr>
            <w:webHidden/>
          </w:rPr>
          <w:instrText xml:space="preserve"> PAGEREF _Toc182991905 \h </w:instrText>
        </w:r>
        <w:r>
          <w:rPr>
            <w:webHidden/>
          </w:rPr>
        </w:r>
        <w:r>
          <w:rPr>
            <w:webHidden/>
          </w:rPr>
          <w:fldChar w:fldCharType="separate"/>
        </w:r>
        <w:r>
          <w:rPr>
            <w:webHidden/>
          </w:rPr>
          <w:t>3</w:t>
        </w:r>
        <w:r>
          <w:rPr>
            <w:webHidden/>
          </w:rPr>
          <w:fldChar w:fldCharType="end"/>
        </w:r>
      </w:hyperlink>
    </w:p>
    <w:p w14:paraId="5CE37F27" w14:textId="30E02656" w:rsidR="00244024" w:rsidRDefault="00244024">
      <w:pPr>
        <w:pStyle w:val="Innehll2"/>
        <w:rPr>
          <w:rFonts w:asciiTheme="minorHAnsi" w:eastAsiaTheme="minorEastAsia" w:hAnsiTheme="minorHAnsi" w:cstheme="minorBidi"/>
          <w:kern w:val="2"/>
          <w:sz w:val="24"/>
          <w:szCs w:val="24"/>
          <w:lang w:val="sv-FI" w:eastAsia="sv-FI"/>
          <w14:ligatures w14:val="standardContextual"/>
        </w:rPr>
      </w:pPr>
      <w:hyperlink w:anchor="_Toc182991906" w:history="1">
        <w:r w:rsidRPr="003638CB">
          <w:rPr>
            <w:rStyle w:val="Hyperlnk"/>
          </w:rPr>
          <w:t>1. Bakgrund</w:t>
        </w:r>
        <w:r>
          <w:rPr>
            <w:webHidden/>
          </w:rPr>
          <w:tab/>
        </w:r>
        <w:r>
          <w:rPr>
            <w:webHidden/>
          </w:rPr>
          <w:fldChar w:fldCharType="begin"/>
        </w:r>
        <w:r>
          <w:rPr>
            <w:webHidden/>
          </w:rPr>
          <w:instrText xml:space="preserve"> PAGEREF _Toc182991906 \h </w:instrText>
        </w:r>
        <w:r>
          <w:rPr>
            <w:webHidden/>
          </w:rPr>
        </w:r>
        <w:r>
          <w:rPr>
            <w:webHidden/>
          </w:rPr>
          <w:fldChar w:fldCharType="separate"/>
        </w:r>
        <w:r>
          <w:rPr>
            <w:webHidden/>
          </w:rPr>
          <w:t>3</w:t>
        </w:r>
        <w:r>
          <w:rPr>
            <w:webHidden/>
          </w:rPr>
          <w:fldChar w:fldCharType="end"/>
        </w:r>
      </w:hyperlink>
    </w:p>
    <w:p w14:paraId="1E91F5FA" w14:textId="481261ED" w:rsidR="00244024" w:rsidRDefault="00244024">
      <w:pPr>
        <w:pStyle w:val="Innehll3"/>
        <w:rPr>
          <w:rFonts w:asciiTheme="minorHAnsi" w:eastAsiaTheme="minorEastAsia" w:hAnsiTheme="minorHAnsi" w:cstheme="minorBidi"/>
          <w:kern w:val="2"/>
          <w:sz w:val="24"/>
          <w:szCs w:val="24"/>
          <w:lang w:val="sv-FI" w:eastAsia="sv-FI"/>
          <w14:ligatures w14:val="standardContextual"/>
        </w:rPr>
      </w:pPr>
      <w:hyperlink w:anchor="_Toc182991907" w:history="1">
        <w:r w:rsidRPr="003638CB">
          <w:rPr>
            <w:rStyle w:val="Hyperlnk"/>
          </w:rPr>
          <w:t>1.1 Gällande lagstiftning</w:t>
        </w:r>
        <w:r>
          <w:rPr>
            <w:webHidden/>
          </w:rPr>
          <w:tab/>
        </w:r>
        <w:r>
          <w:rPr>
            <w:webHidden/>
          </w:rPr>
          <w:fldChar w:fldCharType="begin"/>
        </w:r>
        <w:r>
          <w:rPr>
            <w:webHidden/>
          </w:rPr>
          <w:instrText xml:space="preserve"> PAGEREF _Toc182991907 \h </w:instrText>
        </w:r>
        <w:r>
          <w:rPr>
            <w:webHidden/>
          </w:rPr>
        </w:r>
        <w:r>
          <w:rPr>
            <w:webHidden/>
          </w:rPr>
          <w:fldChar w:fldCharType="separate"/>
        </w:r>
        <w:r>
          <w:rPr>
            <w:webHidden/>
          </w:rPr>
          <w:t>3</w:t>
        </w:r>
        <w:r>
          <w:rPr>
            <w:webHidden/>
          </w:rPr>
          <w:fldChar w:fldCharType="end"/>
        </w:r>
      </w:hyperlink>
    </w:p>
    <w:p w14:paraId="6096467E" w14:textId="008552FB" w:rsidR="00244024" w:rsidRDefault="00244024">
      <w:pPr>
        <w:pStyle w:val="Innehll3"/>
        <w:rPr>
          <w:rFonts w:asciiTheme="minorHAnsi" w:eastAsiaTheme="minorEastAsia" w:hAnsiTheme="minorHAnsi" w:cstheme="minorBidi"/>
          <w:kern w:val="2"/>
          <w:sz w:val="24"/>
          <w:szCs w:val="24"/>
          <w:lang w:val="sv-FI" w:eastAsia="sv-FI"/>
          <w14:ligatures w14:val="standardContextual"/>
        </w:rPr>
      </w:pPr>
      <w:hyperlink w:anchor="_Toc182991908" w:history="1">
        <w:r w:rsidRPr="003638CB">
          <w:rPr>
            <w:rStyle w:val="Hyperlnk"/>
          </w:rPr>
          <w:t>1.2 Åtgärder som vidtagits i riket för skatteåret 2025</w:t>
        </w:r>
        <w:r>
          <w:rPr>
            <w:webHidden/>
          </w:rPr>
          <w:tab/>
        </w:r>
        <w:r>
          <w:rPr>
            <w:webHidden/>
          </w:rPr>
          <w:fldChar w:fldCharType="begin"/>
        </w:r>
        <w:r>
          <w:rPr>
            <w:webHidden/>
          </w:rPr>
          <w:instrText xml:space="preserve"> PAGEREF _Toc182991908 \h </w:instrText>
        </w:r>
        <w:r>
          <w:rPr>
            <w:webHidden/>
          </w:rPr>
        </w:r>
        <w:r>
          <w:rPr>
            <w:webHidden/>
          </w:rPr>
          <w:fldChar w:fldCharType="separate"/>
        </w:r>
        <w:r>
          <w:rPr>
            <w:webHidden/>
          </w:rPr>
          <w:t>3</w:t>
        </w:r>
        <w:r>
          <w:rPr>
            <w:webHidden/>
          </w:rPr>
          <w:fldChar w:fldCharType="end"/>
        </w:r>
      </w:hyperlink>
    </w:p>
    <w:p w14:paraId="001B4557" w14:textId="4F274D4A" w:rsidR="00244024" w:rsidRDefault="00244024">
      <w:pPr>
        <w:pStyle w:val="Innehll2"/>
        <w:rPr>
          <w:rFonts w:asciiTheme="minorHAnsi" w:eastAsiaTheme="minorEastAsia" w:hAnsiTheme="minorHAnsi" w:cstheme="minorBidi"/>
          <w:kern w:val="2"/>
          <w:sz w:val="24"/>
          <w:szCs w:val="24"/>
          <w:lang w:val="sv-FI" w:eastAsia="sv-FI"/>
          <w14:ligatures w14:val="standardContextual"/>
        </w:rPr>
      </w:pPr>
      <w:hyperlink w:anchor="_Toc182991909" w:history="1">
        <w:r w:rsidRPr="003638CB">
          <w:rPr>
            <w:rStyle w:val="Hyperlnk"/>
          </w:rPr>
          <w:t>2. Behov av ändring och landskapsregeringens förslag</w:t>
        </w:r>
        <w:r>
          <w:rPr>
            <w:webHidden/>
          </w:rPr>
          <w:tab/>
        </w:r>
        <w:r>
          <w:rPr>
            <w:webHidden/>
          </w:rPr>
          <w:fldChar w:fldCharType="begin"/>
        </w:r>
        <w:r>
          <w:rPr>
            <w:webHidden/>
          </w:rPr>
          <w:instrText xml:space="preserve"> PAGEREF _Toc182991909 \h </w:instrText>
        </w:r>
        <w:r>
          <w:rPr>
            <w:webHidden/>
          </w:rPr>
        </w:r>
        <w:r>
          <w:rPr>
            <w:webHidden/>
          </w:rPr>
          <w:fldChar w:fldCharType="separate"/>
        </w:r>
        <w:r>
          <w:rPr>
            <w:webHidden/>
          </w:rPr>
          <w:t>4</w:t>
        </w:r>
        <w:r>
          <w:rPr>
            <w:webHidden/>
          </w:rPr>
          <w:fldChar w:fldCharType="end"/>
        </w:r>
      </w:hyperlink>
    </w:p>
    <w:p w14:paraId="313FCDDC" w14:textId="399DF7D4" w:rsidR="00244024" w:rsidRDefault="00244024">
      <w:pPr>
        <w:pStyle w:val="Innehll2"/>
        <w:rPr>
          <w:rFonts w:asciiTheme="minorHAnsi" w:eastAsiaTheme="minorEastAsia" w:hAnsiTheme="minorHAnsi" w:cstheme="minorBidi"/>
          <w:kern w:val="2"/>
          <w:sz w:val="24"/>
          <w:szCs w:val="24"/>
          <w:lang w:val="sv-FI" w:eastAsia="sv-FI"/>
          <w14:ligatures w14:val="standardContextual"/>
        </w:rPr>
      </w:pPr>
      <w:hyperlink w:anchor="_Toc182991910" w:history="1">
        <w:r w:rsidRPr="003638CB">
          <w:rPr>
            <w:rStyle w:val="Hyperlnk"/>
          </w:rPr>
          <w:t>3. Förslagets konsekvenser</w:t>
        </w:r>
        <w:r>
          <w:rPr>
            <w:webHidden/>
          </w:rPr>
          <w:tab/>
        </w:r>
        <w:r>
          <w:rPr>
            <w:webHidden/>
          </w:rPr>
          <w:fldChar w:fldCharType="begin"/>
        </w:r>
        <w:r>
          <w:rPr>
            <w:webHidden/>
          </w:rPr>
          <w:instrText xml:space="preserve"> PAGEREF _Toc182991910 \h </w:instrText>
        </w:r>
        <w:r>
          <w:rPr>
            <w:webHidden/>
          </w:rPr>
        </w:r>
        <w:r>
          <w:rPr>
            <w:webHidden/>
          </w:rPr>
          <w:fldChar w:fldCharType="separate"/>
        </w:r>
        <w:r>
          <w:rPr>
            <w:webHidden/>
          </w:rPr>
          <w:t>5</w:t>
        </w:r>
        <w:r>
          <w:rPr>
            <w:webHidden/>
          </w:rPr>
          <w:fldChar w:fldCharType="end"/>
        </w:r>
      </w:hyperlink>
    </w:p>
    <w:p w14:paraId="77C92DB0" w14:textId="2D10F64A" w:rsidR="00244024" w:rsidRDefault="00244024">
      <w:pPr>
        <w:pStyle w:val="Innehll2"/>
        <w:rPr>
          <w:rFonts w:asciiTheme="minorHAnsi" w:eastAsiaTheme="minorEastAsia" w:hAnsiTheme="minorHAnsi" w:cstheme="minorBidi"/>
          <w:kern w:val="2"/>
          <w:sz w:val="24"/>
          <w:szCs w:val="24"/>
          <w:lang w:val="sv-FI" w:eastAsia="sv-FI"/>
          <w14:ligatures w14:val="standardContextual"/>
        </w:rPr>
      </w:pPr>
      <w:hyperlink w:anchor="_Toc182991911" w:history="1">
        <w:r w:rsidRPr="003638CB">
          <w:rPr>
            <w:rStyle w:val="Hyperlnk"/>
          </w:rPr>
          <w:t>4. Beredning och ikraftträdande</w:t>
        </w:r>
        <w:r>
          <w:rPr>
            <w:webHidden/>
          </w:rPr>
          <w:tab/>
        </w:r>
        <w:r>
          <w:rPr>
            <w:webHidden/>
          </w:rPr>
          <w:fldChar w:fldCharType="begin"/>
        </w:r>
        <w:r>
          <w:rPr>
            <w:webHidden/>
          </w:rPr>
          <w:instrText xml:space="preserve"> PAGEREF _Toc182991911 \h </w:instrText>
        </w:r>
        <w:r>
          <w:rPr>
            <w:webHidden/>
          </w:rPr>
        </w:r>
        <w:r>
          <w:rPr>
            <w:webHidden/>
          </w:rPr>
          <w:fldChar w:fldCharType="separate"/>
        </w:r>
        <w:r>
          <w:rPr>
            <w:webHidden/>
          </w:rPr>
          <w:t>5</w:t>
        </w:r>
        <w:r>
          <w:rPr>
            <w:webHidden/>
          </w:rPr>
          <w:fldChar w:fldCharType="end"/>
        </w:r>
      </w:hyperlink>
    </w:p>
    <w:p w14:paraId="7BEAAD13" w14:textId="69352EED" w:rsidR="00244024" w:rsidRDefault="00244024">
      <w:pPr>
        <w:pStyle w:val="Innehll1"/>
        <w:rPr>
          <w:rFonts w:asciiTheme="minorHAnsi" w:eastAsiaTheme="minorEastAsia" w:hAnsiTheme="minorHAnsi" w:cstheme="minorBidi"/>
          <w:kern w:val="2"/>
          <w:sz w:val="24"/>
          <w:szCs w:val="24"/>
          <w:lang w:val="sv-FI" w:eastAsia="sv-FI"/>
          <w14:ligatures w14:val="standardContextual"/>
        </w:rPr>
      </w:pPr>
      <w:hyperlink w:anchor="_Toc182991912" w:history="1">
        <w:r w:rsidRPr="003638CB">
          <w:rPr>
            <w:rStyle w:val="Hyperlnk"/>
          </w:rPr>
          <w:t>Lagtext</w:t>
        </w:r>
        <w:r>
          <w:rPr>
            <w:webHidden/>
          </w:rPr>
          <w:tab/>
        </w:r>
        <w:r>
          <w:rPr>
            <w:webHidden/>
          </w:rPr>
          <w:fldChar w:fldCharType="begin"/>
        </w:r>
        <w:r>
          <w:rPr>
            <w:webHidden/>
          </w:rPr>
          <w:instrText xml:space="preserve"> PAGEREF _Toc182991912 \h </w:instrText>
        </w:r>
        <w:r>
          <w:rPr>
            <w:webHidden/>
          </w:rPr>
        </w:r>
        <w:r>
          <w:rPr>
            <w:webHidden/>
          </w:rPr>
          <w:fldChar w:fldCharType="separate"/>
        </w:r>
        <w:r>
          <w:rPr>
            <w:webHidden/>
          </w:rPr>
          <w:t>6</w:t>
        </w:r>
        <w:r>
          <w:rPr>
            <w:webHidden/>
          </w:rPr>
          <w:fldChar w:fldCharType="end"/>
        </w:r>
      </w:hyperlink>
    </w:p>
    <w:p w14:paraId="74FEA0B8" w14:textId="2D77B5AC" w:rsidR="00244024" w:rsidRDefault="00244024">
      <w:pPr>
        <w:pStyle w:val="Innehll2"/>
        <w:rPr>
          <w:rFonts w:asciiTheme="minorHAnsi" w:eastAsiaTheme="minorEastAsia" w:hAnsiTheme="minorHAnsi" w:cstheme="minorBidi"/>
          <w:kern w:val="2"/>
          <w:sz w:val="24"/>
          <w:szCs w:val="24"/>
          <w:lang w:val="sv-FI" w:eastAsia="sv-FI"/>
          <w14:ligatures w14:val="standardContextual"/>
        </w:rPr>
      </w:pPr>
      <w:hyperlink w:anchor="_Toc182991913" w:history="1">
        <w:r w:rsidRPr="003638CB">
          <w:rPr>
            <w:rStyle w:val="Hyperlnk"/>
            <w:lang w:val="en-GB"/>
          </w:rPr>
          <w:t xml:space="preserve">L A N D S K A P S L A G </w:t>
        </w:r>
        <w:r w:rsidRPr="003638CB">
          <w:rPr>
            <w:rStyle w:val="Hyperlnk"/>
          </w:rPr>
          <w:t>om ändring av 29 och 29f §§ kommunalskattelagen för landskapet Åland</w:t>
        </w:r>
        <w:r>
          <w:rPr>
            <w:webHidden/>
          </w:rPr>
          <w:tab/>
        </w:r>
        <w:r>
          <w:rPr>
            <w:webHidden/>
          </w:rPr>
          <w:fldChar w:fldCharType="begin"/>
        </w:r>
        <w:r>
          <w:rPr>
            <w:webHidden/>
          </w:rPr>
          <w:instrText xml:space="preserve"> PAGEREF _Toc182991913 \h </w:instrText>
        </w:r>
        <w:r>
          <w:rPr>
            <w:webHidden/>
          </w:rPr>
        </w:r>
        <w:r>
          <w:rPr>
            <w:webHidden/>
          </w:rPr>
          <w:fldChar w:fldCharType="separate"/>
        </w:r>
        <w:r>
          <w:rPr>
            <w:webHidden/>
          </w:rPr>
          <w:t>6</w:t>
        </w:r>
        <w:r>
          <w:rPr>
            <w:webHidden/>
          </w:rPr>
          <w:fldChar w:fldCharType="end"/>
        </w:r>
      </w:hyperlink>
    </w:p>
    <w:p w14:paraId="6768A58F" w14:textId="049A97B5" w:rsidR="00244024" w:rsidRDefault="00244024">
      <w:pPr>
        <w:pStyle w:val="Innehll1"/>
        <w:rPr>
          <w:rFonts w:asciiTheme="minorHAnsi" w:eastAsiaTheme="minorEastAsia" w:hAnsiTheme="minorHAnsi" w:cstheme="minorBidi"/>
          <w:kern w:val="2"/>
          <w:sz w:val="24"/>
          <w:szCs w:val="24"/>
          <w:lang w:val="sv-FI" w:eastAsia="sv-FI"/>
          <w14:ligatures w14:val="standardContextual"/>
        </w:rPr>
      </w:pPr>
      <w:hyperlink w:anchor="_Toc182991914" w:history="1">
        <w:r w:rsidRPr="003638CB">
          <w:rPr>
            <w:rStyle w:val="Hyperlnk"/>
          </w:rPr>
          <w:t>Parallelltexter</w:t>
        </w:r>
        <w:r>
          <w:rPr>
            <w:webHidden/>
          </w:rPr>
          <w:tab/>
        </w:r>
        <w:r>
          <w:rPr>
            <w:webHidden/>
          </w:rPr>
          <w:fldChar w:fldCharType="begin"/>
        </w:r>
        <w:r>
          <w:rPr>
            <w:webHidden/>
          </w:rPr>
          <w:instrText xml:space="preserve"> PAGEREF _Toc182991914 \h </w:instrText>
        </w:r>
        <w:r>
          <w:rPr>
            <w:webHidden/>
          </w:rPr>
        </w:r>
        <w:r>
          <w:rPr>
            <w:webHidden/>
          </w:rPr>
          <w:fldChar w:fldCharType="separate"/>
        </w:r>
        <w:r>
          <w:rPr>
            <w:webHidden/>
          </w:rPr>
          <w:t>8</w:t>
        </w:r>
        <w:r>
          <w:rPr>
            <w:webHidden/>
          </w:rPr>
          <w:fldChar w:fldCharType="end"/>
        </w:r>
      </w:hyperlink>
    </w:p>
    <w:p w14:paraId="0E419DE5" w14:textId="34A43C63" w:rsidR="00AF3004" w:rsidRDefault="00AF3004">
      <w:pPr>
        <w:pStyle w:val="ANormal"/>
        <w:rPr>
          <w:noProof/>
        </w:rPr>
      </w:pPr>
      <w:r>
        <w:rPr>
          <w:rFonts w:ascii="Verdana" w:hAnsi="Verdana"/>
          <w:noProof/>
          <w:sz w:val="16"/>
          <w:szCs w:val="36"/>
        </w:rPr>
        <w:fldChar w:fldCharType="end"/>
      </w:r>
    </w:p>
    <w:p w14:paraId="06530BB9" w14:textId="77777777" w:rsidR="00AF3004" w:rsidRDefault="00AF3004">
      <w:pPr>
        <w:pStyle w:val="ANormal"/>
      </w:pPr>
      <w:r>
        <w:br w:type="page"/>
      </w:r>
    </w:p>
    <w:p w14:paraId="3AF56E28" w14:textId="7FB76D6B" w:rsidR="00AF3004" w:rsidRDefault="00805A84">
      <w:pPr>
        <w:pStyle w:val="RubrikA"/>
      </w:pPr>
      <w:bookmarkStart w:id="2" w:name="_Toc182991905"/>
      <w:r>
        <w:lastRenderedPageBreak/>
        <w:t>M</w:t>
      </w:r>
      <w:r w:rsidR="00AF3004">
        <w:t>otivering</w:t>
      </w:r>
      <w:bookmarkEnd w:id="2"/>
    </w:p>
    <w:p w14:paraId="748FC5FA" w14:textId="77777777" w:rsidR="00AF3004" w:rsidRDefault="00AF3004">
      <w:pPr>
        <w:pStyle w:val="Rubrikmellanrum"/>
      </w:pPr>
    </w:p>
    <w:p w14:paraId="4AAAF2AB" w14:textId="77777777" w:rsidR="00AF3004" w:rsidRDefault="00AF3004">
      <w:pPr>
        <w:pStyle w:val="RubrikB"/>
      </w:pPr>
      <w:bookmarkStart w:id="3" w:name="_Toc182991906"/>
      <w:r>
        <w:t>1. Bakgrund</w:t>
      </w:r>
      <w:bookmarkEnd w:id="3"/>
    </w:p>
    <w:p w14:paraId="1B2C64DD" w14:textId="77777777" w:rsidR="00AF3004" w:rsidRDefault="00AF3004">
      <w:pPr>
        <w:pStyle w:val="Rubrikmellanrum"/>
      </w:pPr>
    </w:p>
    <w:p w14:paraId="1126247E" w14:textId="1BE4E49C" w:rsidR="00AF3004" w:rsidRDefault="00AF3004">
      <w:pPr>
        <w:pStyle w:val="RubrikC"/>
      </w:pPr>
      <w:bookmarkStart w:id="4" w:name="_Toc182991907"/>
      <w:r>
        <w:t xml:space="preserve">1.1 </w:t>
      </w:r>
      <w:r w:rsidR="00805A84">
        <w:t>Gällande lagstiftning</w:t>
      </w:r>
      <w:bookmarkEnd w:id="4"/>
    </w:p>
    <w:p w14:paraId="7F529DB5" w14:textId="77777777" w:rsidR="00AF3004" w:rsidRDefault="00AF3004">
      <w:pPr>
        <w:pStyle w:val="Rubrikmellanrum"/>
      </w:pPr>
    </w:p>
    <w:p w14:paraId="0F778224" w14:textId="5D12A86B" w:rsidR="00805A84" w:rsidRDefault="00805A84" w:rsidP="00805A84">
      <w:pPr>
        <w:pStyle w:val="ANormal"/>
      </w:pPr>
      <w:r>
        <w:t>Behörigheten att lagstifta om beskattningen av företag och samfälligheter (samfundsbeskattningen) är delad mellan landskapet och riket.</w:t>
      </w:r>
      <w:r w:rsidRPr="003C7CAA">
        <w:t xml:space="preserve"> </w:t>
      </w:r>
      <w:r>
        <w:t>Skatt till kommunerna hör till området för landskapets lagstiftningsbehörighet enligt 18</w:t>
      </w:r>
      <w:r w:rsidR="005D4503">
        <w:t> §</w:t>
      </w:r>
      <w:r>
        <w:t xml:space="preserve"> 5 p.</w:t>
      </w:r>
      <w:r w:rsidR="007076D2">
        <w:t xml:space="preserve"> i</w:t>
      </w:r>
      <w:r>
        <w:t xml:space="preserve"> självstyrelselagen</w:t>
      </w:r>
      <w:r w:rsidR="007076D2">
        <w:t xml:space="preserve"> (1991:71) för Åland</w:t>
      </w:r>
      <w:r>
        <w:t>,</w:t>
      </w:r>
      <w:r w:rsidRPr="00226DA0">
        <w:t xml:space="preserve"> </w:t>
      </w:r>
      <w:r>
        <w:t>medan skatt till staten hör till rikets behörighet enligt 27</w:t>
      </w:r>
      <w:r w:rsidR="005D4503">
        <w:t> §</w:t>
      </w:r>
      <w:r>
        <w:t xml:space="preserve"> 36 p.</w:t>
      </w:r>
      <w:r w:rsidR="007076D2">
        <w:t xml:space="preserve"> i samma lag.</w:t>
      </w:r>
      <w:r>
        <w:t xml:space="preserve"> Trots detta betraktas</w:t>
      </w:r>
      <w:r w:rsidRPr="001A7641">
        <w:t xml:space="preserve"> </w:t>
      </w:r>
      <w:r>
        <w:t>samfundsskatten</w:t>
      </w:r>
      <w:r w:rsidRPr="001A7641">
        <w:t xml:space="preserve"> </w:t>
      </w:r>
      <w:r>
        <w:t xml:space="preserve">i riket som en enhetlig skatt som fördelas mellan de båda </w:t>
      </w:r>
      <w:proofErr w:type="spellStart"/>
      <w:r>
        <w:t>ska</w:t>
      </w:r>
      <w:r w:rsidR="005D4503">
        <w:t>t</w:t>
      </w:r>
      <w:r>
        <w:t>tetagarna</w:t>
      </w:r>
      <w:proofErr w:type="spellEnd"/>
      <w:r>
        <w:t xml:space="preserve"> staten och kommunerna. De enhetliga skattesatserna anges i 124</w:t>
      </w:r>
      <w:r w:rsidR="005D4503">
        <w:t> §</w:t>
      </w:r>
      <w:r>
        <w:t xml:space="preserve"> i inkomstskattelagen (FFS 1535/1992) och för närvarande är de 20</w:t>
      </w:r>
      <w:r w:rsidR="005D4503">
        <w:t xml:space="preserve"> </w:t>
      </w:r>
      <w:r>
        <w:t>procent för samfund (företag) och 26,5</w:t>
      </w:r>
      <w:r w:rsidR="005D4503">
        <w:t xml:space="preserve"> </w:t>
      </w:r>
      <w:r>
        <w:t xml:space="preserve">procent för samfällda förmåner (samfälligheter). Bestämmelserna om hur intäkterna från samfundsskatten fördelas mellan </w:t>
      </w:r>
      <w:proofErr w:type="spellStart"/>
      <w:r>
        <w:t>skattetagarna</w:t>
      </w:r>
      <w:proofErr w:type="spellEnd"/>
      <w:r>
        <w:t xml:space="preserve"> finns i 12</w:t>
      </w:r>
      <w:r w:rsidR="005D4503">
        <w:t> §</w:t>
      </w:r>
      <w:r>
        <w:t xml:space="preserve"> i lagen om skatteredovisning (FFS 532/1998). Till den del samfundsskatten uppbärs till staten gäller bestämmelserna i rikslagstiftningen även för företag och samfälligheter på Åland.</w:t>
      </w:r>
      <w:r w:rsidRPr="00A35A24">
        <w:t xml:space="preserve"> </w:t>
      </w:r>
      <w:r>
        <w:t xml:space="preserve">När det gäller den kommunala andelen regleras den i kommunalskattelagen (2011:119) för landskapet Åland. Enligt lagens gällande lydelse är kommunalskattesatsen för samfund </w:t>
      </w:r>
      <w:r w:rsidR="00F50DB8">
        <w:t>4</w:t>
      </w:r>
      <w:r>
        <w:t>,</w:t>
      </w:r>
      <w:r w:rsidR="00F50DB8">
        <w:t>73</w:t>
      </w:r>
      <w:r>
        <w:t>8</w:t>
      </w:r>
      <w:r w:rsidR="005D4503">
        <w:t xml:space="preserve"> </w:t>
      </w:r>
      <w:r>
        <w:t xml:space="preserve">procent och för samfällda förmåner </w:t>
      </w:r>
      <w:r w:rsidR="00F50DB8">
        <w:t>6</w:t>
      </w:r>
      <w:r>
        <w:t>,</w:t>
      </w:r>
      <w:r w:rsidR="00F50DB8">
        <w:t>2778</w:t>
      </w:r>
      <w:r>
        <w:t>5</w:t>
      </w:r>
      <w:r w:rsidR="005D4503">
        <w:t xml:space="preserve"> </w:t>
      </w:r>
      <w:r>
        <w:t>procent för skatteåret 202</w:t>
      </w:r>
      <w:r w:rsidR="00F50DB8">
        <w:t>5</w:t>
      </w:r>
      <w:r>
        <w:t xml:space="preserve">. </w:t>
      </w:r>
      <w:bookmarkStart w:id="5" w:name="_Hlk57715359"/>
      <w:r>
        <w:t>Formellt sett är kommunalskattesatserna inte beroende av bestämmelserna i rikslagstiftningen, men lagtinget har hittills valt att sätta procentsatserna så att de totala skattesatserna är desamma på Åland som i riket.</w:t>
      </w:r>
    </w:p>
    <w:bookmarkEnd w:id="5"/>
    <w:p w14:paraId="76C84656" w14:textId="1C4F99DB" w:rsidR="00805A84" w:rsidRPr="009D0B12" w:rsidRDefault="00805A84" w:rsidP="00805A84">
      <w:pPr>
        <w:pStyle w:val="ANormal"/>
      </w:pPr>
      <w:r w:rsidRPr="009D0B12">
        <w:tab/>
        <w:t xml:space="preserve">Kommunalskattelagen är en så kallad blankettlag som anger att inkomstskattelagen och lagen om skatteredovisning med vissa undantag ska tillämpas i landskapet. </w:t>
      </w:r>
      <w:r w:rsidR="007076D2">
        <w:t>Till</w:t>
      </w:r>
      <w:r w:rsidRPr="009D0B12">
        <w:t xml:space="preserve"> undantag</w:t>
      </w:r>
      <w:r w:rsidR="007076D2">
        <w:t>en</w:t>
      </w:r>
      <w:r w:rsidRPr="009D0B12">
        <w:t xml:space="preserve"> </w:t>
      </w:r>
      <w:r w:rsidR="007076D2">
        <w:t>hör de ovannämnda</w:t>
      </w:r>
      <w:r w:rsidRPr="009D0B12">
        <w:t xml:space="preserve"> kommunalskattesatse</w:t>
      </w:r>
      <w:r w:rsidR="007076D2">
        <w:t>r</w:t>
      </w:r>
      <w:r w:rsidRPr="009D0B12">
        <w:t>n</w:t>
      </w:r>
      <w:r w:rsidR="007076D2">
        <w:t>a</w:t>
      </w:r>
      <w:r w:rsidRPr="009D0B12">
        <w:t xml:space="preserve"> för samfund och </w:t>
      </w:r>
      <w:r w:rsidR="007076D2">
        <w:t>samfällda förmåner</w:t>
      </w:r>
      <w:r w:rsidRPr="009D0B12">
        <w:t xml:space="preserve">. Kommunalbeskattningen av näringsverksamhet och jordbruk regleras dessutom i </w:t>
      </w:r>
      <w:bookmarkStart w:id="6" w:name="_Hlk61007018"/>
      <w:r w:rsidRPr="009D0B12">
        <w:t xml:space="preserve">landskapslagen (1993:42) om kommunalskatt för näringsverksamhet </w:t>
      </w:r>
      <w:bookmarkEnd w:id="6"/>
      <w:r w:rsidRPr="009D0B12">
        <w:t>respektive landskapslagen (1993:41) om kommunalskatt för gårdsbruk. Även dessa lagar är blankettlagar. Den förstnämnda anger att resultatet av näringsverksamhet beräknas i enlighet med lagen om beskattning av inkomst av näringsverksamhet (FFS 360/1968), medan den sistnämnda anger att resultatet av jordbruk beräknas i enlighet med inkomstskattelagen för gårdsbruk (FFS 543/1967).</w:t>
      </w:r>
    </w:p>
    <w:p w14:paraId="3494F90D" w14:textId="77777777" w:rsidR="00805A84" w:rsidRDefault="00805A84">
      <w:pPr>
        <w:pStyle w:val="ANormal"/>
      </w:pPr>
    </w:p>
    <w:p w14:paraId="2E493AF8" w14:textId="2E447A29" w:rsidR="00805A84" w:rsidRDefault="00805A84" w:rsidP="00805A84">
      <w:pPr>
        <w:pStyle w:val="RubrikC"/>
      </w:pPr>
      <w:bookmarkStart w:id="7" w:name="_Toc182991908"/>
      <w:r>
        <w:t>1.2 Åtgärder som vidtagits i riket för skatteåret 2025</w:t>
      </w:r>
      <w:bookmarkEnd w:id="7"/>
    </w:p>
    <w:p w14:paraId="28152AF1" w14:textId="77777777" w:rsidR="00805A84" w:rsidRDefault="00805A84" w:rsidP="00805A84">
      <w:pPr>
        <w:pStyle w:val="Rubrikmellanrum"/>
      </w:pPr>
    </w:p>
    <w:p w14:paraId="4E3C519B" w14:textId="2247F7F1" w:rsidR="00911880" w:rsidRDefault="00911880" w:rsidP="00805A84">
      <w:pPr>
        <w:pStyle w:val="ANormal"/>
      </w:pPr>
      <w:r>
        <w:t>För närvarande behandlas en proposition</w:t>
      </w:r>
      <w:r>
        <w:rPr>
          <w:rStyle w:val="Fotnotsreferens"/>
        </w:rPr>
        <w:footnoteReference w:id="1"/>
      </w:r>
      <w:r>
        <w:t xml:space="preserve"> i riksdagen som bland annat innehåller ett par </w:t>
      </w:r>
      <w:r w:rsidR="009D0B12">
        <w:t>åtgärder som påverkar samfundsbeskattningen. Den ena gäller ett tillfälligt skattestöd för tjänstebilar med nollutsläpp som gäller under åren 2022–2025 och som nu föreslås bli förlängt så att det ska tillämpas fram till och med skatteåret 2029. Den andra åtgärden gäller ett utbildningsavdrag som arbetsgivaren har fått göra för utbildning av en arbetstagare inom näringsverksamheten, vilket föreslås bli slopat.</w:t>
      </w:r>
      <w:r w:rsidR="00A57C8F">
        <w:t xml:space="preserve"> Båda dessa åtgärder träder i kraft på Åland med stöd av den automatik som ingår i kommunalskattelagen, </w:t>
      </w:r>
      <w:r w:rsidR="00A57C8F" w:rsidRPr="009D0B12">
        <w:t xml:space="preserve">landskapslagen om kommunalskatt för näringsverksamhet </w:t>
      </w:r>
      <w:r w:rsidR="00A57C8F">
        <w:t>samt</w:t>
      </w:r>
      <w:r w:rsidR="00A57C8F" w:rsidRPr="009D0B12">
        <w:t xml:space="preserve"> landskapslagen om kommunalskatt för gårdsbruk.</w:t>
      </w:r>
    </w:p>
    <w:p w14:paraId="51D64DD9" w14:textId="2861C2EE" w:rsidR="00311D86" w:rsidRDefault="00DE1D9D" w:rsidP="00805A84">
      <w:pPr>
        <w:pStyle w:val="ANormal"/>
      </w:pPr>
      <w:r>
        <w:tab/>
        <w:t xml:space="preserve">För att </w:t>
      </w:r>
      <w:r w:rsidR="0011788C" w:rsidRPr="0011788C">
        <w:t>uppväga</w:t>
      </w:r>
      <w:r>
        <w:t xml:space="preserve"> </w:t>
      </w:r>
      <w:r w:rsidR="0011788C">
        <w:t xml:space="preserve">effekterna av </w:t>
      </w:r>
      <w:r>
        <w:t>de förändringar i intäkterna från samfundsskatten som orsakas av</w:t>
      </w:r>
      <w:r w:rsidR="002528C5">
        <w:t xml:space="preserve"> de</w:t>
      </w:r>
      <w:r>
        <w:t xml:space="preserve"> två nämnda skatteåtgärderna föreslås i samma proposition också en ändring av fördelningen av samfundsskatten mellan staten och kommunerna. Den föreslagna ändringen rör </w:t>
      </w:r>
      <w:r w:rsidR="005B63C7">
        <w:t xml:space="preserve">både </w:t>
      </w:r>
      <w:r w:rsidR="002528C5">
        <w:t xml:space="preserve">fördelningen av </w:t>
      </w:r>
      <w:r>
        <w:t>samfundsskatten under åren 2025–2029</w:t>
      </w:r>
      <w:r w:rsidR="005B63C7">
        <w:t xml:space="preserve"> och den permanenta fördelningen som </w:t>
      </w:r>
      <w:r w:rsidR="00765D9A">
        <w:lastRenderedPageBreak/>
        <w:t xml:space="preserve">ska </w:t>
      </w:r>
      <w:r w:rsidR="005B63C7">
        <w:t>tillämpas från och med skatteåret 2030</w:t>
      </w:r>
      <w:r>
        <w:t>.</w:t>
      </w:r>
      <w:r w:rsidR="00311D86">
        <w:t xml:space="preserve"> Nedanstående bild visar hur fördelningen ändras enligt propositionen i riksdagen</w:t>
      </w:r>
      <w:r w:rsidR="009C48A8">
        <w:rPr>
          <w:rStyle w:val="Fotnotsreferens"/>
        </w:rPr>
        <w:footnoteReference w:id="2"/>
      </w:r>
      <w:r w:rsidR="00311D86">
        <w:t>:</w:t>
      </w:r>
    </w:p>
    <w:p w14:paraId="201BE565" w14:textId="3A6CE764" w:rsidR="00311D86" w:rsidRDefault="00311D86" w:rsidP="00805A84">
      <w:pPr>
        <w:pStyle w:val="ANormal"/>
      </w:pPr>
      <w:r w:rsidRPr="00FE213B">
        <w:rPr>
          <w:noProof/>
        </w:rPr>
        <w:drawing>
          <wp:inline distT="0" distB="0" distL="0" distR="0" wp14:anchorId="7EF5AA16" wp14:editId="7F88E656">
            <wp:extent cx="4248150" cy="2849880"/>
            <wp:effectExtent l="0" t="0" r="0" b="7620"/>
            <wp:docPr id="36667218" name="Bildobjekt 1" descr="En bild som visar två tabeller med statens respektive kommunernas permanenta utdelning av samfundsskatten samt utdelningen under åren 2025-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7218" name="Bildobjekt 1" descr="En bild som visar två tabeller med statens respektive kommunernas permanenta utdelning av samfundsskatten samt utdelningen under åren 2025-2029."/>
                    <pic:cNvPicPr/>
                  </pic:nvPicPr>
                  <pic:blipFill rotWithShape="1">
                    <a:blip r:embed="rId12"/>
                    <a:srcRect l="18644" t="35345" r="20203" b="12069"/>
                    <a:stretch/>
                  </pic:blipFill>
                  <pic:spPr bwMode="auto">
                    <a:xfrm>
                      <a:off x="0" y="0"/>
                      <a:ext cx="4248150" cy="2849880"/>
                    </a:xfrm>
                    <a:prstGeom prst="rect">
                      <a:avLst/>
                    </a:prstGeom>
                    <a:ln>
                      <a:noFill/>
                    </a:ln>
                    <a:extLst>
                      <a:ext uri="{53640926-AAD7-44D8-BBD7-CCE9431645EC}">
                        <a14:shadowObscured xmlns:a14="http://schemas.microsoft.com/office/drawing/2010/main"/>
                      </a:ext>
                    </a:extLst>
                  </pic:spPr>
                </pic:pic>
              </a:graphicData>
            </a:graphic>
          </wp:inline>
        </w:drawing>
      </w:r>
    </w:p>
    <w:p w14:paraId="07288048" w14:textId="77777777" w:rsidR="00805A84" w:rsidRDefault="00805A84" w:rsidP="00805A84">
      <w:pPr>
        <w:pStyle w:val="ANormal"/>
      </w:pPr>
    </w:p>
    <w:p w14:paraId="73E9E8A2" w14:textId="7A72B0E3" w:rsidR="00805A84" w:rsidRDefault="00805A84" w:rsidP="00805A84">
      <w:pPr>
        <w:pStyle w:val="RubrikB"/>
      </w:pPr>
      <w:bookmarkStart w:id="8" w:name="_Toc182991909"/>
      <w:r>
        <w:t xml:space="preserve">2. </w:t>
      </w:r>
      <w:r w:rsidR="00887637">
        <w:t>Behov av ändring</w:t>
      </w:r>
      <w:r>
        <w:t xml:space="preserve"> och landskapsregeringens förslag</w:t>
      </w:r>
      <w:bookmarkEnd w:id="8"/>
    </w:p>
    <w:p w14:paraId="50CB51B2" w14:textId="77777777" w:rsidR="00805A84" w:rsidRDefault="00805A84" w:rsidP="00805A84">
      <w:pPr>
        <w:pStyle w:val="Rubrikmellanrum"/>
      </w:pPr>
    </w:p>
    <w:p w14:paraId="3FDA61E0" w14:textId="68F15EE9" w:rsidR="009813E7" w:rsidRDefault="00887637" w:rsidP="009813E7">
      <w:pPr>
        <w:pStyle w:val="ANormal"/>
      </w:pPr>
      <w:r>
        <w:t xml:space="preserve">Ändringen av den statliga andelen av samfundsskatten </w:t>
      </w:r>
      <w:r w:rsidR="0011788C">
        <w:t>kommer att</w:t>
      </w:r>
      <w:r>
        <w:t xml:space="preserve"> trä</w:t>
      </w:r>
      <w:r w:rsidR="0011788C">
        <w:t>da</w:t>
      </w:r>
      <w:r>
        <w:t xml:space="preserve"> i kraft på Åland</w:t>
      </w:r>
      <w:r w:rsidR="0011788C">
        <w:t xml:space="preserve"> vid ingången av 2025</w:t>
      </w:r>
      <w:r>
        <w:t xml:space="preserve">. För att </w:t>
      </w:r>
      <w:r w:rsidR="00002302">
        <w:t xml:space="preserve">de totala skattesatserna för samfund och samfällda förmåner ska förbli på samma nivå som hittills krävs att </w:t>
      </w:r>
      <w:r>
        <w:t>kommunalskattesatse</w:t>
      </w:r>
      <w:r w:rsidR="00002302">
        <w:t>r</w:t>
      </w:r>
      <w:r>
        <w:t>n</w:t>
      </w:r>
      <w:r w:rsidR="00002302">
        <w:t>a</w:t>
      </w:r>
      <w:r>
        <w:t xml:space="preserve"> ändras.</w:t>
      </w:r>
      <w:r w:rsidRPr="009B4A90">
        <w:t xml:space="preserve"> </w:t>
      </w:r>
      <w:r w:rsidR="00B310FA">
        <w:t>Med hänvisning till det föreslår l</w:t>
      </w:r>
      <w:r w:rsidR="009813E7">
        <w:t xml:space="preserve">andskapsregeringen att kommunalskattesatserna för samfund och samfällda förmåner </w:t>
      </w:r>
      <w:r w:rsidR="00B60EF7">
        <w:t>justeras</w:t>
      </w:r>
      <w:r w:rsidR="009813E7">
        <w:t xml:space="preserve"> så att de totala skattesatserna kvarstår oförändrade. I de två nedan</w:t>
      </w:r>
      <w:r w:rsidR="009813E7">
        <w:softHyphen/>
        <w:t>stående tabellerna visas de föreslagna ändringarna av kommunalskattesatserna för samfund och samfällda förmåner:</w:t>
      </w:r>
    </w:p>
    <w:p w14:paraId="37E99D0D" w14:textId="77777777" w:rsidR="009813E7" w:rsidRDefault="009813E7" w:rsidP="009813E7">
      <w:pPr>
        <w:pStyle w:val="ANormal"/>
      </w:pPr>
    </w:p>
    <w:p w14:paraId="183ACAED" w14:textId="0DC41405" w:rsidR="009813E7" w:rsidRDefault="009813E7" w:rsidP="009813E7">
      <w:pPr>
        <w:pStyle w:val="RubrikD"/>
      </w:pPr>
      <w:r>
        <w:t>Kommunalskattesatsen för samfund (total skattesats 20</w:t>
      </w:r>
      <w:r w:rsidR="005D4503">
        <w:t xml:space="preserve"> </w:t>
      </w:r>
      <w:r>
        <w:t>%):</w:t>
      </w:r>
    </w:p>
    <w:p w14:paraId="2287995A" w14:textId="77777777" w:rsidR="009813E7" w:rsidRPr="007A6E9F" w:rsidRDefault="009813E7" w:rsidP="009813E7">
      <w:pPr>
        <w:pStyle w:val="Rubrikmellanrum"/>
      </w:pPr>
    </w:p>
    <w:tbl>
      <w:tblPr>
        <w:tblStyle w:val="Tabellrutnt"/>
        <w:tblW w:w="6658" w:type="dxa"/>
        <w:tblLayout w:type="fixed"/>
        <w:tblLook w:val="04A0" w:firstRow="1" w:lastRow="0" w:firstColumn="1" w:lastColumn="0" w:noHBand="0" w:noVBand="1"/>
      </w:tblPr>
      <w:tblGrid>
        <w:gridCol w:w="1413"/>
        <w:gridCol w:w="1134"/>
        <w:gridCol w:w="822"/>
        <w:gridCol w:w="822"/>
        <w:gridCol w:w="822"/>
        <w:gridCol w:w="822"/>
        <w:gridCol w:w="823"/>
      </w:tblGrid>
      <w:tr w:rsidR="00BF5C0F" w:rsidRPr="000854C3" w14:paraId="0BB5C631" w14:textId="77777777" w:rsidTr="00BF5C0F">
        <w:trPr>
          <w:trHeight w:val="304"/>
        </w:trPr>
        <w:tc>
          <w:tcPr>
            <w:tcW w:w="1413" w:type="dxa"/>
            <w:vAlign w:val="bottom"/>
          </w:tcPr>
          <w:p w14:paraId="4712CE76" w14:textId="77777777" w:rsidR="00BF5C0F" w:rsidRPr="007A6E9F" w:rsidRDefault="00BF5C0F">
            <w:pPr>
              <w:pStyle w:val="Tabelltext"/>
              <w:keepNext/>
              <w:rPr>
                <w:bCs/>
              </w:rPr>
            </w:pPr>
          </w:p>
        </w:tc>
        <w:tc>
          <w:tcPr>
            <w:tcW w:w="1134" w:type="dxa"/>
            <w:vAlign w:val="bottom"/>
          </w:tcPr>
          <w:p w14:paraId="37876A9F" w14:textId="3BBCFDA5" w:rsidR="00BF5C0F" w:rsidRPr="000854C3" w:rsidRDefault="00BF5C0F">
            <w:pPr>
              <w:pStyle w:val="Tabelltext"/>
              <w:keepNext/>
              <w:jc w:val="center"/>
              <w:rPr>
                <w:b/>
              </w:rPr>
            </w:pPr>
            <w:r>
              <w:rPr>
                <w:b/>
              </w:rPr>
              <w:t>Permanent</w:t>
            </w:r>
          </w:p>
        </w:tc>
        <w:tc>
          <w:tcPr>
            <w:tcW w:w="822" w:type="dxa"/>
            <w:vAlign w:val="bottom"/>
          </w:tcPr>
          <w:p w14:paraId="611222DC" w14:textId="398BCBEF" w:rsidR="00BF5C0F" w:rsidRPr="000854C3" w:rsidRDefault="00BF5C0F">
            <w:pPr>
              <w:pStyle w:val="Tabelltext"/>
              <w:keepNext/>
              <w:jc w:val="center"/>
              <w:rPr>
                <w:b/>
              </w:rPr>
            </w:pPr>
            <w:r w:rsidRPr="000854C3">
              <w:rPr>
                <w:b/>
              </w:rPr>
              <w:t>20</w:t>
            </w:r>
            <w:r>
              <w:rPr>
                <w:b/>
              </w:rPr>
              <w:t>25</w:t>
            </w:r>
          </w:p>
        </w:tc>
        <w:tc>
          <w:tcPr>
            <w:tcW w:w="822" w:type="dxa"/>
            <w:vAlign w:val="bottom"/>
          </w:tcPr>
          <w:p w14:paraId="0FD04E9B" w14:textId="0F551D8D" w:rsidR="00BF5C0F" w:rsidRPr="000854C3" w:rsidRDefault="00BF5C0F">
            <w:pPr>
              <w:pStyle w:val="Tabelltext"/>
              <w:keepNext/>
              <w:jc w:val="center"/>
              <w:rPr>
                <w:b/>
              </w:rPr>
            </w:pPr>
            <w:r w:rsidRPr="000854C3">
              <w:rPr>
                <w:b/>
              </w:rPr>
              <w:t>20</w:t>
            </w:r>
            <w:r>
              <w:rPr>
                <w:b/>
              </w:rPr>
              <w:t>26</w:t>
            </w:r>
          </w:p>
        </w:tc>
        <w:tc>
          <w:tcPr>
            <w:tcW w:w="822" w:type="dxa"/>
            <w:vAlign w:val="bottom"/>
          </w:tcPr>
          <w:p w14:paraId="45644D60" w14:textId="00E6D987" w:rsidR="00BF5C0F" w:rsidRPr="000854C3" w:rsidRDefault="00BF5C0F">
            <w:pPr>
              <w:pStyle w:val="Tabelltext"/>
              <w:keepNext/>
              <w:jc w:val="center"/>
              <w:rPr>
                <w:b/>
              </w:rPr>
            </w:pPr>
            <w:r w:rsidRPr="000854C3">
              <w:rPr>
                <w:b/>
              </w:rPr>
              <w:t>20</w:t>
            </w:r>
            <w:r>
              <w:rPr>
                <w:b/>
              </w:rPr>
              <w:t>27</w:t>
            </w:r>
          </w:p>
        </w:tc>
        <w:tc>
          <w:tcPr>
            <w:tcW w:w="822" w:type="dxa"/>
            <w:vAlign w:val="bottom"/>
          </w:tcPr>
          <w:p w14:paraId="33F93724" w14:textId="6533C7BA" w:rsidR="00BF5C0F" w:rsidRPr="000854C3" w:rsidRDefault="00BF5C0F">
            <w:pPr>
              <w:pStyle w:val="Tabelltext"/>
              <w:keepNext/>
              <w:jc w:val="center"/>
              <w:rPr>
                <w:b/>
              </w:rPr>
            </w:pPr>
            <w:r w:rsidRPr="000854C3">
              <w:rPr>
                <w:b/>
              </w:rPr>
              <w:t>20</w:t>
            </w:r>
            <w:r>
              <w:rPr>
                <w:b/>
              </w:rPr>
              <w:t>28</w:t>
            </w:r>
          </w:p>
        </w:tc>
        <w:tc>
          <w:tcPr>
            <w:tcW w:w="823" w:type="dxa"/>
            <w:vAlign w:val="bottom"/>
          </w:tcPr>
          <w:p w14:paraId="7AC51CB1" w14:textId="30752950" w:rsidR="00BF5C0F" w:rsidRPr="000854C3" w:rsidRDefault="00BF5C0F">
            <w:pPr>
              <w:pStyle w:val="Tabelltext"/>
              <w:keepNext/>
              <w:jc w:val="center"/>
              <w:rPr>
                <w:b/>
              </w:rPr>
            </w:pPr>
            <w:r w:rsidRPr="000854C3">
              <w:rPr>
                <w:b/>
              </w:rPr>
              <w:t>20</w:t>
            </w:r>
            <w:r>
              <w:rPr>
                <w:b/>
              </w:rPr>
              <w:t>29</w:t>
            </w:r>
          </w:p>
        </w:tc>
      </w:tr>
      <w:tr w:rsidR="00BF5C0F" w14:paraId="5E42DAB0" w14:textId="77777777" w:rsidTr="00BF5C0F">
        <w:trPr>
          <w:trHeight w:val="453"/>
        </w:trPr>
        <w:tc>
          <w:tcPr>
            <w:tcW w:w="1413" w:type="dxa"/>
            <w:vAlign w:val="bottom"/>
          </w:tcPr>
          <w:p w14:paraId="5780EA84" w14:textId="77777777" w:rsidR="00BF5C0F" w:rsidRDefault="00BF5C0F">
            <w:pPr>
              <w:pStyle w:val="Tabelltext"/>
              <w:keepNext/>
            </w:pPr>
            <w:r>
              <w:t>Enligt gällande lag (%)</w:t>
            </w:r>
          </w:p>
        </w:tc>
        <w:tc>
          <w:tcPr>
            <w:tcW w:w="1134" w:type="dxa"/>
            <w:shd w:val="clear" w:color="auto" w:fill="auto"/>
            <w:vAlign w:val="bottom"/>
          </w:tcPr>
          <w:p w14:paraId="07B1A3F2" w14:textId="54A9FF4E" w:rsidR="00BF5C0F" w:rsidRPr="00C72269" w:rsidRDefault="00C65601">
            <w:pPr>
              <w:pStyle w:val="Tabelltext"/>
              <w:keepNext/>
              <w:jc w:val="right"/>
              <w:rPr>
                <w:szCs w:val="18"/>
              </w:rPr>
            </w:pPr>
            <w:r>
              <w:rPr>
                <w:color w:val="000000"/>
                <w:szCs w:val="18"/>
              </w:rPr>
              <w:t>4,68</w:t>
            </w:r>
          </w:p>
        </w:tc>
        <w:tc>
          <w:tcPr>
            <w:tcW w:w="822" w:type="dxa"/>
            <w:shd w:val="clear" w:color="auto" w:fill="auto"/>
            <w:vAlign w:val="bottom"/>
          </w:tcPr>
          <w:p w14:paraId="44EB3429" w14:textId="44078782" w:rsidR="00BF5C0F" w:rsidRPr="00C72269" w:rsidRDefault="00C65601">
            <w:pPr>
              <w:pStyle w:val="Tabelltext"/>
              <w:keepNext/>
              <w:jc w:val="right"/>
              <w:rPr>
                <w:szCs w:val="18"/>
              </w:rPr>
            </w:pPr>
            <w:r>
              <w:rPr>
                <w:color w:val="000000"/>
                <w:szCs w:val="18"/>
              </w:rPr>
              <w:t>4,738</w:t>
            </w:r>
          </w:p>
        </w:tc>
        <w:tc>
          <w:tcPr>
            <w:tcW w:w="822" w:type="dxa"/>
            <w:shd w:val="clear" w:color="auto" w:fill="auto"/>
            <w:vAlign w:val="bottom"/>
          </w:tcPr>
          <w:p w14:paraId="0E3CDA0C" w14:textId="776DE021" w:rsidR="00BF5C0F" w:rsidRPr="00C72269" w:rsidRDefault="00C65601">
            <w:pPr>
              <w:pStyle w:val="Tabelltext"/>
              <w:keepNext/>
              <w:jc w:val="right"/>
              <w:rPr>
                <w:szCs w:val="18"/>
              </w:rPr>
            </w:pPr>
            <w:r>
              <w:rPr>
                <w:color w:val="000000"/>
                <w:szCs w:val="18"/>
              </w:rPr>
              <w:t>4,584</w:t>
            </w:r>
          </w:p>
        </w:tc>
        <w:tc>
          <w:tcPr>
            <w:tcW w:w="822" w:type="dxa"/>
            <w:shd w:val="clear" w:color="auto" w:fill="auto"/>
            <w:vAlign w:val="bottom"/>
          </w:tcPr>
          <w:p w14:paraId="4F85A6F8" w14:textId="26CDE34B" w:rsidR="00BF5C0F" w:rsidRPr="00C72269" w:rsidRDefault="00C65601">
            <w:pPr>
              <w:pStyle w:val="Tabelltext"/>
              <w:keepNext/>
              <w:jc w:val="right"/>
              <w:rPr>
                <w:szCs w:val="18"/>
              </w:rPr>
            </w:pPr>
            <w:r>
              <w:rPr>
                <w:color w:val="000000"/>
                <w:szCs w:val="18"/>
              </w:rPr>
              <w:t>4,612</w:t>
            </w:r>
          </w:p>
        </w:tc>
        <w:tc>
          <w:tcPr>
            <w:tcW w:w="822" w:type="dxa"/>
            <w:shd w:val="clear" w:color="auto" w:fill="auto"/>
            <w:vAlign w:val="bottom"/>
          </w:tcPr>
          <w:p w14:paraId="5563632A" w14:textId="186A8D53" w:rsidR="00BF5C0F" w:rsidRPr="00C72269" w:rsidRDefault="00C65601">
            <w:pPr>
              <w:pStyle w:val="Tabelltext"/>
              <w:keepNext/>
              <w:jc w:val="right"/>
              <w:rPr>
                <w:szCs w:val="18"/>
              </w:rPr>
            </w:pPr>
            <w:r>
              <w:rPr>
                <w:color w:val="000000"/>
                <w:szCs w:val="18"/>
              </w:rPr>
              <w:t>4,646</w:t>
            </w:r>
          </w:p>
        </w:tc>
        <w:tc>
          <w:tcPr>
            <w:tcW w:w="823" w:type="dxa"/>
            <w:shd w:val="clear" w:color="auto" w:fill="auto"/>
            <w:vAlign w:val="bottom"/>
          </w:tcPr>
          <w:p w14:paraId="60E031C0" w14:textId="17071AF3" w:rsidR="00BF5C0F" w:rsidRPr="00C72269" w:rsidRDefault="00C65601">
            <w:pPr>
              <w:pStyle w:val="Tabelltext"/>
              <w:keepNext/>
              <w:jc w:val="right"/>
              <w:rPr>
                <w:szCs w:val="18"/>
              </w:rPr>
            </w:pPr>
            <w:r>
              <w:rPr>
                <w:color w:val="000000"/>
                <w:szCs w:val="18"/>
              </w:rPr>
              <w:t>4,654</w:t>
            </w:r>
          </w:p>
        </w:tc>
      </w:tr>
      <w:tr w:rsidR="00BF5C0F" w14:paraId="553B720A" w14:textId="77777777" w:rsidTr="00BF5C0F">
        <w:trPr>
          <w:trHeight w:val="453"/>
        </w:trPr>
        <w:tc>
          <w:tcPr>
            <w:tcW w:w="1413" w:type="dxa"/>
            <w:vAlign w:val="bottom"/>
          </w:tcPr>
          <w:p w14:paraId="45CC6FBF" w14:textId="77777777" w:rsidR="00BF5C0F" w:rsidRDefault="00BF5C0F">
            <w:pPr>
              <w:pStyle w:val="Tabelltext"/>
              <w:keepNext/>
            </w:pPr>
            <w:r>
              <w:t>Enligt förslag (%)</w:t>
            </w:r>
          </w:p>
        </w:tc>
        <w:tc>
          <w:tcPr>
            <w:tcW w:w="1134" w:type="dxa"/>
            <w:shd w:val="clear" w:color="auto" w:fill="auto"/>
            <w:vAlign w:val="bottom"/>
          </w:tcPr>
          <w:p w14:paraId="4EE7DC1C" w14:textId="5586D628" w:rsidR="00BF5C0F" w:rsidRPr="007F43B6" w:rsidRDefault="000C2110">
            <w:pPr>
              <w:pStyle w:val="Tabelltext"/>
              <w:keepNext/>
              <w:jc w:val="right"/>
              <w:rPr>
                <w:szCs w:val="18"/>
              </w:rPr>
            </w:pPr>
            <w:r>
              <w:rPr>
                <w:szCs w:val="18"/>
              </w:rPr>
              <w:t>4,672</w:t>
            </w:r>
          </w:p>
        </w:tc>
        <w:tc>
          <w:tcPr>
            <w:tcW w:w="822" w:type="dxa"/>
            <w:shd w:val="clear" w:color="auto" w:fill="auto"/>
            <w:vAlign w:val="bottom"/>
          </w:tcPr>
          <w:p w14:paraId="2FF40354" w14:textId="3DC0239E" w:rsidR="00BF5C0F" w:rsidRPr="007F43B6" w:rsidRDefault="000C2110">
            <w:pPr>
              <w:pStyle w:val="Tabelltext"/>
              <w:keepNext/>
              <w:jc w:val="right"/>
              <w:rPr>
                <w:szCs w:val="18"/>
              </w:rPr>
            </w:pPr>
            <w:r>
              <w:rPr>
                <w:szCs w:val="18"/>
              </w:rPr>
              <w:t>4,73</w:t>
            </w:r>
          </w:p>
        </w:tc>
        <w:tc>
          <w:tcPr>
            <w:tcW w:w="822" w:type="dxa"/>
            <w:shd w:val="clear" w:color="auto" w:fill="auto"/>
            <w:vAlign w:val="bottom"/>
          </w:tcPr>
          <w:p w14:paraId="3F30693C" w14:textId="4D6ADB03" w:rsidR="00BF5C0F" w:rsidRPr="007F43B6" w:rsidRDefault="000C2110">
            <w:pPr>
              <w:pStyle w:val="Tabelltext"/>
              <w:keepNext/>
              <w:jc w:val="right"/>
              <w:rPr>
                <w:szCs w:val="18"/>
              </w:rPr>
            </w:pPr>
            <w:r>
              <w:rPr>
                <w:szCs w:val="18"/>
              </w:rPr>
              <w:t>4,58</w:t>
            </w:r>
          </w:p>
        </w:tc>
        <w:tc>
          <w:tcPr>
            <w:tcW w:w="822" w:type="dxa"/>
            <w:shd w:val="clear" w:color="auto" w:fill="auto"/>
            <w:vAlign w:val="bottom"/>
          </w:tcPr>
          <w:p w14:paraId="3F41F3B8" w14:textId="51C971A8" w:rsidR="00BF5C0F" w:rsidRPr="007F43B6" w:rsidRDefault="000C2110">
            <w:pPr>
              <w:pStyle w:val="Tabelltext"/>
              <w:keepNext/>
              <w:jc w:val="right"/>
              <w:rPr>
                <w:szCs w:val="18"/>
              </w:rPr>
            </w:pPr>
            <w:r>
              <w:rPr>
                <w:szCs w:val="18"/>
              </w:rPr>
              <w:t>4,61</w:t>
            </w:r>
          </w:p>
        </w:tc>
        <w:tc>
          <w:tcPr>
            <w:tcW w:w="822" w:type="dxa"/>
            <w:shd w:val="clear" w:color="auto" w:fill="auto"/>
            <w:vAlign w:val="bottom"/>
          </w:tcPr>
          <w:p w14:paraId="602FBA46" w14:textId="74FBA663" w:rsidR="00BF5C0F" w:rsidRPr="007F43B6" w:rsidRDefault="000C2110">
            <w:pPr>
              <w:pStyle w:val="Tabelltext"/>
              <w:keepNext/>
              <w:jc w:val="right"/>
              <w:rPr>
                <w:szCs w:val="18"/>
              </w:rPr>
            </w:pPr>
            <w:r>
              <w:rPr>
                <w:szCs w:val="18"/>
              </w:rPr>
              <w:t>4,646</w:t>
            </w:r>
          </w:p>
        </w:tc>
        <w:tc>
          <w:tcPr>
            <w:tcW w:w="823" w:type="dxa"/>
            <w:shd w:val="clear" w:color="auto" w:fill="auto"/>
            <w:vAlign w:val="bottom"/>
          </w:tcPr>
          <w:p w14:paraId="220A06DE" w14:textId="77C1449E" w:rsidR="00BF5C0F" w:rsidRPr="007F43B6" w:rsidRDefault="000C2110">
            <w:pPr>
              <w:pStyle w:val="Tabelltext"/>
              <w:keepNext/>
              <w:jc w:val="right"/>
              <w:rPr>
                <w:szCs w:val="18"/>
              </w:rPr>
            </w:pPr>
            <w:r>
              <w:rPr>
                <w:szCs w:val="18"/>
              </w:rPr>
              <w:t>4,656</w:t>
            </w:r>
          </w:p>
        </w:tc>
      </w:tr>
      <w:tr w:rsidR="00BF5C0F" w14:paraId="3FB8BA31" w14:textId="77777777" w:rsidTr="00BF5C0F">
        <w:trPr>
          <w:trHeight w:val="453"/>
        </w:trPr>
        <w:tc>
          <w:tcPr>
            <w:tcW w:w="1413" w:type="dxa"/>
            <w:vAlign w:val="bottom"/>
          </w:tcPr>
          <w:p w14:paraId="6492D1DB" w14:textId="77777777" w:rsidR="00BF5C0F" w:rsidRDefault="00BF5C0F">
            <w:pPr>
              <w:pStyle w:val="Tabelltext"/>
              <w:keepNext/>
            </w:pPr>
            <w:r>
              <w:t>Skillnad (%-enheter)</w:t>
            </w:r>
          </w:p>
        </w:tc>
        <w:tc>
          <w:tcPr>
            <w:tcW w:w="1134" w:type="dxa"/>
            <w:shd w:val="clear" w:color="auto" w:fill="auto"/>
            <w:vAlign w:val="bottom"/>
          </w:tcPr>
          <w:p w14:paraId="6F89B1CC" w14:textId="32A00EAB" w:rsidR="00BF5C0F" w:rsidRPr="00A259B4" w:rsidRDefault="000C2110">
            <w:pPr>
              <w:pStyle w:val="Tabelltext"/>
              <w:keepNext/>
              <w:jc w:val="right"/>
              <w:rPr>
                <w:szCs w:val="18"/>
              </w:rPr>
            </w:pPr>
            <w:r>
              <w:rPr>
                <w:szCs w:val="18"/>
              </w:rPr>
              <w:t>-0,008</w:t>
            </w:r>
          </w:p>
        </w:tc>
        <w:tc>
          <w:tcPr>
            <w:tcW w:w="822" w:type="dxa"/>
            <w:shd w:val="clear" w:color="auto" w:fill="auto"/>
            <w:vAlign w:val="bottom"/>
          </w:tcPr>
          <w:p w14:paraId="1076C6E3" w14:textId="415F7D4E" w:rsidR="00BF5C0F" w:rsidRPr="00A259B4" w:rsidRDefault="000C2110">
            <w:pPr>
              <w:pStyle w:val="Tabelltext"/>
              <w:keepNext/>
              <w:jc w:val="right"/>
              <w:rPr>
                <w:szCs w:val="18"/>
              </w:rPr>
            </w:pPr>
            <w:r>
              <w:rPr>
                <w:szCs w:val="18"/>
              </w:rPr>
              <w:t>-0,008</w:t>
            </w:r>
          </w:p>
        </w:tc>
        <w:tc>
          <w:tcPr>
            <w:tcW w:w="822" w:type="dxa"/>
            <w:shd w:val="clear" w:color="auto" w:fill="auto"/>
            <w:vAlign w:val="bottom"/>
          </w:tcPr>
          <w:p w14:paraId="37B8BBF8" w14:textId="0756E23F" w:rsidR="00BF5C0F" w:rsidRPr="00A259B4" w:rsidRDefault="000C2110">
            <w:pPr>
              <w:pStyle w:val="Tabelltext"/>
              <w:keepNext/>
              <w:jc w:val="right"/>
              <w:rPr>
                <w:szCs w:val="18"/>
              </w:rPr>
            </w:pPr>
            <w:r>
              <w:rPr>
                <w:szCs w:val="18"/>
              </w:rPr>
              <w:t>-0,004</w:t>
            </w:r>
          </w:p>
        </w:tc>
        <w:tc>
          <w:tcPr>
            <w:tcW w:w="822" w:type="dxa"/>
            <w:shd w:val="clear" w:color="auto" w:fill="auto"/>
            <w:vAlign w:val="bottom"/>
          </w:tcPr>
          <w:p w14:paraId="450FFA33" w14:textId="2B323440" w:rsidR="00BF5C0F" w:rsidRPr="00A259B4" w:rsidRDefault="000C2110">
            <w:pPr>
              <w:pStyle w:val="Tabelltext"/>
              <w:keepNext/>
              <w:jc w:val="right"/>
              <w:rPr>
                <w:szCs w:val="18"/>
              </w:rPr>
            </w:pPr>
            <w:r>
              <w:rPr>
                <w:szCs w:val="18"/>
              </w:rPr>
              <w:t>-0,002</w:t>
            </w:r>
          </w:p>
        </w:tc>
        <w:tc>
          <w:tcPr>
            <w:tcW w:w="822" w:type="dxa"/>
            <w:shd w:val="clear" w:color="auto" w:fill="auto"/>
            <w:vAlign w:val="bottom"/>
          </w:tcPr>
          <w:p w14:paraId="10FE5FF4" w14:textId="0AD3477E" w:rsidR="00BF5C0F" w:rsidRPr="00A259B4" w:rsidRDefault="000C2110">
            <w:pPr>
              <w:pStyle w:val="Tabelltext"/>
              <w:keepNext/>
              <w:jc w:val="right"/>
              <w:rPr>
                <w:szCs w:val="18"/>
              </w:rPr>
            </w:pPr>
            <w:r>
              <w:rPr>
                <w:szCs w:val="18"/>
              </w:rPr>
              <w:t>0</w:t>
            </w:r>
          </w:p>
        </w:tc>
        <w:tc>
          <w:tcPr>
            <w:tcW w:w="823" w:type="dxa"/>
            <w:shd w:val="clear" w:color="auto" w:fill="auto"/>
            <w:vAlign w:val="bottom"/>
          </w:tcPr>
          <w:p w14:paraId="09B3DCED" w14:textId="13E0D034" w:rsidR="00BF5C0F" w:rsidRPr="00A259B4" w:rsidRDefault="000C2110">
            <w:pPr>
              <w:pStyle w:val="Tabelltext"/>
              <w:keepNext/>
              <w:jc w:val="right"/>
              <w:rPr>
                <w:szCs w:val="18"/>
              </w:rPr>
            </w:pPr>
            <w:r>
              <w:rPr>
                <w:szCs w:val="18"/>
              </w:rPr>
              <w:t>0,002</w:t>
            </w:r>
          </w:p>
        </w:tc>
      </w:tr>
    </w:tbl>
    <w:p w14:paraId="2CCBC092" w14:textId="77777777" w:rsidR="009813E7" w:rsidRDefault="009813E7" w:rsidP="009813E7">
      <w:pPr>
        <w:pStyle w:val="ANormal"/>
      </w:pPr>
    </w:p>
    <w:p w14:paraId="1FA7618E" w14:textId="7391CF3D" w:rsidR="009813E7" w:rsidRDefault="009813E7" w:rsidP="009813E7">
      <w:pPr>
        <w:pStyle w:val="RubrikD"/>
      </w:pPr>
      <w:r>
        <w:t>Kommunalskattesatsen för samfällda förmåner (total skattesats 26,5</w:t>
      </w:r>
      <w:r w:rsidR="005D4503">
        <w:t xml:space="preserve"> </w:t>
      </w:r>
      <w:r>
        <w:t>%):</w:t>
      </w:r>
    </w:p>
    <w:p w14:paraId="7356471F" w14:textId="77777777" w:rsidR="009813E7" w:rsidRPr="007A6E9F" w:rsidRDefault="009813E7" w:rsidP="009813E7">
      <w:pPr>
        <w:pStyle w:val="Rubrikmellanrum"/>
      </w:pPr>
    </w:p>
    <w:tbl>
      <w:tblPr>
        <w:tblStyle w:val="Tabellrutnt"/>
        <w:tblW w:w="7083" w:type="dxa"/>
        <w:jc w:val="center"/>
        <w:tblLayout w:type="fixed"/>
        <w:tblLook w:val="04A0" w:firstRow="1" w:lastRow="0" w:firstColumn="1" w:lastColumn="0" w:noHBand="0" w:noVBand="1"/>
      </w:tblPr>
      <w:tblGrid>
        <w:gridCol w:w="1413"/>
        <w:gridCol w:w="850"/>
        <w:gridCol w:w="992"/>
        <w:gridCol w:w="851"/>
        <w:gridCol w:w="992"/>
        <w:gridCol w:w="993"/>
        <w:gridCol w:w="992"/>
      </w:tblGrid>
      <w:tr w:rsidR="00BF5C0F" w:rsidRPr="000854C3" w14:paraId="63CB8456" w14:textId="77777777" w:rsidTr="00CA4267">
        <w:trPr>
          <w:trHeight w:val="304"/>
          <w:jc w:val="center"/>
        </w:trPr>
        <w:tc>
          <w:tcPr>
            <w:tcW w:w="1413" w:type="dxa"/>
            <w:vAlign w:val="bottom"/>
          </w:tcPr>
          <w:p w14:paraId="4FF3557D" w14:textId="77777777" w:rsidR="00BF5C0F" w:rsidRPr="007A6E9F" w:rsidRDefault="00BF5C0F">
            <w:pPr>
              <w:pStyle w:val="Tabelltext"/>
              <w:keepNext/>
              <w:rPr>
                <w:bCs/>
              </w:rPr>
            </w:pPr>
          </w:p>
        </w:tc>
        <w:tc>
          <w:tcPr>
            <w:tcW w:w="850" w:type="dxa"/>
            <w:vAlign w:val="bottom"/>
          </w:tcPr>
          <w:p w14:paraId="45238589" w14:textId="41233720" w:rsidR="00BF5C0F" w:rsidRPr="000854C3" w:rsidRDefault="00BF5C0F">
            <w:pPr>
              <w:pStyle w:val="Tabelltext"/>
              <w:keepNext/>
              <w:jc w:val="center"/>
              <w:rPr>
                <w:b/>
              </w:rPr>
            </w:pPr>
            <w:r>
              <w:rPr>
                <w:b/>
              </w:rPr>
              <w:t>Permanent</w:t>
            </w:r>
          </w:p>
        </w:tc>
        <w:tc>
          <w:tcPr>
            <w:tcW w:w="992" w:type="dxa"/>
            <w:vAlign w:val="bottom"/>
          </w:tcPr>
          <w:p w14:paraId="7EC6AC89" w14:textId="3AB738E1" w:rsidR="00BF5C0F" w:rsidRPr="000854C3" w:rsidRDefault="00BF5C0F">
            <w:pPr>
              <w:pStyle w:val="Tabelltext"/>
              <w:keepNext/>
              <w:jc w:val="center"/>
              <w:rPr>
                <w:b/>
              </w:rPr>
            </w:pPr>
            <w:r w:rsidRPr="000854C3">
              <w:rPr>
                <w:b/>
              </w:rPr>
              <w:t>20</w:t>
            </w:r>
            <w:r>
              <w:rPr>
                <w:b/>
              </w:rPr>
              <w:t>25</w:t>
            </w:r>
          </w:p>
        </w:tc>
        <w:tc>
          <w:tcPr>
            <w:tcW w:w="851" w:type="dxa"/>
            <w:vAlign w:val="bottom"/>
          </w:tcPr>
          <w:p w14:paraId="26D606D2" w14:textId="0A53A99D" w:rsidR="00BF5C0F" w:rsidRPr="000854C3" w:rsidRDefault="00BF5C0F">
            <w:pPr>
              <w:pStyle w:val="Tabelltext"/>
              <w:keepNext/>
              <w:jc w:val="center"/>
              <w:rPr>
                <w:b/>
              </w:rPr>
            </w:pPr>
            <w:r w:rsidRPr="000854C3">
              <w:rPr>
                <w:b/>
              </w:rPr>
              <w:t>20</w:t>
            </w:r>
            <w:r>
              <w:rPr>
                <w:b/>
              </w:rPr>
              <w:t>26</w:t>
            </w:r>
          </w:p>
        </w:tc>
        <w:tc>
          <w:tcPr>
            <w:tcW w:w="992" w:type="dxa"/>
            <w:vAlign w:val="bottom"/>
          </w:tcPr>
          <w:p w14:paraId="7BD07449" w14:textId="4FFDE361" w:rsidR="00BF5C0F" w:rsidRPr="000854C3" w:rsidRDefault="00BF5C0F">
            <w:pPr>
              <w:pStyle w:val="Tabelltext"/>
              <w:keepNext/>
              <w:jc w:val="center"/>
              <w:rPr>
                <w:b/>
              </w:rPr>
            </w:pPr>
            <w:r w:rsidRPr="000854C3">
              <w:rPr>
                <w:b/>
              </w:rPr>
              <w:t>20</w:t>
            </w:r>
            <w:r>
              <w:rPr>
                <w:b/>
              </w:rPr>
              <w:t>27</w:t>
            </w:r>
          </w:p>
        </w:tc>
        <w:tc>
          <w:tcPr>
            <w:tcW w:w="993" w:type="dxa"/>
            <w:vAlign w:val="bottom"/>
          </w:tcPr>
          <w:p w14:paraId="070A1819" w14:textId="22636EC4" w:rsidR="00BF5C0F" w:rsidRPr="000854C3" w:rsidRDefault="00BF5C0F">
            <w:pPr>
              <w:pStyle w:val="Tabelltext"/>
              <w:keepNext/>
              <w:jc w:val="center"/>
              <w:rPr>
                <w:b/>
              </w:rPr>
            </w:pPr>
            <w:r w:rsidRPr="000854C3">
              <w:rPr>
                <w:b/>
              </w:rPr>
              <w:t>20</w:t>
            </w:r>
            <w:r>
              <w:rPr>
                <w:b/>
              </w:rPr>
              <w:t>28</w:t>
            </w:r>
          </w:p>
        </w:tc>
        <w:tc>
          <w:tcPr>
            <w:tcW w:w="992" w:type="dxa"/>
            <w:vAlign w:val="bottom"/>
          </w:tcPr>
          <w:p w14:paraId="294B2910" w14:textId="33B5FDA0" w:rsidR="00BF5C0F" w:rsidRPr="000854C3" w:rsidRDefault="00BF5C0F">
            <w:pPr>
              <w:pStyle w:val="Tabelltext"/>
              <w:keepNext/>
              <w:jc w:val="center"/>
              <w:rPr>
                <w:b/>
              </w:rPr>
            </w:pPr>
            <w:r w:rsidRPr="000854C3">
              <w:rPr>
                <w:b/>
              </w:rPr>
              <w:t>20</w:t>
            </w:r>
            <w:r>
              <w:rPr>
                <w:b/>
              </w:rPr>
              <w:t>29</w:t>
            </w:r>
          </w:p>
        </w:tc>
      </w:tr>
      <w:tr w:rsidR="00BF5C0F" w14:paraId="696FF607" w14:textId="77777777" w:rsidTr="00CA4267">
        <w:trPr>
          <w:trHeight w:val="484"/>
          <w:jc w:val="center"/>
        </w:trPr>
        <w:tc>
          <w:tcPr>
            <w:tcW w:w="1413" w:type="dxa"/>
            <w:vAlign w:val="bottom"/>
          </w:tcPr>
          <w:p w14:paraId="11A0C311" w14:textId="77777777" w:rsidR="00BF5C0F" w:rsidRDefault="00BF5C0F">
            <w:pPr>
              <w:pStyle w:val="Tabelltext"/>
              <w:keepNext/>
            </w:pPr>
            <w:r>
              <w:t>Enligt gällande lag (%)</w:t>
            </w:r>
          </w:p>
        </w:tc>
        <w:tc>
          <w:tcPr>
            <w:tcW w:w="850" w:type="dxa"/>
            <w:shd w:val="clear" w:color="auto" w:fill="auto"/>
            <w:vAlign w:val="bottom"/>
          </w:tcPr>
          <w:p w14:paraId="5F682543" w14:textId="06EF998A" w:rsidR="00BF5C0F" w:rsidRPr="005204A6" w:rsidRDefault="00C65601">
            <w:pPr>
              <w:pStyle w:val="Tabelltext"/>
              <w:keepNext/>
              <w:jc w:val="right"/>
              <w:rPr>
                <w:szCs w:val="18"/>
              </w:rPr>
            </w:pPr>
            <w:r>
              <w:rPr>
                <w:color w:val="000000"/>
                <w:szCs w:val="18"/>
              </w:rPr>
              <w:t>6,201</w:t>
            </w:r>
          </w:p>
        </w:tc>
        <w:tc>
          <w:tcPr>
            <w:tcW w:w="992" w:type="dxa"/>
            <w:shd w:val="clear" w:color="auto" w:fill="auto"/>
            <w:vAlign w:val="bottom"/>
          </w:tcPr>
          <w:p w14:paraId="396A5D1F" w14:textId="4FBDFDB2" w:rsidR="00C65601" w:rsidRPr="00C65601" w:rsidRDefault="00C65601" w:rsidP="00C65601">
            <w:pPr>
              <w:pStyle w:val="Tabelltext"/>
              <w:keepNext/>
              <w:jc w:val="right"/>
              <w:rPr>
                <w:color w:val="000000"/>
                <w:szCs w:val="18"/>
              </w:rPr>
            </w:pPr>
            <w:r>
              <w:rPr>
                <w:color w:val="000000"/>
                <w:szCs w:val="18"/>
              </w:rPr>
              <w:t>6,27785</w:t>
            </w:r>
          </w:p>
        </w:tc>
        <w:tc>
          <w:tcPr>
            <w:tcW w:w="851" w:type="dxa"/>
            <w:shd w:val="clear" w:color="auto" w:fill="auto"/>
            <w:vAlign w:val="bottom"/>
          </w:tcPr>
          <w:p w14:paraId="408349AD" w14:textId="2B007797" w:rsidR="00BF5C0F" w:rsidRPr="005204A6" w:rsidRDefault="00C65601">
            <w:pPr>
              <w:pStyle w:val="Tabelltext"/>
              <w:keepNext/>
              <w:jc w:val="right"/>
              <w:rPr>
                <w:szCs w:val="18"/>
              </w:rPr>
            </w:pPr>
            <w:r>
              <w:rPr>
                <w:color w:val="000000"/>
                <w:szCs w:val="18"/>
              </w:rPr>
              <w:t>6,0738</w:t>
            </w:r>
          </w:p>
        </w:tc>
        <w:tc>
          <w:tcPr>
            <w:tcW w:w="992" w:type="dxa"/>
            <w:shd w:val="clear" w:color="auto" w:fill="auto"/>
            <w:vAlign w:val="bottom"/>
          </w:tcPr>
          <w:p w14:paraId="07AE3C68" w14:textId="187748B5" w:rsidR="00BF5C0F" w:rsidRPr="005204A6" w:rsidRDefault="00C65601">
            <w:pPr>
              <w:pStyle w:val="Tabelltext"/>
              <w:keepNext/>
              <w:jc w:val="right"/>
              <w:rPr>
                <w:szCs w:val="18"/>
              </w:rPr>
            </w:pPr>
            <w:r>
              <w:rPr>
                <w:color w:val="000000"/>
                <w:szCs w:val="18"/>
              </w:rPr>
              <w:t>6,1109</w:t>
            </w:r>
          </w:p>
        </w:tc>
        <w:tc>
          <w:tcPr>
            <w:tcW w:w="993" w:type="dxa"/>
            <w:shd w:val="clear" w:color="auto" w:fill="auto"/>
            <w:vAlign w:val="bottom"/>
          </w:tcPr>
          <w:p w14:paraId="42500AFE" w14:textId="6A69C8B0" w:rsidR="00BF5C0F" w:rsidRPr="005204A6" w:rsidRDefault="00C65601">
            <w:pPr>
              <w:pStyle w:val="Tabelltext"/>
              <w:keepNext/>
              <w:jc w:val="right"/>
              <w:rPr>
                <w:szCs w:val="18"/>
              </w:rPr>
            </w:pPr>
            <w:r>
              <w:rPr>
                <w:color w:val="000000"/>
                <w:szCs w:val="18"/>
              </w:rPr>
              <w:t>6,15595</w:t>
            </w:r>
          </w:p>
        </w:tc>
        <w:tc>
          <w:tcPr>
            <w:tcW w:w="992" w:type="dxa"/>
            <w:shd w:val="clear" w:color="auto" w:fill="auto"/>
            <w:vAlign w:val="bottom"/>
          </w:tcPr>
          <w:p w14:paraId="13C2885E" w14:textId="10117B55" w:rsidR="00BF5C0F" w:rsidRPr="005204A6" w:rsidRDefault="00C65601">
            <w:pPr>
              <w:pStyle w:val="Tabelltext"/>
              <w:keepNext/>
              <w:jc w:val="right"/>
              <w:rPr>
                <w:szCs w:val="18"/>
              </w:rPr>
            </w:pPr>
            <w:r>
              <w:rPr>
                <w:color w:val="000000"/>
                <w:szCs w:val="18"/>
              </w:rPr>
              <w:t>6,16655</w:t>
            </w:r>
          </w:p>
        </w:tc>
      </w:tr>
      <w:tr w:rsidR="00BF5C0F" w14:paraId="32180728" w14:textId="77777777" w:rsidTr="00CA4267">
        <w:trPr>
          <w:trHeight w:val="484"/>
          <w:jc w:val="center"/>
        </w:trPr>
        <w:tc>
          <w:tcPr>
            <w:tcW w:w="1413" w:type="dxa"/>
            <w:vAlign w:val="bottom"/>
          </w:tcPr>
          <w:p w14:paraId="073E4CED" w14:textId="77777777" w:rsidR="00BF5C0F" w:rsidRDefault="00BF5C0F">
            <w:pPr>
              <w:pStyle w:val="Tabelltext"/>
              <w:keepNext/>
            </w:pPr>
            <w:r>
              <w:t>Enligt förslag (%)</w:t>
            </w:r>
          </w:p>
        </w:tc>
        <w:tc>
          <w:tcPr>
            <w:tcW w:w="850" w:type="dxa"/>
            <w:shd w:val="clear" w:color="auto" w:fill="auto"/>
            <w:vAlign w:val="bottom"/>
          </w:tcPr>
          <w:p w14:paraId="7C19E687" w14:textId="6027FA53" w:rsidR="00BF5C0F" w:rsidRPr="00C43471" w:rsidRDefault="000C2110">
            <w:pPr>
              <w:pStyle w:val="Tabelltext"/>
              <w:keepNext/>
              <w:jc w:val="right"/>
              <w:rPr>
                <w:szCs w:val="18"/>
              </w:rPr>
            </w:pPr>
            <w:r>
              <w:rPr>
                <w:szCs w:val="18"/>
              </w:rPr>
              <w:t>6,1904</w:t>
            </w:r>
          </w:p>
        </w:tc>
        <w:tc>
          <w:tcPr>
            <w:tcW w:w="992" w:type="dxa"/>
            <w:shd w:val="clear" w:color="auto" w:fill="auto"/>
            <w:vAlign w:val="bottom"/>
          </w:tcPr>
          <w:p w14:paraId="08ADBF5C" w14:textId="3B73A912" w:rsidR="00BF5C0F" w:rsidRPr="00C43471" w:rsidRDefault="000C2110">
            <w:pPr>
              <w:pStyle w:val="Tabelltext"/>
              <w:keepNext/>
              <w:jc w:val="right"/>
              <w:rPr>
                <w:szCs w:val="18"/>
              </w:rPr>
            </w:pPr>
            <w:r>
              <w:rPr>
                <w:szCs w:val="18"/>
              </w:rPr>
              <w:t>6,26725</w:t>
            </w:r>
          </w:p>
        </w:tc>
        <w:tc>
          <w:tcPr>
            <w:tcW w:w="851" w:type="dxa"/>
            <w:shd w:val="clear" w:color="auto" w:fill="auto"/>
            <w:vAlign w:val="bottom"/>
          </w:tcPr>
          <w:p w14:paraId="0C92D8B5" w14:textId="1A72E3FC" w:rsidR="00BF5C0F" w:rsidRPr="00C43471" w:rsidRDefault="000C2110">
            <w:pPr>
              <w:pStyle w:val="Tabelltext"/>
              <w:keepNext/>
              <w:jc w:val="right"/>
              <w:rPr>
                <w:szCs w:val="18"/>
              </w:rPr>
            </w:pPr>
            <w:r>
              <w:rPr>
                <w:szCs w:val="18"/>
              </w:rPr>
              <w:t>6,0685</w:t>
            </w:r>
          </w:p>
        </w:tc>
        <w:tc>
          <w:tcPr>
            <w:tcW w:w="992" w:type="dxa"/>
            <w:shd w:val="clear" w:color="auto" w:fill="auto"/>
            <w:vAlign w:val="bottom"/>
          </w:tcPr>
          <w:p w14:paraId="789058A4" w14:textId="5C35C7DE" w:rsidR="00BF5C0F" w:rsidRPr="00C43471" w:rsidRDefault="000C2110">
            <w:pPr>
              <w:pStyle w:val="Tabelltext"/>
              <w:keepNext/>
              <w:jc w:val="right"/>
              <w:rPr>
                <w:szCs w:val="18"/>
              </w:rPr>
            </w:pPr>
            <w:r>
              <w:rPr>
                <w:szCs w:val="18"/>
              </w:rPr>
              <w:t>6,10825</w:t>
            </w:r>
          </w:p>
        </w:tc>
        <w:tc>
          <w:tcPr>
            <w:tcW w:w="993" w:type="dxa"/>
            <w:shd w:val="clear" w:color="auto" w:fill="auto"/>
            <w:vAlign w:val="bottom"/>
          </w:tcPr>
          <w:p w14:paraId="54A570F5" w14:textId="7E014379" w:rsidR="00BF5C0F" w:rsidRPr="00C43471" w:rsidRDefault="000C2110">
            <w:pPr>
              <w:pStyle w:val="Tabelltext"/>
              <w:keepNext/>
              <w:jc w:val="right"/>
              <w:rPr>
                <w:szCs w:val="18"/>
              </w:rPr>
            </w:pPr>
            <w:r>
              <w:rPr>
                <w:szCs w:val="18"/>
              </w:rPr>
              <w:t>6,15595</w:t>
            </w:r>
          </w:p>
        </w:tc>
        <w:tc>
          <w:tcPr>
            <w:tcW w:w="992" w:type="dxa"/>
            <w:shd w:val="clear" w:color="auto" w:fill="auto"/>
            <w:vAlign w:val="bottom"/>
          </w:tcPr>
          <w:p w14:paraId="69EB37B3" w14:textId="5DDA2C7B" w:rsidR="00BF5C0F" w:rsidRPr="00C43471" w:rsidRDefault="000C2110">
            <w:pPr>
              <w:pStyle w:val="Tabelltext"/>
              <w:keepNext/>
              <w:jc w:val="right"/>
              <w:rPr>
                <w:szCs w:val="18"/>
              </w:rPr>
            </w:pPr>
            <w:r>
              <w:rPr>
                <w:szCs w:val="18"/>
              </w:rPr>
              <w:t>6,1692</w:t>
            </w:r>
          </w:p>
        </w:tc>
      </w:tr>
      <w:tr w:rsidR="00BF5C0F" w14:paraId="4EA1D964" w14:textId="77777777" w:rsidTr="00CA4267">
        <w:trPr>
          <w:trHeight w:val="484"/>
          <w:jc w:val="center"/>
        </w:trPr>
        <w:tc>
          <w:tcPr>
            <w:tcW w:w="1413" w:type="dxa"/>
            <w:vAlign w:val="bottom"/>
          </w:tcPr>
          <w:p w14:paraId="5ED763E5" w14:textId="77777777" w:rsidR="00BF5C0F" w:rsidRDefault="00BF5C0F">
            <w:pPr>
              <w:pStyle w:val="Tabelltext"/>
              <w:keepNext/>
            </w:pPr>
            <w:r>
              <w:t>Skillnad (%-enheter)</w:t>
            </w:r>
          </w:p>
        </w:tc>
        <w:tc>
          <w:tcPr>
            <w:tcW w:w="850" w:type="dxa"/>
            <w:shd w:val="clear" w:color="auto" w:fill="auto"/>
            <w:vAlign w:val="bottom"/>
          </w:tcPr>
          <w:p w14:paraId="08202448" w14:textId="39F2393D" w:rsidR="00BF5C0F" w:rsidRPr="005204A6" w:rsidRDefault="000C2110">
            <w:pPr>
              <w:pStyle w:val="Tabelltext"/>
              <w:keepNext/>
              <w:jc w:val="right"/>
              <w:rPr>
                <w:szCs w:val="18"/>
              </w:rPr>
            </w:pPr>
            <w:r>
              <w:rPr>
                <w:szCs w:val="18"/>
              </w:rPr>
              <w:t>-0,0106</w:t>
            </w:r>
          </w:p>
        </w:tc>
        <w:tc>
          <w:tcPr>
            <w:tcW w:w="992" w:type="dxa"/>
            <w:shd w:val="clear" w:color="auto" w:fill="auto"/>
            <w:vAlign w:val="bottom"/>
          </w:tcPr>
          <w:p w14:paraId="541C9AB3" w14:textId="023B59D7" w:rsidR="00BF5C0F" w:rsidRPr="005204A6" w:rsidRDefault="000C2110">
            <w:pPr>
              <w:pStyle w:val="Tabelltext"/>
              <w:keepNext/>
              <w:jc w:val="right"/>
              <w:rPr>
                <w:szCs w:val="18"/>
              </w:rPr>
            </w:pPr>
            <w:r>
              <w:rPr>
                <w:szCs w:val="18"/>
              </w:rPr>
              <w:t>-0,0106</w:t>
            </w:r>
          </w:p>
        </w:tc>
        <w:tc>
          <w:tcPr>
            <w:tcW w:w="851" w:type="dxa"/>
            <w:shd w:val="clear" w:color="auto" w:fill="auto"/>
            <w:vAlign w:val="bottom"/>
          </w:tcPr>
          <w:p w14:paraId="686795DF" w14:textId="6FC20B60" w:rsidR="00BF5C0F" w:rsidRPr="005204A6" w:rsidRDefault="000C2110">
            <w:pPr>
              <w:pStyle w:val="Tabelltext"/>
              <w:keepNext/>
              <w:jc w:val="right"/>
              <w:rPr>
                <w:szCs w:val="18"/>
              </w:rPr>
            </w:pPr>
            <w:r>
              <w:rPr>
                <w:szCs w:val="18"/>
              </w:rPr>
              <w:t>-0,0053</w:t>
            </w:r>
          </w:p>
        </w:tc>
        <w:tc>
          <w:tcPr>
            <w:tcW w:w="992" w:type="dxa"/>
            <w:shd w:val="clear" w:color="auto" w:fill="auto"/>
            <w:vAlign w:val="bottom"/>
          </w:tcPr>
          <w:p w14:paraId="68ED8BD6" w14:textId="224C9A24" w:rsidR="00BF5C0F" w:rsidRPr="005204A6" w:rsidRDefault="000C2110">
            <w:pPr>
              <w:pStyle w:val="Tabelltext"/>
              <w:keepNext/>
              <w:jc w:val="right"/>
              <w:rPr>
                <w:szCs w:val="18"/>
              </w:rPr>
            </w:pPr>
            <w:r>
              <w:rPr>
                <w:szCs w:val="18"/>
              </w:rPr>
              <w:t>-0,00265</w:t>
            </w:r>
          </w:p>
        </w:tc>
        <w:tc>
          <w:tcPr>
            <w:tcW w:w="993" w:type="dxa"/>
            <w:shd w:val="clear" w:color="auto" w:fill="auto"/>
            <w:vAlign w:val="bottom"/>
          </w:tcPr>
          <w:p w14:paraId="7C1A8C4C" w14:textId="72AFB45B" w:rsidR="00BF5C0F" w:rsidRPr="005204A6" w:rsidRDefault="000C2110">
            <w:pPr>
              <w:pStyle w:val="Tabelltext"/>
              <w:keepNext/>
              <w:jc w:val="right"/>
              <w:rPr>
                <w:szCs w:val="18"/>
              </w:rPr>
            </w:pPr>
            <w:r>
              <w:rPr>
                <w:szCs w:val="18"/>
              </w:rPr>
              <w:t>0</w:t>
            </w:r>
          </w:p>
        </w:tc>
        <w:tc>
          <w:tcPr>
            <w:tcW w:w="992" w:type="dxa"/>
            <w:shd w:val="clear" w:color="auto" w:fill="auto"/>
            <w:vAlign w:val="bottom"/>
          </w:tcPr>
          <w:p w14:paraId="21852D9B" w14:textId="1B7994C2" w:rsidR="00BF5C0F" w:rsidRPr="005204A6" w:rsidRDefault="000C2110">
            <w:pPr>
              <w:pStyle w:val="Tabelltext"/>
              <w:keepNext/>
              <w:jc w:val="right"/>
              <w:rPr>
                <w:szCs w:val="18"/>
              </w:rPr>
            </w:pPr>
            <w:r>
              <w:rPr>
                <w:szCs w:val="18"/>
              </w:rPr>
              <w:t>0,00265</w:t>
            </w:r>
          </w:p>
        </w:tc>
      </w:tr>
    </w:tbl>
    <w:p w14:paraId="321DA8D8" w14:textId="77777777" w:rsidR="009813E7" w:rsidRDefault="009813E7" w:rsidP="009813E7">
      <w:pPr>
        <w:pStyle w:val="ANormal"/>
      </w:pPr>
    </w:p>
    <w:p w14:paraId="4F7F9C9C" w14:textId="77777777" w:rsidR="001C026F" w:rsidRDefault="001C026F" w:rsidP="001C026F">
      <w:pPr>
        <w:pStyle w:val="RubrikB"/>
      </w:pPr>
      <w:bookmarkStart w:id="9" w:name="_Toc182991910"/>
      <w:r>
        <w:lastRenderedPageBreak/>
        <w:t>3. Förslagets konsekvenser</w:t>
      </w:r>
      <w:bookmarkEnd w:id="9"/>
    </w:p>
    <w:p w14:paraId="6DA7DCEB" w14:textId="77777777" w:rsidR="001C026F" w:rsidRDefault="001C026F" w:rsidP="001C026F">
      <w:pPr>
        <w:pStyle w:val="Rubrikmellanrum"/>
      </w:pPr>
    </w:p>
    <w:p w14:paraId="34C50259" w14:textId="34CE2F3D" w:rsidR="002E4D15" w:rsidRDefault="001C026F" w:rsidP="001C026F">
      <w:pPr>
        <w:pStyle w:val="ANormal"/>
      </w:pPr>
      <w:r>
        <w:t>Landskapsregeringens lagförslag har ekonomiska konsekvenser för kommunerna och för de skattskyldiga.</w:t>
      </w:r>
    </w:p>
    <w:p w14:paraId="34867B2D" w14:textId="14A1890A" w:rsidR="002E4D15" w:rsidRDefault="00D13451" w:rsidP="00A6200F">
      <w:pPr>
        <w:pStyle w:val="ANormal"/>
      </w:pPr>
      <w:r>
        <w:tab/>
        <w:t xml:space="preserve">I den </w:t>
      </w:r>
      <w:r w:rsidR="00DA013D">
        <w:t>tidigare nämnda</w:t>
      </w:r>
      <w:r>
        <w:t xml:space="preserve"> propositionen beskrivs effekterna av de två skatteåtgärder som påverkar samfundsbeskattningen på nationell nivå. </w:t>
      </w:r>
      <w:r w:rsidR="00A6200F">
        <w:t>Förlängningen av skattesubventionen för utsläppsfria tjänstebilar med fyra år uppskattas minska intäkterna av samfundsskatten med 9 miljoner euro 2026, varav statens andel är 7 miljoner euro och kommunernas andel 2 miljoner euro. Ändringen uppskattas minska intäkterna av samfundsskatten med 12 miljoner euro 2027, varav statens andel är 9 miljoner euro och kommunernas andel 3 miljoner euro. Ändringen uppskattas minska intäkterna av samfundsskatten med 17 miljoner euro 2028, varav statens andel är 13 miljoner euro och kommunernas andel 4 miljoner euro. Ändringen uppskattas minska intäkterna av samfundsskatten med 20 miljoner euro 2029, varav statens andel är 15 miljoner euro och kommunernas andel 5 miljoner euro.</w:t>
      </w:r>
      <w:r>
        <w:t xml:space="preserve"> </w:t>
      </w:r>
      <w:r w:rsidR="00A6200F">
        <w:t>Slopandet av arbetsgivarens utbildningsavdrag uppskattas öka intäkterna av samfundsskatten med cirka 12 miljoner euro 2025, varav statens andel är 9 miljoner euro och kommunernas andel 3 miljoner euro.</w:t>
      </w:r>
    </w:p>
    <w:p w14:paraId="6D44B4F7" w14:textId="57481693" w:rsidR="00A6200F" w:rsidRDefault="00D13451" w:rsidP="00A6200F">
      <w:pPr>
        <w:pStyle w:val="ANormal"/>
      </w:pPr>
      <w:r>
        <w:tab/>
      </w:r>
      <w:r w:rsidR="00A6200F">
        <w:t xml:space="preserve">De </w:t>
      </w:r>
      <w:r>
        <w:t xml:space="preserve">föreslagna </w:t>
      </w:r>
      <w:r w:rsidR="00A6200F">
        <w:t>ändringar</w:t>
      </w:r>
      <w:r>
        <w:t>na</w:t>
      </w:r>
      <w:r w:rsidR="00A6200F">
        <w:t xml:space="preserve"> i </w:t>
      </w:r>
      <w:r>
        <w:t>för</w:t>
      </w:r>
      <w:r w:rsidR="00A6200F">
        <w:t xml:space="preserve">delningen </w:t>
      </w:r>
      <w:r>
        <w:t>av samfundsskatten</w:t>
      </w:r>
      <w:r w:rsidR="00AB4779">
        <w:t xml:space="preserve"> mellan staten och kommunerna</w:t>
      </w:r>
      <w:r w:rsidR="00A6200F">
        <w:t xml:space="preserve"> minskar kommunernas skattein</w:t>
      </w:r>
      <w:r>
        <w:t>täk</w:t>
      </w:r>
      <w:r w:rsidR="00A6200F">
        <w:t>ter och ökar statens skattein</w:t>
      </w:r>
      <w:r>
        <w:t>täk</w:t>
      </w:r>
      <w:r w:rsidR="00A6200F">
        <w:t>ter åren 2025–2027 samt ökar kommunernas skattein</w:t>
      </w:r>
      <w:r>
        <w:t>täk</w:t>
      </w:r>
      <w:r w:rsidR="00A6200F">
        <w:t>ter och minskar statens skattein</w:t>
      </w:r>
      <w:r>
        <w:t>täk</w:t>
      </w:r>
      <w:r w:rsidR="00A6200F">
        <w:t xml:space="preserve">ter 2029 så att effekterna av förlängningen av skattesubventionen för utsläppsfria tjänstebilar och slopandet av arbetsgivarens utbildningsavdrag för intäkterna av samfundsskatten </w:t>
      </w:r>
      <w:r w:rsidR="00DA013D">
        <w:t>blir</w:t>
      </w:r>
      <w:r w:rsidR="00A6200F">
        <w:t xml:space="preserve"> neutrala för kommunerna.</w:t>
      </w:r>
      <w:r w:rsidR="00AB4779">
        <w:t xml:space="preserve"> Eftersom de ändringar som ingår i detta lagförslag motsvarar ändringarna av fördelningen mellan staten och kommunerna blir effekterna neutrala även för de åländska kommunerna.</w:t>
      </w:r>
    </w:p>
    <w:p w14:paraId="7FAC81EC" w14:textId="6A96B77F" w:rsidR="007140B1" w:rsidRDefault="00AB4779" w:rsidP="00A6200F">
      <w:pPr>
        <w:pStyle w:val="ANormal"/>
      </w:pPr>
      <w:r>
        <w:tab/>
        <w:t>För åländska företag och samfälligheter innebär förslaget att de totala skattesatserna kvarstår oförändrade på 20 respektive 26,5</w:t>
      </w:r>
      <w:r w:rsidR="005D4503">
        <w:t xml:space="preserve"> </w:t>
      </w:r>
      <w:r>
        <w:t>procent.</w:t>
      </w:r>
      <w:r w:rsidR="00520EAC">
        <w:t xml:space="preserve"> I tabellen nedan visas de totala skattesatserna ifall ingen ändring skulle göras:</w:t>
      </w:r>
    </w:p>
    <w:p w14:paraId="4D77D110" w14:textId="77777777" w:rsidR="007140B1" w:rsidRDefault="007140B1" w:rsidP="007140B1">
      <w:pPr>
        <w:pStyle w:val="ANormal"/>
      </w:pPr>
    </w:p>
    <w:p w14:paraId="089C2623" w14:textId="75F96EC8" w:rsidR="007140B1" w:rsidRDefault="007140B1" w:rsidP="007140B1">
      <w:pPr>
        <w:pStyle w:val="RubrikD"/>
      </w:pPr>
      <w:r>
        <w:t>Totala skattesatser för samfund och samfällda förmåner (%):</w:t>
      </w:r>
    </w:p>
    <w:p w14:paraId="696FBF97" w14:textId="77777777" w:rsidR="007140B1" w:rsidRPr="007A6E9F" w:rsidRDefault="007140B1" w:rsidP="007140B1">
      <w:pPr>
        <w:pStyle w:val="Rubrikmellanrum"/>
      </w:pPr>
    </w:p>
    <w:tbl>
      <w:tblPr>
        <w:tblStyle w:val="Tabellrutnt"/>
        <w:tblW w:w="6658" w:type="dxa"/>
        <w:tblLayout w:type="fixed"/>
        <w:tblLook w:val="04A0" w:firstRow="1" w:lastRow="0" w:firstColumn="1" w:lastColumn="0" w:noHBand="0" w:noVBand="1"/>
      </w:tblPr>
      <w:tblGrid>
        <w:gridCol w:w="1129"/>
        <w:gridCol w:w="921"/>
        <w:gridCol w:w="922"/>
        <w:gridCol w:w="921"/>
        <w:gridCol w:w="1064"/>
        <w:gridCol w:w="708"/>
        <w:gridCol w:w="993"/>
      </w:tblGrid>
      <w:tr w:rsidR="007140B1" w:rsidRPr="000854C3" w14:paraId="647486CE" w14:textId="77777777" w:rsidTr="004D770F">
        <w:trPr>
          <w:trHeight w:val="503"/>
        </w:trPr>
        <w:tc>
          <w:tcPr>
            <w:tcW w:w="1129" w:type="dxa"/>
            <w:vAlign w:val="bottom"/>
          </w:tcPr>
          <w:p w14:paraId="7F15EA81" w14:textId="3DC7532E" w:rsidR="007140B1" w:rsidRPr="007A6E9F" w:rsidRDefault="007140B1" w:rsidP="00B56424">
            <w:pPr>
              <w:pStyle w:val="Tabelltext"/>
              <w:keepNext/>
              <w:rPr>
                <w:bCs/>
              </w:rPr>
            </w:pPr>
          </w:p>
        </w:tc>
        <w:tc>
          <w:tcPr>
            <w:tcW w:w="921" w:type="dxa"/>
            <w:vAlign w:val="bottom"/>
          </w:tcPr>
          <w:p w14:paraId="06D2513A" w14:textId="7CD6CB60" w:rsidR="007140B1" w:rsidRPr="000854C3" w:rsidRDefault="007140B1" w:rsidP="00B56424">
            <w:pPr>
              <w:pStyle w:val="Tabelltext"/>
              <w:keepNext/>
              <w:jc w:val="center"/>
              <w:rPr>
                <w:b/>
              </w:rPr>
            </w:pPr>
            <w:r>
              <w:rPr>
                <w:b/>
              </w:rPr>
              <w:t>Permanent</w:t>
            </w:r>
          </w:p>
        </w:tc>
        <w:tc>
          <w:tcPr>
            <w:tcW w:w="922" w:type="dxa"/>
            <w:vAlign w:val="bottom"/>
          </w:tcPr>
          <w:p w14:paraId="4D82C302" w14:textId="130261F6" w:rsidR="007140B1" w:rsidRPr="000854C3" w:rsidRDefault="007140B1" w:rsidP="00B56424">
            <w:pPr>
              <w:pStyle w:val="Tabelltext"/>
              <w:keepNext/>
              <w:jc w:val="center"/>
              <w:rPr>
                <w:b/>
              </w:rPr>
            </w:pPr>
            <w:r w:rsidRPr="000854C3">
              <w:rPr>
                <w:b/>
              </w:rPr>
              <w:t>20</w:t>
            </w:r>
            <w:r>
              <w:rPr>
                <w:b/>
              </w:rPr>
              <w:t>25</w:t>
            </w:r>
          </w:p>
        </w:tc>
        <w:tc>
          <w:tcPr>
            <w:tcW w:w="921" w:type="dxa"/>
            <w:vAlign w:val="bottom"/>
          </w:tcPr>
          <w:p w14:paraId="2C80129F" w14:textId="68C6DE13" w:rsidR="007140B1" w:rsidRPr="000854C3" w:rsidRDefault="007140B1" w:rsidP="00B56424">
            <w:pPr>
              <w:pStyle w:val="Tabelltext"/>
              <w:keepNext/>
              <w:jc w:val="center"/>
              <w:rPr>
                <w:b/>
              </w:rPr>
            </w:pPr>
            <w:r w:rsidRPr="000854C3">
              <w:rPr>
                <w:b/>
              </w:rPr>
              <w:t>20</w:t>
            </w:r>
            <w:r>
              <w:rPr>
                <w:b/>
              </w:rPr>
              <w:t>26</w:t>
            </w:r>
          </w:p>
        </w:tc>
        <w:tc>
          <w:tcPr>
            <w:tcW w:w="1064" w:type="dxa"/>
            <w:vAlign w:val="bottom"/>
          </w:tcPr>
          <w:p w14:paraId="48573102" w14:textId="7D925456" w:rsidR="007140B1" w:rsidRPr="000854C3" w:rsidRDefault="007140B1" w:rsidP="00B56424">
            <w:pPr>
              <w:pStyle w:val="Tabelltext"/>
              <w:keepNext/>
              <w:jc w:val="center"/>
              <w:rPr>
                <w:b/>
              </w:rPr>
            </w:pPr>
            <w:r w:rsidRPr="000854C3">
              <w:rPr>
                <w:b/>
              </w:rPr>
              <w:t>20</w:t>
            </w:r>
            <w:r>
              <w:rPr>
                <w:b/>
              </w:rPr>
              <w:t>27</w:t>
            </w:r>
          </w:p>
        </w:tc>
        <w:tc>
          <w:tcPr>
            <w:tcW w:w="708" w:type="dxa"/>
            <w:vAlign w:val="bottom"/>
          </w:tcPr>
          <w:p w14:paraId="53FFEBFF" w14:textId="37718764" w:rsidR="007140B1" w:rsidRPr="000854C3" w:rsidRDefault="007140B1" w:rsidP="00B56424">
            <w:pPr>
              <w:pStyle w:val="Tabelltext"/>
              <w:keepNext/>
              <w:jc w:val="center"/>
              <w:rPr>
                <w:b/>
              </w:rPr>
            </w:pPr>
            <w:r w:rsidRPr="000854C3">
              <w:rPr>
                <w:b/>
              </w:rPr>
              <w:t>20</w:t>
            </w:r>
            <w:r>
              <w:rPr>
                <w:b/>
              </w:rPr>
              <w:t>28</w:t>
            </w:r>
          </w:p>
        </w:tc>
        <w:tc>
          <w:tcPr>
            <w:tcW w:w="993" w:type="dxa"/>
            <w:vAlign w:val="bottom"/>
          </w:tcPr>
          <w:p w14:paraId="1C0D8069" w14:textId="24DC61A9" w:rsidR="007140B1" w:rsidRPr="000854C3" w:rsidRDefault="007140B1" w:rsidP="00B56424">
            <w:pPr>
              <w:pStyle w:val="Tabelltext"/>
              <w:keepNext/>
              <w:jc w:val="center"/>
              <w:rPr>
                <w:b/>
              </w:rPr>
            </w:pPr>
            <w:r w:rsidRPr="000854C3">
              <w:rPr>
                <w:b/>
              </w:rPr>
              <w:t>20</w:t>
            </w:r>
            <w:r>
              <w:rPr>
                <w:b/>
              </w:rPr>
              <w:t>29</w:t>
            </w:r>
          </w:p>
        </w:tc>
      </w:tr>
      <w:tr w:rsidR="007140B1" w14:paraId="5516CEFC" w14:textId="77777777" w:rsidTr="004D770F">
        <w:trPr>
          <w:trHeight w:val="503"/>
        </w:trPr>
        <w:tc>
          <w:tcPr>
            <w:tcW w:w="1129" w:type="dxa"/>
            <w:vAlign w:val="bottom"/>
          </w:tcPr>
          <w:p w14:paraId="656488B1" w14:textId="36D3671F" w:rsidR="007140B1" w:rsidRDefault="007140B1" w:rsidP="00B56424">
            <w:pPr>
              <w:pStyle w:val="Tabelltext"/>
              <w:keepNext/>
            </w:pPr>
            <w:r>
              <w:t>Samfund</w:t>
            </w:r>
          </w:p>
        </w:tc>
        <w:tc>
          <w:tcPr>
            <w:tcW w:w="921" w:type="dxa"/>
            <w:shd w:val="clear" w:color="auto" w:fill="auto"/>
            <w:vAlign w:val="bottom"/>
          </w:tcPr>
          <w:p w14:paraId="5CDCD1CE" w14:textId="20735C06" w:rsidR="007140B1" w:rsidRPr="007140B1" w:rsidRDefault="007140B1" w:rsidP="00B56424">
            <w:pPr>
              <w:pStyle w:val="Tabelltext"/>
              <w:keepNext/>
              <w:jc w:val="right"/>
              <w:rPr>
                <w:szCs w:val="18"/>
              </w:rPr>
            </w:pPr>
            <w:r w:rsidRPr="007140B1">
              <w:rPr>
                <w:szCs w:val="18"/>
              </w:rPr>
              <w:t>20,008</w:t>
            </w:r>
          </w:p>
        </w:tc>
        <w:tc>
          <w:tcPr>
            <w:tcW w:w="922" w:type="dxa"/>
            <w:shd w:val="clear" w:color="auto" w:fill="auto"/>
            <w:vAlign w:val="bottom"/>
          </w:tcPr>
          <w:p w14:paraId="1E69AE12" w14:textId="1286C279" w:rsidR="007140B1" w:rsidRPr="007140B1" w:rsidRDefault="007140B1" w:rsidP="00B56424">
            <w:pPr>
              <w:pStyle w:val="Tabelltext"/>
              <w:keepNext/>
              <w:jc w:val="right"/>
              <w:rPr>
                <w:szCs w:val="18"/>
              </w:rPr>
            </w:pPr>
            <w:r w:rsidRPr="007140B1">
              <w:rPr>
                <w:szCs w:val="18"/>
              </w:rPr>
              <w:t>20,008</w:t>
            </w:r>
          </w:p>
        </w:tc>
        <w:tc>
          <w:tcPr>
            <w:tcW w:w="921" w:type="dxa"/>
            <w:shd w:val="clear" w:color="auto" w:fill="auto"/>
            <w:vAlign w:val="bottom"/>
          </w:tcPr>
          <w:p w14:paraId="5747A109" w14:textId="7D727963" w:rsidR="007140B1" w:rsidRPr="007140B1" w:rsidRDefault="007140B1" w:rsidP="00B56424">
            <w:pPr>
              <w:pStyle w:val="Tabelltext"/>
              <w:keepNext/>
              <w:jc w:val="right"/>
              <w:rPr>
                <w:szCs w:val="18"/>
              </w:rPr>
            </w:pPr>
            <w:r w:rsidRPr="007140B1">
              <w:rPr>
                <w:szCs w:val="18"/>
              </w:rPr>
              <w:t>20,004</w:t>
            </w:r>
          </w:p>
        </w:tc>
        <w:tc>
          <w:tcPr>
            <w:tcW w:w="1064" w:type="dxa"/>
            <w:shd w:val="clear" w:color="auto" w:fill="auto"/>
            <w:vAlign w:val="bottom"/>
          </w:tcPr>
          <w:p w14:paraId="71F9AE75" w14:textId="2B47C0F1" w:rsidR="007140B1" w:rsidRPr="007140B1" w:rsidRDefault="007140B1" w:rsidP="00B56424">
            <w:pPr>
              <w:pStyle w:val="Tabelltext"/>
              <w:keepNext/>
              <w:jc w:val="right"/>
              <w:rPr>
                <w:szCs w:val="18"/>
              </w:rPr>
            </w:pPr>
            <w:r w:rsidRPr="007140B1">
              <w:rPr>
                <w:szCs w:val="18"/>
              </w:rPr>
              <w:t>20,002</w:t>
            </w:r>
          </w:p>
        </w:tc>
        <w:tc>
          <w:tcPr>
            <w:tcW w:w="708" w:type="dxa"/>
            <w:shd w:val="clear" w:color="auto" w:fill="auto"/>
            <w:vAlign w:val="bottom"/>
          </w:tcPr>
          <w:p w14:paraId="12A6B6B1" w14:textId="15C7119C" w:rsidR="007140B1" w:rsidRPr="007140B1" w:rsidRDefault="007140B1" w:rsidP="00B56424">
            <w:pPr>
              <w:pStyle w:val="Tabelltext"/>
              <w:keepNext/>
              <w:jc w:val="right"/>
              <w:rPr>
                <w:szCs w:val="18"/>
              </w:rPr>
            </w:pPr>
            <w:r w:rsidRPr="007140B1">
              <w:rPr>
                <w:color w:val="000000"/>
                <w:szCs w:val="18"/>
              </w:rPr>
              <w:t>20</w:t>
            </w:r>
          </w:p>
        </w:tc>
        <w:tc>
          <w:tcPr>
            <w:tcW w:w="993" w:type="dxa"/>
            <w:shd w:val="clear" w:color="auto" w:fill="auto"/>
            <w:vAlign w:val="bottom"/>
          </w:tcPr>
          <w:p w14:paraId="20BB6544" w14:textId="780221CB" w:rsidR="007140B1" w:rsidRPr="007140B1" w:rsidRDefault="007140B1" w:rsidP="00B56424">
            <w:pPr>
              <w:pStyle w:val="Tabelltext"/>
              <w:keepNext/>
              <w:jc w:val="right"/>
              <w:rPr>
                <w:szCs w:val="18"/>
              </w:rPr>
            </w:pPr>
            <w:r w:rsidRPr="007140B1">
              <w:rPr>
                <w:szCs w:val="18"/>
              </w:rPr>
              <w:t>19,998</w:t>
            </w:r>
          </w:p>
        </w:tc>
      </w:tr>
      <w:tr w:rsidR="007140B1" w14:paraId="0FC22EA4" w14:textId="77777777" w:rsidTr="004D770F">
        <w:trPr>
          <w:trHeight w:val="503"/>
        </w:trPr>
        <w:tc>
          <w:tcPr>
            <w:tcW w:w="1129" w:type="dxa"/>
            <w:vAlign w:val="bottom"/>
          </w:tcPr>
          <w:p w14:paraId="670F7794" w14:textId="5D12C9C9" w:rsidR="007140B1" w:rsidRDefault="007140B1" w:rsidP="00B56424">
            <w:pPr>
              <w:pStyle w:val="Tabelltext"/>
              <w:keepNext/>
            </w:pPr>
            <w:r>
              <w:t>Samfällda förmåner</w:t>
            </w:r>
          </w:p>
        </w:tc>
        <w:tc>
          <w:tcPr>
            <w:tcW w:w="921" w:type="dxa"/>
            <w:shd w:val="clear" w:color="auto" w:fill="auto"/>
            <w:vAlign w:val="bottom"/>
          </w:tcPr>
          <w:p w14:paraId="576B6765" w14:textId="6DD92DAE" w:rsidR="007140B1" w:rsidRPr="007140B1" w:rsidRDefault="007140B1" w:rsidP="00B56424">
            <w:pPr>
              <w:pStyle w:val="Tabelltext"/>
              <w:keepNext/>
              <w:jc w:val="right"/>
              <w:rPr>
                <w:szCs w:val="18"/>
              </w:rPr>
            </w:pPr>
            <w:r w:rsidRPr="007140B1">
              <w:rPr>
                <w:szCs w:val="18"/>
              </w:rPr>
              <w:t>26,5106</w:t>
            </w:r>
          </w:p>
        </w:tc>
        <w:tc>
          <w:tcPr>
            <w:tcW w:w="922" w:type="dxa"/>
            <w:shd w:val="clear" w:color="auto" w:fill="auto"/>
            <w:vAlign w:val="bottom"/>
          </w:tcPr>
          <w:p w14:paraId="4E6A667B" w14:textId="2A3D421D" w:rsidR="007140B1" w:rsidRPr="007140B1" w:rsidRDefault="007140B1" w:rsidP="00B56424">
            <w:pPr>
              <w:pStyle w:val="Tabelltext"/>
              <w:keepNext/>
              <w:jc w:val="right"/>
              <w:rPr>
                <w:szCs w:val="18"/>
              </w:rPr>
            </w:pPr>
            <w:r w:rsidRPr="007140B1">
              <w:rPr>
                <w:color w:val="000000"/>
                <w:szCs w:val="18"/>
              </w:rPr>
              <w:t>26,5106</w:t>
            </w:r>
          </w:p>
        </w:tc>
        <w:tc>
          <w:tcPr>
            <w:tcW w:w="921" w:type="dxa"/>
            <w:shd w:val="clear" w:color="auto" w:fill="auto"/>
            <w:vAlign w:val="bottom"/>
          </w:tcPr>
          <w:p w14:paraId="62EA5FE3" w14:textId="1ECD4C5B" w:rsidR="007140B1" w:rsidRPr="007140B1" w:rsidRDefault="007140B1" w:rsidP="00B56424">
            <w:pPr>
              <w:pStyle w:val="Tabelltext"/>
              <w:keepNext/>
              <w:jc w:val="right"/>
              <w:rPr>
                <w:szCs w:val="18"/>
              </w:rPr>
            </w:pPr>
            <w:r w:rsidRPr="007140B1">
              <w:rPr>
                <w:color w:val="000000"/>
                <w:szCs w:val="18"/>
              </w:rPr>
              <w:t>26,5053</w:t>
            </w:r>
          </w:p>
        </w:tc>
        <w:tc>
          <w:tcPr>
            <w:tcW w:w="1064" w:type="dxa"/>
            <w:shd w:val="clear" w:color="auto" w:fill="auto"/>
            <w:vAlign w:val="bottom"/>
          </w:tcPr>
          <w:p w14:paraId="546D742F" w14:textId="54F3DE79" w:rsidR="007140B1" w:rsidRPr="007140B1" w:rsidRDefault="007140B1" w:rsidP="00B56424">
            <w:pPr>
              <w:pStyle w:val="Tabelltext"/>
              <w:keepNext/>
              <w:jc w:val="right"/>
              <w:rPr>
                <w:szCs w:val="18"/>
              </w:rPr>
            </w:pPr>
            <w:r w:rsidRPr="007140B1">
              <w:rPr>
                <w:color w:val="000000"/>
                <w:szCs w:val="18"/>
              </w:rPr>
              <w:t>26,50265</w:t>
            </w:r>
          </w:p>
        </w:tc>
        <w:tc>
          <w:tcPr>
            <w:tcW w:w="708" w:type="dxa"/>
            <w:shd w:val="clear" w:color="auto" w:fill="auto"/>
            <w:vAlign w:val="bottom"/>
          </w:tcPr>
          <w:p w14:paraId="060F1E6C" w14:textId="507872F2" w:rsidR="007140B1" w:rsidRPr="007140B1" w:rsidRDefault="007140B1" w:rsidP="00B56424">
            <w:pPr>
              <w:pStyle w:val="Tabelltext"/>
              <w:keepNext/>
              <w:jc w:val="right"/>
              <w:rPr>
                <w:szCs w:val="18"/>
              </w:rPr>
            </w:pPr>
            <w:r w:rsidRPr="007140B1">
              <w:rPr>
                <w:color w:val="000000"/>
                <w:szCs w:val="18"/>
              </w:rPr>
              <w:t>26,5</w:t>
            </w:r>
          </w:p>
        </w:tc>
        <w:tc>
          <w:tcPr>
            <w:tcW w:w="993" w:type="dxa"/>
            <w:shd w:val="clear" w:color="auto" w:fill="auto"/>
            <w:vAlign w:val="bottom"/>
          </w:tcPr>
          <w:p w14:paraId="0D0EC591" w14:textId="2F93D993" w:rsidR="007140B1" w:rsidRPr="007140B1" w:rsidRDefault="007140B1" w:rsidP="00B56424">
            <w:pPr>
              <w:pStyle w:val="Tabelltext"/>
              <w:keepNext/>
              <w:jc w:val="right"/>
              <w:rPr>
                <w:szCs w:val="18"/>
              </w:rPr>
            </w:pPr>
            <w:r w:rsidRPr="007140B1">
              <w:rPr>
                <w:color w:val="000000"/>
                <w:szCs w:val="18"/>
              </w:rPr>
              <w:t>26,49735</w:t>
            </w:r>
          </w:p>
        </w:tc>
      </w:tr>
    </w:tbl>
    <w:p w14:paraId="656F4B1D" w14:textId="77777777" w:rsidR="007140B1" w:rsidRDefault="007140B1" w:rsidP="007140B1">
      <w:pPr>
        <w:pStyle w:val="ANormal"/>
      </w:pPr>
    </w:p>
    <w:p w14:paraId="3451F8FB" w14:textId="77777777" w:rsidR="00805A84" w:rsidRDefault="00805A84" w:rsidP="00805A84">
      <w:pPr>
        <w:pStyle w:val="ANormal"/>
      </w:pPr>
    </w:p>
    <w:p w14:paraId="19F0FFB5" w14:textId="01442B8D" w:rsidR="00805A84" w:rsidRDefault="00805A84" w:rsidP="00805A84">
      <w:pPr>
        <w:pStyle w:val="RubrikB"/>
      </w:pPr>
      <w:bookmarkStart w:id="10" w:name="_Toc182991911"/>
      <w:r>
        <w:t>4. Beredning och ikraftträdande</w:t>
      </w:r>
      <w:bookmarkEnd w:id="10"/>
    </w:p>
    <w:p w14:paraId="6003D02B" w14:textId="77777777" w:rsidR="00805A84" w:rsidRDefault="00805A84" w:rsidP="00805A84">
      <w:pPr>
        <w:pStyle w:val="Rubrikmellanrum"/>
      </w:pPr>
    </w:p>
    <w:p w14:paraId="66F0D705" w14:textId="580C0154" w:rsidR="00B75071" w:rsidRDefault="00B75071" w:rsidP="00B75071">
      <w:pPr>
        <w:pStyle w:val="ANormal"/>
      </w:pPr>
      <w:r>
        <w:t xml:space="preserve">Förslaget har beretts vid lagberedningen. Med hänvisning till ärendets brådskande art </w:t>
      </w:r>
      <w:r w:rsidR="004A5D35">
        <w:t xml:space="preserve">och ringa effekter </w:t>
      </w:r>
      <w:r>
        <w:t>har förslaget inte skickats på någon remiss.</w:t>
      </w:r>
    </w:p>
    <w:p w14:paraId="6861739F" w14:textId="330A673E" w:rsidR="00912C52" w:rsidRDefault="00B75071" w:rsidP="00B75071">
      <w:pPr>
        <w:pStyle w:val="ANormal"/>
      </w:pPr>
      <w:r>
        <w:tab/>
        <w:t>De föreslagna lagändringarna är avsedda att tillämpas från och med kommunalbeskattningen för skatteåret 202</w:t>
      </w:r>
      <w:r w:rsidR="00912C52">
        <w:t>5</w:t>
      </w:r>
      <w:r>
        <w:t>, enligt förslaget ska de således tillämpas retroaktivt. Eftersom ändring</w:t>
      </w:r>
      <w:r w:rsidR="00142730">
        <w:t>en till den del den gäller 2025</w:t>
      </w:r>
      <w:r>
        <w:t xml:space="preserve"> är till de skattskyldigas fördel är retroaktiviteten inte s</w:t>
      </w:r>
      <w:r w:rsidR="004A5D35">
        <w:t>ärskilt</w:t>
      </w:r>
      <w:r>
        <w:t xml:space="preserve"> problematisk, även om skattelagstiftning i regel inte bör vara retroaktiv. Det är dock viktigt att de föreslagna ändringarna kan träda i kraft så snart som möjligt.</w:t>
      </w:r>
    </w:p>
    <w:p w14:paraId="755FF8E2" w14:textId="77777777" w:rsidR="00805A84" w:rsidRDefault="00805A84">
      <w:pPr>
        <w:pStyle w:val="ANormal"/>
      </w:pPr>
    </w:p>
    <w:p w14:paraId="327F4903" w14:textId="77777777" w:rsidR="00AF3004" w:rsidRDefault="00AF3004">
      <w:pPr>
        <w:pStyle w:val="ANormal"/>
      </w:pPr>
    </w:p>
    <w:p w14:paraId="5820CF3B" w14:textId="77777777" w:rsidR="00AF3004" w:rsidRDefault="00AF3004">
      <w:pPr>
        <w:pStyle w:val="RubrikA"/>
      </w:pPr>
      <w:r>
        <w:br w:type="page"/>
      </w:r>
      <w:bookmarkStart w:id="11" w:name="_Toc182991912"/>
      <w:r>
        <w:lastRenderedPageBreak/>
        <w:t>Lagtext</w:t>
      </w:r>
      <w:bookmarkEnd w:id="11"/>
    </w:p>
    <w:p w14:paraId="7DBAEDC9" w14:textId="77777777" w:rsidR="00AF3004" w:rsidRDefault="00AF3004">
      <w:pPr>
        <w:pStyle w:val="Rubrikmellanrum"/>
      </w:pPr>
    </w:p>
    <w:p w14:paraId="074132AE" w14:textId="77777777" w:rsidR="00AF3004" w:rsidRDefault="00AF3004">
      <w:pPr>
        <w:pStyle w:val="ANormal"/>
      </w:pPr>
      <w:r>
        <w:t>Landskapsregeringen föreslår att följande lag antas.</w:t>
      </w:r>
    </w:p>
    <w:p w14:paraId="06D51574" w14:textId="77777777" w:rsidR="008C1E81" w:rsidRDefault="008C1E81">
      <w:pPr>
        <w:pStyle w:val="ANormal"/>
      </w:pPr>
    </w:p>
    <w:p w14:paraId="6B41FE06" w14:textId="77777777" w:rsidR="00AF3004" w:rsidRDefault="00AF3004">
      <w:pPr>
        <w:pStyle w:val="ANormal"/>
      </w:pPr>
    </w:p>
    <w:p w14:paraId="6B921799" w14:textId="4229A230" w:rsidR="00AF3004" w:rsidRPr="005D4503" w:rsidRDefault="00AF3004">
      <w:pPr>
        <w:pStyle w:val="LagHuvRubr"/>
      </w:pPr>
      <w:bookmarkStart w:id="12" w:name="_Toc182991913"/>
      <w:r>
        <w:rPr>
          <w:lang w:val="en-GB"/>
        </w:rPr>
        <w:t>L A N D S K A P S L A G</w:t>
      </w:r>
      <w:r>
        <w:rPr>
          <w:lang w:val="en-GB"/>
        </w:rPr>
        <w:br/>
      </w:r>
      <w:r w:rsidRPr="005D4503">
        <w:t>om</w:t>
      </w:r>
      <w:r w:rsidR="008C1E81" w:rsidRPr="005D4503">
        <w:t xml:space="preserve"> ändring av 29 och 29f</w:t>
      </w:r>
      <w:r w:rsidR="005D4503" w:rsidRPr="005D4503">
        <w:t> §</w:t>
      </w:r>
      <w:r w:rsidR="008C1E81" w:rsidRPr="005D4503">
        <w:t>§ kommunalskattelagen för landskapet Åland</w:t>
      </w:r>
      <w:bookmarkEnd w:id="12"/>
    </w:p>
    <w:p w14:paraId="5EA03321" w14:textId="77777777" w:rsidR="00AF3004" w:rsidRDefault="00AF3004">
      <w:pPr>
        <w:pStyle w:val="ANormal"/>
        <w:rPr>
          <w:lang w:val="en-GB"/>
        </w:rPr>
      </w:pPr>
    </w:p>
    <w:p w14:paraId="42D65E37" w14:textId="14B9A97B" w:rsidR="00AF3004" w:rsidRDefault="00AF3004">
      <w:pPr>
        <w:pStyle w:val="ANormal"/>
      </w:pPr>
      <w:r>
        <w:tab/>
        <w:t xml:space="preserve">I enlighet med lagtingets beslut </w:t>
      </w:r>
      <w:r w:rsidR="009652A3" w:rsidRPr="0085749B">
        <w:rPr>
          <w:b/>
          <w:bCs/>
        </w:rPr>
        <w:t>ändras</w:t>
      </w:r>
      <w:r w:rsidR="009652A3">
        <w:t xml:space="preserve"> 29 och 29f</w:t>
      </w:r>
      <w:r w:rsidR="005D4503">
        <w:t> §</w:t>
      </w:r>
      <w:r w:rsidR="009652A3">
        <w:t>§ kommunalskattelagen (2011:119)</w:t>
      </w:r>
      <w:r w:rsidR="0085749B">
        <w:t xml:space="preserve"> för landskapet Åland, sådana de lyder i landskapslagen 2023/54, som följer:</w:t>
      </w:r>
    </w:p>
    <w:p w14:paraId="11FEC81C" w14:textId="77777777" w:rsidR="008955B4" w:rsidRDefault="008955B4">
      <w:pPr>
        <w:pStyle w:val="ANormal"/>
      </w:pPr>
    </w:p>
    <w:p w14:paraId="63B7F976" w14:textId="04E76B54" w:rsidR="008955B4" w:rsidRDefault="008955B4" w:rsidP="008955B4">
      <w:pPr>
        <w:pStyle w:val="LagParagraf"/>
      </w:pPr>
      <w:r>
        <w:t>29</w:t>
      </w:r>
      <w:r w:rsidR="005D4503">
        <w:t> §</w:t>
      </w:r>
    </w:p>
    <w:p w14:paraId="3E1DE473" w14:textId="7DE599B0" w:rsidR="008955B4" w:rsidRDefault="008955B4" w:rsidP="008955B4">
      <w:pPr>
        <w:pStyle w:val="LagPararubrik"/>
      </w:pPr>
      <w:r>
        <w:t>Kommunalskattesatsen för samfund och samfällda förmåner</w:t>
      </w:r>
    </w:p>
    <w:p w14:paraId="51112C50" w14:textId="7F9EB0A9" w:rsidR="008955B4" w:rsidRDefault="008955B4" w:rsidP="008955B4">
      <w:pPr>
        <w:pStyle w:val="ANormal"/>
      </w:pPr>
      <w:r>
        <w:tab/>
      </w:r>
      <w:r w:rsidRPr="008955B4">
        <w:t>Samfund ska på den beskattningsbara inkomsten betala 4,6</w:t>
      </w:r>
      <w:r w:rsidR="00347FA7">
        <w:t>72</w:t>
      </w:r>
      <w:r w:rsidRPr="008955B4">
        <w:t xml:space="preserve"> procent i kommunalskatt. Samfällda förmåner ska på den beskattningsbara inkomsten betala 6,</w:t>
      </w:r>
      <w:r w:rsidR="00347FA7">
        <w:t>1904</w:t>
      </w:r>
      <w:r w:rsidRPr="008955B4">
        <w:t xml:space="preserve"> procent i kommunalskatt.</w:t>
      </w:r>
    </w:p>
    <w:p w14:paraId="399B2D70" w14:textId="77777777" w:rsidR="008955B4" w:rsidRDefault="008955B4" w:rsidP="008955B4">
      <w:pPr>
        <w:pStyle w:val="ANormal"/>
      </w:pPr>
    </w:p>
    <w:p w14:paraId="375C8E99" w14:textId="3A1BCA47" w:rsidR="008955B4" w:rsidRDefault="008955B4" w:rsidP="008955B4">
      <w:pPr>
        <w:pStyle w:val="LagParagraf"/>
      </w:pPr>
      <w:r>
        <w:t>29f</w:t>
      </w:r>
      <w:r w:rsidR="005D4503">
        <w:t> §</w:t>
      </w:r>
    </w:p>
    <w:p w14:paraId="222997D4" w14:textId="345E8640" w:rsidR="008955B4" w:rsidRDefault="008955B4" w:rsidP="008955B4">
      <w:pPr>
        <w:pStyle w:val="LagPararubrik"/>
      </w:pPr>
      <w:r>
        <w:t>Kommunalskattesatsen för skatteåren 2020–2029</w:t>
      </w:r>
    </w:p>
    <w:p w14:paraId="50957A73" w14:textId="484925DF" w:rsidR="008955B4" w:rsidRDefault="008955B4" w:rsidP="008955B4">
      <w:pPr>
        <w:pStyle w:val="ANormal"/>
      </w:pPr>
      <w:r>
        <w:tab/>
        <w:t>Med avvikelse från 29</w:t>
      </w:r>
      <w:r w:rsidR="005D4503">
        <w:t> §</w:t>
      </w:r>
      <w:r>
        <w:t xml:space="preserve"> ska</w:t>
      </w:r>
    </w:p>
    <w:p w14:paraId="1581A8D6" w14:textId="43D0F00C" w:rsidR="008955B4" w:rsidRDefault="008955B4" w:rsidP="008955B4">
      <w:pPr>
        <w:pStyle w:val="ANormal"/>
      </w:pPr>
      <w:r>
        <w:tab/>
        <w:t>1) samfund betala 8,426 procent och samfällda förmåner 11,16445 procent i kommunalskatt på den beskattningsbara inkomsten vid beskattningen för skatteåret 2020,</w:t>
      </w:r>
    </w:p>
    <w:p w14:paraId="159C35CD" w14:textId="4195C9B0" w:rsidR="008955B4" w:rsidRDefault="008955B4" w:rsidP="008955B4">
      <w:pPr>
        <w:pStyle w:val="ANormal"/>
      </w:pPr>
      <w:r>
        <w:tab/>
        <w:t>2) samfund betala 8,868 procent och samfällda förmåner 11,7501 procent i kommunalskatt på den beskattningsbara inkomsten vid beskattningen för skatteåret 2021,</w:t>
      </w:r>
    </w:p>
    <w:p w14:paraId="41DC153C" w14:textId="2A6729CC" w:rsidR="008955B4" w:rsidRDefault="008955B4" w:rsidP="008955B4">
      <w:pPr>
        <w:pStyle w:val="ANormal"/>
      </w:pPr>
      <w:r>
        <w:tab/>
        <w:t>3) samfund betala 6,752 procent och samfällda förmåner 8,9464 procent i kommunalskatt på den beskattningsbara inkomsten vid beskattningen för skatteåret 2022,</w:t>
      </w:r>
    </w:p>
    <w:p w14:paraId="0AC2089C" w14:textId="52BB4E2D" w:rsidR="008955B4" w:rsidRDefault="008955B4" w:rsidP="008955B4">
      <w:pPr>
        <w:pStyle w:val="ANormal"/>
      </w:pPr>
      <w:r>
        <w:tab/>
        <w:t>4) samfund betala 4,782 procent och samfällda förmåner 6,33615 procent i kommunalskatt på den beskattningsbara inkomsten vid beskattningen för skatteåret 2023,</w:t>
      </w:r>
    </w:p>
    <w:p w14:paraId="7AB40300" w14:textId="76B2F0BB" w:rsidR="008955B4" w:rsidRDefault="008955B4" w:rsidP="008955B4">
      <w:pPr>
        <w:pStyle w:val="ANormal"/>
      </w:pPr>
      <w:r>
        <w:tab/>
        <w:t>5) samfund betala 4,738 procent och samfällda förmåner 6,27785 procent i kommunalskatt på den beskattningsbara inkomsten vid beskattningen för skatteåret 2024,</w:t>
      </w:r>
    </w:p>
    <w:p w14:paraId="588E89E0" w14:textId="6FA31E15" w:rsidR="008955B4" w:rsidRDefault="008955B4" w:rsidP="008955B4">
      <w:pPr>
        <w:pStyle w:val="ANormal"/>
      </w:pPr>
      <w:r>
        <w:tab/>
        <w:t>6) samfund betala 4,73 procent och samfällda förmåner 6,2</w:t>
      </w:r>
      <w:r w:rsidR="00347FA7">
        <w:t>672</w:t>
      </w:r>
      <w:r>
        <w:t>5 procent i kommunalskatt på den beskattningsbara inkomsten vid beskattningen för skatteåret 2025,</w:t>
      </w:r>
    </w:p>
    <w:p w14:paraId="5810A918" w14:textId="5343FE4A" w:rsidR="008955B4" w:rsidRDefault="008955B4" w:rsidP="008955B4">
      <w:pPr>
        <w:pStyle w:val="ANormal"/>
      </w:pPr>
      <w:r>
        <w:tab/>
        <w:t>7) samfund betala 4,58 procent och samfällda förmåner 6,0</w:t>
      </w:r>
      <w:r w:rsidR="00347FA7">
        <w:t>685</w:t>
      </w:r>
      <w:r>
        <w:t xml:space="preserve"> procent i kommunalskatt på den beskattningsbara inkomsten vid beskattningen för skatteåret 2026,</w:t>
      </w:r>
    </w:p>
    <w:p w14:paraId="68EA25BE" w14:textId="7FEF96C1" w:rsidR="008955B4" w:rsidRDefault="008955B4" w:rsidP="008955B4">
      <w:pPr>
        <w:pStyle w:val="ANormal"/>
      </w:pPr>
      <w:r>
        <w:tab/>
        <w:t>8) samfund betala 4,61 procent och samfällda förmåner 6,10</w:t>
      </w:r>
      <w:r w:rsidR="00347FA7">
        <w:t>825</w:t>
      </w:r>
      <w:r>
        <w:t xml:space="preserve"> procent i kommunalskatt på den beskattningsbara inkomsten vid beskattningen för skatteåret 2027,</w:t>
      </w:r>
    </w:p>
    <w:p w14:paraId="74D237F4" w14:textId="459AAE95" w:rsidR="008955B4" w:rsidRDefault="008955B4" w:rsidP="008955B4">
      <w:pPr>
        <w:pStyle w:val="ANormal"/>
      </w:pPr>
      <w:r>
        <w:tab/>
        <w:t>9) samfund betala 4,646 procent och samfällda förmåner 6,15595 procent i kommunalskatt på den beskattningsbara inkomsten vid beskattningen för skatteåret 2028,</w:t>
      </w:r>
    </w:p>
    <w:p w14:paraId="29281B43" w14:textId="35A0EF22" w:rsidR="008955B4" w:rsidRPr="008955B4" w:rsidRDefault="008955B4" w:rsidP="008955B4">
      <w:pPr>
        <w:pStyle w:val="ANormal"/>
      </w:pPr>
      <w:r>
        <w:tab/>
        <w:t>10) samfund betala 4,65</w:t>
      </w:r>
      <w:r w:rsidR="00347FA7">
        <w:t>6</w:t>
      </w:r>
      <w:r>
        <w:t xml:space="preserve"> procent och samfällda förmåner 6,16</w:t>
      </w:r>
      <w:r w:rsidR="00347FA7">
        <w:t>92</w:t>
      </w:r>
      <w:r>
        <w:t xml:space="preserve"> procent i kommunalskatt på den beskattningsbara inkomsten vid beskattningen för skatteåret 2029.</w:t>
      </w:r>
    </w:p>
    <w:p w14:paraId="753CF8B4" w14:textId="77777777" w:rsidR="00AF3004" w:rsidRDefault="00AF3004">
      <w:pPr>
        <w:pStyle w:val="ANormal"/>
        <w:jc w:val="center"/>
      </w:pPr>
      <w:hyperlink w:anchor="_top" w:tooltip="Klicka för att gå till toppen av dokumentet" w:history="1">
        <w:r>
          <w:rPr>
            <w:rStyle w:val="Hyperlnk"/>
          </w:rPr>
          <w:t>__________________</w:t>
        </w:r>
      </w:hyperlink>
    </w:p>
    <w:p w14:paraId="3F1E1890" w14:textId="77777777" w:rsidR="00AF3004" w:rsidRDefault="00AF3004">
      <w:pPr>
        <w:pStyle w:val="ANormal"/>
      </w:pPr>
    </w:p>
    <w:p w14:paraId="2490F09C" w14:textId="31A99851" w:rsidR="008955B4" w:rsidRDefault="008955B4" w:rsidP="008955B4">
      <w:pPr>
        <w:pStyle w:val="ANormal"/>
      </w:pPr>
      <w:r>
        <w:tab/>
        <w:t xml:space="preserve">Denna lag träder i kraft den …. </w:t>
      </w:r>
    </w:p>
    <w:p w14:paraId="512FEC24" w14:textId="7E18D0BE" w:rsidR="005461D0" w:rsidRDefault="005461D0" w:rsidP="008955B4">
      <w:pPr>
        <w:pStyle w:val="ANormal"/>
      </w:pPr>
      <w:r>
        <w:tab/>
        <w:t>Bestämmelserna i 29</w:t>
      </w:r>
      <w:r w:rsidR="005D4503">
        <w:t> §</w:t>
      </w:r>
      <w:r>
        <w:t xml:space="preserve"> tillämpas vid redovisningen av samfundsskatt från och med skatteåret 2030 och bestämmelserna i 29f</w:t>
      </w:r>
      <w:r w:rsidR="005D4503">
        <w:t> §</w:t>
      </w:r>
      <w:r>
        <w:t xml:space="preserve"> 6–10</w:t>
      </w:r>
      <w:r w:rsidR="005D4503">
        <w:t> punkt</w:t>
      </w:r>
      <w:r>
        <w:t xml:space="preserve">en vid </w:t>
      </w:r>
      <w:r>
        <w:lastRenderedPageBreak/>
        <w:t>redovisningar av samfundsskatt för skatteåren 2025–2029. Vid den första redovisningen av samfundsskatt till kommunerna efter att lagen har trätt i kraft rättas de redovisningar som gäller skatteåret 2025 så att de motsvarar denna lag.</w:t>
      </w:r>
    </w:p>
    <w:p w14:paraId="676B5ED2" w14:textId="77777777" w:rsidR="008955B4" w:rsidRDefault="008955B4" w:rsidP="008955B4">
      <w:pPr>
        <w:pStyle w:val="ANormal"/>
      </w:pPr>
    </w:p>
    <w:p w14:paraId="00A119DE" w14:textId="77777777" w:rsidR="00AF3004" w:rsidRDefault="00AF3004">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6283766D" w14:textId="77777777">
        <w:trPr>
          <w:cantSplit/>
        </w:trPr>
        <w:tc>
          <w:tcPr>
            <w:tcW w:w="7931" w:type="dxa"/>
            <w:gridSpan w:val="2"/>
          </w:tcPr>
          <w:p w14:paraId="3F6A0D0D" w14:textId="767D76A0" w:rsidR="00AF3004" w:rsidRDefault="00AF3004">
            <w:pPr>
              <w:pStyle w:val="ANormal"/>
              <w:keepNext/>
            </w:pPr>
            <w:r>
              <w:t xml:space="preserve">Mariehamn </w:t>
            </w:r>
            <w:r w:rsidR="006C2814">
              <w:t>den 21 november 2024</w:t>
            </w:r>
          </w:p>
        </w:tc>
      </w:tr>
      <w:tr w:rsidR="00AF3004" w14:paraId="31F9F762" w14:textId="77777777">
        <w:tc>
          <w:tcPr>
            <w:tcW w:w="4454" w:type="dxa"/>
            <w:vAlign w:val="bottom"/>
          </w:tcPr>
          <w:p w14:paraId="68631C92" w14:textId="77777777" w:rsidR="00AF3004" w:rsidRDefault="00AF3004">
            <w:pPr>
              <w:pStyle w:val="ANormal"/>
              <w:keepNext/>
            </w:pPr>
          </w:p>
          <w:p w14:paraId="3D4BF93C" w14:textId="77777777" w:rsidR="00AF3004" w:rsidRDefault="00AF3004">
            <w:pPr>
              <w:pStyle w:val="ANormal"/>
              <w:keepNext/>
            </w:pPr>
          </w:p>
          <w:p w14:paraId="26A557BA" w14:textId="77777777" w:rsidR="00AF3004" w:rsidRDefault="00AF3004">
            <w:pPr>
              <w:pStyle w:val="ANormal"/>
              <w:keepNext/>
            </w:pPr>
            <w:r>
              <w:t>L a n t r å d</w:t>
            </w:r>
          </w:p>
        </w:tc>
        <w:tc>
          <w:tcPr>
            <w:tcW w:w="3477" w:type="dxa"/>
            <w:vAlign w:val="bottom"/>
          </w:tcPr>
          <w:p w14:paraId="302347BF" w14:textId="77777777" w:rsidR="00AF3004" w:rsidRDefault="00AF3004">
            <w:pPr>
              <w:pStyle w:val="ANormal"/>
              <w:keepNext/>
            </w:pPr>
          </w:p>
          <w:p w14:paraId="548447AC" w14:textId="77777777" w:rsidR="00AF3004" w:rsidRDefault="00AF3004">
            <w:pPr>
              <w:pStyle w:val="ANormal"/>
              <w:keepNext/>
            </w:pPr>
          </w:p>
          <w:p w14:paraId="71BE70CA" w14:textId="646A6F8F" w:rsidR="00AF3004" w:rsidRDefault="00EA4736">
            <w:pPr>
              <w:pStyle w:val="ANormal"/>
              <w:keepNext/>
            </w:pPr>
            <w:r>
              <w:t>Katrin Sjögren</w:t>
            </w:r>
          </w:p>
        </w:tc>
      </w:tr>
      <w:tr w:rsidR="00AF3004" w14:paraId="6BC79304" w14:textId="77777777">
        <w:tc>
          <w:tcPr>
            <w:tcW w:w="4454" w:type="dxa"/>
            <w:vAlign w:val="bottom"/>
          </w:tcPr>
          <w:p w14:paraId="5D944A22" w14:textId="77777777" w:rsidR="00AF3004" w:rsidRDefault="00AF3004">
            <w:pPr>
              <w:pStyle w:val="ANormal"/>
              <w:keepNext/>
            </w:pPr>
          </w:p>
          <w:p w14:paraId="1CECEAE5" w14:textId="77777777" w:rsidR="00AF3004" w:rsidRDefault="00AF3004">
            <w:pPr>
              <w:pStyle w:val="ANormal"/>
              <w:keepNext/>
            </w:pPr>
          </w:p>
          <w:p w14:paraId="47FC2649" w14:textId="0E657DBA" w:rsidR="00AF3004" w:rsidRDefault="00AF3004">
            <w:pPr>
              <w:pStyle w:val="ANormal"/>
              <w:keepNext/>
            </w:pPr>
            <w:r>
              <w:t xml:space="preserve">Föredragande </w:t>
            </w:r>
            <w:r w:rsidR="00D70139">
              <w:t>minister</w:t>
            </w:r>
          </w:p>
        </w:tc>
        <w:tc>
          <w:tcPr>
            <w:tcW w:w="3477" w:type="dxa"/>
            <w:vAlign w:val="bottom"/>
          </w:tcPr>
          <w:p w14:paraId="2F55A938" w14:textId="77777777" w:rsidR="00AF3004" w:rsidRDefault="00AF3004">
            <w:pPr>
              <w:pStyle w:val="ANormal"/>
              <w:keepNext/>
            </w:pPr>
          </w:p>
          <w:p w14:paraId="04499600" w14:textId="77777777" w:rsidR="00AF3004" w:rsidRDefault="00AF3004">
            <w:pPr>
              <w:pStyle w:val="ANormal"/>
              <w:keepNext/>
            </w:pPr>
          </w:p>
          <w:p w14:paraId="160C2A83" w14:textId="1FB4AD4D" w:rsidR="00AF3004" w:rsidRDefault="00EA4736">
            <w:pPr>
              <w:pStyle w:val="ANormal"/>
              <w:keepNext/>
            </w:pPr>
            <w:r>
              <w:t xml:space="preserve">Mats </w:t>
            </w:r>
            <w:proofErr w:type="spellStart"/>
            <w:r>
              <w:t>Perämaa</w:t>
            </w:r>
            <w:proofErr w:type="spellEnd"/>
          </w:p>
        </w:tc>
      </w:tr>
    </w:tbl>
    <w:p w14:paraId="625FFFD4" w14:textId="77777777" w:rsidR="00AF3004" w:rsidRDefault="00AF3004">
      <w:pPr>
        <w:pStyle w:val="ANormal"/>
      </w:pPr>
    </w:p>
    <w:p w14:paraId="53D0CA2F" w14:textId="0BE94844" w:rsidR="005D4503" w:rsidRDefault="005D4503">
      <w:pPr>
        <w:rPr>
          <w:sz w:val="22"/>
          <w:szCs w:val="20"/>
        </w:rPr>
      </w:pPr>
      <w:r>
        <w:br w:type="page"/>
      </w:r>
    </w:p>
    <w:p w14:paraId="0F860E5B" w14:textId="6E9812BA" w:rsidR="005D4503" w:rsidRDefault="005D4503" w:rsidP="005D4503">
      <w:pPr>
        <w:pStyle w:val="RubrikA"/>
      </w:pPr>
      <w:bookmarkStart w:id="13" w:name="_Toc182991914"/>
      <w:r>
        <w:lastRenderedPageBreak/>
        <w:t>Parallelltexter</w:t>
      </w:r>
      <w:bookmarkEnd w:id="13"/>
    </w:p>
    <w:p w14:paraId="129EB75D" w14:textId="77777777" w:rsidR="00244024" w:rsidRDefault="00244024" w:rsidP="00244024">
      <w:pPr>
        <w:pStyle w:val="Rubrikmellanrum"/>
      </w:pPr>
    </w:p>
    <w:p w14:paraId="3F5AE33C" w14:textId="253E778B" w:rsidR="00244024" w:rsidRPr="00244024" w:rsidRDefault="00244024" w:rsidP="00244024">
      <w:pPr>
        <w:pStyle w:val="ArendeUnderRubrik"/>
      </w:pPr>
      <w:r>
        <w:t xml:space="preserve">Parallelltexter till landskapsregeringens lagförslag nr </w:t>
      </w:r>
      <w:r w:rsidR="006C2814">
        <w:t>8</w:t>
      </w:r>
      <w:r>
        <w:t>/</w:t>
      </w:r>
      <w:proofErr w:type="gramStart"/>
      <w:r>
        <w:t>2024-2025</w:t>
      </w:r>
      <w:proofErr w:type="gramEnd"/>
    </w:p>
    <w:sectPr w:rsidR="00244024" w:rsidRPr="00244024">
      <w:headerReference w:type="even" r:id="rId13"/>
      <w:headerReference w:type="default" r:id="rId14"/>
      <w:footerReference w:type="default" r:id="rId15"/>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E9DBC" w14:textId="77777777" w:rsidR="00B51ECF" w:rsidRDefault="00B51ECF">
      <w:r>
        <w:separator/>
      </w:r>
    </w:p>
  </w:endnote>
  <w:endnote w:type="continuationSeparator" w:id="0">
    <w:p w14:paraId="40865CFE" w14:textId="77777777" w:rsidR="00B51ECF" w:rsidRDefault="00B5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A65E3"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0E7F5" w14:textId="7B2E1AF3" w:rsidR="00AF3004" w:rsidRDefault="00244024">
    <w:pPr>
      <w:pStyle w:val="Sidfot"/>
      <w:rPr>
        <w:lang w:val="fi-FI"/>
      </w:rPr>
    </w:pPr>
    <w:r>
      <w:t>LF</w:t>
    </w:r>
    <w:r w:rsidR="006C2814">
      <w:t>08</w:t>
    </w:r>
    <w:r>
      <w:t>20242025.docx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D226A"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F642A" w14:textId="77777777" w:rsidR="00B51ECF" w:rsidRDefault="00B51ECF">
      <w:r>
        <w:separator/>
      </w:r>
    </w:p>
  </w:footnote>
  <w:footnote w:type="continuationSeparator" w:id="0">
    <w:p w14:paraId="511C051F" w14:textId="77777777" w:rsidR="00B51ECF" w:rsidRDefault="00B51ECF">
      <w:r>
        <w:continuationSeparator/>
      </w:r>
    </w:p>
  </w:footnote>
  <w:footnote w:id="1">
    <w:p w14:paraId="5E73135B" w14:textId="29BA85E0" w:rsidR="00911880" w:rsidRPr="00911880" w:rsidRDefault="00911880">
      <w:pPr>
        <w:pStyle w:val="Fotnotstext"/>
      </w:pPr>
      <w:r>
        <w:rPr>
          <w:rStyle w:val="Fotnotsreferens"/>
        </w:rPr>
        <w:footnoteRef/>
      </w:r>
      <w:r>
        <w:t xml:space="preserve"> RP 108/2024</w:t>
      </w:r>
    </w:p>
  </w:footnote>
  <w:footnote w:id="2">
    <w:p w14:paraId="497FE114" w14:textId="4D4470E3" w:rsidR="009C48A8" w:rsidRDefault="009C48A8">
      <w:pPr>
        <w:pStyle w:val="Fotnotstext"/>
      </w:pPr>
      <w:r>
        <w:rPr>
          <w:rStyle w:val="Fotnotsreferens"/>
        </w:rPr>
        <w:footnoteRef/>
      </w:r>
      <w:r>
        <w:t xml:space="preserve"> </w:t>
      </w:r>
      <w:r w:rsidR="002E4D15">
        <w:t>Med l</w:t>
      </w:r>
      <w:r>
        <w:t xml:space="preserve">ag 1301/2022 </w:t>
      </w:r>
      <w:r w:rsidR="002E4D15">
        <w:t xml:space="preserve">i tabellen </w:t>
      </w:r>
      <w:r>
        <w:t>avse</w:t>
      </w:r>
      <w:r w:rsidR="002E4D15">
        <w:t>s</w:t>
      </w:r>
      <w:r>
        <w:t xml:space="preserve"> FFS 1301/2022, där den nu gällande fördelningen anges.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A8850"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057C17F1"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46419"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46961943">
    <w:abstractNumId w:val="6"/>
  </w:num>
  <w:num w:numId="2" w16cid:durableId="1148326382">
    <w:abstractNumId w:val="3"/>
  </w:num>
  <w:num w:numId="3" w16cid:durableId="335496947">
    <w:abstractNumId w:val="2"/>
  </w:num>
  <w:num w:numId="4" w16cid:durableId="424041068">
    <w:abstractNumId w:val="1"/>
  </w:num>
  <w:num w:numId="5" w16cid:durableId="756512839">
    <w:abstractNumId w:val="0"/>
  </w:num>
  <w:num w:numId="6" w16cid:durableId="2083260196">
    <w:abstractNumId w:val="7"/>
  </w:num>
  <w:num w:numId="7" w16cid:durableId="352615591">
    <w:abstractNumId w:val="5"/>
  </w:num>
  <w:num w:numId="8" w16cid:durableId="1962226616">
    <w:abstractNumId w:val="4"/>
  </w:num>
  <w:num w:numId="9" w16cid:durableId="1603143541">
    <w:abstractNumId w:val="10"/>
  </w:num>
  <w:num w:numId="10" w16cid:durableId="1261336970">
    <w:abstractNumId w:val="13"/>
  </w:num>
  <w:num w:numId="11" w16cid:durableId="102195171">
    <w:abstractNumId w:val="12"/>
  </w:num>
  <w:num w:numId="12" w16cid:durableId="1608731156">
    <w:abstractNumId w:val="16"/>
  </w:num>
  <w:num w:numId="13" w16cid:durableId="321395612">
    <w:abstractNumId w:val="11"/>
  </w:num>
  <w:num w:numId="14" w16cid:durableId="1978991420">
    <w:abstractNumId w:val="15"/>
  </w:num>
  <w:num w:numId="15" w16cid:durableId="1127118362">
    <w:abstractNumId w:val="9"/>
  </w:num>
  <w:num w:numId="16" w16cid:durableId="243610317">
    <w:abstractNumId w:val="21"/>
  </w:num>
  <w:num w:numId="17" w16cid:durableId="426316738">
    <w:abstractNumId w:val="8"/>
  </w:num>
  <w:num w:numId="18" w16cid:durableId="1037661175">
    <w:abstractNumId w:val="17"/>
  </w:num>
  <w:num w:numId="19" w16cid:durableId="185027186">
    <w:abstractNumId w:val="20"/>
  </w:num>
  <w:num w:numId="20" w16cid:durableId="1120683022">
    <w:abstractNumId w:val="23"/>
  </w:num>
  <w:num w:numId="21" w16cid:durableId="48694540">
    <w:abstractNumId w:val="22"/>
  </w:num>
  <w:num w:numId="22" w16cid:durableId="1045838726">
    <w:abstractNumId w:val="14"/>
  </w:num>
  <w:num w:numId="23" w16cid:durableId="842432344">
    <w:abstractNumId w:val="18"/>
  </w:num>
  <w:num w:numId="24" w16cid:durableId="672686276">
    <w:abstractNumId w:val="18"/>
  </w:num>
  <w:num w:numId="25" w16cid:durableId="220215672">
    <w:abstractNumId w:val="19"/>
  </w:num>
  <w:num w:numId="26" w16cid:durableId="1713311371">
    <w:abstractNumId w:val="14"/>
  </w:num>
  <w:num w:numId="27" w16cid:durableId="448164998">
    <w:abstractNumId w:val="14"/>
  </w:num>
  <w:num w:numId="28" w16cid:durableId="2076925324">
    <w:abstractNumId w:val="14"/>
  </w:num>
  <w:num w:numId="29" w16cid:durableId="179784854">
    <w:abstractNumId w:val="14"/>
  </w:num>
  <w:num w:numId="30" w16cid:durableId="1618951779">
    <w:abstractNumId w:val="14"/>
  </w:num>
  <w:num w:numId="31" w16cid:durableId="322706680">
    <w:abstractNumId w:val="14"/>
  </w:num>
  <w:num w:numId="32" w16cid:durableId="209269853">
    <w:abstractNumId w:val="14"/>
  </w:num>
  <w:num w:numId="33" w16cid:durableId="399837112">
    <w:abstractNumId w:val="14"/>
  </w:num>
  <w:num w:numId="34" w16cid:durableId="999121264">
    <w:abstractNumId w:val="14"/>
  </w:num>
  <w:num w:numId="35" w16cid:durableId="1674868340">
    <w:abstractNumId w:val="18"/>
  </w:num>
  <w:num w:numId="36" w16cid:durableId="174734330">
    <w:abstractNumId w:val="19"/>
  </w:num>
  <w:num w:numId="37" w16cid:durableId="353919410">
    <w:abstractNumId w:val="14"/>
  </w:num>
  <w:num w:numId="38" w16cid:durableId="998384916">
    <w:abstractNumId w:val="14"/>
  </w:num>
  <w:num w:numId="39" w16cid:durableId="1007634124">
    <w:abstractNumId w:val="14"/>
  </w:num>
  <w:num w:numId="40" w16cid:durableId="819419771">
    <w:abstractNumId w:val="14"/>
  </w:num>
  <w:num w:numId="41" w16cid:durableId="1912350025">
    <w:abstractNumId w:val="14"/>
  </w:num>
  <w:num w:numId="42" w16cid:durableId="759374289">
    <w:abstractNumId w:val="14"/>
  </w:num>
  <w:num w:numId="43" w16cid:durableId="265894033">
    <w:abstractNumId w:val="14"/>
  </w:num>
  <w:num w:numId="44" w16cid:durableId="1180849041">
    <w:abstractNumId w:val="14"/>
  </w:num>
  <w:num w:numId="45" w16cid:durableId="5368160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39"/>
    <w:rsid w:val="00002302"/>
    <w:rsid w:val="00054FA7"/>
    <w:rsid w:val="000C2110"/>
    <w:rsid w:val="000D1652"/>
    <w:rsid w:val="00104D57"/>
    <w:rsid w:val="0011788C"/>
    <w:rsid w:val="00127489"/>
    <w:rsid w:val="00142730"/>
    <w:rsid w:val="001C026F"/>
    <w:rsid w:val="00202894"/>
    <w:rsid w:val="00210F2E"/>
    <w:rsid w:val="00244024"/>
    <w:rsid w:val="002528C5"/>
    <w:rsid w:val="002D0133"/>
    <w:rsid w:val="002E4D15"/>
    <w:rsid w:val="00311D86"/>
    <w:rsid w:val="00315471"/>
    <w:rsid w:val="00342FC4"/>
    <w:rsid w:val="00347FA7"/>
    <w:rsid w:val="00355460"/>
    <w:rsid w:val="00464E03"/>
    <w:rsid w:val="004A5D35"/>
    <w:rsid w:val="004A6BA1"/>
    <w:rsid w:val="004D770F"/>
    <w:rsid w:val="00510B28"/>
    <w:rsid w:val="00520EAC"/>
    <w:rsid w:val="005461D0"/>
    <w:rsid w:val="00567EC9"/>
    <w:rsid w:val="005800CD"/>
    <w:rsid w:val="005B63C7"/>
    <w:rsid w:val="005D4503"/>
    <w:rsid w:val="005F1DF9"/>
    <w:rsid w:val="005F5332"/>
    <w:rsid w:val="006848DB"/>
    <w:rsid w:val="006B633C"/>
    <w:rsid w:val="006C2814"/>
    <w:rsid w:val="007076D2"/>
    <w:rsid w:val="007140B1"/>
    <w:rsid w:val="00722128"/>
    <w:rsid w:val="00765D9A"/>
    <w:rsid w:val="00805A84"/>
    <w:rsid w:val="008450DA"/>
    <w:rsid w:val="0085749B"/>
    <w:rsid w:val="00865FAC"/>
    <w:rsid w:val="00887637"/>
    <w:rsid w:val="008955B4"/>
    <w:rsid w:val="008C1E81"/>
    <w:rsid w:val="008C78E7"/>
    <w:rsid w:val="00911880"/>
    <w:rsid w:val="00912C52"/>
    <w:rsid w:val="009652A3"/>
    <w:rsid w:val="009813E7"/>
    <w:rsid w:val="009C48A8"/>
    <w:rsid w:val="009D0B12"/>
    <w:rsid w:val="009F494E"/>
    <w:rsid w:val="00A32351"/>
    <w:rsid w:val="00A51FBB"/>
    <w:rsid w:val="00A57C8F"/>
    <w:rsid w:val="00A6200F"/>
    <w:rsid w:val="00AB4779"/>
    <w:rsid w:val="00AF3004"/>
    <w:rsid w:val="00B053CB"/>
    <w:rsid w:val="00B310FA"/>
    <w:rsid w:val="00B51ECF"/>
    <w:rsid w:val="00B60EF7"/>
    <w:rsid w:val="00B75071"/>
    <w:rsid w:val="00B932E3"/>
    <w:rsid w:val="00BB166C"/>
    <w:rsid w:val="00BF5C0F"/>
    <w:rsid w:val="00C56CA2"/>
    <w:rsid w:val="00C65601"/>
    <w:rsid w:val="00CA4267"/>
    <w:rsid w:val="00CC58EA"/>
    <w:rsid w:val="00D13451"/>
    <w:rsid w:val="00D41220"/>
    <w:rsid w:val="00D62BE4"/>
    <w:rsid w:val="00D70139"/>
    <w:rsid w:val="00DA013D"/>
    <w:rsid w:val="00DD5E39"/>
    <w:rsid w:val="00DE1D9D"/>
    <w:rsid w:val="00E625D4"/>
    <w:rsid w:val="00EA4736"/>
    <w:rsid w:val="00ED4C07"/>
    <w:rsid w:val="00EF61E3"/>
    <w:rsid w:val="00F50DB8"/>
    <w:rsid w:val="00F51968"/>
    <w:rsid w:val="00FC18D6"/>
    <w:rsid w:val="00FD12DB"/>
    <w:rsid w:val="00FD6449"/>
    <w:rsid w:val="00FE08EB"/>
    <w:rsid w:val="00FE213B"/>
    <w:rsid w:val="00FF29B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9C509"/>
  <w15:chartTrackingRefBased/>
  <w15:docId w15:val="{F9FD6D85-7D3B-45ED-9BB4-E431157A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968"/>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lang w:val="sv-FI"/>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lang w:val="sv-FI"/>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lang w:val="sv-FI"/>
    </w:rPr>
  </w:style>
  <w:style w:type="paragraph" w:styleId="Rubrik4">
    <w:name w:val="heading 4"/>
    <w:basedOn w:val="Normal"/>
    <w:next w:val="Normal"/>
    <w:qFormat/>
    <w:pPr>
      <w:keepNext/>
      <w:numPr>
        <w:ilvl w:val="3"/>
        <w:numId w:val="40"/>
      </w:numPr>
      <w:spacing w:before="240" w:after="60"/>
      <w:outlineLvl w:val="3"/>
    </w:pPr>
    <w:rPr>
      <w:b/>
      <w:bCs/>
      <w:sz w:val="28"/>
      <w:szCs w:val="28"/>
      <w:lang w:val="sv-FI"/>
    </w:rPr>
  </w:style>
  <w:style w:type="paragraph" w:styleId="Rubrik5">
    <w:name w:val="heading 5"/>
    <w:basedOn w:val="Normal"/>
    <w:next w:val="Normal"/>
    <w:qFormat/>
    <w:pPr>
      <w:numPr>
        <w:ilvl w:val="4"/>
        <w:numId w:val="41"/>
      </w:numPr>
      <w:spacing w:before="240" w:after="60"/>
      <w:outlineLvl w:val="4"/>
    </w:pPr>
    <w:rPr>
      <w:b/>
      <w:bCs/>
      <w:i/>
      <w:iCs/>
      <w:sz w:val="26"/>
      <w:szCs w:val="26"/>
      <w:lang w:val="sv-FI"/>
    </w:rPr>
  </w:style>
  <w:style w:type="paragraph" w:styleId="Rubrik6">
    <w:name w:val="heading 6"/>
    <w:basedOn w:val="Normal"/>
    <w:next w:val="Normal"/>
    <w:qFormat/>
    <w:pPr>
      <w:numPr>
        <w:ilvl w:val="5"/>
        <w:numId w:val="42"/>
      </w:numPr>
      <w:spacing w:before="240" w:after="60"/>
      <w:outlineLvl w:val="5"/>
    </w:pPr>
    <w:rPr>
      <w:b/>
      <w:bCs/>
      <w:sz w:val="22"/>
      <w:szCs w:val="22"/>
      <w:lang w:val="sv-FI"/>
    </w:rPr>
  </w:style>
  <w:style w:type="paragraph" w:styleId="Rubrik7">
    <w:name w:val="heading 7"/>
    <w:basedOn w:val="Normal"/>
    <w:next w:val="Normal"/>
    <w:qFormat/>
    <w:pPr>
      <w:numPr>
        <w:ilvl w:val="6"/>
        <w:numId w:val="43"/>
      </w:numPr>
      <w:spacing w:before="240" w:after="60"/>
      <w:outlineLvl w:val="6"/>
    </w:pPr>
    <w:rPr>
      <w:lang w:val="sv-FI"/>
    </w:rPr>
  </w:style>
  <w:style w:type="paragraph" w:styleId="Rubrik8">
    <w:name w:val="heading 8"/>
    <w:basedOn w:val="Normal"/>
    <w:next w:val="Normal"/>
    <w:qFormat/>
    <w:pPr>
      <w:numPr>
        <w:ilvl w:val="7"/>
        <w:numId w:val="44"/>
      </w:numPr>
      <w:spacing w:before="240" w:after="60"/>
      <w:outlineLvl w:val="7"/>
    </w:pPr>
    <w:rPr>
      <w:i/>
      <w:iCs/>
      <w:lang w:val="sv-FI"/>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lang w:val="sv-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rPr>
      <w:lang w:val="sv-FI"/>
    </w:rPr>
  </w:style>
  <w:style w:type="paragraph" w:styleId="Brdtextmedindrag">
    <w:name w:val="Body Text Indent"/>
    <w:basedOn w:val="Normal"/>
    <w:semiHidden/>
    <w:pPr>
      <w:spacing w:after="120"/>
      <w:ind w:left="283"/>
    </w:pPr>
    <w:rPr>
      <w:lang w:val="sv-FI"/>
    </w:r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lang w:val="sv-FI"/>
    </w:rPr>
  </w:style>
  <w:style w:type="paragraph" w:styleId="Sidfot">
    <w:name w:val="footer"/>
    <w:basedOn w:val="Normal"/>
    <w:semiHidden/>
    <w:pPr>
      <w:tabs>
        <w:tab w:val="right" w:pos="8165"/>
      </w:tabs>
    </w:pPr>
    <w:rPr>
      <w:rFonts w:ascii="Verdana" w:hAnsi="Verdana" w:cs="Arial"/>
      <w:sz w:val="14"/>
      <w:lang w:val="sv-FI"/>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rPr>
      <w:lang w:val="sv-FI"/>
    </w:r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rPr>
      <w:lang w:val="sv-FI"/>
    </w:rPr>
  </w:style>
  <w:style w:type="paragraph" w:styleId="Innehll6">
    <w:name w:val="toc 6"/>
    <w:basedOn w:val="Normal"/>
    <w:next w:val="Normal"/>
    <w:autoRedefine/>
    <w:semiHidden/>
    <w:pPr>
      <w:ind w:left="1200"/>
    </w:pPr>
    <w:rPr>
      <w:lang w:val="sv-FI"/>
    </w:rPr>
  </w:style>
  <w:style w:type="paragraph" w:styleId="Innehll7">
    <w:name w:val="toc 7"/>
    <w:basedOn w:val="Normal"/>
    <w:next w:val="Normal"/>
    <w:autoRedefine/>
    <w:semiHidden/>
    <w:pPr>
      <w:ind w:left="1440"/>
    </w:pPr>
    <w:rPr>
      <w:lang w:val="sv-FI"/>
    </w:rPr>
  </w:style>
  <w:style w:type="paragraph" w:styleId="Innehll8">
    <w:name w:val="toc 8"/>
    <w:basedOn w:val="Normal"/>
    <w:next w:val="Normal"/>
    <w:autoRedefine/>
    <w:semiHidden/>
    <w:pPr>
      <w:ind w:left="1680"/>
    </w:pPr>
    <w:rPr>
      <w:lang w:val="sv-FI"/>
    </w:rPr>
  </w:style>
  <w:style w:type="paragraph" w:styleId="Innehll9">
    <w:name w:val="toc 9"/>
    <w:basedOn w:val="Normal"/>
    <w:next w:val="Normal"/>
    <w:autoRedefine/>
    <w:semiHidden/>
    <w:pPr>
      <w:ind w:left="1920"/>
    </w:pPr>
    <w:rPr>
      <w:lang w:val="sv-FI"/>
    </w:r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Fotnotstext">
    <w:name w:val="footnote text"/>
    <w:basedOn w:val="Normal"/>
    <w:link w:val="FotnotstextChar"/>
    <w:uiPriority w:val="99"/>
    <w:semiHidden/>
    <w:unhideWhenUsed/>
    <w:rsid w:val="00911880"/>
    <w:rPr>
      <w:sz w:val="20"/>
      <w:szCs w:val="20"/>
      <w:lang w:val="sv-FI"/>
    </w:rPr>
  </w:style>
  <w:style w:type="character" w:customStyle="1" w:styleId="FotnotstextChar">
    <w:name w:val="Fotnotstext Char"/>
    <w:basedOn w:val="Standardstycketeckensnitt"/>
    <w:link w:val="Fotnotstext"/>
    <w:uiPriority w:val="99"/>
    <w:semiHidden/>
    <w:rsid w:val="00911880"/>
    <w:rPr>
      <w:lang w:val="sv-SE" w:eastAsia="sv-SE"/>
    </w:rPr>
  </w:style>
  <w:style w:type="character" w:styleId="Fotnotsreferens">
    <w:name w:val="footnote reference"/>
    <w:basedOn w:val="Standardstycketeckensnitt"/>
    <w:uiPriority w:val="99"/>
    <w:semiHidden/>
    <w:unhideWhenUsed/>
    <w:rsid w:val="00911880"/>
    <w:rPr>
      <w:vertAlign w:val="superscript"/>
    </w:rPr>
  </w:style>
  <w:style w:type="table" w:styleId="Tabellrutnt">
    <w:name w:val="Table Grid"/>
    <w:basedOn w:val="Normaltabell"/>
    <w:uiPriority w:val="59"/>
    <w:rsid w:val="0088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11970-AF92-440F-9465-2F021D18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0</TotalTime>
  <Pages>8</Pages>
  <Words>1595</Words>
  <Characters>10940</Characters>
  <Application>Microsoft Office Word</Application>
  <DocSecurity>0</DocSecurity>
  <Lines>91</Lines>
  <Paragraphs>25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12510</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Diana Lönngren</dc:creator>
  <cp:keywords/>
  <dc:description/>
  <cp:lastModifiedBy>Jessica Laaksonen</cp:lastModifiedBy>
  <cp:revision>2</cp:revision>
  <cp:lastPrinted>2024-11-20T08:06:00Z</cp:lastPrinted>
  <dcterms:created xsi:type="dcterms:W3CDTF">2024-11-21T11:05:00Z</dcterms:created>
  <dcterms:modified xsi:type="dcterms:W3CDTF">2024-11-21T11:05:00Z</dcterms:modified>
</cp:coreProperties>
</file>