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AF3004" w14:paraId="26F7F880" w14:textId="77777777">
        <w:trPr>
          <w:cantSplit/>
          <w:trHeight w:val="20"/>
        </w:trPr>
        <w:tc>
          <w:tcPr>
            <w:tcW w:w="861" w:type="dxa"/>
            <w:vMerge w:val="restart"/>
          </w:tcPr>
          <w:p w14:paraId="19350C82" w14:textId="058B5D6A" w:rsidR="00AF3004" w:rsidRDefault="00862861">
            <w:pPr>
              <w:pStyle w:val="xLedtext"/>
              <w:keepNext/>
              <w:rPr>
                <w:noProof/>
              </w:rPr>
            </w:pPr>
            <w:r>
              <w:rPr>
                <w:noProof/>
                <w:sz w:val="20"/>
              </w:rPr>
              <w:drawing>
                <wp:anchor distT="0" distB="0" distL="114300" distR="114300" simplePos="0" relativeHeight="251657728" behindDoc="0" locked="0" layoutInCell="1" allowOverlap="1" wp14:anchorId="1D43F044" wp14:editId="4E8B5AA3">
                  <wp:simplePos x="0" y="0"/>
                  <wp:positionH relativeFrom="column">
                    <wp:posOffset>-31115</wp:posOffset>
                  </wp:positionH>
                  <wp:positionV relativeFrom="paragraph">
                    <wp:posOffset>635</wp:posOffset>
                  </wp:positionV>
                  <wp:extent cx="2647950" cy="6858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232D969E" w14:textId="4F0B56F4" w:rsidR="00AF3004" w:rsidRDefault="00862861">
            <w:pPr>
              <w:pStyle w:val="xMellanrum"/>
            </w:pPr>
            <w:r>
              <w:rPr>
                <w:noProof/>
              </w:rPr>
              <w:drawing>
                <wp:inline distT="0" distB="0" distL="0" distR="0" wp14:anchorId="52651C75" wp14:editId="05EF7941">
                  <wp:extent cx="47625" cy="476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F3004" w14:paraId="523D1BC5" w14:textId="77777777">
        <w:trPr>
          <w:cantSplit/>
          <w:trHeight w:val="299"/>
        </w:trPr>
        <w:tc>
          <w:tcPr>
            <w:tcW w:w="861" w:type="dxa"/>
            <w:vMerge/>
          </w:tcPr>
          <w:p w14:paraId="12051CD2" w14:textId="77777777" w:rsidR="00AF3004" w:rsidRDefault="00AF3004">
            <w:pPr>
              <w:pStyle w:val="xLedtext"/>
            </w:pPr>
          </w:p>
        </w:tc>
        <w:tc>
          <w:tcPr>
            <w:tcW w:w="4448" w:type="dxa"/>
            <w:vAlign w:val="bottom"/>
          </w:tcPr>
          <w:p w14:paraId="692F615A" w14:textId="77777777" w:rsidR="00AF3004" w:rsidRDefault="00AF3004">
            <w:pPr>
              <w:pStyle w:val="xAvsandare1"/>
            </w:pPr>
          </w:p>
        </w:tc>
        <w:tc>
          <w:tcPr>
            <w:tcW w:w="4288" w:type="dxa"/>
            <w:gridSpan w:val="2"/>
            <w:vAlign w:val="bottom"/>
          </w:tcPr>
          <w:p w14:paraId="59B6BB52" w14:textId="32ED0DC3" w:rsidR="00AF3004" w:rsidRDefault="00862861">
            <w:pPr>
              <w:pStyle w:val="xDokTypNr"/>
            </w:pPr>
            <w:r>
              <w:t>LAGFÖRSLAG</w:t>
            </w:r>
            <w:r w:rsidR="00AF3004">
              <w:t xml:space="preserve"> nr </w:t>
            </w:r>
            <w:r w:rsidR="00565693">
              <w:t>6</w:t>
            </w:r>
            <w:r w:rsidR="00AF3004">
              <w:t>/</w:t>
            </w:r>
            <w:r>
              <w:t>2024–2025</w:t>
            </w:r>
          </w:p>
        </w:tc>
      </w:tr>
      <w:tr w:rsidR="00AF3004" w14:paraId="64BE52A4" w14:textId="77777777">
        <w:trPr>
          <w:cantSplit/>
          <w:trHeight w:val="238"/>
        </w:trPr>
        <w:tc>
          <w:tcPr>
            <w:tcW w:w="861" w:type="dxa"/>
            <w:vMerge/>
          </w:tcPr>
          <w:p w14:paraId="0D5F2C63" w14:textId="77777777" w:rsidR="00AF3004" w:rsidRDefault="00AF3004">
            <w:pPr>
              <w:pStyle w:val="xLedtext"/>
            </w:pPr>
          </w:p>
        </w:tc>
        <w:tc>
          <w:tcPr>
            <w:tcW w:w="4448" w:type="dxa"/>
            <w:vAlign w:val="bottom"/>
          </w:tcPr>
          <w:p w14:paraId="173680F3" w14:textId="77777777" w:rsidR="00AF3004" w:rsidRDefault="00AF3004">
            <w:pPr>
              <w:pStyle w:val="xLedtext"/>
            </w:pPr>
          </w:p>
        </w:tc>
        <w:tc>
          <w:tcPr>
            <w:tcW w:w="1725" w:type="dxa"/>
            <w:vAlign w:val="bottom"/>
          </w:tcPr>
          <w:p w14:paraId="20FD997C" w14:textId="77777777" w:rsidR="00AF3004" w:rsidRDefault="00AF3004">
            <w:pPr>
              <w:pStyle w:val="xLedtext"/>
              <w:rPr>
                <w:lang w:val="de-DE"/>
              </w:rPr>
            </w:pPr>
            <w:r>
              <w:rPr>
                <w:lang w:val="de-DE"/>
              </w:rPr>
              <w:t>Datum</w:t>
            </w:r>
          </w:p>
        </w:tc>
        <w:tc>
          <w:tcPr>
            <w:tcW w:w="2563" w:type="dxa"/>
            <w:vAlign w:val="bottom"/>
          </w:tcPr>
          <w:p w14:paraId="3BF5EE28" w14:textId="77777777" w:rsidR="00AF3004" w:rsidRDefault="00AF3004">
            <w:pPr>
              <w:pStyle w:val="xLedtext"/>
              <w:rPr>
                <w:lang w:val="de-DE"/>
              </w:rPr>
            </w:pPr>
          </w:p>
        </w:tc>
      </w:tr>
      <w:tr w:rsidR="00AF3004" w14:paraId="41FC0067" w14:textId="77777777">
        <w:trPr>
          <w:cantSplit/>
          <w:trHeight w:val="238"/>
        </w:trPr>
        <w:tc>
          <w:tcPr>
            <w:tcW w:w="861" w:type="dxa"/>
            <w:vMerge/>
          </w:tcPr>
          <w:p w14:paraId="74753CCF" w14:textId="77777777" w:rsidR="00AF3004" w:rsidRDefault="00AF3004">
            <w:pPr>
              <w:pStyle w:val="xAvsandare2"/>
              <w:rPr>
                <w:lang w:val="de-DE"/>
              </w:rPr>
            </w:pPr>
          </w:p>
        </w:tc>
        <w:tc>
          <w:tcPr>
            <w:tcW w:w="4448" w:type="dxa"/>
            <w:vAlign w:val="center"/>
          </w:tcPr>
          <w:p w14:paraId="50AACC3B" w14:textId="77777777" w:rsidR="00AF3004" w:rsidRDefault="00AF3004">
            <w:pPr>
              <w:pStyle w:val="xAvsandare2"/>
              <w:rPr>
                <w:lang w:val="de-DE"/>
              </w:rPr>
            </w:pPr>
          </w:p>
        </w:tc>
        <w:tc>
          <w:tcPr>
            <w:tcW w:w="1725" w:type="dxa"/>
            <w:vAlign w:val="center"/>
          </w:tcPr>
          <w:p w14:paraId="4369D72A" w14:textId="37375092" w:rsidR="00AF3004" w:rsidRDefault="00AF3004">
            <w:pPr>
              <w:pStyle w:val="xDatum1"/>
              <w:rPr>
                <w:lang w:val="de-DE"/>
              </w:rPr>
            </w:pPr>
            <w:r>
              <w:rPr>
                <w:lang w:val="de-DE"/>
              </w:rPr>
              <w:t>20</w:t>
            </w:r>
            <w:r w:rsidR="00862861">
              <w:rPr>
                <w:lang w:val="de-DE"/>
              </w:rPr>
              <w:t>24</w:t>
            </w:r>
            <w:r>
              <w:rPr>
                <w:lang w:val="de-DE"/>
              </w:rPr>
              <w:t>-</w:t>
            </w:r>
            <w:r w:rsidR="00565693">
              <w:rPr>
                <w:lang w:val="de-DE"/>
              </w:rPr>
              <w:t>11</w:t>
            </w:r>
            <w:r>
              <w:rPr>
                <w:lang w:val="de-DE"/>
              </w:rPr>
              <w:t>-</w:t>
            </w:r>
            <w:r w:rsidR="00565693">
              <w:rPr>
                <w:lang w:val="de-DE"/>
              </w:rPr>
              <w:t>14</w:t>
            </w:r>
          </w:p>
        </w:tc>
        <w:tc>
          <w:tcPr>
            <w:tcW w:w="2563" w:type="dxa"/>
            <w:vAlign w:val="center"/>
          </w:tcPr>
          <w:p w14:paraId="4E703708" w14:textId="77777777" w:rsidR="00AF3004" w:rsidRDefault="00AF3004">
            <w:pPr>
              <w:pStyle w:val="xBeteckning1"/>
              <w:rPr>
                <w:lang w:val="de-DE"/>
              </w:rPr>
            </w:pPr>
          </w:p>
        </w:tc>
      </w:tr>
      <w:tr w:rsidR="00AF3004" w14:paraId="035248E5" w14:textId="77777777">
        <w:trPr>
          <w:cantSplit/>
          <w:trHeight w:val="238"/>
        </w:trPr>
        <w:tc>
          <w:tcPr>
            <w:tcW w:w="861" w:type="dxa"/>
            <w:vMerge/>
          </w:tcPr>
          <w:p w14:paraId="7BA848BB" w14:textId="77777777" w:rsidR="00AF3004" w:rsidRDefault="00AF3004">
            <w:pPr>
              <w:pStyle w:val="xLedtext"/>
              <w:rPr>
                <w:lang w:val="de-DE"/>
              </w:rPr>
            </w:pPr>
          </w:p>
        </w:tc>
        <w:tc>
          <w:tcPr>
            <w:tcW w:w="4448" w:type="dxa"/>
            <w:vAlign w:val="bottom"/>
          </w:tcPr>
          <w:p w14:paraId="01FB1B8F" w14:textId="77777777" w:rsidR="00AF3004" w:rsidRDefault="00AF3004">
            <w:pPr>
              <w:pStyle w:val="xLedtext"/>
              <w:rPr>
                <w:lang w:val="de-DE"/>
              </w:rPr>
            </w:pPr>
          </w:p>
        </w:tc>
        <w:tc>
          <w:tcPr>
            <w:tcW w:w="1725" w:type="dxa"/>
            <w:vAlign w:val="bottom"/>
          </w:tcPr>
          <w:p w14:paraId="195CE68A" w14:textId="77777777" w:rsidR="00AF3004" w:rsidRDefault="00AF3004">
            <w:pPr>
              <w:pStyle w:val="xLedtext"/>
              <w:rPr>
                <w:lang w:val="de-DE"/>
              </w:rPr>
            </w:pPr>
          </w:p>
        </w:tc>
        <w:tc>
          <w:tcPr>
            <w:tcW w:w="2563" w:type="dxa"/>
            <w:vAlign w:val="bottom"/>
          </w:tcPr>
          <w:p w14:paraId="1C04E858" w14:textId="77777777" w:rsidR="00AF3004" w:rsidRDefault="00AF3004">
            <w:pPr>
              <w:pStyle w:val="xLedtext"/>
              <w:rPr>
                <w:lang w:val="de-DE"/>
              </w:rPr>
            </w:pPr>
          </w:p>
        </w:tc>
      </w:tr>
      <w:tr w:rsidR="00AF3004" w14:paraId="1776CAFC" w14:textId="77777777">
        <w:trPr>
          <w:cantSplit/>
          <w:trHeight w:val="238"/>
        </w:trPr>
        <w:tc>
          <w:tcPr>
            <w:tcW w:w="861" w:type="dxa"/>
            <w:vMerge/>
            <w:tcBorders>
              <w:bottom w:val="single" w:sz="4" w:space="0" w:color="auto"/>
            </w:tcBorders>
          </w:tcPr>
          <w:p w14:paraId="06C33344" w14:textId="77777777" w:rsidR="00AF3004" w:rsidRDefault="00AF3004">
            <w:pPr>
              <w:pStyle w:val="xAvsandare3"/>
              <w:rPr>
                <w:lang w:val="de-DE"/>
              </w:rPr>
            </w:pPr>
          </w:p>
        </w:tc>
        <w:tc>
          <w:tcPr>
            <w:tcW w:w="4448" w:type="dxa"/>
            <w:tcBorders>
              <w:bottom w:val="single" w:sz="4" w:space="0" w:color="auto"/>
            </w:tcBorders>
            <w:vAlign w:val="center"/>
          </w:tcPr>
          <w:p w14:paraId="0992626B" w14:textId="77777777" w:rsidR="00AF3004" w:rsidRDefault="00AF3004">
            <w:pPr>
              <w:pStyle w:val="xAvsandare3"/>
              <w:rPr>
                <w:lang w:val="de-DE"/>
              </w:rPr>
            </w:pPr>
          </w:p>
        </w:tc>
        <w:tc>
          <w:tcPr>
            <w:tcW w:w="1725" w:type="dxa"/>
            <w:tcBorders>
              <w:bottom w:val="single" w:sz="4" w:space="0" w:color="auto"/>
            </w:tcBorders>
            <w:vAlign w:val="center"/>
          </w:tcPr>
          <w:p w14:paraId="4FD65B82" w14:textId="77777777" w:rsidR="00AF3004" w:rsidRDefault="00AF3004">
            <w:pPr>
              <w:pStyle w:val="xDatum2"/>
              <w:rPr>
                <w:lang w:val="de-DE"/>
              </w:rPr>
            </w:pPr>
          </w:p>
        </w:tc>
        <w:tc>
          <w:tcPr>
            <w:tcW w:w="2563" w:type="dxa"/>
            <w:tcBorders>
              <w:bottom w:val="single" w:sz="4" w:space="0" w:color="auto"/>
            </w:tcBorders>
            <w:vAlign w:val="center"/>
          </w:tcPr>
          <w:p w14:paraId="6D816118" w14:textId="77777777" w:rsidR="00AF3004" w:rsidRDefault="00AF3004">
            <w:pPr>
              <w:pStyle w:val="xBeteckning2"/>
              <w:rPr>
                <w:lang w:val="de-DE"/>
              </w:rPr>
            </w:pPr>
          </w:p>
        </w:tc>
      </w:tr>
      <w:tr w:rsidR="00AF3004" w14:paraId="277C64B3" w14:textId="77777777">
        <w:trPr>
          <w:cantSplit/>
          <w:trHeight w:val="238"/>
        </w:trPr>
        <w:tc>
          <w:tcPr>
            <w:tcW w:w="861" w:type="dxa"/>
            <w:tcBorders>
              <w:top w:val="single" w:sz="4" w:space="0" w:color="auto"/>
            </w:tcBorders>
            <w:vAlign w:val="bottom"/>
          </w:tcPr>
          <w:p w14:paraId="4355E35D" w14:textId="77777777" w:rsidR="00AF3004" w:rsidRDefault="00AF3004">
            <w:pPr>
              <w:pStyle w:val="xLedtext"/>
              <w:rPr>
                <w:lang w:val="de-DE"/>
              </w:rPr>
            </w:pPr>
          </w:p>
        </w:tc>
        <w:tc>
          <w:tcPr>
            <w:tcW w:w="4448" w:type="dxa"/>
            <w:tcBorders>
              <w:top w:val="single" w:sz="4" w:space="0" w:color="auto"/>
            </w:tcBorders>
            <w:vAlign w:val="bottom"/>
          </w:tcPr>
          <w:p w14:paraId="51003B01" w14:textId="77777777" w:rsidR="00AF3004" w:rsidRDefault="00AF3004">
            <w:pPr>
              <w:pStyle w:val="xLedtext"/>
              <w:rPr>
                <w:lang w:val="de-DE"/>
              </w:rPr>
            </w:pPr>
          </w:p>
        </w:tc>
        <w:tc>
          <w:tcPr>
            <w:tcW w:w="4288" w:type="dxa"/>
            <w:gridSpan w:val="2"/>
            <w:tcBorders>
              <w:top w:val="single" w:sz="4" w:space="0" w:color="auto"/>
            </w:tcBorders>
            <w:vAlign w:val="bottom"/>
          </w:tcPr>
          <w:p w14:paraId="10E47580" w14:textId="77777777" w:rsidR="00AF3004" w:rsidRDefault="00AF3004">
            <w:pPr>
              <w:pStyle w:val="xLedtext"/>
              <w:rPr>
                <w:lang w:val="de-DE"/>
              </w:rPr>
            </w:pPr>
          </w:p>
        </w:tc>
      </w:tr>
      <w:tr w:rsidR="00AF3004" w14:paraId="4D670C49" w14:textId="77777777">
        <w:trPr>
          <w:cantSplit/>
          <w:trHeight w:val="238"/>
        </w:trPr>
        <w:tc>
          <w:tcPr>
            <w:tcW w:w="861" w:type="dxa"/>
          </w:tcPr>
          <w:p w14:paraId="6A2FFF84" w14:textId="77777777" w:rsidR="00AF3004" w:rsidRDefault="00AF3004">
            <w:pPr>
              <w:pStyle w:val="xCelltext"/>
              <w:rPr>
                <w:lang w:val="de-DE"/>
              </w:rPr>
            </w:pPr>
          </w:p>
        </w:tc>
        <w:tc>
          <w:tcPr>
            <w:tcW w:w="4448" w:type="dxa"/>
            <w:vMerge w:val="restart"/>
          </w:tcPr>
          <w:p w14:paraId="4E6A58A6" w14:textId="77777777" w:rsidR="00AF3004" w:rsidRDefault="00AF3004">
            <w:pPr>
              <w:pStyle w:val="xMottagare1"/>
            </w:pPr>
            <w:bookmarkStart w:id="0" w:name="_top"/>
            <w:bookmarkEnd w:id="0"/>
            <w:r>
              <w:t>Till Ålands lagting</w:t>
            </w:r>
          </w:p>
        </w:tc>
        <w:tc>
          <w:tcPr>
            <w:tcW w:w="4288" w:type="dxa"/>
            <w:gridSpan w:val="2"/>
            <w:vMerge w:val="restart"/>
          </w:tcPr>
          <w:p w14:paraId="60D7AF25" w14:textId="56B12E5B" w:rsidR="001E1B47" w:rsidRPr="001E1B47" w:rsidRDefault="001E1B47" w:rsidP="00880E9F">
            <w:pPr>
              <w:pStyle w:val="xMottagare2"/>
            </w:pPr>
          </w:p>
        </w:tc>
      </w:tr>
      <w:tr w:rsidR="00AF3004" w14:paraId="160A9901" w14:textId="77777777">
        <w:trPr>
          <w:cantSplit/>
          <w:trHeight w:val="238"/>
        </w:trPr>
        <w:tc>
          <w:tcPr>
            <w:tcW w:w="861" w:type="dxa"/>
          </w:tcPr>
          <w:p w14:paraId="054F314D" w14:textId="77777777" w:rsidR="00AF3004" w:rsidRDefault="00AF3004">
            <w:pPr>
              <w:pStyle w:val="xCelltext"/>
            </w:pPr>
          </w:p>
        </w:tc>
        <w:tc>
          <w:tcPr>
            <w:tcW w:w="4448" w:type="dxa"/>
            <w:vMerge/>
            <w:vAlign w:val="center"/>
          </w:tcPr>
          <w:p w14:paraId="4A231636" w14:textId="77777777" w:rsidR="00AF3004" w:rsidRDefault="00AF3004">
            <w:pPr>
              <w:pStyle w:val="xCelltext"/>
            </w:pPr>
          </w:p>
        </w:tc>
        <w:tc>
          <w:tcPr>
            <w:tcW w:w="4288" w:type="dxa"/>
            <w:gridSpan w:val="2"/>
            <w:vMerge/>
            <w:vAlign w:val="center"/>
          </w:tcPr>
          <w:p w14:paraId="3F17FB25" w14:textId="77777777" w:rsidR="00AF3004" w:rsidRDefault="00AF3004">
            <w:pPr>
              <w:pStyle w:val="xCelltext"/>
            </w:pPr>
          </w:p>
        </w:tc>
      </w:tr>
      <w:tr w:rsidR="00AF3004" w14:paraId="6F3555B9" w14:textId="77777777">
        <w:trPr>
          <w:cantSplit/>
          <w:trHeight w:val="238"/>
        </w:trPr>
        <w:tc>
          <w:tcPr>
            <w:tcW w:w="861" w:type="dxa"/>
          </w:tcPr>
          <w:p w14:paraId="2F9C77AF" w14:textId="77777777" w:rsidR="00AF3004" w:rsidRDefault="00AF3004">
            <w:pPr>
              <w:pStyle w:val="xCelltext"/>
            </w:pPr>
          </w:p>
        </w:tc>
        <w:tc>
          <w:tcPr>
            <w:tcW w:w="4448" w:type="dxa"/>
            <w:vMerge/>
            <w:vAlign w:val="center"/>
          </w:tcPr>
          <w:p w14:paraId="20A83085" w14:textId="77777777" w:rsidR="00AF3004" w:rsidRDefault="00AF3004">
            <w:pPr>
              <w:pStyle w:val="xCelltext"/>
            </w:pPr>
          </w:p>
        </w:tc>
        <w:tc>
          <w:tcPr>
            <w:tcW w:w="4288" w:type="dxa"/>
            <w:gridSpan w:val="2"/>
            <w:vMerge/>
            <w:vAlign w:val="center"/>
          </w:tcPr>
          <w:p w14:paraId="6F5A1DC7" w14:textId="77777777" w:rsidR="00AF3004" w:rsidRDefault="00AF3004">
            <w:pPr>
              <w:pStyle w:val="xCelltext"/>
            </w:pPr>
          </w:p>
        </w:tc>
      </w:tr>
      <w:tr w:rsidR="00AF3004" w14:paraId="70953D22" w14:textId="77777777">
        <w:trPr>
          <w:cantSplit/>
          <w:trHeight w:val="238"/>
        </w:trPr>
        <w:tc>
          <w:tcPr>
            <w:tcW w:w="861" w:type="dxa"/>
          </w:tcPr>
          <w:p w14:paraId="6C2692EA" w14:textId="77777777" w:rsidR="00AF3004" w:rsidRDefault="00AF3004">
            <w:pPr>
              <w:pStyle w:val="xCelltext"/>
            </w:pPr>
          </w:p>
        </w:tc>
        <w:tc>
          <w:tcPr>
            <w:tcW w:w="4448" w:type="dxa"/>
            <w:vMerge/>
            <w:vAlign w:val="center"/>
          </w:tcPr>
          <w:p w14:paraId="1EDF0CD4" w14:textId="77777777" w:rsidR="00AF3004" w:rsidRDefault="00AF3004">
            <w:pPr>
              <w:pStyle w:val="xCelltext"/>
            </w:pPr>
          </w:p>
        </w:tc>
        <w:tc>
          <w:tcPr>
            <w:tcW w:w="4288" w:type="dxa"/>
            <w:gridSpan w:val="2"/>
            <w:vMerge/>
            <w:vAlign w:val="center"/>
          </w:tcPr>
          <w:p w14:paraId="6DFBD131" w14:textId="77777777" w:rsidR="00AF3004" w:rsidRDefault="00AF3004">
            <w:pPr>
              <w:pStyle w:val="xCelltext"/>
            </w:pPr>
          </w:p>
        </w:tc>
      </w:tr>
      <w:tr w:rsidR="00AF3004" w14:paraId="0E7BC012" w14:textId="77777777">
        <w:trPr>
          <w:cantSplit/>
          <w:trHeight w:val="238"/>
        </w:trPr>
        <w:tc>
          <w:tcPr>
            <w:tcW w:w="861" w:type="dxa"/>
          </w:tcPr>
          <w:p w14:paraId="285736C4" w14:textId="77777777" w:rsidR="00AF3004" w:rsidRDefault="00AF3004">
            <w:pPr>
              <w:pStyle w:val="xCelltext"/>
            </w:pPr>
          </w:p>
        </w:tc>
        <w:tc>
          <w:tcPr>
            <w:tcW w:w="4448" w:type="dxa"/>
            <w:vMerge/>
            <w:vAlign w:val="center"/>
          </w:tcPr>
          <w:p w14:paraId="34DCC8F5" w14:textId="77777777" w:rsidR="00AF3004" w:rsidRDefault="00AF3004">
            <w:pPr>
              <w:pStyle w:val="xCelltext"/>
            </w:pPr>
          </w:p>
        </w:tc>
        <w:tc>
          <w:tcPr>
            <w:tcW w:w="4288" w:type="dxa"/>
            <w:gridSpan w:val="2"/>
            <w:vMerge/>
            <w:vAlign w:val="center"/>
          </w:tcPr>
          <w:p w14:paraId="15162AFC" w14:textId="77777777" w:rsidR="00AF3004" w:rsidRDefault="00AF3004">
            <w:pPr>
              <w:pStyle w:val="xCelltext"/>
            </w:pPr>
          </w:p>
        </w:tc>
      </w:tr>
    </w:tbl>
    <w:p w14:paraId="3C8420B2" w14:textId="77777777" w:rsidR="00AF3004" w:rsidRDefault="00AF3004">
      <w:pPr>
        <w:rPr>
          <w:b/>
          <w:bCs/>
        </w:rPr>
        <w:sectPr w:rsidR="00AF3004">
          <w:footerReference w:type="even" r:id="rId10"/>
          <w:footerReference w:type="default" r:id="rId11"/>
          <w:pgSz w:w="11906" w:h="16838" w:code="9"/>
          <w:pgMar w:top="567" w:right="1134" w:bottom="1134" w:left="1191" w:header="624" w:footer="851" w:gutter="0"/>
          <w:cols w:space="708"/>
          <w:docGrid w:linePitch="360"/>
        </w:sectPr>
      </w:pPr>
    </w:p>
    <w:p w14:paraId="33E7224F" w14:textId="6650C1A2" w:rsidR="00AF3004" w:rsidRDefault="00621240">
      <w:pPr>
        <w:pStyle w:val="ArendeRubrik"/>
      </w:pPr>
      <w:r>
        <w:t>Sänkning av kompensationen till kommunerna för grundavdraget</w:t>
      </w:r>
    </w:p>
    <w:p w14:paraId="451BFBC7" w14:textId="77777777" w:rsidR="00AF3004" w:rsidRDefault="00AF3004">
      <w:pPr>
        <w:pStyle w:val="ANormal"/>
      </w:pPr>
    </w:p>
    <w:p w14:paraId="5D96DB48" w14:textId="77777777" w:rsidR="00AF3004" w:rsidRDefault="00AF3004">
      <w:pPr>
        <w:pStyle w:val="ANormal"/>
      </w:pPr>
    </w:p>
    <w:p w14:paraId="7F6738C3" w14:textId="77777777" w:rsidR="00AF3004" w:rsidRDefault="00AF3004">
      <w:pPr>
        <w:pStyle w:val="RubrikA"/>
      </w:pPr>
      <w:bookmarkStart w:id="1" w:name="_Toc182384497"/>
      <w:r>
        <w:t>Huvudsakligt innehåll</w:t>
      </w:r>
      <w:bookmarkEnd w:id="1"/>
    </w:p>
    <w:p w14:paraId="35F9885A" w14:textId="77777777" w:rsidR="00AF3004" w:rsidRDefault="00AF3004">
      <w:pPr>
        <w:pStyle w:val="Rubrikmellanrum"/>
      </w:pPr>
    </w:p>
    <w:p w14:paraId="40F0B3BF" w14:textId="56B13312" w:rsidR="00AF3004" w:rsidRDefault="00B9788C">
      <w:pPr>
        <w:pStyle w:val="ANormal"/>
      </w:pPr>
      <w:r>
        <w:t>Landskapsregeringen föreslår att kompensationen till kommunerna för förlust av skatteintäkter på grund av grundavdraget sänks från 70 procent till 60 procent.</w:t>
      </w:r>
      <w:r w:rsidR="00C761BF">
        <w:t xml:space="preserve"> Förslaget är en följd av att sjukdomskostnadsavdraget avskaffas från och med skatteåret 2025, vilket leder till ökade skatteintäkter för kommunerna.</w:t>
      </w:r>
    </w:p>
    <w:p w14:paraId="01B2943D" w14:textId="156F9F09" w:rsidR="00B9788C" w:rsidRDefault="00B9788C">
      <w:pPr>
        <w:pStyle w:val="ANormal"/>
      </w:pPr>
      <w:r>
        <w:tab/>
      </w:r>
      <w:r w:rsidR="00555B6D">
        <w:t xml:space="preserve">Den föreslagna lagstiftningen bör träda i kraft så snart som möjligt. </w:t>
      </w:r>
      <w:r>
        <w:t xml:space="preserve">Med stöd av landskapslagen om kompensation till kommunerna för förlust av skatteintäkter på grund av vissa avdrag kan den föreslagna lagändringen </w:t>
      </w:r>
      <w:r w:rsidR="00555B6D">
        <w:t xml:space="preserve">ändå </w:t>
      </w:r>
      <w:r>
        <w:t>beaktas vid beräkning av förskottsbeloppet för 2025 trots att den inte har trätt i kraft</w:t>
      </w:r>
      <w:r w:rsidR="005F329E">
        <w:t>.</w:t>
      </w:r>
    </w:p>
    <w:p w14:paraId="5D20BB2F" w14:textId="77777777" w:rsidR="00AF3004" w:rsidRDefault="00AF3004">
      <w:pPr>
        <w:pStyle w:val="ANormal"/>
        <w:jc w:val="center"/>
      </w:pPr>
      <w:hyperlink w:anchor="_top" w:tooltip="Klicka för att gå till toppen av dokumentet" w:history="1">
        <w:r>
          <w:rPr>
            <w:rStyle w:val="Hyperlnk"/>
          </w:rPr>
          <w:t>__________________</w:t>
        </w:r>
      </w:hyperlink>
    </w:p>
    <w:p w14:paraId="4BB9DF27" w14:textId="77777777" w:rsidR="00AF3004" w:rsidRDefault="00AF3004">
      <w:pPr>
        <w:pStyle w:val="ANormal"/>
      </w:pPr>
    </w:p>
    <w:p w14:paraId="34B2B648" w14:textId="77777777" w:rsidR="00AF3004" w:rsidRDefault="00AF3004">
      <w:pPr>
        <w:pStyle w:val="ANormal"/>
      </w:pPr>
      <w:r>
        <w:br w:type="page"/>
      </w:r>
    </w:p>
    <w:p w14:paraId="4707BD33" w14:textId="77777777" w:rsidR="00AF3004" w:rsidRDefault="00AF3004">
      <w:pPr>
        <w:pStyle w:val="Innehll1"/>
      </w:pPr>
      <w:r>
        <w:lastRenderedPageBreak/>
        <w:t>INNEHÅLL</w:t>
      </w:r>
    </w:p>
    <w:p w14:paraId="4412B3E9" w14:textId="5EEBD2FD" w:rsidR="00675794" w:rsidRDefault="00AF3004">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"1-3" \h \z </w:instrText>
      </w:r>
      <w:r>
        <w:fldChar w:fldCharType="separate"/>
      </w:r>
      <w:hyperlink w:anchor="_Toc182384497" w:history="1">
        <w:r w:rsidR="00675794" w:rsidRPr="007C748B">
          <w:rPr>
            <w:rStyle w:val="Hyperlnk"/>
          </w:rPr>
          <w:t>Huvudsakligt innehåll</w:t>
        </w:r>
        <w:r w:rsidR="00675794">
          <w:rPr>
            <w:webHidden/>
          </w:rPr>
          <w:tab/>
        </w:r>
        <w:r w:rsidR="00675794">
          <w:rPr>
            <w:webHidden/>
          </w:rPr>
          <w:fldChar w:fldCharType="begin"/>
        </w:r>
        <w:r w:rsidR="00675794">
          <w:rPr>
            <w:webHidden/>
          </w:rPr>
          <w:instrText xml:space="preserve"> PAGEREF _Toc182384497 \h </w:instrText>
        </w:r>
        <w:r w:rsidR="00675794">
          <w:rPr>
            <w:webHidden/>
          </w:rPr>
        </w:r>
        <w:r w:rsidR="00675794">
          <w:rPr>
            <w:webHidden/>
          </w:rPr>
          <w:fldChar w:fldCharType="separate"/>
        </w:r>
        <w:r w:rsidR="00215AD6">
          <w:rPr>
            <w:webHidden/>
          </w:rPr>
          <w:t>1</w:t>
        </w:r>
        <w:r w:rsidR="00675794">
          <w:rPr>
            <w:webHidden/>
          </w:rPr>
          <w:fldChar w:fldCharType="end"/>
        </w:r>
      </w:hyperlink>
    </w:p>
    <w:p w14:paraId="1C8CD3A7" w14:textId="29B70083" w:rsidR="00675794" w:rsidRDefault="00675794">
      <w:pPr>
        <w:pStyle w:val="Innehll1"/>
        <w:rPr>
          <w:rFonts w:asciiTheme="minorHAnsi" w:eastAsiaTheme="minorEastAsia" w:hAnsiTheme="minorHAnsi" w:cstheme="minorBidi"/>
          <w:kern w:val="2"/>
          <w:sz w:val="24"/>
          <w:szCs w:val="24"/>
          <w:lang w:val="sv-FI" w:eastAsia="sv-FI"/>
          <w14:ligatures w14:val="standardContextual"/>
        </w:rPr>
      </w:pPr>
      <w:hyperlink w:anchor="_Toc182384498" w:history="1">
        <w:r w:rsidRPr="007C748B">
          <w:rPr>
            <w:rStyle w:val="Hyperlnk"/>
          </w:rPr>
          <w:t>Motivering</w:t>
        </w:r>
        <w:r>
          <w:rPr>
            <w:webHidden/>
          </w:rPr>
          <w:tab/>
        </w:r>
        <w:r>
          <w:rPr>
            <w:webHidden/>
          </w:rPr>
          <w:fldChar w:fldCharType="begin"/>
        </w:r>
        <w:r>
          <w:rPr>
            <w:webHidden/>
          </w:rPr>
          <w:instrText xml:space="preserve"> PAGEREF _Toc182384498 \h </w:instrText>
        </w:r>
        <w:r>
          <w:rPr>
            <w:webHidden/>
          </w:rPr>
        </w:r>
        <w:r>
          <w:rPr>
            <w:webHidden/>
          </w:rPr>
          <w:fldChar w:fldCharType="separate"/>
        </w:r>
        <w:r w:rsidR="00215AD6">
          <w:rPr>
            <w:webHidden/>
          </w:rPr>
          <w:t>3</w:t>
        </w:r>
        <w:r>
          <w:rPr>
            <w:webHidden/>
          </w:rPr>
          <w:fldChar w:fldCharType="end"/>
        </w:r>
      </w:hyperlink>
    </w:p>
    <w:p w14:paraId="61A0779F" w14:textId="1EA81883" w:rsidR="00675794" w:rsidRDefault="00675794">
      <w:pPr>
        <w:pStyle w:val="Innehll2"/>
        <w:rPr>
          <w:rFonts w:asciiTheme="minorHAnsi" w:eastAsiaTheme="minorEastAsia" w:hAnsiTheme="minorHAnsi" w:cstheme="minorBidi"/>
          <w:kern w:val="2"/>
          <w:sz w:val="24"/>
          <w:szCs w:val="24"/>
          <w:lang w:val="sv-FI" w:eastAsia="sv-FI"/>
          <w14:ligatures w14:val="standardContextual"/>
        </w:rPr>
      </w:pPr>
      <w:hyperlink w:anchor="_Toc182384499" w:history="1">
        <w:r w:rsidRPr="007C748B">
          <w:rPr>
            <w:rStyle w:val="Hyperlnk"/>
          </w:rPr>
          <w:t>1. Kompensation för förlust av skatteintäkter på grund av vissa avdrag</w:t>
        </w:r>
        <w:r>
          <w:rPr>
            <w:webHidden/>
          </w:rPr>
          <w:tab/>
        </w:r>
        <w:r>
          <w:rPr>
            <w:webHidden/>
          </w:rPr>
          <w:fldChar w:fldCharType="begin"/>
        </w:r>
        <w:r>
          <w:rPr>
            <w:webHidden/>
          </w:rPr>
          <w:instrText xml:space="preserve"> PAGEREF _Toc182384499 \h </w:instrText>
        </w:r>
        <w:r>
          <w:rPr>
            <w:webHidden/>
          </w:rPr>
        </w:r>
        <w:r>
          <w:rPr>
            <w:webHidden/>
          </w:rPr>
          <w:fldChar w:fldCharType="separate"/>
        </w:r>
        <w:r w:rsidR="00215AD6">
          <w:rPr>
            <w:webHidden/>
          </w:rPr>
          <w:t>3</w:t>
        </w:r>
        <w:r>
          <w:rPr>
            <w:webHidden/>
          </w:rPr>
          <w:fldChar w:fldCharType="end"/>
        </w:r>
      </w:hyperlink>
    </w:p>
    <w:p w14:paraId="6419F350" w14:textId="5A4C66BD" w:rsidR="00675794" w:rsidRDefault="00675794">
      <w:pPr>
        <w:pStyle w:val="Innehll2"/>
        <w:rPr>
          <w:rFonts w:asciiTheme="minorHAnsi" w:eastAsiaTheme="minorEastAsia" w:hAnsiTheme="minorHAnsi" w:cstheme="minorBidi"/>
          <w:kern w:val="2"/>
          <w:sz w:val="24"/>
          <w:szCs w:val="24"/>
          <w:lang w:val="sv-FI" w:eastAsia="sv-FI"/>
          <w14:ligatures w14:val="standardContextual"/>
        </w:rPr>
      </w:pPr>
      <w:hyperlink w:anchor="_Toc182384500" w:history="1">
        <w:r w:rsidRPr="007C748B">
          <w:rPr>
            <w:rStyle w:val="Hyperlnk"/>
          </w:rPr>
          <w:t>2. Överväganden och landskapsregeringens förslag</w:t>
        </w:r>
        <w:r>
          <w:rPr>
            <w:webHidden/>
          </w:rPr>
          <w:tab/>
        </w:r>
        <w:r>
          <w:rPr>
            <w:webHidden/>
          </w:rPr>
          <w:fldChar w:fldCharType="begin"/>
        </w:r>
        <w:r>
          <w:rPr>
            <w:webHidden/>
          </w:rPr>
          <w:instrText xml:space="preserve"> PAGEREF _Toc182384500 \h </w:instrText>
        </w:r>
        <w:r>
          <w:rPr>
            <w:webHidden/>
          </w:rPr>
        </w:r>
        <w:r>
          <w:rPr>
            <w:webHidden/>
          </w:rPr>
          <w:fldChar w:fldCharType="separate"/>
        </w:r>
        <w:r w:rsidR="00215AD6">
          <w:rPr>
            <w:webHidden/>
          </w:rPr>
          <w:t>3</w:t>
        </w:r>
        <w:r>
          <w:rPr>
            <w:webHidden/>
          </w:rPr>
          <w:fldChar w:fldCharType="end"/>
        </w:r>
      </w:hyperlink>
    </w:p>
    <w:p w14:paraId="52983B1F" w14:textId="7D0F505C" w:rsidR="00675794" w:rsidRDefault="00675794">
      <w:pPr>
        <w:pStyle w:val="Innehll2"/>
        <w:rPr>
          <w:rFonts w:asciiTheme="minorHAnsi" w:eastAsiaTheme="minorEastAsia" w:hAnsiTheme="minorHAnsi" w:cstheme="minorBidi"/>
          <w:kern w:val="2"/>
          <w:sz w:val="24"/>
          <w:szCs w:val="24"/>
          <w:lang w:val="sv-FI" w:eastAsia="sv-FI"/>
          <w14:ligatures w14:val="standardContextual"/>
        </w:rPr>
      </w:pPr>
      <w:hyperlink w:anchor="_Toc182384501" w:history="1">
        <w:r w:rsidRPr="007C748B">
          <w:rPr>
            <w:rStyle w:val="Hyperlnk"/>
          </w:rPr>
          <w:t>3. Förslagets konsekvenser</w:t>
        </w:r>
        <w:r>
          <w:rPr>
            <w:webHidden/>
          </w:rPr>
          <w:tab/>
        </w:r>
        <w:r>
          <w:rPr>
            <w:webHidden/>
          </w:rPr>
          <w:fldChar w:fldCharType="begin"/>
        </w:r>
        <w:r>
          <w:rPr>
            <w:webHidden/>
          </w:rPr>
          <w:instrText xml:space="preserve"> PAGEREF _Toc182384501 \h </w:instrText>
        </w:r>
        <w:r>
          <w:rPr>
            <w:webHidden/>
          </w:rPr>
        </w:r>
        <w:r>
          <w:rPr>
            <w:webHidden/>
          </w:rPr>
          <w:fldChar w:fldCharType="separate"/>
        </w:r>
        <w:r w:rsidR="00215AD6">
          <w:rPr>
            <w:webHidden/>
          </w:rPr>
          <w:t>4</w:t>
        </w:r>
        <w:r>
          <w:rPr>
            <w:webHidden/>
          </w:rPr>
          <w:fldChar w:fldCharType="end"/>
        </w:r>
      </w:hyperlink>
    </w:p>
    <w:p w14:paraId="35210627" w14:textId="19D4C304" w:rsidR="00675794" w:rsidRDefault="00675794">
      <w:pPr>
        <w:pStyle w:val="Innehll2"/>
        <w:rPr>
          <w:rFonts w:asciiTheme="minorHAnsi" w:eastAsiaTheme="minorEastAsia" w:hAnsiTheme="minorHAnsi" w:cstheme="minorBidi"/>
          <w:kern w:val="2"/>
          <w:sz w:val="24"/>
          <w:szCs w:val="24"/>
          <w:lang w:val="sv-FI" w:eastAsia="sv-FI"/>
          <w14:ligatures w14:val="standardContextual"/>
        </w:rPr>
      </w:pPr>
      <w:hyperlink w:anchor="_Toc182384502" w:history="1">
        <w:r w:rsidRPr="007C748B">
          <w:rPr>
            <w:rStyle w:val="Hyperlnk"/>
          </w:rPr>
          <w:t>4. Förslagets beredning och ikraftträdande</w:t>
        </w:r>
        <w:r>
          <w:rPr>
            <w:webHidden/>
          </w:rPr>
          <w:tab/>
        </w:r>
        <w:r>
          <w:rPr>
            <w:webHidden/>
          </w:rPr>
          <w:fldChar w:fldCharType="begin"/>
        </w:r>
        <w:r>
          <w:rPr>
            <w:webHidden/>
          </w:rPr>
          <w:instrText xml:space="preserve"> PAGEREF _Toc182384502 \h </w:instrText>
        </w:r>
        <w:r>
          <w:rPr>
            <w:webHidden/>
          </w:rPr>
        </w:r>
        <w:r>
          <w:rPr>
            <w:webHidden/>
          </w:rPr>
          <w:fldChar w:fldCharType="separate"/>
        </w:r>
        <w:r w:rsidR="00215AD6">
          <w:rPr>
            <w:webHidden/>
          </w:rPr>
          <w:t>5</w:t>
        </w:r>
        <w:r>
          <w:rPr>
            <w:webHidden/>
          </w:rPr>
          <w:fldChar w:fldCharType="end"/>
        </w:r>
      </w:hyperlink>
    </w:p>
    <w:p w14:paraId="4EF5E39A" w14:textId="445C3016" w:rsidR="00675794" w:rsidRDefault="00675794">
      <w:pPr>
        <w:pStyle w:val="Innehll1"/>
        <w:rPr>
          <w:rFonts w:asciiTheme="minorHAnsi" w:eastAsiaTheme="minorEastAsia" w:hAnsiTheme="minorHAnsi" w:cstheme="minorBidi"/>
          <w:kern w:val="2"/>
          <w:sz w:val="24"/>
          <w:szCs w:val="24"/>
          <w:lang w:val="sv-FI" w:eastAsia="sv-FI"/>
          <w14:ligatures w14:val="standardContextual"/>
        </w:rPr>
      </w:pPr>
      <w:hyperlink w:anchor="_Toc182384503" w:history="1">
        <w:r w:rsidRPr="007C748B">
          <w:rPr>
            <w:rStyle w:val="Hyperlnk"/>
          </w:rPr>
          <w:t>Lagtext</w:t>
        </w:r>
        <w:r>
          <w:rPr>
            <w:webHidden/>
          </w:rPr>
          <w:tab/>
        </w:r>
        <w:r>
          <w:rPr>
            <w:webHidden/>
          </w:rPr>
          <w:fldChar w:fldCharType="begin"/>
        </w:r>
        <w:r>
          <w:rPr>
            <w:webHidden/>
          </w:rPr>
          <w:instrText xml:space="preserve"> PAGEREF _Toc182384503 \h </w:instrText>
        </w:r>
        <w:r>
          <w:rPr>
            <w:webHidden/>
          </w:rPr>
        </w:r>
        <w:r>
          <w:rPr>
            <w:webHidden/>
          </w:rPr>
          <w:fldChar w:fldCharType="separate"/>
        </w:r>
        <w:r w:rsidR="00215AD6">
          <w:rPr>
            <w:webHidden/>
          </w:rPr>
          <w:t>6</w:t>
        </w:r>
        <w:r>
          <w:rPr>
            <w:webHidden/>
          </w:rPr>
          <w:fldChar w:fldCharType="end"/>
        </w:r>
      </w:hyperlink>
    </w:p>
    <w:p w14:paraId="4A297831" w14:textId="60A4C632" w:rsidR="00675794" w:rsidRDefault="00675794">
      <w:pPr>
        <w:pStyle w:val="Innehll2"/>
        <w:rPr>
          <w:rFonts w:asciiTheme="minorHAnsi" w:eastAsiaTheme="minorEastAsia" w:hAnsiTheme="minorHAnsi" w:cstheme="minorBidi"/>
          <w:kern w:val="2"/>
          <w:sz w:val="24"/>
          <w:szCs w:val="24"/>
          <w:lang w:val="sv-FI" w:eastAsia="sv-FI"/>
          <w14:ligatures w14:val="standardContextual"/>
        </w:rPr>
      </w:pPr>
      <w:hyperlink w:anchor="_Toc182384504" w:history="1">
        <w:r w:rsidRPr="007C748B">
          <w:rPr>
            <w:rStyle w:val="Hyperlnk"/>
            <w:lang w:val="en-GB"/>
          </w:rPr>
          <w:t xml:space="preserve">L A N D S K A P S L A G </w:t>
        </w:r>
        <w:r w:rsidRPr="007C748B">
          <w:rPr>
            <w:rStyle w:val="Hyperlnk"/>
          </w:rPr>
          <w:t>om ändring av 2 § landskapslagen om kompensation till kommunerna för förlust av skatteintäkter på grund av vissa avdrag</w:t>
        </w:r>
        <w:r>
          <w:rPr>
            <w:webHidden/>
          </w:rPr>
          <w:tab/>
        </w:r>
        <w:r>
          <w:rPr>
            <w:webHidden/>
          </w:rPr>
          <w:fldChar w:fldCharType="begin"/>
        </w:r>
        <w:r>
          <w:rPr>
            <w:webHidden/>
          </w:rPr>
          <w:instrText xml:space="preserve"> PAGEREF _Toc182384504 \h </w:instrText>
        </w:r>
        <w:r>
          <w:rPr>
            <w:webHidden/>
          </w:rPr>
        </w:r>
        <w:r>
          <w:rPr>
            <w:webHidden/>
          </w:rPr>
          <w:fldChar w:fldCharType="separate"/>
        </w:r>
        <w:r w:rsidR="00215AD6">
          <w:rPr>
            <w:webHidden/>
          </w:rPr>
          <w:t>6</w:t>
        </w:r>
        <w:r>
          <w:rPr>
            <w:webHidden/>
          </w:rPr>
          <w:fldChar w:fldCharType="end"/>
        </w:r>
      </w:hyperlink>
    </w:p>
    <w:p w14:paraId="33F4C332" w14:textId="3C66D3FD" w:rsidR="00675794" w:rsidRDefault="00675794">
      <w:pPr>
        <w:pStyle w:val="Innehll1"/>
        <w:rPr>
          <w:rFonts w:asciiTheme="minorHAnsi" w:eastAsiaTheme="minorEastAsia" w:hAnsiTheme="minorHAnsi" w:cstheme="minorBidi"/>
          <w:kern w:val="2"/>
          <w:sz w:val="24"/>
          <w:szCs w:val="24"/>
          <w:lang w:val="sv-FI" w:eastAsia="sv-FI"/>
          <w14:ligatures w14:val="standardContextual"/>
        </w:rPr>
      </w:pPr>
      <w:hyperlink w:anchor="_Toc182384505" w:history="1">
        <w:r w:rsidRPr="007C748B">
          <w:rPr>
            <w:rStyle w:val="Hyperlnk"/>
          </w:rPr>
          <w:t>Parallelltexter</w:t>
        </w:r>
        <w:r>
          <w:rPr>
            <w:webHidden/>
          </w:rPr>
          <w:tab/>
        </w:r>
        <w:r>
          <w:rPr>
            <w:webHidden/>
          </w:rPr>
          <w:fldChar w:fldCharType="begin"/>
        </w:r>
        <w:r>
          <w:rPr>
            <w:webHidden/>
          </w:rPr>
          <w:instrText xml:space="preserve"> PAGEREF _Toc182384505 \h </w:instrText>
        </w:r>
        <w:r>
          <w:rPr>
            <w:webHidden/>
          </w:rPr>
        </w:r>
        <w:r>
          <w:rPr>
            <w:webHidden/>
          </w:rPr>
          <w:fldChar w:fldCharType="separate"/>
        </w:r>
        <w:r w:rsidR="00215AD6">
          <w:rPr>
            <w:webHidden/>
          </w:rPr>
          <w:t>7</w:t>
        </w:r>
        <w:r>
          <w:rPr>
            <w:webHidden/>
          </w:rPr>
          <w:fldChar w:fldCharType="end"/>
        </w:r>
      </w:hyperlink>
    </w:p>
    <w:p w14:paraId="1D5957C4" w14:textId="4FF1355F" w:rsidR="00AF3004" w:rsidRDefault="00AF3004">
      <w:pPr>
        <w:pStyle w:val="ANormal"/>
        <w:rPr>
          <w:noProof/>
        </w:rPr>
      </w:pPr>
      <w:r>
        <w:rPr>
          <w:rFonts w:ascii="Verdana" w:hAnsi="Verdana"/>
          <w:noProof/>
          <w:sz w:val="16"/>
          <w:szCs w:val="36"/>
        </w:rPr>
        <w:fldChar w:fldCharType="end"/>
      </w:r>
    </w:p>
    <w:p w14:paraId="0788A909" w14:textId="77777777" w:rsidR="00AF3004" w:rsidRDefault="00AF3004">
      <w:pPr>
        <w:pStyle w:val="ANormal"/>
      </w:pPr>
      <w:r>
        <w:br w:type="page"/>
      </w:r>
    </w:p>
    <w:p w14:paraId="20C985E7" w14:textId="40737FA9" w:rsidR="00AF3004" w:rsidRDefault="00441C1D">
      <w:pPr>
        <w:pStyle w:val="RubrikA"/>
      </w:pPr>
      <w:bookmarkStart w:id="2" w:name="_Toc182384498"/>
      <w:r>
        <w:lastRenderedPageBreak/>
        <w:t>M</w:t>
      </w:r>
      <w:r w:rsidR="00AF3004">
        <w:t>otivering</w:t>
      </w:r>
      <w:bookmarkEnd w:id="2"/>
    </w:p>
    <w:p w14:paraId="6E22BB44" w14:textId="77777777" w:rsidR="00AF3004" w:rsidRDefault="00AF3004">
      <w:pPr>
        <w:pStyle w:val="Rubrikmellanrum"/>
      </w:pPr>
    </w:p>
    <w:p w14:paraId="4577236D" w14:textId="06D519F4" w:rsidR="00AF3004" w:rsidRDefault="00AF3004">
      <w:pPr>
        <w:pStyle w:val="RubrikB"/>
      </w:pPr>
      <w:bookmarkStart w:id="3" w:name="_Toc182384499"/>
      <w:r>
        <w:t xml:space="preserve">1. </w:t>
      </w:r>
      <w:r w:rsidR="00441C1D">
        <w:t>Kompensation för förlust av skatteintäkter på grund av vissa avdrag</w:t>
      </w:r>
      <w:bookmarkEnd w:id="3"/>
    </w:p>
    <w:p w14:paraId="0696F307" w14:textId="77777777" w:rsidR="00AF3004" w:rsidRDefault="00AF3004">
      <w:pPr>
        <w:pStyle w:val="Rubrikmellanrum"/>
      </w:pPr>
    </w:p>
    <w:p w14:paraId="71C79B6B" w14:textId="5E03B75A" w:rsidR="00603899" w:rsidRDefault="00A81BF0">
      <w:pPr>
        <w:pStyle w:val="ANormal"/>
      </w:pPr>
      <w:r>
        <w:t>Sedan 2023 betalar landskapsregeringen kompensation till kommunerna för den förlust av skatteintäkter som orsakas av resekostnadsavdraget och grundavdraget</w:t>
      </w:r>
      <w:r w:rsidR="00603899">
        <w:t>. Kompensationen infördes i samband med att grundavdraget reformerades</w:t>
      </w:r>
      <w:r w:rsidR="00257107">
        <w:t xml:space="preserve"> genom</w:t>
      </w:r>
      <w:r w:rsidR="00603899">
        <w:t xml:space="preserve"> </w:t>
      </w:r>
      <w:r w:rsidR="00257107">
        <w:t xml:space="preserve">att avdragets så kallade nedtrappningsgrad sänktes från 18 procent till 8,4 procent. Reformen </w:t>
      </w:r>
      <w:r w:rsidR="00754B66">
        <w:t>ledde till</w:t>
      </w:r>
      <w:r w:rsidR="00257107">
        <w:t xml:space="preserve"> att avdraget höjdes samtidigt som fler skattskyldiga </w:t>
      </w:r>
      <w:r w:rsidR="00194CED">
        <w:t>fick rätt att göra</w:t>
      </w:r>
      <w:r w:rsidR="00257107">
        <w:t xml:space="preserve"> avdrag, vilket</w:t>
      </w:r>
      <w:r w:rsidR="00603899">
        <w:t xml:space="preserve"> </w:t>
      </w:r>
      <w:r w:rsidR="00754B66">
        <w:t>beräknades</w:t>
      </w:r>
      <w:r w:rsidR="00603899">
        <w:t xml:space="preserve"> mer än fördubbla kommunernas skattebortfall på grund av avdraget</w:t>
      </w:r>
      <w:r w:rsidR="00603899">
        <w:rPr>
          <w:rStyle w:val="Fotnotsreferens"/>
        </w:rPr>
        <w:footnoteReference w:id="1"/>
      </w:r>
      <w:r w:rsidR="003D3552">
        <w:t>.</w:t>
      </w:r>
    </w:p>
    <w:p w14:paraId="549A35BD" w14:textId="06F08098" w:rsidR="00A81BF0" w:rsidRDefault="003D3552">
      <w:pPr>
        <w:pStyle w:val="ANormal"/>
      </w:pPr>
      <w:r>
        <w:tab/>
      </w:r>
      <w:r w:rsidR="00603899">
        <w:t>Enligt landskapslagen (2023:12) om kompensation till kommunerna för förlust av skatteintäkter på grund av vissa avdrag utgör kompensationsbeloppet 70 procent av kommunens förl</w:t>
      </w:r>
      <w:r w:rsidR="00754B66">
        <w:t>ust av skatte</w:t>
      </w:r>
      <w:r w:rsidR="00603899">
        <w:t xml:space="preserve">intäkter. </w:t>
      </w:r>
      <w:r>
        <w:t>Kompensationen baseras på det verkliga skatteutfallet och betalas därför ut i efterhand. Ett förskott betalas dock ut under skatteåret. Förskottsbeloppet beräknas med utfallet av tidigare beskattning som grund, dessutom beaktas förändringar som har skett efter den senast slutförda beskattningen och som bedöms ha betydelse för den slutliga kompensationen.</w:t>
      </w:r>
      <w:r w:rsidR="002F6F67">
        <w:t xml:space="preserve"> När beskattningen för ett skatteår har slutförts sker en avräkning mellan förskottsbeloppet och det verkliga kompensationsbeloppet.</w:t>
      </w:r>
      <w:r w:rsidR="00194CED">
        <w:t xml:space="preserve"> Den första avräkningen kommer att göras </w:t>
      </w:r>
      <w:r w:rsidR="00E95364">
        <w:t>tidigast</w:t>
      </w:r>
      <w:r w:rsidR="00194CED">
        <w:t xml:space="preserve"> i slutet av 2024 när kompensationen för skatteåret 2023 avräknas.</w:t>
      </w:r>
    </w:p>
    <w:p w14:paraId="25B4AFFA" w14:textId="77777777" w:rsidR="00441C1D" w:rsidRDefault="00441C1D">
      <w:pPr>
        <w:pStyle w:val="ANormal"/>
      </w:pPr>
    </w:p>
    <w:p w14:paraId="7FE5BB0B" w14:textId="1AED2936" w:rsidR="00441C1D" w:rsidRDefault="00441C1D" w:rsidP="00441C1D">
      <w:pPr>
        <w:pStyle w:val="RubrikB"/>
      </w:pPr>
      <w:bookmarkStart w:id="4" w:name="_Toc182384500"/>
      <w:r>
        <w:t xml:space="preserve">2. </w:t>
      </w:r>
      <w:r w:rsidR="001A25F5">
        <w:t>Överväganden</w:t>
      </w:r>
      <w:r>
        <w:t xml:space="preserve"> och landskapsregeringens förslag</w:t>
      </w:r>
      <w:bookmarkEnd w:id="4"/>
    </w:p>
    <w:p w14:paraId="52653E6C" w14:textId="77777777" w:rsidR="00441C1D" w:rsidRPr="00441C1D" w:rsidRDefault="00441C1D" w:rsidP="00441C1D">
      <w:pPr>
        <w:pStyle w:val="Rubrikmellanrum"/>
      </w:pPr>
    </w:p>
    <w:p w14:paraId="338BDDDA" w14:textId="4F9DE4F1" w:rsidR="00AF3004" w:rsidRDefault="00621240">
      <w:pPr>
        <w:pStyle w:val="ANormal"/>
      </w:pPr>
      <w:r>
        <w:t>Genom lagtingets beslut</w:t>
      </w:r>
      <w:r w:rsidR="00FE4945">
        <w:rPr>
          <w:rStyle w:val="Fotnotsreferens"/>
        </w:rPr>
        <w:footnoteReference w:id="2"/>
      </w:r>
      <w:r>
        <w:t xml:space="preserve"> </w:t>
      </w:r>
      <w:r w:rsidR="00194CED">
        <w:t xml:space="preserve">den 30 september </w:t>
      </w:r>
      <w:r>
        <w:t xml:space="preserve">om en ändring av kommunalskattelagen (2011:119) för landskapet Åland </w:t>
      </w:r>
      <w:r w:rsidR="00726D3E">
        <w:t>avskaffas sjukdomskostnadsavdraget vid kommunalbeskattningen från och med skatteåret 2025.</w:t>
      </w:r>
      <w:r w:rsidR="00A81BF0">
        <w:t xml:space="preserve"> </w:t>
      </w:r>
      <w:r w:rsidR="00C7579F">
        <w:t xml:space="preserve">Avskaffandet av avdraget leder till en ökning av kommunernas skatteintäkter. </w:t>
      </w:r>
      <w:r w:rsidR="00194CED">
        <w:t>S</w:t>
      </w:r>
      <w:r w:rsidR="00B37F02">
        <w:t>yfte</w:t>
      </w:r>
      <w:r w:rsidR="00194CED">
        <w:t>t</w:t>
      </w:r>
      <w:r w:rsidR="00C7579F">
        <w:t xml:space="preserve"> med att avskaffa sjukdomskostnadsavdraget var </w:t>
      </w:r>
      <w:r w:rsidR="006D01BA">
        <w:t xml:space="preserve">att </w:t>
      </w:r>
      <w:r w:rsidR="00194CED">
        <w:t>i stället vidta andra åtgärder som på</w:t>
      </w:r>
      <w:r w:rsidR="006D01BA">
        <w:t xml:space="preserve"> ett bättre och mer ändamålsenligt sätt stöd</w:t>
      </w:r>
      <w:r w:rsidR="00194CED">
        <w:t>er</w:t>
      </w:r>
      <w:r w:rsidR="00B37F02">
        <w:t xml:space="preserve"> utsatta grupper i samhället. Avsikten var således inte primärt att </w:t>
      </w:r>
      <w:r w:rsidR="00C7579F">
        <w:t>stöd</w:t>
      </w:r>
      <w:r w:rsidR="00194CED">
        <w:t>j</w:t>
      </w:r>
      <w:r w:rsidR="00C7579F">
        <w:t>a kommunerna ekonomiskt.</w:t>
      </w:r>
      <w:r w:rsidR="00B37F02">
        <w:t xml:space="preserve"> I lagförslaget</w:t>
      </w:r>
      <w:r w:rsidR="00754B66">
        <w:rPr>
          <w:rStyle w:val="Fotnotsreferens"/>
        </w:rPr>
        <w:footnoteReference w:id="3"/>
      </w:r>
      <w:r w:rsidR="00B37F02">
        <w:t xml:space="preserve"> om avskaffande av sjukdomskostnadsavdraget</w:t>
      </w:r>
      <w:r w:rsidR="00754B66">
        <w:t xml:space="preserve"> </w:t>
      </w:r>
      <w:r w:rsidR="00B37F02">
        <w:t>avisera</w:t>
      </w:r>
      <w:r w:rsidR="00754B66">
        <w:t>de</w:t>
      </w:r>
      <w:r w:rsidR="00B37F02">
        <w:t xml:space="preserve"> också landskapsregeringen att kompensationen till kommunerna kommer att justeras för att fördela de ökade intäkte</w:t>
      </w:r>
      <w:r w:rsidR="00417D67">
        <w:t>r</w:t>
      </w:r>
      <w:r w:rsidR="00B37F02">
        <w:t>n</w:t>
      </w:r>
      <w:r w:rsidR="00417D67">
        <w:t>a</w:t>
      </w:r>
      <w:r w:rsidR="00E95364">
        <w:t xml:space="preserve"> mellan landskapet och kommun</w:t>
      </w:r>
      <w:r w:rsidR="00675794">
        <w:t>e</w:t>
      </w:r>
      <w:r w:rsidR="00E95364">
        <w:t>rna</w:t>
      </w:r>
      <w:r w:rsidR="00B37F02">
        <w:t>.</w:t>
      </w:r>
      <w:r w:rsidR="00A25E0F">
        <w:t xml:space="preserve"> Redan då var avsikten att justeringen skulle riktas mot kompensationen för grundavdraget. Att sänka kompensationen för resekostnadsavdraget skulle påverka de mer perifert belägna kommunerna negativt i större utsträckning än de mer centralt belägna kommunerna.</w:t>
      </w:r>
    </w:p>
    <w:p w14:paraId="53CB07BB" w14:textId="7764C4F1" w:rsidR="00194CED" w:rsidRDefault="00417D67">
      <w:pPr>
        <w:pStyle w:val="ANormal"/>
      </w:pPr>
      <w:r>
        <w:tab/>
      </w:r>
      <w:r w:rsidR="003D4867">
        <w:t>Effekten av att sjukdomskostnadsavdraget avskaffas har uppskattats till cirka 1 miljon euro</w:t>
      </w:r>
      <w:r w:rsidR="00223C85">
        <w:t xml:space="preserve"> </w:t>
      </w:r>
      <w:r w:rsidR="00194CED">
        <w:t xml:space="preserve">per år </w:t>
      </w:r>
      <w:r w:rsidR="00223C85">
        <w:t xml:space="preserve">(enligt </w:t>
      </w:r>
      <w:proofErr w:type="spellStart"/>
      <w:r w:rsidR="00223C85">
        <w:t>ÅSUB:s</w:t>
      </w:r>
      <w:proofErr w:type="spellEnd"/>
      <w:r w:rsidR="00223C85">
        <w:t xml:space="preserve"> beräkning cirka 960 000 euro, enligt finansministeriets kalkyl cirka 1 068 800 euro)</w:t>
      </w:r>
      <w:r w:rsidR="003D4867">
        <w:t xml:space="preserve">. </w:t>
      </w:r>
      <w:r w:rsidR="001A25F5">
        <w:t xml:space="preserve">Initialt var därför </w:t>
      </w:r>
      <w:r w:rsidR="00194CED">
        <w:t>målsättningen</w:t>
      </w:r>
      <w:r w:rsidR="001A25F5">
        <w:t xml:space="preserve"> att kompensationen till kommunerna för förlust av skatteintäkter skulle sänkas med motsvarande 1 miljon euro. </w:t>
      </w:r>
      <w:r w:rsidR="00913F6E">
        <w:t>Enligt de kalkyler som tidigare har gjorts och som hittills har legat till grund för förskottsbetalningen har kompensationen för grundavdraget uppskattats till cirka 4 miljoner euro. Avsikten var således att sänka den till 3 miljoner euro.</w:t>
      </w:r>
    </w:p>
    <w:p w14:paraId="35F3639D" w14:textId="209C406F" w:rsidR="009A2604" w:rsidRDefault="000E3931" w:rsidP="009A2604">
      <w:pPr>
        <w:pStyle w:val="ANormal"/>
      </w:pPr>
      <w:r>
        <w:tab/>
        <w:t xml:space="preserve">Under beredningen av lagförslaget konstaterades </w:t>
      </w:r>
      <w:r w:rsidR="00A5536A">
        <w:t xml:space="preserve">att </w:t>
      </w:r>
      <w:r w:rsidR="00D0121E">
        <w:t xml:space="preserve">det ännu inte fanns några uppgifter som visar hur stor </w:t>
      </w:r>
      <w:proofErr w:type="gramStart"/>
      <w:r w:rsidR="00D0121E">
        <w:t>påverkan reformen</w:t>
      </w:r>
      <w:proofErr w:type="gramEnd"/>
      <w:r w:rsidR="00D0121E">
        <w:t xml:space="preserve"> av grundavdraget faktiskt har haft på kommunernas skatteintäkter. Skatteåret 2023 var det första året som grundavdraget i dess nuvarande form tillämpades. Beskattningen för 2023 har inte slutförts förrän alldeles nyligen, och det är också därför som det är först nu som den första avräkningen av kompensationen kan göras. </w:t>
      </w:r>
      <w:r w:rsidR="00913F6E">
        <w:lastRenderedPageBreak/>
        <w:t>B</w:t>
      </w:r>
      <w:r w:rsidR="003E1386">
        <w:t xml:space="preserve">eräkningar som gjorts under beredningen av detta lagförslag </w:t>
      </w:r>
      <w:r w:rsidR="00913F6E">
        <w:t xml:space="preserve">visar dock att det </w:t>
      </w:r>
      <w:r w:rsidR="00624EEC">
        <w:t xml:space="preserve">finns orsak att misstänka att </w:t>
      </w:r>
      <w:r w:rsidR="00B31CA5">
        <w:t>beloppet</w:t>
      </w:r>
      <w:r w:rsidR="00624EEC">
        <w:t xml:space="preserve"> </w:t>
      </w:r>
      <w:r w:rsidR="00913F6E">
        <w:t xml:space="preserve">4 miljoner </w:t>
      </w:r>
      <w:r w:rsidR="00624EEC">
        <w:t>har varit i underkant.</w:t>
      </w:r>
      <w:r w:rsidR="00B31CA5">
        <w:t xml:space="preserve"> En beräkning baserad på grundavdragets verkliga utfall skatteåret 2022 och </w:t>
      </w:r>
      <w:r w:rsidR="0032036A">
        <w:t>uppskattningen</w:t>
      </w:r>
      <w:r w:rsidR="00B31CA5">
        <w:t xml:space="preserve"> att det fördubblas till 2025 visar då att en kompensation för 70 procent av </w:t>
      </w:r>
      <w:r w:rsidR="009B3293">
        <w:t xml:space="preserve">förlusten av skatteintäkter </w:t>
      </w:r>
      <w:r w:rsidR="00B31CA5">
        <w:t xml:space="preserve">skulle uppgå till närmare 4,7 miljoner euro. </w:t>
      </w:r>
      <w:r w:rsidR="009B3293">
        <w:t>En sänkning av beloppet till 3 miljoner euro skulle med den kalkylen som underlag innebära att kompensationen till kommunerna sänks till 4</w:t>
      </w:r>
      <w:r w:rsidR="00C718B2">
        <w:t>5</w:t>
      </w:r>
      <w:r w:rsidR="009B3293">
        <w:t> procent av skattebortfallet på grund av grundavdraget.</w:t>
      </w:r>
      <w:r w:rsidR="003B113B">
        <w:t xml:space="preserve"> Den negativa effekten </w:t>
      </w:r>
      <w:r w:rsidR="00C718B2">
        <w:t xml:space="preserve">på kommunernas intäkter </w:t>
      </w:r>
      <w:r w:rsidR="003B113B">
        <w:t xml:space="preserve">skulle </w:t>
      </w:r>
      <w:r w:rsidR="00754B66">
        <w:t>i det fallet</w:t>
      </w:r>
      <w:r w:rsidR="003B113B">
        <w:t xml:space="preserve"> överstiga </w:t>
      </w:r>
      <w:r w:rsidR="00C718B2">
        <w:t xml:space="preserve">den positiva </w:t>
      </w:r>
      <w:r w:rsidR="003B113B">
        <w:t xml:space="preserve">effekten av </w:t>
      </w:r>
      <w:r w:rsidR="00C718B2">
        <w:t>det</w:t>
      </w:r>
      <w:r w:rsidR="003B113B">
        <w:t xml:space="preserve"> </w:t>
      </w:r>
      <w:r w:rsidR="00C718B2">
        <w:t xml:space="preserve">avskaffade </w:t>
      </w:r>
      <w:r w:rsidR="003B113B">
        <w:t>sjukdomskostnadsavdraget</w:t>
      </w:r>
      <w:r w:rsidR="00C718B2">
        <w:t xml:space="preserve">. </w:t>
      </w:r>
      <w:r w:rsidR="009A2604">
        <w:t xml:space="preserve">Landskapsregeringen har därför </w:t>
      </w:r>
      <w:r w:rsidR="00D0121E">
        <w:t>omprövat sin målsättning när det gäller sänkningen av kompensationen till kommunerna</w:t>
      </w:r>
      <w:r w:rsidR="00C832D1">
        <w:t xml:space="preserve"> </w:t>
      </w:r>
      <w:r w:rsidR="001F524F">
        <w:t>och</w:t>
      </w:r>
      <w:r w:rsidR="009A2604">
        <w:t xml:space="preserve"> föreslår </w:t>
      </w:r>
      <w:r w:rsidR="001F524F">
        <w:t>med hänvisning till det</w:t>
      </w:r>
      <w:r w:rsidR="009A2604">
        <w:t xml:space="preserve"> att kompensationen för förlust av skatteintäkter på grund av grundavdraget sänks till 60 procent från och med skatteåret 2025. Landskapsregeringen </w:t>
      </w:r>
      <w:r w:rsidR="00754B66">
        <w:t>har dock för avsikt att föreslå</w:t>
      </w:r>
      <w:r w:rsidR="009A2604">
        <w:t xml:space="preserve"> </w:t>
      </w:r>
      <w:r w:rsidR="00754B66">
        <w:t xml:space="preserve">en ytterligare sänkning av </w:t>
      </w:r>
      <w:r w:rsidR="009A2604">
        <w:t>kompensationen till 46 procent från och med skatteåret 2026.</w:t>
      </w:r>
    </w:p>
    <w:p w14:paraId="55414764" w14:textId="77777777" w:rsidR="009A2604" w:rsidRDefault="009A2604" w:rsidP="009A2604">
      <w:pPr>
        <w:pStyle w:val="ANormal"/>
      </w:pPr>
    </w:p>
    <w:p w14:paraId="03EE8F05" w14:textId="12F394C4" w:rsidR="009A2604" w:rsidRDefault="001735EF" w:rsidP="001735EF">
      <w:pPr>
        <w:pStyle w:val="RubrikB"/>
      </w:pPr>
      <w:bookmarkStart w:id="5" w:name="_Toc182384501"/>
      <w:r>
        <w:t>3. Förslagets konsekvenser</w:t>
      </w:r>
      <w:bookmarkEnd w:id="5"/>
    </w:p>
    <w:p w14:paraId="5A6D9992" w14:textId="77777777" w:rsidR="001735EF" w:rsidRDefault="001735EF" w:rsidP="001735EF">
      <w:pPr>
        <w:pStyle w:val="Rubrikmellanrum"/>
      </w:pPr>
    </w:p>
    <w:p w14:paraId="070DE6B8" w14:textId="042DEB31" w:rsidR="00E557D3" w:rsidRDefault="00007859" w:rsidP="001735EF">
      <w:pPr>
        <w:pStyle w:val="ANormal"/>
      </w:pPr>
      <w:r>
        <w:t>Lagförslaget har ekonomiska konsekvenser för kommunerna och för landskapet</w:t>
      </w:r>
      <w:r w:rsidR="008778E9">
        <w:t xml:space="preserve">. Den föreslagna sänkningen av kompensationen för förlust av skatteintäkter på grund av grundavdraget till 60 procent beräknas sänka kommunernas intäkter med </w:t>
      </w:r>
      <w:r w:rsidR="00747DDB">
        <w:t>cirka</w:t>
      </w:r>
      <w:r w:rsidR="008778E9">
        <w:t xml:space="preserve"> 67</w:t>
      </w:r>
      <w:r w:rsidR="007D5173">
        <w:t>0</w:t>
      </w:r>
      <w:r w:rsidR="008778E9">
        <w:t> 000 euro</w:t>
      </w:r>
      <w:r w:rsidR="00747DDB">
        <w:t xml:space="preserve"> jämfört med om kompensationen skulle kvarstå på </w:t>
      </w:r>
      <w:r w:rsidR="008778E9">
        <w:t>70 procent</w:t>
      </w:r>
      <w:r w:rsidR="00747DDB">
        <w:t>. I tabellen nedan visas de uppskattade effekterna</w:t>
      </w:r>
      <w:r w:rsidR="00E407D5">
        <w:t xml:space="preserve"> för kommunerna.</w:t>
      </w:r>
      <w:r w:rsidR="00997B47" w:rsidRPr="00997B47">
        <w:t xml:space="preserve"> </w:t>
      </w:r>
      <w:r w:rsidR="001D7531">
        <w:t>Kalkylen är baserad på de enskilda kommunernas skattesatser 2024, vilket betyder att om kommunens skattesats ändras till 2025 påverkas den visade effekten.</w:t>
      </w:r>
    </w:p>
    <w:p w14:paraId="576EFB23" w14:textId="77777777" w:rsidR="00E557D3" w:rsidRDefault="00E557D3" w:rsidP="001735EF">
      <w:pPr>
        <w:pStyle w:val="ANormal"/>
      </w:pP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5"/>
        <w:gridCol w:w="1559"/>
        <w:gridCol w:w="1559"/>
        <w:gridCol w:w="1559"/>
      </w:tblGrid>
      <w:tr w:rsidR="0075450E" w:rsidRPr="00E557D3" w14:paraId="00908729" w14:textId="77777777" w:rsidTr="0075450E">
        <w:trPr>
          <w:trHeight w:val="698"/>
        </w:trPr>
        <w:tc>
          <w:tcPr>
            <w:tcW w:w="1555" w:type="dxa"/>
            <w:shd w:val="clear" w:color="auto" w:fill="auto"/>
            <w:noWrap/>
            <w:vAlign w:val="bottom"/>
            <w:hideMark/>
          </w:tcPr>
          <w:p w14:paraId="7567C94A" w14:textId="77777777" w:rsidR="0075450E" w:rsidRPr="00E557D3" w:rsidRDefault="0075450E" w:rsidP="00E557D3">
            <w:pPr>
              <w:pStyle w:val="Tabelltext"/>
              <w:rPr>
                <w:lang w:val="sv-FI" w:eastAsia="sv-FI"/>
              </w:rPr>
            </w:pPr>
          </w:p>
        </w:tc>
        <w:tc>
          <w:tcPr>
            <w:tcW w:w="1559" w:type="dxa"/>
            <w:shd w:val="clear" w:color="auto" w:fill="auto"/>
            <w:vAlign w:val="bottom"/>
            <w:hideMark/>
          </w:tcPr>
          <w:p w14:paraId="0C4672C5" w14:textId="49879F1D" w:rsidR="0075450E" w:rsidRPr="00E557D3" w:rsidRDefault="0075450E" w:rsidP="00E557D3">
            <w:pPr>
              <w:pStyle w:val="Tabelltext"/>
              <w:rPr>
                <w:b/>
                <w:bCs/>
                <w:color w:val="000000"/>
              </w:rPr>
            </w:pPr>
            <w:r w:rsidRPr="00E557D3">
              <w:rPr>
                <w:b/>
                <w:bCs/>
                <w:color w:val="000000"/>
              </w:rPr>
              <w:t>Komp</w:t>
            </w:r>
            <w:r>
              <w:rPr>
                <w:b/>
                <w:bCs/>
                <w:color w:val="000000"/>
              </w:rPr>
              <w:t>ensation</w:t>
            </w:r>
            <w:r w:rsidRPr="00E557D3">
              <w:rPr>
                <w:b/>
                <w:bCs/>
                <w:color w:val="000000"/>
              </w:rPr>
              <w:t xml:space="preserve"> enligt gällande lag, 70 %</w:t>
            </w:r>
          </w:p>
        </w:tc>
        <w:tc>
          <w:tcPr>
            <w:tcW w:w="1559" w:type="dxa"/>
            <w:shd w:val="clear" w:color="auto" w:fill="auto"/>
            <w:vAlign w:val="bottom"/>
            <w:hideMark/>
          </w:tcPr>
          <w:p w14:paraId="05ADB15B" w14:textId="2BC4232B" w:rsidR="0075450E" w:rsidRPr="00E557D3" w:rsidRDefault="0075450E" w:rsidP="00E557D3">
            <w:pPr>
              <w:pStyle w:val="Tabelltext"/>
              <w:rPr>
                <w:b/>
                <w:bCs/>
                <w:color w:val="000000"/>
              </w:rPr>
            </w:pPr>
            <w:r w:rsidRPr="00E557D3">
              <w:rPr>
                <w:b/>
                <w:bCs/>
                <w:color w:val="000000"/>
              </w:rPr>
              <w:t>Komp</w:t>
            </w:r>
            <w:r>
              <w:rPr>
                <w:b/>
                <w:bCs/>
                <w:color w:val="000000"/>
              </w:rPr>
              <w:t>ensation</w:t>
            </w:r>
            <w:r w:rsidRPr="00E557D3">
              <w:rPr>
                <w:b/>
                <w:bCs/>
                <w:color w:val="000000"/>
              </w:rPr>
              <w:t xml:space="preserve"> enligt förslaget, 60 %</w:t>
            </w:r>
          </w:p>
        </w:tc>
        <w:tc>
          <w:tcPr>
            <w:tcW w:w="1559" w:type="dxa"/>
            <w:shd w:val="clear" w:color="auto" w:fill="auto"/>
            <w:vAlign w:val="bottom"/>
            <w:hideMark/>
          </w:tcPr>
          <w:p w14:paraId="7379B5F7" w14:textId="21828D86" w:rsidR="0075450E" w:rsidRPr="00E557D3" w:rsidRDefault="0075450E" w:rsidP="00E557D3">
            <w:pPr>
              <w:pStyle w:val="Tabelltext"/>
              <w:rPr>
                <w:b/>
                <w:bCs/>
                <w:color w:val="000000"/>
              </w:rPr>
            </w:pPr>
            <w:r w:rsidRPr="00E557D3">
              <w:rPr>
                <w:b/>
                <w:bCs/>
                <w:color w:val="000000"/>
              </w:rPr>
              <w:t>Effekt av sänkning 70 % till 60 %</w:t>
            </w:r>
          </w:p>
        </w:tc>
      </w:tr>
      <w:tr w:rsidR="0075450E" w:rsidRPr="00E557D3" w14:paraId="1E8732B5" w14:textId="77777777" w:rsidTr="0075450E">
        <w:trPr>
          <w:trHeight w:val="276"/>
        </w:trPr>
        <w:tc>
          <w:tcPr>
            <w:tcW w:w="1555" w:type="dxa"/>
            <w:shd w:val="clear" w:color="auto" w:fill="auto"/>
            <w:noWrap/>
            <w:vAlign w:val="bottom"/>
            <w:hideMark/>
          </w:tcPr>
          <w:p w14:paraId="439DE578" w14:textId="77777777" w:rsidR="0075450E" w:rsidRPr="00E557D3" w:rsidRDefault="0075450E" w:rsidP="00E557D3">
            <w:pPr>
              <w:pStyle w:val="Tabelltext"/>
              <w:rPr>
                <w:color w:val="000000"/>
              </w:rPr>
            </w:pPr>
            <w:r w:rsidRPr="00E557D3">
              <w:rPr>
                <w:color w:val="000000"/>
              </w:rPr>
              <w:t>Brändö</w:t>
            </w:r>
          </w:p>
        </w:tc>
        <w:tc>
          <w:tcPr>
            <w:tcW w:w="1559" w:type="dxa"/>
            <w:shd w:val="clear" w:color="auto" w:fill="auto"/>
            <w:noWrap/>
            <w:vAlign w:val="bottom"/>
            <w:hideMark/>
          </w:tcPr>
          <w:p w14:paraId="7FC2FFDB" w14:textId="26157FCB" w:rsidR="0075450E" w:rsidRPr="00E557D3" w:rsidRDefault="0075450E" w:rsidP="00E557D3">
            <w:pPr>
              <w:pStyle w:val="Tabelltext"/>
              <w:jc w:val="right"/>
              <w:rPr>
                <w:color w:val="000000"/>
              </w:rPr>
            </w:pPr>
            <w:r w:rsidRPr="00E557D3">
              <w:rPr>
                <w:color w:val="000000"/>
              </w:rPr>
              <w:t>83</w:t>
            </w:r>
            <w:r w:rsidR="00675794">
              <w:rPr>
                <w:color w:val="000000"/>
              </w:rPr>
              <w:t> </w:t>
            </w:r>
            <w:r w:rsidRPr="00E557D3">
              <w:rPr>
                <w:color w:val="000000"/>
              </w:rPr>
              <w:t>911</w:t>
            </w:r>
          </w:p>
        </w:tc>
        <w:tc>
          <w:tcPr>
            <w:tcW w:w="1559" w:type="dxa"/>
            <w:shd w:val="clear" w:color="auto" w:fill="auto"/>
            <w:noWrap/>
            <w:vAlign w:val="bottom"/>
            <w:hideMark/>
          </w:tcPr>
          <w:p w14:paraId="76DE785B" w14:textId="283B1FEF" w:rsidR="0075450E" w:rsidRPr="00E557D3" w:rsidRDefault="0075450E" w:rsidP="00E557D3">
            <w:pPr>
              <w:pStyle w:val="Tabelltext"/>
              <w:jc w:val="right"/>
              <w:rPr>
                <w:color w:val="000000"/>
              </w:rPr>
            </w:pPr>
            <w:r w:rsidRPr="00E557D3">
              <w:rPr>
                <w:color w:val="000000"/>
              </w:rPr>
              <w:t>71</w:t>
            </w:r>
            <w:r w:rsidR="00675794">
              <w:rPr>
                <w:color w:val="000000"/>
              </w:rPr>
              <w:t> </w:t>
            </w:r>
            <w:r w:rsidRPr="00E557D3">
              <w:rPr>
                <w:color w:val="000000"/>
              </w:rPr>
              <w:t>924</w:t>
            </w:r>
          </w:p>
        </w:tc>
        <w:tc>
          <w:tcPr>
            <w:tcW w:w="1559" w:type="dxa"/>
            <w:shd w:val="clear" w:color="auto" w:fill="auto"/>
            <w:noWrap/>
            <w:vAlign w:val="bottom"/>
            <w:hideMark/>
          </w:tcPr>
          <w:p w14:paraId="4FBC2861" w14:textId="01C924F4" w:rsidR="0075450E" w:rsidRPr="00E557D3" w:rsidRDefault="0075450E" w:rsidP="00E557D3">
            <w:pPr>
              <w:pStyle w:val="Tabelltext"/>
              <w:jc w:val="right"/>
              <w:rPr>
                <w:color w:val="000000"/>
              </w:rPr>
            </w:pPr>
            <w:r w:rsidRPr="00E557D3">
              <w:rPr>
                <w:color w:val="000000"/>
              </w:rPr>
              <w:t>-11</w:t>
            </w:r>
            <w:r w:rsidR="00675794">
              <w:rPr>
                <w:color w:val="000000"/>
              </w:rPr>
              <w:t> </w:t>
            </w:r>
            <w:r w:rsidRPr="00E557D3">
              <w:rPr>
                <w:color w:val="000000"/>
              </w:rPr>
              <w:t>987</w:t>
            </w:r>
          </w:p>
        </w:tc>
      </w:tr>
      <w:tr w:rsidR="0075450E" w:rsidRPr="00E557D3" w14:paraId="01F40367" w14:textId="77777777" w:rsidTr="0075450E">
        <w:trPr>
          <w:trHeight w:val="276"/>
        </w:trPr>
        <w:tc>
          <w:tcPr>
            <w:tcW w:w="1555" w:type="dxa"/>
            <w:shd w:val="clear" w:color="auto" w:fill="auto"/>
            <w:noWrap/>
            <w:vAlign w:val="bottom"/>
            <w:hideMark/>
          </w:tcPr>
          <w:p w14:paraId="43B10300" w14:textId="77777777" w:rsidR="0075450E" w:rsidRPr="00E557D3" w:rsidRDefault="0075450E" w:rsidP="00E557D3">
            <w:pPr>
              <w:pStyle w:val="Tabelltext"/>
              <w:rPr>
                <w:color w:val="000000"/>
              </w:rPr>
            </w:pPr>
            <w:r w:rsidRPr="00E557D3">
              <w:rPr>
                <w:color w:val="000000"/>
              </w:rPr>
              <w:t>Eckerö</w:t>
            </w:r>
          </w:p>
        </w:tc>
        <w:tc>
          <w:tcPr>
            <w:tcW w:w="1559" w:type="dxa"/>
            <w:shd w:val="clear" w:color="auto" w:fill="auto"/>
            <w:noWrap/>
            <w:vAlign w:val="bottom"/>
            <w:hideMark/>
          </w:tcPr>
          <w:p w14:paraId="64FC5005" w14:textId="6BEE1D79" w:rsidR="0075450E" w:rsidRPr="00E557D3" w:rsidRDefault="0075450E" w:rsidP="00E557D3">
            <w:pPr>
              <w:pStyle w:val="Tabelltext"/>
              <w:jc w:val="right"/>
              <w:rPr>
                <w:color w:val="000000"/>
              </w:rPr>
            </w:pPr>
            <w:r w:rsidRPr="00E557D3">
              <w:rPr>
                <w:color w:val="000000"/>
              </w:rPr>
              <w:t>178</w:t>
            </w:r>
            <w:r w:rsidR="00675794">
              <w:rPr>
                <w:color w:val="000000"/>
              </w:rPr>
              <w:t> </w:t>
            </w:r>
            <w:r w:rsidRPr="00E557D3">
              <w:rPr>
                <w:color w:val="000000"/>
              </w:rPr>
              <w:t>203</w:t>
            </w:r>
          </w:p>
        </w:tc>
        <w:tc>
          <w:tcPr>
            <w:tcW w:w="1559" w:type="dxa"/>
            <w:shd w:val="clear" w:color="auto" w:fill="auto"/>
            <w:noWrap/>
            <w:vAlign w:val="bottom"/>
            <w:hideMark/>
          </w:tcPr>
          <w:p w14:paraId="3E96AC34" w14:textId="0E4533A3" w:rsidR="0075450E" w:rsidRPr="00E557D3" w:rsidRDefault="0075450E" w:rsidP="00E557D3">
            <w:pPr>
              <w:pStyle w:val="Tabelltext"/>
              <w:jc w:val="right"/>
              <w:rPr>
                <w:color w:val="000000"/>
              </w:rPr>
            </w:pPr>
            <w:r w:rsidRPr="00E557D3">
              <w:rPr>
                <w:color w:val="000000"/>
              </w:rPr>
              <w:t>152</w:t>
            </w:r>
            <w:r w:rsidR="00675794">
              <w:rPr>
                <w:color w:val="000000"/>
              </w:rPr>
              <w:t> </w:t>
            </w:r>
            <w:r w:rsidRPr="00E557D3">
              <w:rPr>
                <w:color w:val="000000"/>
              </w:rPr>
              <w:t>746</w:t>
            </w:r>
          </w:p>
        </w:tc>
        <w:tc>
          <w:tcPr>
            <w:tcW w:w="1559" w:type="dxa"/>
            <w:shd w:val="clear" w:color="auto" w:fill="auto"/>
            <w:noWrap/>
            <w:vAlign w:val="bottom"/>
            <w:hideMark/>
          </w:tcPr>
          <w:p w14:paraId="35591F4F" w14:textId="0F17627F" w:rsidR="0075450E" w:rsidRPr="00E557D3" w:rsidRDefault="0075450E" w:rsidP="00E557D3">
            <w:pPr>
              <w:pStyle w:val="Tabelltext"/>
              <w:jc w:val="right"/>
              <w:rPr>
                <w:color w:val="000000"/>
              </w:rPr>
            </w:pPr>
            <w:r w:rsidRPr="00E557D3">
              <w:rPr>
                <w:color w:val="000000"/>
              </w:rPr>
              <w:t>-25</w:t>
            </w:r>
            <w:r w:rsidR="00675794">
              <w:rPr>
                <w:color w:val="000000"/>
              </w:rPr>
              <w:t> </w:t>
            </w:r>
            <w:r w:rsidRPr="00E557D3">
              <w:rPr>
                <w:color w:val="000000"/>
              </w:rPr>
              <w:t>458</w:t>
            </w:r>
          </w:p>
        </w:tc>
      </w:tr>
      <w:tr w:rsidR="0075450E" w:rsidRPr="00E557D3" w14:paraId="61EE0699" w14:textId="77777777" w:rsidTr="0075450E">
        <w:trPr>
          <w:trHeight w:val="276"/>
        </w:trPr>
        <w:tc>
          <w:tcPr>
            <w:tcW w:w="1555" w:type="dxa"/>
            <w:shd w:val="clear" w:color="auto" w:fill="auto"/>
            <w:noWrap/>
            <w:vAlign w:val="bottom"/>
            <w:hideMark/>
          </w:tcPr>
          <w:p w14:paraId="0933485C" w14:textId="77777777" w:rsidR="0075450E" w:rsidRPr="00E557D3" w:rsidRDefault="0075450E" w:rsidP="00E557D3">
            <w:pPr>
              <w:pStyle w:val="Tabelltext"/>
              <w:rPr>
                <w:color w:val="000000"/>
              </w:rPr>
            </w:pPr>
            <w:r w:rsidRPr="00E557D3">
              <w:rPr>
                <w:color w:val="000000"/>
              </w:rPr>
              <w:t>Finström</w:t>
            </w:r>
          </w:p>
        </w:tc>
        <w:tc>
          <w:tcPr>
            <w:tcW w:w="1559" w:type="dxa"/>
            <w:shd w:val="clear" w:color="auto" w:fill="auto"/>
            <w:noWrap/>
            <w:vAlign w:val="bottom"/>
            <w:hideMark/>
          </w:tcPr>
          <w:p w14:paraId="167C9F0E" w14:textId="3F33E802" w:rsidR="0075450E" w:rsidRPr="00E557D3" w:rsidRDefault="0075450E" w:rsidP="00E557D3">
            <w:pPr>
              <w:pStyle w:val="Tabelltext"/>
              <w:jc w:val="right"/>
              <w:rPr>
                <w:color w:val="000000"/>
              </w:rPr>
            </w:pPr>
            <w:r w:rsidRPr="00E557D3">
              <w:rPr>
                <w:color w:val="000000"/>
              </w:rPr>
              <w:t>473</w:t>
            </w:r>
            <w:r w:rsidR="00675794">
              <w:rPr>
                <w:color w:val="000000"/>
              </w:rPr>
              <w:t> </w:t>
            </w:r>
            <w:r w:rsidRPr="00E557D3">
              <w:rPr>
                <w:color w:val="000000"/>
              </w:rPr>
              <w:t>688</w:t>
            </w:r>
          </w:p>
        </w:tc>
        <w:tc>
          <w:tcPr>
            <w:tcW w:w="1559" w:type="dxa"/>
            <w:shd w:val="clear" w:color="auto" w:fill="auto"/>
            <w:noWrap/>
            <w:vAlign w:val="bottom"/>
            <w:hideMark/>
          </w:tcPr>
          <w:p w14:paraId="45EE9C73" w14:textId="538535C8" w:rsidR="0075450E" w:rsidRPr="00E557D3" w:rsidRDefault="0075450E" w:rsidP="00E557D3">
            <w:pPr>
              <w:pStyle w:val="Tabelltext"/>
              <w:jc w:val="right"/>
              <w:rPr>
                <w:color w:val="000000"/>
              </w:rPr>
            </w:pPr>
            <w:r w:rsidRPr="00E557D3">
              <w:rPr>
                <w:color w:val="000000"/>
              </w:rPr>
              <w:t>406</w:t>
            </w:r>
            <w:r w:rsidR="00675794">
              <w:rPr>
                <w:color w:val="000000"/>
              </w:rPr>
              <w:t> </w:t>
            </w:r>
            <w:r w:rsidRPr="00E557D3">
              <w:rPr>
                <w:color w:val="000000"/>
              </w:rPr>
              <w:t>018</w:t>
            </w:r>
          </w:p>
        </w:tc>
        <w:tc>
          <w:tcPr>
            <w:tcW w:w="1559" w:type="dxa"/>
            <w:shd w:val="clear" w:color="auto" w:fill="auto"/>
            <w:noWrap/>
            <w:vAlign w:val="bottom"/>
            <w:hideMark/>
          </w:tcPr>
          <w:p w14:paraId="6DF4C2BD" w14:textId="693C9603" w:rsidR="0075450E" w:rsidRPr="00E557D3" w:rsidRDefault="0075450E" w:rsidP="00E557D3">
            <w:pPr>
              <w:pStyle w:val="Tabelltext"/>
              <w:jc w:val="right"/>
              <w:rPr>
                <w:color w:val="000000"/>
              </w:rPr>
            </w:pPr>
            <w:r w:rsidRPr="00E557D3">
              <w:rPr>
                <w:color w:val="000000"/>
              </w:rPr>
              <w:t>-67</w:t>
            </w:r>
            <w:r w:rsidR="00675794">
              <w:rPr>
                <w:color w:val="000000"/>
              </w:rPr>
              <w:t> </w:t>
            </w:r>
            <w:r w:rsidRPr="00E557D3">
              <w:rPr>
                <w:color w:val="000000"/>
              </w:rPr>
              <w:t>670</w:t>
            </w:r>
          </w:p>
        </w:tc>
      </w:tr>
      <w:tr w:rsidR="0075450E" w:rsidRPr="00E557D3" w14:paraId="21649507" w14:textId="77777777" w:rsidTr="0075450E">
        <w:trPr>
          <w:trHeight w:val="276"/>
        </w:trPr>
        <w:tc>
          <w:tcPr>
            <w:tcW w:w="1555" w:type="dxa"/>
            <w:shd w:val="clear" w:color="auto" w:fill="auto"/>
            <w:noWrap/>
            <w:vAlign w:val="bottom"/>
            <w:hideMark/>
          </w:tcPr>
          <w:p w14:paraId="037FFB1F" w14:textId="77777777" w:rsidR="0075450E" w:rsidRPr="00E557D3" w:rsidRDefault="0075450E" w:rsidP="00E557D3">
            <w:pPr>
              <w:pStyle w:val="Tabelltext"/>
              <w:rPr>
                <w:color w:val="000000"/>
              </w:rPr>
            </w:pPr>
            <w:r w:rsidRPr="00E557D3">
              <w:rPr>
                <w:color w:val="000000"/>
              </w:rPr>
              <w:t>Föglö</w:t>
            </w:r>
          </w:p>
        </w:tc>
        <w:tc>
          <w:tcPr>
            <w:tcW w:w="1559" w:type="dxa"/>
            <w:shd w:val="clear" w:color="auto" w:fill="auto"/>
            <w:noWrap/>
            <w:vAlign w:val="bottom"/>
            <w:hideMark/>
          </w:tcPr>
          <w:p w14:paraId="72CA0FEA" w14:textId="6946887F" w:rsidR="0075450E" w:rsidRPr="00E557D3" w:rsidRDefault="0075450E" w:rsidP="00E557D3">
            <w:pPr>
              <w:pStyle w:val="Tabelltext"/>
              <w:jc w:val="right"/>
              <w:rPr>
                <w:color w:val="000000"/>
              </w:rPr>
            </w:pPr>
            <w:r w:rsidRPr="00E557D3">
              <w:rPr>
                <w:color w:val="000000"/>
              </w:rPr>
              <w:t>94</w:t>
            </w:r>
            <w:r w:rsidR="00675794">
              <w:rPr>
                <w:color w:val="000000"/>
              </w:rPr>
              <w:t> </w:t>
            </w:r>
            <w:r w:rsidRPr="00E557D3">
              <w:rPr>
                <w:color w:val="000000"/>
              </w:rPr>
              <w:t>309</w:t>
            </w:r>
          </w:p>
        </w:tc>
        <w:tc>
          <w:tcPr>
            <w:tcW w:w="1559" w:type="dxa"/>
            <w:shd w:val="clear" w:color="auto" w:fill="auto"/>
            <w:noWrap/>
            <w:vAlign w:val="bottom"/>
            <w:hideMark/>
          </w:tcPr>
          <w:p w14:paraId="4CD16DE2" w14:textId="4BBFBEBD" w:rsidR="0075450E" w:rsidRPr="00E557D3" w:rsidRDefault="0075450E" w:rsidP="00E557D3">
            <w:pPr>
              <w:pStyle w:val="Tabelltext"/>
              <w:jc w:val="right"/>
              <w:rPr>
                <w:color w:val="000000"/>
              </w:rPr>
            </w:pPr>
            <w:r w:rsidRPr="00E557D3">
              <w:rPr>
                <w:color w:val="000000"/>
              </w:rPr>
              <w:t>80</w:t>
            </w:r>
            <w:r w:rsidR="00675794">
              <w:rPr>
                <w:color w:val="000000"/>
              </w:rPr>
              <w:t> </w:t>
            </w:r>
            <w:r w:rsidRPr="00E557D3">
              <w:rPr>
                <w:color w:val="000000"/>
              </w:rPr>
              <w:t>837</w:t>
            </w:r>
          </w:p>
        </w:tc>
        <w:tc>
          <w:tcPr>
            <w:tcW w:w="1559" w:type="dxa"/>
            <w:shd w:val="clear" w:color="auto" w:fill="auto"/>
            <w:noWrap/>
            <w:vAlign w:val="bottom"/>
            <w:hideMark/>
          </w:tcPr>
          <w:p w14:paraId="197143E8" w14:textId="2F9107A2" w:rsidR="0075450E" w:rsidRPr="00E557D3" w:rsidRDefault="0075450E" w:rsidP="00E557D3">
            <w:pPr>
              <w:pStyle w:val="Tabelltext"/>
              <w:jc w:val="right"/>
              <w:rPr>
                <w:color w:val="000000"/>
              </w:rPr>
            </w:pPr>
            <w:r w:rsidRPr="00E557D3">
              <w:rPr>
                <w:color w:val="000000"/>
              </w:rPr>
              <w:t>-13</w:t>
            </w:r>
            <w:r w:rsidR="00675794">
              <w:rPr>
                <w:color w:val="000000"/>
              </w:rPr>
              <w:t> </w:t>
            </w:r>
            <w:r w:rsidRPr="00E557D3">
              <w:rPr>
                <w:color w:val="000000"/>
              </w:rPr>
              <w:t>473</w:t>
            </w:r>
          </w:p>
        </w:tc>
      </w:tr>
      <w:tr w:rsidR="0075450E" w:rsidRPr="00E557D3" w14:paraId="05499EDE" w14:textId="77777777" w:rsidTr="0075450E">
        <w:trPr>
          <w:trHeight w:val="276"/>
        </w:trPr>
        <w:tc>
          <w:tcPr>
            <w:tcW w:w="1555" w:type="dxa"/>
            <w:shd w:val="clear" w:color="auto" w:fill="auto"/>
            <w:noWrap/>
            <w:vAlign w:val="bottom"/>
            <w:hideMark/>
          </w:tcPr>
          <w:p w14:paraId="2AB5F840" w14:textId="77777777" w:rsidR="0075450E" w:rsidRPr="00E557D3" w:rsidRDefault="0075450E" w:rsidP="00E557D3">
            <w:pPr>
              <w:pStyle w:val="Tabelltext"/>
              <w:rPr>
                <w:color w:val="000000"/>
              </w:rPr>
            </w:pPr>
            <w:r w:rsidRPr="00E557D3">
              <w:rPr>
                <w:color w:val="000000"/>
              </w:rPr>
              <w:t>Geta</w:t>
            </w:r>
          </w:p>
        </w:tc>
        <w:tc>
          <w:tcPr>
            <w:tcW w:w="1559" w:type="dxa"/>
            <w:shd w:val="clear" w:color="auto" w:fill="auto"/>
            <w:noWrap/>
            <w:vAlign w:val="bottom"/>
            <w:hideMark/>
          </w:tcPr>
          <w:p w14:paraId="4E3ED32B" w14:textId="67DB409D" w:rsidR="0075450E" w:rsidRPr="00E557D3" w:rsidRDefault="0075450E" w:rsidP="00E557D3">
            <w:pPr>
              <w:pStyle w:val="Tabelltext"/>
              <w:jc w:val="right"/>
              <w:rPr>
                <w:color w:val="000000"/>
              </w:rPr>
            </w:pPr>
            <w:r w:rsidRPr="00E557D3">
              <w:rPr>
                <w:color w:val="000000"/>
              </w:rPr>
              <w:t>123</w:t>
            </w:r>
            <w:r w:rsidR="00675794">
              <w:rPr>
                <w:color w:val="000000"/>
              </w:rPr>
              <w:t> </w:t>
            </w:r>
            <w:r w:rsidRPr="00E557D3">
              <w:rPr>
                <w:color w:val="000000"/>
              </w:rPr>
              <w:t>372</w:t>
            </w:r>
          </w:p>
        </w:tc>
        <w:tc>
          <w:tcPr>
            <w:tcW w:w="1559" w:type="dxa"/>
            <w:shd w:val="clear" w:color="auto" w:fill="auto"/>
            <w:noWrap/>
            <w:vAlign w:val="bottom"/>
            <w:hideMark/>
          </w:tcPr>
          <w:p w14:paraId="5B37F7B4" w14:textId="61FBD853" w:rsidR="0075450E" w:rsidRPr="00E557D3" w:rsidRDefault="0075450E" w:rsidP="00E557D3">
            <w:pPr>
              <w:pStyle w:val="Tabelltext"/>
              <w:jc w:val="right"/>
              <w:rPr>
                <w:color w:val="000000"/>
              </w:rPr>
            </w:pPr>
            <w:r w:rsidRPr="00E557D3">
              <w:rPr>
                <w:color w:val="000000"/>
              </w:rPr>
              <w:t>105</w:t>
            </w:r>
            <w:r w:rsidR="00675794">
              <w:rPr>
                <w:color w:val="000000"/>
              </w:rPr>
              <w:t> </w:t>
            </w:r>
            <w:r w:rsidRPr="00E557D3">
              <w:rPr>
                <w:color w:val="000000"/>
              </w:rPr>
              <w:t>747</w:t>
            </w:r>
          </w:p>
        </w:tc>
        <w:tc>
          <w:tcPr>
            <w:tcW w:w="1559" w:type="dxa"/>
            <w:shd w:val="clear" w:color="auto" w:fill="auto"/>
            <w:noWrap/>
            <w:vAlign w:val="bottom"/>
            <w:hideMark/>
          </w:tcPr>
          <w:p w14:paraId="0D26A17D" w14:textId="1A62A588" w:rsidR="0075450E" w:rsidRPr="00E557D3" w:rsidRDefault="0075450E" w:rsidP="00E557D3">
            <w:pPr>
              <w:pStyle w:val="Tabelltext"/>
              <w:jc w:val="right"/>
              <w:rPr>
                <w:color w:val="000000"/>
              </w:rPr>
            </w:pPr>
            <w:r w:rsidRPr="00E557D3">
              <w:rPr>
                <w:color w:val="000000"/>
              </w:rPr>
              <w:t>-17</w:t>
            </w:r>
            <w:r w:rsidR="00675794">
              <w:rPr>
                <w:color w:val="000000"/>
              </w:rPr>
              <w:t> </w:t>
            </w:r>
            <w:r w:rsidRPr="00E557D3">
              <w:rPr>
                <w:color w:val="000000"/>
              </w:rPr>
              <w:t>625</w:t>
            </w:r>
          </w:p>
        </w:tc>
      </w:tr>
      <w:tr w:rsidR="0075450E" w:rsidRPr="00E557D3" w14:paraId="26CD271A" w14:textId="77777777" w:rsidTr="0075450E">
        <w:trPr>
          <w:trHeight w:val="276"/>
        </w:trPr>
        <w:tc>
          <w:tcPr>
            <w:tcW w:w="1555" w:type="dxa"/>
            <w:shd w:val="clear" w:color="auto" w:fill="auto"/>
            <w:noWrap/>
            <w:vAlign w:val="bottom"/>
            <w:hideMark/>
          </w:tcPr>
          <w:p w14:paraId="74605FB2" w14:textId="77777777" w:rsidR="0075450E" w:rsidRPr="00E557D3" w:rsidRDefault="0075450E" w:rsidP="00E557D3">
            <w:pPr>
              <w:pStyle w:val="Tabelltext"/>
              <w:rPr>
                <w:color w:val="000000"/>
              </w:rPr>
            </w:pPr>
            <w:r w:rsidRPr="00E557D3">
              <w:rPr>
                <w:color w:val="000000"/>
              </w:rPr>
              <w:t>Hammarland</w:t>
            </w:r>
          </w:p>
        </w:tc>
        <w:tc>
          <w:tcPr>
            <w:tcW w:w="1559" w:type="dxa"/>
            <w:shd w:val="clear" w:color="auto" w:fill="auto"/>
            <w:noWrap/>
            <w:vAlign w:val="bottom"/>
            <w:hideMark/>
          </w:tcPr>
          <w:p w14:paraId="36581B77" w14:textId="0B23B3D9" w:rsidR="0075450E" w:rsidRPr="00E557D3" w:rsidRDefault="0075450E" w:rsidP="00E557D3">
            <w:pPr>
              <w:pStyle w:val="Tabelltext"/>
              <w:jc w:val="right"/>
              <w:rPr>
                <w:color w:val="000000"/>
              </w:rPr>
            </w:pPr>
            <w:r w:rsidRPr="00E557D3">
              <w:rPr>
                <w:color w:val="000000"/>
              </w:rPr>
              <w:t>283</w:t>
            </w:r>
            <w:r w:rsidR="00675794">
              <w:rPr>
                <w:color w:val="000000"/>
              </w:rPr>
              <w:t> </w:t>
            </w:r>
            <w:r w:rsidRPr="00E557D3">
              <w:rPr>
                <w:color w:val="000000"/>
              </w:rPr>
              <w:t>316</w:t>
            </w:r>
          </w:p>
        </w:tc>
        <w:tc>
          <w:tcPr>
            <w:tcW w:w="1559" w:type="dxa"/>
            <w:shd w:val="clear" w:color="auto" w:fill="auto"/>
            <w:noWrap/>
            <w:vAlign w:val="bottom"/>
            <w:hideMark/>
          </w:tcPr>
          <w:p w14:paraId="6D2265DD" w14:textId="3A5E7415" w:rsidR="0075450E" w:rsidRPr="00E557D3" w:rsidRDefault="0075450E" w:rsidP="00E557D3">
            <w:pPr>
              <w:pStyle w:val="Tabelltext"/>
              <w:jc w:val="right"/>
              <w:rPr>
                <w:color w:val="000000"/>
              </w:rPr>
            </w:pPr>
            <w:r w:rsidRPr="00E557D3">
              <w:rPr>
                <w:color w:val="000000"/>
              </w:rPr>
              <w:t>242</w:t>
            </w:r>
            <w:r w:rsidR="00675794">
              <w:rPr>
                <w:color w:val="000000"/>
              </w:rPr>
              <w:t> </w:t>
            </w:r>
            <w:r w:rsidRPr="00E557D3">
              <w:rPr>
                <w:color w:val="000000"/>
              </w:rPr>
              <w:t>842</w:t>
            </w:r>
          </w:p>
        </w:tc>
        <w:tc>
          <w:tcPr>
            <w:tcW w:w="1559" w:type="dxa"/>
            <w:shd w:val="clear" w:color="auto" w:fill="auto"/>
            <w:noWrap/>
            <w:vAlign w:val="bottom"/>
            <w:hideMark/>
          </w:tcPr>
          <w:p w14:paraId="5BAAD3FB" w14:textId="093B1511" w:rsidR="0075450E" w:rsidRPr="00E557D3" w:rsidRDefault="0075450E" w:rsidP="00E557D3">
            <w:pPr>
              <w:pStyle w:val="Tabelltext"/>
              <w:jc w:val="right"/>
              <w:rPr>
                <w:color w:val="000000"/>
              </w:rPr>
            </w:pPr>
            <w:r w:rsidRPr="00E557D3">
              <w:rPr>
                <w:color w:val="000000"/>
              </w:rPr>
              <w:t>-40</w:t>
            </w:r>
            <w:r w:rsidR="00675794">
              <w:rPr>
                <w:color w:val="000000"/>
              </w:rPr>
              <w:t> </w:t>
            </w:r>
            <w:r w:rsidRPr="00E557D3">
              <w:rPr>
                <w:color w:val="000000"/>
              </w:rPr>
              <w:t>474</w:t>
            </w:r>
          </w:p>
        </w:tc>
      </w:tr>
      <w:tr w:rsidR="0075450E" w:rsidRPr="00E557D3" w14:paraId="0273D2B6" w14:textId="77777777" w:rsidTr="0075450E">
        <w:trPr>
          <w:trHeight w:val="276"/>
        </w:trPr>
        <w:tc>
          <w:tcPr>
            <w:tcW w:w="1555" w:type="dxa"/>
            <w:shd w:val="clear" w:color="auto" w:fill="auto"/>
            <w:noWrap/>
            <w:vAlign w:val="bottom"/>
            <w:hideMark/>
          </w:tcPr>
          <w:p w14:paraId="2761C918" w14:textId="77777777" w:rsidR="0075450E" w:rsidRPr="00E557D3" w:rsidRDefault="0075450E" w:rsidP="00E557D3">
            <w:pPr>
              <w:pStyle w:val="Tabelltext"/>
              <w:rPr>
                <w:color w:val="000000"/>
              </w:rPr>
            </w:pPr>
            <w:r w:rsidRPr="00E557D3">
              <w:rPr>
                <w:color w:val="000000"/>
              </w:rPr>
              <w:t>Jomala</w:t>
            </w:r>
          </w:p>
        </w:tc>
        <w:tc>
          <w:tcPr>
            <w:tcW w:w="1559" w:type="dxa"/>
            <w:shd w:val="clear" w:color="auto" w:fill="auto"/>
            <w:noWrap/>
            <w:vAlign w:val="bottom"/>
            <w:hideMark/>
          </w:tcPr>
          <w:p w14:paraId="6E5A5106" w14:textId="56BFB9FC" w:rsidR="0075450E" w:rsidRPr="00E557D3" w:rsidRDefault="0075450E" w:rsidP="00E557D3">
            <w:pPr>
              <w:pStyle w:val="Tabelltext"/>
              <w:jc w:val="right"/>
              <w:rPr>
                <w:color w:val="000000"/>
              </w:rPr>
            </w:pPr>
            <w:r w:rsidRPr="00E557D3">
              <w:rPr>
                <w:color w:val="000000"/>
              </w:rPr>
              <w:t>629</w:t>
            </w:r>
            <w:r w:rsidR="00675794">
              <w:rPr>
                <w:color w:val="000000"/>
              </w:rPr>
              <w:t> </w:t>
            </w:r>
            <w:r w:rsidRPr="00E557D3">
              <w:rPr>
                <w:color w:val="000000"/>
              </w:rPr>
              <w:t>311</w:t>
            </w:r>
          </w:p>
        </w:tc>
        <w:tc>
          <w:tcPr>
            <w:tcW w:w="1559" w:type="dxa"/>
            <w:shd w:val="clear" w:color="auto" w:fill="auto"/>
            <w:noWrap/>
            <w:vAlign w:val="bottom"/>
            <w:hideMark/>
          </w:tcPr>
          <w:p w14:paraId="19E33F14" w14:textId="6B61C697" w:rsidR="0075450E" w:rsidRPr="00E557D3" w:rsidRDefault="0075450E" w:rsidP="00E557D3">
            <w:pPr>
              <w:pStyle w:val="Tabelltext"/>
              <w:jc w:val="right"/>
              <w:rPr>
                <w:color w:val="000000"/>
              </w:rPr>
            </w:pPr>
            <w:r w:rsidRPr="00E557D3">
              <w:rPr>
                <w:color w:val="000000"/>
              </w:rPr>
              <w:t>539</w:t>
            </w:r>
            <w:r w:rsidR="00675794">
              <w:rPr>
                <w:color w:val="000000"/>
              </w:rPr>
              <w:t> </w:t>
            </w:r>
            <w:r w:rsidRPr="00E557D3">
              <w:rPr>
                <w:color w:val="000000"/>
              </w:rPr>
              <w:t>410</w:t>
            </w:r>
          </w:p>
        </w:tc>
        <w:tc>
          <w:tcPr>
            <w:tcW w:w="1559" w:type="dxa"/>
            <w:shd w:val="clear" w:color="auto" w:fill="auto"/>
            <w:noWrap/>
            <w:vAlign w:val="bottom"/>
            <w:hideMark/>
          </w:tcPr>
          <w:p w14:paraId="3DF7AB52" w14:textId="3A16CD8D" w:rsidR="0075450E" w:rsidRPr="00E557D3" w:rsidRDefault="0075450E" w:rsidP="00E557D3">
            <w:pPr>
              <w:pStyle w:val="Tabelltext"/>
              <w:jc w:val="right"/>
              <w:rPr>
                <w:color w:val="000000"/>
              </w:rPr>
            </w:pPr>
            <w:r w:rsidRPr="00E557D3">
              <w:rPr>
                <w:color w:val="000000"/>
              </w:rPr>
              <w:t>-89</w:t>
            </w:r>
            <w:r w:rsidR="00675794">
              <w:rPr>
                <w:color w:val="000000"/>
              </w:rPr>
              <w:t> </w:t>
            </w:r>
            <w:r w:rsidRPr="00E557D3">
              <w:rPr>
                <w:color w:val="000000"/>
              </w:rPr>
              <w:t>902</w:t>
            </w:r>
          </w:p>
        </w:tc>
      </w:tr>
      <w:tr w:rsidR="0075450E" w:rsidRPr="00E557D3" w14:paraId="17DCD4FB" w14:textId="77777777" w:rsidTr="0075450E">
        <w:trPr>
          <w:trHeight w:val="276"/>
        </w:trPr>
        <w:tc>
          <w:tcPr>
            <w:tcW w:w="1555" w:type="dxa"/>
            <w:shd w:val="clear" w:color="auto" w:fill="auto"/>
            <w:noWrap/>
            <w:vAlign w:val="bottom"/>
            <w:hideMark/>
          </w:tcPr>
          <w:p w14:paraId="30674B16" w14:textId="77777777" w:rsidR="0075450E" w:rsidRPr="00E557D3" w:rsidRDefault="0075450E" w:rsidP="00E557D3">
            <w:pPr>
              <w:pStyle w:val="Tabelltext"/>
              <w:rPr>
                <w:color w:val="000000"/>
              </w:rPr>
            </w:pPr>
            <w:r w:rsidRPr="00E557D3">
              <w:rPr>
                <w:color w:val="000000"/>
              </w:rPr>
              <w:t>Kumlinge</w:t>
            </w:r>
          </w:p>
        </w:tc>
        <w:tc>
          <w:tcPr>
            <w:tcW w:w="1559" w:type="dxa"/>
            <w:shd w:val="clear" w:color="auto" w:fill="auto"/>
            <w:noWrap/>
            <w:vAlign w:val="bottom"/>
            <w:hideMark/>
          </w:tcPr>
          <w:p w14:paraId="0519C321" w14:textId="2FA7A91A" w:rsidR="0075450E" w:rsidRPr="00E557D3" w:rsidRDefault="0075450E" w:rsidP="00E557D3">
            <w:pPr>
              <w:pStyle w:val="Tabelltext"/>
              <w:jc w:val="right"/>
              <w:rPr>
                <w:color w:val="000000"/>
              </w:rPr>
            </w:pPr>
            <w:r w:rsidRPr="00E557D3">
              <w:rPr>
                <w:color w:val="000000"/>
              </w:rPr>
              <w:t>63</w:t>
            </w:r>
            <w:r w:rsidR="00675794">
              <w:rPr>
                <w:color w:val="000000"/>
              </w:rPr>
              <w:t> </w:t>
            </w:r>
            <w:r w:rsidRPr="00E557D3">
              <w:rPr>
                <w:color w:val="000000"/>
              </w:rPr>
              <w:t>783</w:t>
            </w:r>
          </w:p>
        </w:tc>
        <w:tc>
          <w:tcPr>
            <w:tcW w:w="1559" w:type="dxa"/>
            <w:shd w:val="clear" w:color="auto" w:fill="auto"/>
            <w:noWrap/>
            <w:vAlign w:val="bottom"/>
            <w:hideMark/>
          </w:tcPr>
          <w:p w14:paraId="485F799E" w14:textId="7966095E" w:rsidR="0075450E" w:rsidRPr="00E557D3" w:rsidRDefault="0075450E" w:rsidP="00E557D3">
            <w:pPr>
              <w:pStyle w:val="Tabelltext"/>
              <w:jc w:val="right"/>
              <w:rPr>
                <w:color w:val="000000"/>
              </w:rPr>
            </w:pPr>
            <w:r w:rsidRPr="00E557D3">
              <w:rPr>
                <w:color w:val="000000"/>
              </w:rPr>
              <w:t>54</w:t>
            </w:r>
            <w:r w:rsidR="00675794">
              <w:rPr>
                <w:color w:val="000000"/>
              </w:rPr>
              <w:t> </w:t>
            </w:r>
            <w:r w:rsidRPr="00E557D3">
              <w:rPr>
                <w:color w:val="000000"/>
              </w:rPr>
              <w:t>671</w:t>
            </w:r>
          </w:p>
        </w:tc>
        <w:tc>
          <w:tcPr>
            <w:tcW w:w="1559" w:type="dxa"/>
            <w:shd w:val="clear" w:color="auto" w:fill="auto"/>
            <w:noWrap/>
            <w:vAlign w:val="bottom"/>
            <w:hideMark/>
          </w:tcPr>
          <w:p w14:paraId="11C977D2" w14:textId="29304371" w:rsidR="0075450E" w:rsidRPr="00E557D3" w:rsidRDefault="0075450E" w:rsidP="00E557D3">
            <w:pPr>
              <w:pStyle w:val="Tabelltext"/>
              <w:jc w:val="right"/>
              <w:rPr>
                <w:color w:val="000000"/>
              </w:rPr>
            </w:pPr>
            <w:r w:rsidRPr="00E557D3">
              <w:rPr>
                <w:color w:val="000000"/>
              </w:rPr>
              <w:t>-</w:t>
            </w:r>
            <w:r w:rsidRPr="00675794">
              <w:t>9</w:t>
            </w:r>
            <w:r w:rsidR="00675794">
              <w:t> </w:t>
            </w:r>
            <w:r w:rsidRPr="00675794">
              <w:t>112</w:t>
            </w:r>
          </w:p>
        </w:tc>
      </w:tr>
      <w:tr w:rsidR="0075450E" w:rsidRPr="00E557D3" w14:paraId="09F5CE7E" w14:textId="77777777" w:rsidTr="0075450E">
        <w:trPr>
          <w:trHeight w:val="276"/>
        </w:trPr>
        <w:tc>
          <w:tcPr>
            <w:tcW w:w="1555" w:type="dxa"/>
            <w:shd w:val="clear" w:color="auto" w:fill="auto"/>
            <w:noWrap/>
            <w:vAlign w:val="bottom"/>
            <w:hideMark/>
          </w:tcPr>
          <w:p w14:paraId="0DE36479" w14:textId="77777777" w:rsidR="0075450E" w:rsidRPr="00E557D3" w:rsidRDefault="0075450E" w:rsidP="00E557D3">
            <w:pPr>
              <w:pStyle w:val="Tabelltext"/>
              <w:rPr>
                <w:color w:val="000000"/>
              </w:rPr>
            </w:pPr>
            <w:r w:rsidRPr="00E557D3">
              <w:rPr>
                <w:color w:val="000000"/>
              </w:rPr>
              <w:t>Kökar</w:t>
            </w:r>
          </w:p>
        </w:tc>
        <w:tc>
          <w:tcPr>
            <w:tcW w:w="1559" w:type="dxa"/>
            <w:shd w:val="clear" w:color="auto" w:fill="auto"/>
            <w:noWrap/>
            <w:vAlign w:val="bottom"/>
            <w:hideMark/>
          </w:tcPr>
          <w:p w14:paraId="262DEE9B" w14:textId="355A5CEB" w:rsidR="0075450E" w:rsidRPr="00E557D3" w:rsidRDefault="0075450E" w:rsidP="00E557D3">
            <w:pPr>
              <w:pStyle w:val="Tabelltext"/>
              <w:jc w:val="right"/>
              <w:rPr>
                <w:color w:val="000000"/>
              </w:rPr>
            </w:pPr>
            <w:r w:rsidRPr="00E557D3">
              <w:rPr>
                <w:color w:val="000000"/>
              </w:rPr>
              <w:t>54</w:t>
            </w:r>
            <w:r w:rsidR="00675794">
              <w:rPr>
                <w:color w:val="000000"/>
              </w:rPr>
              <w:t> </w:t>
            </w:r>
            <w:r w:rsidRPr="00E557D3">
              <w:rPr>
                <w:color w:val="000000"/>
              </w:rPr>
              <w:t>702</w:t>
            </w:r>
          </w:p>
        </w:tc>
        <w:tc>
          <w:tcPr>
            <w:tcW w:w="1559" w:type="dxa"/>
            <w:shd w:val="clear" w:color="auto" w:fill="auto"/>
            <w:noWrap/>
            <w:vAlign w:val="bottom"/>
            <w:hideMark/>
          </w:tcPr>
          <w:p w14:paraId="4B277697" w14:textId="52E6A0D2" w:rsidR="0075450E" w:rsidRPr="00E557D3" w:rsidRDefault="0075450E" w:rsidP="00E557D3">
            <w:pPr>
              <w:pStyle w:val="Tabelltext"/>
              <w:jc w:val="right"/>
              <w:rPr>
                <w:color w:val="000000"/>
              </w:rPr>
            </w:pPr>
            <w:r w:rsidRPr="00E557D3">
              <w:rPr>
                <w:color w:val="000000"/>
              </w:rPr>
              <w:t>46</w:t>
            </w:r>
            <w:r w:rsidR="00675794">
              <w:rPr>
                <w:color w:val="000000"/>
              </w:rPr>
              <w:t> </w:t>
            </w:r>
            <w:r w:rsidRPr="00E557D3">
              <w:rPr>
                <w:color w:val="000000"/>
              </w:rPr>
              <w:t>887</w:t>
            </w:r>
          </w:p>
        </w:tc>
        <w:tc>
          <w:tcPr>
            <w:tcW w:w="1559" w:type="dxa"/>
            <w:shd w:val="clear" w:color="auto" w:fill="auto"/>
            <w:noWrap/>
            <w:vAlign w:val="bottom"/>
            <w:hideMark/>
          </w:tcPr>
          <w:p w14:paraId="43FD673B" w14:textId="6D224F78" w:rsidR="0075450E" w:rsidRPr="00E557D3" w:rsidRDefault="0075450E" w:rsidP="00E557D3">
            <w:pPr>
              <w:pStyle w:val="Tabelltext"/>
              <w:jc w:val="right"/>
              <w:rPr>
                <w:color w:val="000000"/>
              </w:rPr>
            </w:pPr>
            <w:r w:rsidRPr="00E557D3">
              <w:rPr>
                <w:color w:val="000000"/>
              </w:rPr>
              <w:t>-7</w:t>
            </w:r>
            <w:r w:rsidR="00675794">
              <w:rPr>
                <w:color w:val="000000"/>
              </w:rPr>
              <w:t> </w:t>
            </w:r>
            <w:r w:rsidRPr="00E557D3">
              <w:rPr>
                <w:color w:val="000000"/>
              </w:rPr>
              <w:t>815</w:t>
            </w:r>
          </w:p>
        </w:tc>
      </w:tr>
      <w:tr w:rsidR="0075450E" w:rsidRPr="00E557D3" w14:paraId="0EB2E4D5" w14:textId="77777777" w:rsidTr="0075450E">
        <w:trPr>
          <w:trHeight w:val="276"/>
        </w:trPr>
        <w:tc>
          <w:tcPr>
            <w:tcW w:w="1555" w:type="dxa"/>
            <w:shd w:val="clear" w:color="auto" w:fill="auto"/>
            <w:noWrap/>
            <w:vAlign w:val="bottom"/>
            <w:hideMark/>
          </w:tcPr>
          <w:p w14:paraId="35FF6B8D" w14:textId="77777777" w:rsidR="0075450E" w:rsidRPr="00E557D3" w:rsidRDefault="0075450E" w:rsidP="00E557D3">
            <w:pPr>
              <w:pStyle w:val="Tabelltext"/>
              <w:rPr>
                <w:color w:val="000000"/>
              </w:rPr>
            </w:pPr>
            <w:r w:rsidRPr="00E557D3">
              <w:rPr>
                <w:color w:val="000000"/>
              </w:rPr>
              <w:t>Lemland</w:t>
            </w:r>
          </w:p>
        </w:tc>
        <w:tc>
          <w:tcPr>
            <w:tcW w:w="1559" w:type="dxa"/>
            <w:shd w:val="clear" w:color="auto" w:fill="auto"/>
            <w:noWrap/>
            <w:vAlign w:val="bottom"/>
            <w:hideMark/>
          </w:tcPr>
          <w:p w14:paraId="1C84FB6D" w14:textId="597CAE7B" w:rsidR="0075450E" w:rsidRPr="00E557D3" w:rsidRDefault="0075450E" w:rsidP="00E557D3">
            <w:pPr>
              <w:pStyle w:val="Tabelltext"/>
              <w:jc w:val="right"/>
              <w:rPr>
                <w:color w:val="000000"/>
              </w:rPr>
            </w:pPr>
            <w:r w:rsidRPr="00E557D3">
              <w:rPr>
                <w:color w:val="000000"/>
              </w:rPr>
              <w:t>286</w:t>
            </w:r>
            <w:r w:rsidR="00675794">
              <w:rPr>
                <w:color w:val="000000"/>
              </w:rPr>
              <w:t> </w:t>
            </w:r>
            <w:r w:rsidRPr="00E557D3">
              <w:rPr>
                <w:color w:val="000000"/>
              </w:rPr>
              <w:t>812</w:t>
            </w:r>
          </w:p>
        </w:tc>
        <w:tc>
          <w:tcPr>
            <w:tcW w:w="1559" w:type="dxa"/>
            <w:shd w:val="clear" w:color="auto" w:fill="auto"/>
            <w:noWrap/>
            <w:vAlign w:val="bottom"/>
            <w:hideMark/>
          </w:tcPr>
          <w:p w14:paraId="34AE4AE2" w14:textId="4D70A0C9" w:rsidR="0075450E" w:rsidRPr="00E557D3" w:rsidRDefault="0075450E" w:rsidP="00E557D3">
            <w:pPr>
              <w:pStyle w:val="Tabelltext"/>
              <w:jc w:val="right"/>
              <w:rPr>
                <w:color w:val="000000"/>
              </w:rPr>
            </w:pPr>
            <w:r w:rsidRPr="00E557D3">
              <w:rPr>
                <w:color w:val="000000"/>
              </w:rPr>
              <w:t>245</w:t>
            </w:r>
            <w:r w:rsidR="00675794">
              <w:rPr>
                <w:color w:val="000000"/>
              </w:rPr>
              <w:t> </w:t>
            </w:r>
            <w:r w:rsidRPr="00E557D3">
              <w:rPr>
                <w:color w:val="000000"/>
              </w:rPr>
              <w:t>839</w:t>
            </w:r>
          </w:p>
        </w:tc>
        <w:tc>
          <w:tcPr>
            <w:tcW w:w="1559" w:type="dxa"/>
            <w:shd w:val="clear" w:color="auto" w:fill="auto"/>
            <w:noWrap/>
            <w:vAlign w:val="bottom"/>
            <w:hideMark/>
          </w:tcPr>
          <w:p w14:paraId="1D7B821E" w14:textId="7FB8CA7B" w:rsidR="0075450E" w:rsidRPr="00E557D3" w:rsidRDefault="0075450E" w:rsidP="00E557D3">
            <w:pPr>
              <w:pStyle w:val="Tabelltext"/>
              <w:jc w:val="right"/>
              <w:rPr>
                <w:color w:val="000000"/>
              </w:rPr>
            </w:pPr>
            <w:r w:rsidRPr="00E557D3">
              <w:rPr>
                <w:color w:val="000000"/>
              </w:rPr>
              <w:t>-40</w:t>
            </w:r>
            <w:r w:rsidR="00675794">
              <w:rPr>
                <w:color w:val="000000"/>
              </w:rPr>
              <w:t> </w:t>
            </w:r>
            <w:r w:rsidRPr="00E557D3">
              <w:rPr>
                <w:color w:val="000000"/>
              </w:rPr>
              <w:t>973</w:t>
            </w:r>
          </w:p>
        </w:tc>
      </w:tr>
      <w:tr w:rsidR="0075450E" w:rsidRPr="00E557D3" w14:paraId="38676B66" w14:textId="77777777" w:rsidTr="0075450E">
        <w:trPr>
          <w:trHeight w:val="276"/>
        </w:trPr>
        <w:tc>
          <w:tcPr>
            <w:tcW w:w="1555" w:type="dxa"/>
            <w:shd w:val="clear" w:color="auto" w:fill="auto"/>
            <w:noWrap/>
            <w:vAlign w:val="bottom"/>
            <w:hideMark/>
          </w:tcPr>
          <w:p w14:paraId="00016C1E" w14:textId="77777777" w:rsidR="0075450E" w:rsidRPr="00E557D3" w:rsidRDefault="0075450E" w:rsidP="00E557D3">
            <w:pPr>
              <w:pStyle w:val="Tabelltext"/>
              <w:rPr>
                <w:color w:val="000000"/>
              </w:rPr>
            </w:pPr>
            <w:r w:rsidRPr="00E557D3">
              <w:rPr>
                <w:color w:val="000000"/>
              </w:rPr>
              <w:t>Lumparland</w:t>
            </w:r>
          </w:p>
        </w:tc>
        <w:tc>
          <w:tcPr>
            <w:tcW w:w="1559" w:type="dxa"/>
            <w:shd w:val="clear" w:color="auto" w:fill="auto"/>
            <w:noWrap/>
            <w:vAlign w:val="bottom"/>
            <w:hideMark/>
          </w:tcPr>
          <w:p w14:paraId="3521415B" w14:textId="3DDE9174" w:rsidR="0075450E" w:rsidRPr="00E557D3" w:rsidRDefault="0075450E" w:rsidP="00E557D3">
            <w:pPr>
              <w:pStyle w:val="Tabelltext"/>
              <w:jc w:val="right"/>
              <w:rPr>
                <w:color w:val="000000"/>
              </w:rPr>
            </w:pPr>
            <w:r w:rsidRPr="00E557D3">
              <w:rPr>
                <w:color w:val="000000"/>
              </w:rPr>
              <w:t>70</w:t>
            </w:r>
            <w:r w:rsidR="00675794">
              <w:rPr>
                <w:color w:val="000000"/>
              </w:rPr>
              <w:t> </w:t>
            </w:r>
            <w:r w:rsidRPr="00E557D3">
              <w:rPr>
                <w:color w:val="000000"/>
              </w:rPr>
              <w:t>287</w:t>
            </w:r>
          </w:p>
        </w:tc>
        <w:tc>
          <w:tcPr>
            <w:tcW w:w="1559" w:type="dxa"/>
            <w:shd w:val="clear" w:color="auto" w:fill="auto"/>
            <w:noWrap/>
            <w:vAlign w:val="bottom"/>
            <w:hideMark/>
          </w:tcPr>
          <w:p w14:paraId="57D51DF1" w14:textId="2C83D47A" w:rsidR="0075450E" w:rsidRPr="00E557D3" w:rsidRDefault="0075450E" w:rsidP="00E557D3">
            <w:pPr>
              <w:pStyle w:val="Tabelltext"/>
              <w:jc w:val="right"/>
              <w:rPr>
                <w:color w:val="000000"/>
              </w:rPr>
            </w:pPr>
            <w:r w:rsidRPr="00E557D3">
              <w:rPr>
                <w:color w:val="000000"/>
              </w:rPr>
              <w:t>60</w:t>
            </w:r>
            <w:r w:rsidR="00675794">
              <w:rPr>
                <w:color w:val="000000"/>
              </w:rPr>
              <w:t> </w:t>
            </w:r>
            <w:r w:rsidRPr="00E557D3">
              <w:rPr>
                <w:color w:val="000000"/>
              </w:rPr>
              <w:t>246</w:t>
            </w:r>
          </w:p>
        </w:tc>
        <w:tc>
          <w:tcPr>
            <w:tcW w:w="1559" w:type="dxa"/>
            <w:shd w:val="clear" w:color="auto" w:fill="auto"/>
            <w:noWrap/>
            <w:vAlign w:val="bottom"/>
            <w:hideMark/>
          </w:tcPr>
          <w:p w14:paraId="25EA973F" w14:textId="089FA363" w:rsidR="0075450E" w:rsidRPr="00E557D3" w:rsidRDefault="0075450E" w:rsidP="00E557D3">
            <w:pPr>
              <w:pStyle w:val="Tabelltext"/>
              <w:jc w:val="right"/>
              <w:rPr>
                <w:color w:val="000000"/>
              </w:rPr>
            </w:pPr>
            <w:r w:rsidRPr="00E557D3">
              <w:rPr>
                <w:color w:val="000000"/>
              </w:rPr>
              <w:t>-10</w:t>
            </w:r>
            <w:r w:rsidR="00675794">
              <w:rPr>
                <w:color w:val="000000"/>
              </w:rPr>
              <w:t> </w:t>
            </w:r>
            <w:r w:rsidRPr="00E557D3">
              <w:rPr>
                <w:color w:val="000000"/>
              </w:rPr>
              <w:t>041</w:t>
            </w:r>
          </w:p>
        </w:tc>
      </w:tr>
      <w:tr w:rsidR="0075450E" w:rsidRPr="00E557D3" w14:paraId="4E14E6B2" w14:textId="77777777" w:rsidTr="0075450E">
        <w:trPr>
          <w:trHeight w:val="276"/>
        </w:trPr>
        <w:tc>
          <w:tcPr>
            <w:tcW w:w="1555" w:type="dxa"/>
            <w:shd w:val="clear" w:color="auto" w:fill="auto"/>
            <w:noWrap/>
            <w:vAlign w:val="bottom"/>
            <w:hideMark/>
          </w:tcPr>
          <w:p w14:paraId="728FF3E1" w14:textId="77777777" w:rsidR="0075450E" w:rsidRPr="00E557D3" w:rsidRDefault="0075450E" w:rsidP="00E557D3">
            <w:pPr>
              <w:pStyle w:val="Tabelltext"/>
              <w:rPr>
                <w:color w:val="000000"/>
              </w:rPr>
            </w:pPr>
            <w:r w:rsidRPr="00E557D3">
              <w:rPr>
                <w:color w:val="000000"/>
              </w:rPr>
              <w:t>Mariehamn</w:t>
            </w:r>
          </w:p>
        </w:tc>
        <w:tc>
          <w:tcPr>
            <w:tcW w:w="1559" w:type="dxa"/>
            <w:shd w:val="clear" w:color="auto" w:fill="auto"/>
            <w:noWrap/>
            <w:vAlign w:val="bottom"/>
            <w:hideMark/>
          </w:tcPr>
          <w:p w14:paraId="569215B1" w14:textId="074BDB9A" w:rsidR="0075450E" w:rsidRPr="00E557D3" w:rsidRDefault="0075450E" w:rsidP="00E557D3">
            <w:pPr>
              <w:pStyle w:val="Tabelltext"/>
              <w:jc w:val="right"/>
              <w:rPr>
                <w:color w:val="000000"/>
              </w:rPr>
            </w:pPr>
            <w:r w:rsidRPr="00E557D3">
              <w:rPr>
                <w:color w:val="000000"/>
              </w:rPr>
              <w:t>1</w:t>
            </w:r>
            <w:r w:rsidR="00675794">
              <w:rPr>
                <w:color w:val="000000"/>
              </w:rPr>
              <w:t> </w:t>
            </w:r>
            <w:r w:rsidRPr="00E557D3">
              <w:rPr>
                <w:color w:val="000000"/>
              </w:rPr>
              <w:t>782</w:t>
            </w:r>
            <w:r w:rsidR="00675794">
              <w:rPr>
                <w:color w:val="000000"/>
              </w:rPr>
              <w:t> </w:t>
            </w:r>
            <w:r w:rsidRPr="00E557D3">
              <w:rPr>
                <w:color w:val="000000"/>
              </w:rPr>
              <w:t>843</w:t>
            </w:r>
          </w:p>
        </w:tc>
        <w:tc>
          <w:tcPr>
            <w:tcW w:w="1559" w:type="dxa"/>
            <w:shd w:val="clear" w:color="auto" w:fill="auto"/>
            <w:noWrap/>
            <w:vAlign w:val="bottom"/>
            <w:hideMark/>
          </w:tcPr>
          <w:p w14:paraId="3D571286" w14:textId="7C1B6055" w:rsidR="0075450E" w:rsidRPr="00E557D3" w:rsidRDefault="0075450E" w:rsidP="00E557D3">
            <w:pPr>
              <w:pStyle w:val="Tabelltext"/>
              <w:jc w:val="right"/>
              <w:rPr>
                <w:color w:val="000000"/>
              </w:rPr>
            </w:pPr>
            <w:r w:rsidRPr="00E557D3">
              <w:rPr>
                <w:color w:val="000000"/>
              </w:rPr>
              <w:t>1</w:t>
            </w:r>
            <w:r w:rsidR="00675794">
              <w:rPr>
                <w:color w:val="000000"/>
              </w:rPr>
              <w:t> </w:t>
            </w:r>
            <w:r w:rsidRPr="00E557D3">
              <w:rPr>
                <w:color w:val="000000"/>
              </w:rPr>
              <w:t>528</w:t>
            </w:r>
            <w:r w:rsidR="00675794">
              <w:rPr>
                <w:color w:val="000000"/>
              </w:rPr>
              <w:t> </w:t>
            </w:r>
            <w:r w:rsidRPr="00E557D3">
              <w:rPr>
                <w:color w:val="000000"/>
              </w:rPr>
              <w:t>151</w:t>
            </w:r>
          </w:p>
        </w:tc>
        <w:tc>
          <w:tcPr>
            <w:tcW w:w="1559" w:type="dxa"/>
            <w:shd w:val="clear" w:color="auto" w:fill="auto"/>
            <w:noWrap/>
            <w:vAlign w:val="bottom"/>
            <w:hideMark/>
          </w:tcPr>
          <w:p w14:paraId="506E75BF" w14:textId="4B24DE10" w:rsidR="0075450E" w:rsidRPr="00E557D3" w:rsidRDefault="0075450E" w:rsidP="00E557D3">
            <w:pPr>
              <w:pStyle w:val="Tabelltext"/>
              <w:jc w:val="right"/>
              <w:rPr>
                <w:color w:val="000000"/>
              </w:rPr>
            </w:pPr>
            <w:r w:rsidRPr="00E557D3">
              <w:rPr>
                <w:color w:val="000000"/>
              </w:rPr>
              <w:t>-254</w:t>
            </w:r>
            <w:r w:rsidR="00675794">
              <w:rPr>
                <w:color w:val="000000"/>
              </w:rPr>
              <w:t> </w:t>
            </w:r>
            <w:r w:rsidRPr="00E557D3">
              <w:rPr>
                <w:color w:val="000000"/>
              </w:rPr>
              <w:t>692</w:t>
            </w:r>
          </w:p>
        </w:tc>
      </w:tr>
      <w:tr w:rsidR="0075450E" w:rsidRPr="00E557D3" w14:paraId="5057EACB" w14:textId="77777777" w:rsidTr="0075450E">
        <w:trPr>
          <w:trHeight w:val="276"/>
        </w:trPr>
        <w:tc>
          <w:tcPr>
            <w:tcW w:w="1555" w:type="dxa"/>
            <w:shd w:val="clear" w:color="auto" w:fill="auto"/>
            <w:noWrap/>
            <w:vAlign w:val="bottom"/>
            <w:hideMark/>
          </w:tcPr>
          <w:p w14:paraId="12E315A1" w14:textId="77777777" w:rsidR="0075450E" w:rsidRPr="00E557D3" w:rsidRDefault="0075450E" w:rsidP="00E557D3">
            <w:pPr>
              <w:pStyle w:val="Tabelltext"/>
              <w:rPr>
                <w:color w:val="000000"/>
              </w:rPr>
            </w:pPr>
            <w:r w:rsidRPr="00E557D3">
              <w:rPr>
                <w:color w:val="000000"/>
              </w:rPr>
              <w:t>Saltvik</w:t>
            </w:r>
          </w:p>
        </w:tc>
        <w:tc>
          <w:tcPr>
            <w:tcW w:w="1559" w:type="dxa"/>
            <w:shd w:val="clear" w:color="auto" w:fill="auto"/>
            <w:noWrap/>
            <w:vAlign w:val="bottom"/>
            <w:hideMark/>
          </w:tcPr>
          <w:p w14:paraId="3504918D" w14:textId="68D86867" w:rsidR="0075450E" w:rsidRPr="00E557D3" w:rsidRDefault="0075450E" w:rsidP="00E557D3">
            <w:pPr>
              <w:pStyle w:val="Tabelltext"/>
              <w:jc w:val="right"/>
              <w:rPr>
                <w:color w:val="000000"/>
              </w:rPr>
            </w:pPr>
            <w:r w:rsidRPr="00E557D3">
              <w:rPr>
                <w:color w:val="000000"/>
              </w:rPr>
              <w:t>294</w:t>
            </w:r>
            <w:r w:rsidR="00675794">
              <w:rPr>
                <w:color w:val="000000"/>
              </w:rPr>
              <w:t> </w:t>
            </w:r>
            <w:r w:rsidRPr="00E557D3">
              <w:rPr>
                <w:color w:val="000000"/>
              </w:rPr>
              <w:t>045</w:t>
            </w:r>
          </w:p>
        </w:tc>
        <w:tc>
          <w:tcPr>
            <w:tcW w:w="1559" w:type="dxa"/>
            <w:shd w:val="clear" w:color="auto" w:fill="auto"/>
            <w:noWrap/>
            <w:vAlign w:val="bottom"/>
            <w:hideMark/>
          </w:tcPr>
          <w:p w14:paraId="0B509808" w14:textId="0D267CC2" w:rsidR="0075450E" w:rsidRPr="00E557D3" w:rsidRDefault="0075450E" w:rsidP="00E557D3">
            <w:pPr>
              <w:pStyle w:val="Tabelltext"/>
              <w:jc w:val="right"/>
              <w:rPr>
                <w:color w:val="000000"/>
              </w:rPr>
            </w:pPr>
            <w:r w:rsidRPr="00E557D3">
              <w:rPr>
                <w:color w:val="000000"/>
              </w:rPr>
              <w:t>252</w:t>
            </w:r>
            <w:r w:rsidR="00675794">
              <w:rPr>
                <w:color w:val="000000"/>
              </w:rPr>
              <w:t> </w:t>
            </w:r>
            <w:r w:rsidRPr="00E557D3">
              <w:rPr>
                <w:color w:val="000000"/>
              </w:rPr>
              <w:t>038</w:t>
            </w:r>
          </w:p>
        </w:tc>
        <w:tc>
          <w:tcPr>
            <w:tcW w:w="1559" w:type="dxa"/>
            <w:shd w:val="clear" w:color="auto" w:fill="auto"/>
            <w:noWrap/>
            <w:vAlign w:val="bottom"/>
            <w:hideMark/>
          </w:tcPr>
          <w:p w14:paraId="2DE51B29" w14:textId="0E0CFBE5" w:rsidR="0075450E" w:rsidRPr="00E557D3" w:rsidRDefault="0075450E" w:rsidP="00E557D3">
            <w:pPr>
              <w:pStyle w:val="Tabelltext"/>
              <w:jc w:val="right"/>
              <w:rPr>
                <w:color w:val="000000"/>
              </w:rPr>
            </w:pPr>
            <w:r w:rsidRPr="00E557D3">
              <w:rPr>
                <w:color w:val="000000"/>
              </w:rPr>
              <w:t>-42</w:t>
            </w:r>
            <w:r w:rsidR="00675794">
              <w:rPr>
                <w:color w:val="000000"/>
              </w:rPr>
              <w:t> </w:t>
            </w:r>
            <w:r w:rsidRPr="00E557D3">
              <w:rPr>
                <w:color w:val="000000"/>
              </w:rPr>
              <w:t>006</w:t>
            </w:r>
          </w:p>
        </w:tc>
      </w:tr>
      <w:tr w:rsidR="0075450E" w:rsidRPr="00E557D3" w14:paraId="222562B4" w14:textId="77777777" w:rsidTr="0075450E">
        <w:trPr>
          <w:trHeight w:val="276"/>
        </w:trPr>
        <w:tc>
          <w:tcPr>
            <w:tcW w:w="1555" w:type="dxa"/>
            <w:shd w:val="clear" w:color="auto" w:fill="auto"/>
            <w:noWrap/>
            <w:vAlign w:val="bottom"/>
            <w:hideMark/>
          </w:tcPr>
          <w:p w14:paraId="57D75DD6" w14:textId="77777777" w:rsidR="0075450E" w:rsidRPr="00E557D3" w:rsidRDefault="0075450E" w:rsidP="00E557D3">
            <w:pPr>
              <w:pStyle w:val="Tabelltext"/>
              <w:rPr>
                <w:color w:val="000000"/>
              </w:rPr>
            </w:pPr>
            <w:r w:rsidRPr="00E557D3">
              <w:rPr>
                <w:color w:val="000000"/>
              </w:rPr>
              <w:t>Sottunga</w:t>
            </w:r>
          </w:p>
        </w:tc>
        <w:tc>
          <w:tcPr>
            <w:tcW w:w="1559" w:type="dxa"/>
            <w:shd w:val="clear" w:color="auto" w:fill="auto"/>
            <w:noWrap/>
            <w:vAlign w:val="bottom"/>
            <w:hideMark/>
          </w:tcPr>
          <w:p w14:paraId="7342B67D" w14:textId="5799CEFD" w:rsidR="0075450E" w:rsidRPr="00E557D3" w:rsidRDefault="0075450E" w:rsidP="00E557D3">
            <w:pPr>
              <w:pStyle w:val="Tabelltext"/>
              <w:jc w:val="right"/>
              <w:rPr>
                <w:color w:val="000000"/>
              </w:rPr>
            </w:pPr>
            <w:r w:rsidRPr="00E557D3">
              <w:rPr>
                <w:color w:val="000000"/>
              </w:rPr>
              <w:t>20</w:t>
            </w:r>
            <w:r w:rsidR="00675794">
              <w:rPr>
                <w:color w:val="000000"/>
              </w:rPr>
              <w:t> </w:t>
            </w:r>
            <w:r w:rsidRPr="00E557D3">
              <w:rPr>
                <w:color w:val="000000"/>
              </w:rPr>
              <w:t>666</w:t>
            </w:r>
          </w:p>
        </w:tc>
        <w:tc>
          <w:tcPr>
            <w:tcW w:w="1559" w:type="dxa"/>
            <w:shd w:val="clear" w:color="auto" w:fill="auto"/>
            <w:noWrap/>
            <w:vAlign w:val="bottom"/>
            <w:hideMark/>
          </w:tcPr>
          <w:p w14:paraId="615FD5DD" w14:textId="6E4DE493" w:rsidR="0075450E" w:rsidRPr="00E557D3" w:rsidRDefault="0075450E" w:rsidP="00E557D3">
            <w:pPr>
              <w:pStyle w:val="Tabelltext"/>
              <w:jc w:val="right"/>
              <w:rPr>
                <w:color w:val="000000"/>
              </w:rPr>
            </w:pPr>
            <w:r w:rsidRPr="00E557D3">
              <w:rPr>
                <w:color w:val="000000"/>
              </w:rPr>
              <w:t>17</w:t>
            </w:r>
            <w:r w:rsidR="00675794">
              <w:rPr>
                <w:color w:val="000000"/>
              </w:rPr>
              <w:t> </w:t>
            </w:r>
            <w:r w:rsidRPr="00E557D3">
              <w:rPr>
                <w:color w:val="000000"/>
              </w:rPr>
              <w:t>713</w:t>
            </w:r>
          </w:p>
        </w:tc>
        <w:tc>
          <w:tcPr>
            <w:tcW w:w="1559" w:type="dxa"/>
            <w:shd w:val="clear" w:color="auto" w:fill="auto"/>
            <w:noWrap/>
            <w:vAlign w:val="bottom"/>
            <w:hideMark/>
          </w:tcPr>
          <w:p w14:paraId="349C7440" w14:textId="5744C4F3" w:rsidR="0075450E" w:rsidRPr="00E557D3" w:rsidRDefault="0075450E" w:rsidP="00E557D3">
            <w:pPr>
              <w:pStyle w:val="Tabelltext"/>
              <w:jc w:val="right"/>
              <w:rPr>
                <w:color w:val="000000"/>
              </w:rPr>
            </w:pPr>
            <w:r w:rsidRPr="00E557D3">
              <w:rPr>
                <w:color w:val="000000"/>
              </w:rPr>
              <w:t>-2</w:t>
            </w:r>
            <w:r w:rsidR="00675794">
              <w:rPr>
                <w:color w:val="000000"/>
              </w:rPr>
              <w:t> </w:t>
            </w:r>
            <w:r w:rsidRPr="00E557D3">
              <w:rPr>
                <w:color w:val="000000"/>
              </w:rPr>
              <w:t>952</w:t>
            </w:r>
          </w:p>
        </w:tc>
      </w:tr>
      <w:tr w:rsidR="0075450E" w:rsidRPr="00E557D3" w14:paraId="103E913A" w14:textId="77777777" w:rsidTr="0075450E">
        <w:trPr>
          <w:trHeight w:val="276"/>
        </w:trPr>
        <w:tc>
          <w:tcPr>
            <w:tcW w:w="1555" w:type="dxa"/>
            <w:shd w:val="clear" w:color="auto" w:fill="auto"/>
            <w:noWrap/>
            <w:vAlign w:val="bottom"/>
            <w:hideMark/>
          </w:tcPr>
          <w:p w14:paraId="0F485D46" w14:textId="77777777" w:rsidR="0075450E" w:rsidRPr="00E557D3" w:rsidRDefault="0075450E" w:rsidP="00E557D3">
            <w:pPr>
              <w:pStyle w:val="Tabelltext"/>
              <w:rPr>
                <w:color w:val="000000"/>
              </w:rPr>
            </w:pPr>
            <w:r w:rsidRPr="00E557D3">
              <w:rPr>
                <w:color w:val="000000"/>
              </w:rPr>
              <w:t>Sund</w:t>
            </w:r>
          </w:p>
        </w:tc>
        <w:tc>
          <w:tcPr>
            <w:tcW w:w="1559" w:type="dxa"/>
            <w:shd w:val="clear" w:color="auto" w:fill="auto"/>
            <w:noWrap/>
            <w:vAlign w:val="bottom"/>
            <w:hideMark/>
          </w:tcPr>
          <w:p w14:paraId="07750746" w14:textId="1030C0B7" w:rsidR="0075450E" w:rsidRPr="00E557D3" w:rsidRDefault="0075450E" w:rsidP="00E557D3">
            <w:pPr>
              <w:pStyle w:val="Tabelltext"/>
              <w:jc w:val="right"/>
              <w:rPr>
                <w:color w:val="000000"/>
              </w:rPr>
            </w:pPr>
            <w:r w:rsidRPr="00E557D3">
              <w:rPr>
                <w:color w:val="000000"/>
              </w:rPr>
              <w:t>169</w:t>
            </w:r>
            <w:r w:rsidR="00675794">
              <w:rPr>
                <w:color w:val="000000"/>
              </w:rPr>
              <w:t> </w:t>
            </w:r>
            <w:r w:rsidRPr="00E557D3">
              <w:rPr>
                <w:color w:val="000000"/>
              </w:rPr>
              <w:t>451</w:t>
            </w:r>
          </w:p>
        </w:tc>
        <w:tc>
          <w:tcPr>
            <w:tcW w:w="1559" w:type="dxa"/>
            <w:shd w:val="clear" w:color="auto" w:fill="auto"/>
            <w:noWrap/>
            <w:vAlign w:val="bottom"/>
            <w:hideMark/>
          </w:tcPr>
          <w:p w14:paraId="2FA4BD8E" w14:textId="62CDF632" w:rsidR="0075450E" w:rsidRPr="00E557D3" w:rsidRDefault="0075450E" w:rsidP="00E557D3">
            <w:pPr>
              <w:pStyle w:val="Tabelltext"/>
              <w:jc w:val="right"/>
              <w:rPr>
                <w:color w:val="000000"/>
              </w:rPr>
            </w:pPr>
            <w:r w:rsidRPr="00E557D3">
              <w:rPr>
                <w:color w:val="000000"/>
              </w:rPr>
              <w:t>145</w:t>
            </w:r>
            <w:r w:rsidR="00675794">
              <w:rPr>
                <w:color w:val="000000"/>
              </w:rPr>
              <w:t> </w:t>
            </w:r>
            <w:r w:rsidRPr="00E557D3">
              <w:rPr>
                <w:color w:val="000000"/>
              </w:rPr>
              <w:t>244</w:t>
            </w:r>
          </w:p>
        </w:tc>
        <w:tc>
          <w:tcPr>
            <w:tcW w:w="1559" w:type="dxa"/>
            <w:shd w:val="clear" w:color="auto" w:fill="auto"/>
            <w:noWrap/>
            <w:vAlign w:val="bottom"/>
            <w:hideMark/>
          </w:tcPr>
          <w:p w14:paraId="5E08C21B" w14:textId="523F62E1" w:rsidR="0075450E" w:rsidRPr="00E557D3" w:rsidRDefault="0075450E" w:rsidP="00E557D3">
            <w:pPr>
              <w:pStyle w:val="Tabelltext"/>
              <w:jc w:val="right"/>
              <w:rPr>
                <w:color w:val="000000"/>
              </w:rPr>
            </w:pPr>
            <w:r w:rsidRPr="00E557D3">
              <w:rPr>
                <w:color w:val="000000"/>
              </w:rPr>
              <w:t>-24</w:t>
            </w:r>
            <w:r w:rsidR="00675794">
              <w:rPr>
                <w:color w:val="000000"/>
              </w:rPr>
              <w:t> </w:t>
            </w:r>
            <w:r w:rsidRPr="00E557D3">
              <w:rPr>
                <w:color w:val="000000"/>
              </w:rPr>
              <w:t>207</w:t>
            </w:r>
          </w:p>
        </w:tc>
      </w:tr>
      <w:tr w:rsidR="0075450E" w:rsidRPr="00E557D3" w14:paraId="0C4E2340" w14:textId="77777777" w:rsidTr="0075450E">
        <w:trPr>
          <w:trHeight w:val="276"/>
        </w:trPr>
        <w:tc>
          <w:tcPr>
            <w:tcW w:w="1555" w:type="dxa"/>
            <w:shd w:val="clear" w:color="auto" w:fill="auto"/>
            <w:noWrap/>
            <w:vAlign w:val="bottom"/>
            <w:hideMark/>
          </w:tcPr>
          <w:p w14:paraId="4B560ACD" w14:textId="77777777" w:rsidR="0075450E" w:rsidRPr="00E557D3" w:rsidRDefault="0075450E" w:rsidP="00E557D3">
            <w:pPr>
              <w:pStyle w:val="Tabelltext"/>
              <w:rPr>
                <w:color w:val="000000"/>
              </w:rPr>
            </w:pPr>
            <w:r w:rsidRPr="00E557D3">
              <w:rPr>
                <w:color w:val="000000"/>
              </w:rPr>
              <w:t>Vårdö</w:t>
            </w:r>
          </w:p>
        </w:tc>
        <w:tc>
          <w:tcPr>
            <w:tcW w:w="1559" w:type="dxa"/>
            <w:shd w:val="clear" w:color="auto" w:fill="auto"/>
            <w:noWrap/>
            <w:vAlign w:val="bottom"/>
            <w:hideMark/>
          </w:tcPr>
          <w:p w14:paraId="059C3ECA" w14:textId="5F8E20E2" w:rsidR="0075450E" w:rsidRPr="00E557D3" w:rsidRDefault="0075450E" w:rsidP="00E557D3">
            <w:pPr>
              <w:pStyle w:val="Tabelltext"/>
              <w:jc w:val="right"/>
              <w:rPr>
                <w:color w:val="000000"/>
              </w:rPr>
            </w:pPr>
            <w:r w:rsidRPr="00E557D3">
              <w:rPr>
                <w:color w:val="000000"/>
              </w:rPr>
              <w:t>88</w:t>
            </w:r>
            <w:r w:rsidR="00675794">
              <w:rPr>
                <w:color w:val="000000"/>
              </w:rPr>
              <w:t> </w:t>
            </w:r>
            <w:r w:rsidRPr="00E557D3">
              <w:rPr>
                <w:color w:val="000000"/>
              </w:rPr>
              <w:t>006</w:t>
            </w:r>
          </w:p>
        </w:tc>
        <w:tc>
          <w:tcPr>
            <w:tcW w:w="1559" w:type="dxa"/>
            <w:shd w:val="clear" w:color="auto" w:fill="auto"/>
            <w:noWrap/>
            <w:vAlign w:val="bottom"/>
            <w:hideMark/>
          </w:tcPr>
          <w:p w14:paraId="56217E09" w14:textId="22E93522" w:rsidR="0075450E" w:rsidRPr="00E557D3" w:rsidRDefault="0075450E" w:rsidP="00E557D3">
            <w:pPr>
              <w:pStyle w:val="Tabelltext"/>
              <w:jc w:val="right"/>
              <w:rPr>
                <w:color w:val="000000"/>
              </w:rPr>
            </w:pPr>
            <w:r w:rsidRPr="00E557D3">
              <w:rPr>
                <w:color w:val="000000"/>
              </w:rPr>
              <w:t>75</w:t>
            </w:r>
            <w:r w:rsidR="00675794">
              <w:rPr>
                <w:color w:val="000000"/>
              </w:rPr>
              <w:t> </w:t>
            </w:r>
            <w:r w:rsidRPr="00E557D3">
              <w:rPr>
                <w:color w:val="000000"/>
              </w:rPr>
              <w:t>434</w:t>
            </w:r>
          </w:p>
        </w:tc>
        <w:tc>
          <w:tcPr>
            <w:tcW w:w="1559" w:type="dxa"/>
            <w:shd w:val="clear" w:color="auto" w:fill="auto"/>
            <w:noWrap/>
            <w:vAlign w:val="bottom"/>
            <w:hideMark/>
          </w:tcPr>
          <w:p w14:paraId="5DECF104" w14:textId="6332CD1B" w:rsidR="0075450E" w:rsidRPr="00E557D3" w:rsidRDefault="0075450E" w:rsidP="00E557D3">
            <w:pPr>
              <w:pStyle w:val="Tabelltext"/>
              <w:jc w:val="right"/>
              <w:rPr>
                <w:color w:val="000000"/>
              </w:rPr>
            </w:pPr>
            <w:r w:rsidRPr="00E557D3">
              <w:rPr>
                <w:color w:val="000000"/>
              </w:rPr>
              <w:t>-12</w:t>
            </w:r>
            <w:r w:rsidR="00675794">
              <w:rPr>
                <w:color w:val="000000"/>
              </w:rPr>
              <w:t> </w:t>
            </w:r>
            <w:r w:rsidRPr="00E557D3">
              <w:rPr>
                <w:color w:val="000000"/>
              </w:rPr>
              <w:t>572</w:t>
            </w:r>
          </w:p>
        </w:tc>
      </w:tr>
      <w:tr w:rsidR="0075450E" w:rsidRPr="00E557D3" w14:paraId="078A419D" w14:textId="77777777" w:rsidTr="0075450E">
        <w:trPr>
          <w:trHeight w:val="276"/>
        </w:trPr>
        <w:tc>
          <w:tcPr>
            <w:tcW w:w="1555" w:type="dxa"/>
            <w:shd w:val="clear" w:color="auto" w:fill="auto"/>
            <w:noWrap/>
            <w:vAlign w:val="bottom"/>
            <w:hideMark/>
          </w:tcPr>
          <w:p w14:paraId="2CAB16B5" w14:textId="77777777" w:rsidR="0075450E" w:rsidRPr="00E557D3" w:rsidRDefault="0075450E" w:rsidP="00E557D3">
            <w:pPr>
              <w:pStyle w:val="Tabelltext"/>
              <w:rPr>
                <w:b/>
                <w:bCs/>
                <w:i/>
                <w:iCs/>
                <w:color w:val="000000"/>
              </w:rPr>
            </w:pPr>
            <w:r w:rsidRPr="00E557D3">
              <w:rPr>
                <w:b/>
                <w:bCs/>
                <w:i/>
                <w:iCs/>
                <w:color w:val="000000"/>
              </w:rPr>
              <w:t>ÅLAND</w:t>
            </w:r>
          </w:p>
        </w:tc>
        <w:tc>
          <w:tcPr>
            <w:tcW w:w="1559" w:type="dxa"/>
            <w:shd w:val="clear" w:color="auto" w:fill="auto"/>
            <w:noWrap/>
            <w:vAlign w:val="bottom"/>
            <w:hideMark/>
          </w:tcPr>
          <w:p w14:paraId="29CE1CDF" w14:textId="75BF5A29" w:rsidR="0075450E" w:rsidRPr="00E557D3" w:rsidRDefault="0075450E" w:rsidP="00E557D3">
            <w:pPr>
              <w:pStyle w:val="Tabelltext"/>
              <w:jc w:val="right"/>
              <w:rPr>
                <w:b/>
                <w:bCs/>
                <w:i/>
                <w:iCs/>
                <w:color w:val="000000"/>
              </w:rPr>
            </w:pPr>
            <w:r w:rsidRPr="00E557D3">
              <w:rPr>
                <w:b/>
                <w:bCs/>
                <w:i/>
                <w:iCs/>
                <w:color w:val="000000"/>
              </w:rPr>
              <w:t>4</w:t>
            </w:r>
            <w:r w:rsidR="00675794">
              <w:rPr>
                <w:b/>
                <w:bCs/>
                <w:i/>
                <w:iCs/>
                <w:color w:val="000000"/>
              </w:rPr>
              <w:t> </w:t>
            </w:r>
            <w:r w:rsidRPr="00E557D3">
              <w:rPr>
                <w:b/>
                <w:bCs/>
                <w:i/>
                <w:iCs/>
                <w:color w:val="000000"/>
              </w:rPr>
              <w:t>696</w:t>
            </w:r>
            <w:r w:rsidR="00675794">
              <w:rPr>
                <w:b/>
                <w:bCs/>
                <w:i/>
                <w:iCs/>
                <w:color w:val="000000"/>
              </w:rPr>
              <w:t> </w:t>
            </w:r>
            <w:r w:rsidRPr="00E557D3">
              <w:rPr>
                <w:b/>
                <w:bCs/>
                <w:i/>
                <w:iCs/>
                <w:color w:val="000000"/>
              </w:rPr>
              <w:t>704</w:t>
            </w:r>
          </w:p>
        </w:tc>
        <w:tc>
          <w:tcPr>
            <w:tcW w:w="1559" w:type="dxa"/>
            <w:shd w:val="clear" w:color="auto" w:fill="auto"/>
            <w:noWrap/>
            <w:vAlign w:val="bottom"/>
            <w:hideMark/>
          </w:tcPr>
          <w:p w14:paraId="63365400" w14:textId="38490447" w:rsidR="0075450E" w:rsidRPr="00E557D3" w:rsidRDefault="0075450E" w:rsidP="00E557D3">
            <w:pPr>
              <w:pStyle w:val="Tabelltext"/>
              <w:jc w:val="right"/>
              <w:rPr>
                <w:b/>
                <w:bCs/>
                <w:i/>
                <w:iCs/>
                <w:color w:val="000000"/>
              </w:rPr>
            </w:pPr>
            <w:r w:rsidRPr="00E557D3">
              <w:rPr>
                <w:b/>
                <w:bCs/>
                <w:i/>
                <w:iCs/>
                <w:color w:val="000000"/>
              </w:rPr>
              <w:t>4</w:t>
            </w:r>
            <w:r w:rsidR="00675794">
              <w:rPr>
                <w:b/>
                <w:bCs/>
                <w:i/>
                <w:iCs/>
                <w:color w:val="000000"/>
              </w:rPr>
              <w:t> </w:t>
            </w:r>
            <w:r w:rsidRPr="00E557D3">
              <w:rPr>
                <w:b/>
                <w:bCs/>
                <w:i/>
                <w:iCs/>
                <w:color w:val="000000"/>
              </w:rPr>
              <w:t>025</w:t>
            </w:r>
            <w:r w:rsidR="00675794">
              <w:rPr>
                <w:b/>
                <w:bCs/>
                <w:i/>
                <w:iCs/>
                <w:color w:val="000000"/>
              </w:rPr>
              <w:t> </w:t>
            </w:r>
            <w:r w:rsidRPr="00E557D3">
              <w:rPr>
                <w:b/>
                <w:bCs/>
                <w:i/>
                <w:iCs/>
                <w:color w:val="000000"/>
              </w:rPr>
              <w:t>747</w:t>
            </w:r>
          </w:p>
        </w:tc>
        <w:tc>
          <w:tcPr>
            <w:tcW w:w="1559" w:type="dxa"/>
            <w:shd w:val="clear" w:color="auto" w:fill="auto"/>
            <w:noWrap/>
            <w:vAlign w:val="bottom"/>
            <w:hideMark/>
          </w:tcPr>
          <w:p w14:paraId="36417EA9" w14:textId="4CECB0A9" w:rsidR="0075450E" w:rsidRPr="00E557D3" w:rsidRDefault="0075450E" w:rsidP="00E557D3">
            <w:pPr>
              <w:pStyle w:val="Tabelltext"/>
              <w:jc w:val="right"/>
              <w:rPr>
                <w:b/>
                <w:bCs/>
                <w:i/>
                <w:iCs/>
                <w:color w:val="000000"/>
              </w:rPr>
            </w:pPr>
            <w:r w:rsidRPr="00E557D3">
              <w:rPr>
                <w:b/>
                <w:bCs/>
                <w:i/>
                <w:iCs/>
                <w:color w:val="000000"/>
              </w:rPr>
              <w:t>-670</w:t>
            </w:r>
            <w:r w:rsidR="00675794">
              <w:rPr>
                <w:b/>
                <w:bCs/>
                <w:i/>
                <w:iCs/>
                <w:color w:val="000000"/>
              </w:rPr>
              <w:t> </w:t>
            </w:r>
            <w:r w:rsidRPr="00E557D3">
              <w:rPr>
                <w:b/>
                <w:bCs/>
                <w:i/>
                <w:iCs/>
                <w:color w:val="000000"/>
              </w:rPr>
              <w:t>958</w:t>
            </w:r>
          </w:p>
        </w:tc>
      </w:tr>
    </w:tbl>
    <w:p w14:paraId="210EAD53" w14:textId="77777777" w:rsidR="00E407D5" w:rsidRDefault="00E407D5" w:rsidP="001735EF">
      <w:pPr>
        <w:pStyle w:val="ANormal"/>
      </w:pPr>
    </w:p>
    <w:p w14:paraId="3ABCD768" w14:textId="5353DAAF" w:rsidR="00747DDB" w:rsidRDefault="0066004C" w:rsidP="001735EF">
      <w:pPr>
        <w:pStyle w:val="ANormal"/>
      </w:pPr>
      <w:r>
        <w:tab/>
      </w:r>
      <w:r w:rsidR="007D5173">
        <w:t xml:space="preserve">Det är viktigt att notera att det är kompensationens förskottsbelopp för 2025 som </w:t>
      </w:r>
      <w:r w:rsidR="003C4202">
        <w:t>beräknas</w:t>
      </w:r>
      <w:r w:rsidR="007D5173">
        <w:t xml:space="preserve"> på basen av de </w:t>
      </w:r>
      <w:r w:rsidR="00943DFC">
        <w:t>kalkylerade</w:t>
      </w:r>
      <w:r w:rsidR="007D5173">
        <w:t xml:space="preserve"> effekterna, den slutliga avräkningen sker först i slutet av 2026 när beskattningen för 2025 har slutförts och det verkliga utfallet är känt.</w:t>
      </w:r>
    </w:p>
    <w:p w14:paraId="43C87890" w14:textId="06BAE288" w:rsidR="00633288" w:rsidRDefault="0066004C" w:rsidP="001735EF">
      <w:pPr>
        <w:pStyle w:val="ANormal"/>
      </w:pPr>
      <w:r>
        <w:tab/>
      </w:r>
      <w:r w:rsidR="00747DDB">
        <w:t xml:space="preserve">För landskapet är effekten </w:t>
      </w:r>
      <w:r>
        <w:t>av detta lagförslag</w:t>
      </w:r>
      <w:r w:rsidR="00747DDB">
        <w:t xml:space="preserve"> en motsvarande sänkning av utgifterna</w:t>
      </w:r>
      <w:r w:rsidR="00943DFC">
        <w:t xml:space="preserve"> för kompensation till kommunerna</w:t>
      </w:r>
      <w:r w:rsidR="007D5173">
        <w:t xml:space="preserve"> med</w:t>
      </w:r>
      <w:r w:rsidR="00747DDB">
        <w:t xml:space="preserve"> </w:t>
      </w:r>
      <w:r w:rsidR="007D5173">
        <w:t xml:space="preserve">cirka 670 000 euro. </w:t>
      </w:r>
      <w:r w:rsidR="00633288">
        <w:t xml:space="preserve">I </w:t>
      </w:r>
      <w:r w:rsidR="00633288">
        <w:lastRenderedPageBreak/>
        <w:t>det här sammanhanget är de</w:t>
      </w:r>
      <w:r w:rsidR="001D7531">
        <w:t>t</w:t>
      </w:r>
      <w:r w:rsidR="00633288">
        <w:t xml:space="preserve"> också relevant att beakta de skatteåtgärder som föreslås för 2025 och de kalkylerade effekterna av dem.</w:t>
      </w:r>
      <w:r w:rsidR="001D7531">
        <w:t xml:space="preserve"> De ändringar som föreslås dels av landskapsregeringen</w:t>
      </w:r>
      <w:r w:rsidR="001D7531">
        <w:rPr>
          <w:rStyle w:val="Fotnotsreferens"/>
        </w:rPr>
        <w:footnoteReference w:id="4"/>
      </w:r>
      <w:r w:rsidR="001D7531">
        <w:t xml:space="preserve"> dels av regeringen i riket</w:t>
      </w:r>
      <w:r w:rsidR="001D7531">
        <w:rPr>
          <w:rStyle w:val="Fotnotsreferens"/>
        </w:rPr>
        <w:footnoteReference w:id="5"/>
      </w:r>
      <w:r w:rsidR="001D7531" w:rsidRPr="001D7531">
        <w:t xml:space="preserve"> </w:t>
      </w:r>
      <w:r w:rsidR="001D7531">
        <w:t>förväntas leda till en sänkning av skatteavräkningen med drygt 4,5 miljoner euro samtidigt som effekten för kommunerna beräknas bli en ökning av skatteintäkterna med drygt 45 000 euro.</w:t>
      </w:r>
    </w:p>
    <w:p w14:paraId="6BEFF9DD" w14:textId="209747BB" w:rsidR="001735EF" w:rsidRDefault="00614CA4" w:rsidP="001735EF">
      <w:pPr>
        <w:pStyle w:val="ANormal"/>
      </w:pPr>
      <w:r>
        <w:tab/>
        <w:t xml:space="preserve">Förslaget har inga organisatoriska effekter och </w:t>
      </w:r>
      <w:r w:rsidR="00997B47">
        <w:t>heller</w:t>
      </w:r>
      <w:r>
        <w:t xml:space="preserve"> inte några </w:t>
      </w:r>
      <w:r w:rsidR="00997B47">
        <w:t xml:space="preserve">kända </w:t>
      </w:r>
      <w:r>
        <w:t>konsekvenser för miljön, för jämställdheten mellan kvinnor och män</w:t>
      </w:r>
      <w:r w:rsidRPr="00FA2EE9">
        <w:t xml:space="preserve"> </w:t>
      </w:r>
      <w:r>
        <w:t>eller för barn.</w:t>
      </w:r>
    </w:p>
    <w:p w14:paraId="51C1EB58" w14:textId="77777777" w:rsidR="00633288" w:rsidRDefault="00633288" w:rsidP="001735EF">
      <w:pPr>
        <w:pStyle w:val="ANormal"/>
      </w:pPr>
    </w:p>
    <w:p w14:paraId="182216E2" w14:textId="30F62041" w:rsidR="001735EF" w:rsidRDefault="001735EF" w:rsidP="001735EF">
      <w:pPr>
        <w:pStyle w:val="RubrikB"/>
      </w:pPr>
      <w:bookmarkStart w:id="6" w:name="_Toc182384502"/>
      <w:r>
        <w:t>4. Förslagets beredning och ikraftträdande</w:t>
      </w:r>
      <w:bookmarkEnd w:id="6"/>
    </w:p>
    <w:p w14:paraId="51F2C1F4" w14:textId="77777777" w:rsidR="001735EF" w:rsidRDefault="001735EF" w:rsidP="001735EF">
      <w:pPr>
        <w:pStyle w:val="Rubrikmellanrum"/>
      </w:pPr>
    </w:p>
    <w:p w14:paraId="60445299" w14:textId="215FF324" w:rsidR="001735EF" w:rsidRDefault="00614CA4" w:rsidP="001735EF">
      <w:pPr>
        <w:pStyle w:val="ANormal"/>
      </w:pPr>
      <w:r>
        <w:t xml:space="preserve">Lagförslaget har beretts vid lagberedningen i samarbete med finansavdelningen. </w:t>
      </w:r>
      <w:r w:rsidR="00AB5B71">
        <w:t>F</w:t>
      </w:r>
      <w:r>
        <w:t>örslaget har behandlats vid två olika kommunala samråd under hösten</w:t>
      </w:r>
      <w:r w:rsidR="00AB5B71">
        <w:t xml:space="preserve"> och kommunerna </w:t>
      </w:r>
      <w:r w:rsidR="00B645BC">
        <w:t>har på det sättet</w:t>
      </w:r>
      <w:r w:rsidR="00AB5B71">
        <w:t xml:space="preserve"> haft möjlighet att komma med synpunkter</w:t>
      </w:r>
      <w:r w:rsidR="00BB0A47">
        <w:t>.</w:t>
      </w:r>
      <w:r>
        <w:t xml:space="preserve"> </w:t>
      </w:r>
      <w:r w:rsidR="00AB5B71">
        <w:t xml:space="preserve">Med hänvisning till </w:t>
      </w:r>
      <w:r w:rsidR="00BB0A47">
        <w:t>det</w:t>
      </w:r>
      <w:r w:rsidR="00AB5B71">
        <w:t xml:space="preserve"> har </w:t>
      </w:r>
      <w:r w:rsidR="00BB0A47">
        <w:t>förslaget</w:t>
      </w:r>
      <w:r w:rsidR="00AB5B71">
        <w:t xml:space="preserve"> inte skickats på någon remiss.</w:t>
      </w:r>
    </w:p>
    <w:p w14:paraId="50717A6F" w14:textId="35956B0D" w:rsidR="00B707D8" w:rsidRDefault="00AB5B71" w:rsidP="00B707D8">
      <w:pPr>
        <w:pStyle w:val="ANormal"/>
      </w:pPr>
      <w:r>
        <w:tab/>
        <w:t xml:space="preserve">Förslaget är avsett att behandlas av lagtinget tillsammans med förslaget till budget för 2025. Med stöd av 3 § i landskapslagen om kompensation till kommunerna för förlust av skatteintäkter på grund av vissa avdrag kan förslaget beaktas vid beräkningen av förskottsbeloppen för 2025 redan innan det har trätt i kraft. </w:t>
      </w:r>
      <w:r w:rsidR="00B645BC">
        <w:t>Lagstiftningen</w:t>
      </w:r>
      <w:r w:rsidR="00B707D8">
        <w:t xml:space="preserve"> bör ändå träda i kraft så snart som möjligt.</w:t>
      </w:r>
    </w:p>
    <w:p w14:paraId="5E7BDA45" w14:textId="77777777" w:rsidR="00B707D8" w:rsidRDefault="00B707D8" w:rsidP="001735EF">
      <w:pPr>
        <w:pStyle w:val="ANormal"/>
      </w:pPr>
    </w:p>
    <w:p w14:paraId="0344CED8" w14:textId="77777777" w:rsidR="00AF3004" w:rsidRDefault="00AF3004">
      <w:pPr>
        <w:pStyle w:val="RubrikA"/>
      </w:pPr>
      <w:r>
        <w:br w:type="page"/>
      </w:r>
      <w:bookmarkStart w:id="7" w:name="_Toc182384503"/>
      <w:r>
        <w:lastRenderedPageBreak/>
        <w:t>Lagtext</w:t>
      </w:r>
      <w:bookmarkEnd w:id="7"/>
    </w:p>
    <w:p w14:paraId="01BFE241" w14:textId="77777777" w:rsidR="00AF3004" w:rsidRDefault="00AF3004">
      <w:pPr>
        <w:pStyle w:val="Rubrikmellanrum"/>
      </w:pPr>
    </w:p>
    <w:p w14:paraId="39578A6B" w14:textId="77777777" w:rsidR="00AF3004" w:rsidRDefault="00AF3004">
      <w:pPr>
        <w:pStyle w:val="ANormal"/>
      </w:pPr>
      <w:r>
        <w:t>Landskapsregeringen föreslår att följande lag antas.</w:t>
      </w:r>
    </w:p>
    <w:p w14:paraId="6E65FB30" w14:textId="77777777" w:rsidR="00AF3004" w:rsidRDefault="00AF3004">
      <w:pPr>
        <w:pStyle w:val="ANormal"/>
      </w:pPr>
    </w:p>
    <w:p w14:paraId="59624E35" w14:textId="40618A44" w:rsidR="00AF3004" w:rsidRDefault="00AF3004">
      <w:pPr>
        <w:pStyle w:val="ANormal"/>
        <w:rPr>
          <w:lang w:val="en-GB"/>
        </w:rPr>
      </w:pPr>
    </w:p>
    <w:p w14:paraId="2B5F2524" w14:textId="26526FDD" w:rsidR="00AF3004" w:rsidRPr="00675794" w:rsidRDefault="00AF3004">
      <w:pPr>
        <w:pStyle w:val="LagHuvRubr"/>
      </w:pPr>
      <w:bookmarkStart w:id="8" w:name="_Toc182384504"/>
      <w:r>
        <w:rPr>
          <w:lang w:val="en-GB"/>
        </w:rPr>
        <w:t>L A N D S K A P S L A G</w:t>
      </w:r>
      <w:r>
        <w:rPr>
          <w:lang w:val="en-GB"/>
        </w:rPr>
        <w:br/>
      </w:r>
      <w:r w:rsidRPr="00675794">
        <w:t>om</w:t>
      </w:r>
      <w:r w:rsidR="00523BB8" w:rsidRPr="00675794">
        <w:t xml:space="preserve"> ändring av 2 § landskapslagen om kompensation till kommunerna för förlust av skatteintäkter på grund av vissa avdrag</w:t>
      </w:r>
      <w:bookmarkEnd w:id="8"/>
    </w:p>
    <w:p w14:paraId="7C20A067" w14:textId="77777777" w:rsidR="00AF3004" w:rsidRDefault="00AF3004">
      <w:pPr>
        <w:pStyle w:val="ANormal"/>
        <w:rPr>
          <w:lang w:val="en-GB"/>
        </w:rPr>
      </w:pPr>
    </w:p>
    <w:p w14:paraId="0AB696D1" w14:textId="5A2CC8F6" w:rsidR="00AF3004" w:rsidRDefault="00AF3004">
      <w:pPr>
        <w:pStyle w:val="ANormal"/>
      </w:pPr>
      <w:r>
        <w:tab/>
        <w:t xml:space="preserve">I enlighet med lagtingets beslut </w:t>
      </w:r>
      <w:r w:rsidR="00523BB8" w:rsidRPr="00523BB8">
        <w:rPr>
          <w:b/>
          <w:bCs/>
        </w:rPr>
        <w:t>ändras</w:t>
      </w:r>
      <w:r w:rsidR="00523BB8">
        <w:t xml:space="preserve"> 2 § 1 mom. landskapslagen (2023:12) om kompensation till kommunerna för förlust av skatteintäkter på grund av vissa avdrag som följer</w:t>
      </w:r>
      <w:r>
        <w:t>:</w:t>
      </w:r>
    </w:p>
    <w:p w14:paraId="75A01D93" w14:textId="77777777" w:rsidR="00523BB8" w:rsidRDefault="00523BB8">
      <w:pPr>
        <w:pStyle w:val="ANormal"/>
      </w:pPr>
    </w:p>
    <w:p w14:paraId="59FF55E6" w14:textId="1851027C" w:rsidR="00523BB8" w:rsidRDefault="00523BB8" w:rsidP="00523BB8">
      <w:pPr>
        <w:pStyle w:val="LagParagraf"/>
      </w:pPr>
      <w:r>
        <w:t>2</w:t>
      </w:r>
      <w:r w:rsidR="00675794">
        <w:t> </w:t>
      </w:r>
      <w:r>
        <w:t>§</w:t>
      </w:r>
    </w:p>
    <w:p w14:paraId="51C8A9F5" w14:textId="7DCB16B5" w:rsidR="00523BB8" w:rsidRDefault="00523BB8" w:rsidP="00523BB8">
      <w:pPr>
        <w:pStyle w:val="LagPararubrik"/>
      </w:pPr>
      <w:r>
        <w:t>Kompensationsbelopp</w:t>
      </w:r>
    </w:p>
    <w:p w14:paraId="0856911B" w14:textId="07266C57" w:rsidR="00523BB8" w:rsidRDefault="00523BB8" w:rsidP="00523BB8">
      <w:pPr>
        <w:pStyle w:val="ANormal"/>
      </w:pPr>
      <w:r>
        <w:tab/>
        <w:t>Kompensationsbeloppet utgör</w:t>
      </w:r>
      <w:r w:rsidR="004B1E1B">
        <w:t xml:space="preserve">s av </w:t>
      </w:r>
      <w:r w:rsidR="008B4578">
        <w:t>summan</w:t>
      </w:r>
      <w:r w:rsidR="004B1E1B">
        <w:t xml:space="preserve"> av </w:t>
      </w:r>
      <w:r>
        <w:t xml:space="preserve">70 procent av kommunens förlust av skatteintäkter </w:t>
      </w:r>
      <w:r w:rsidR="004B1E1B">
        <w:t>på grund av resekostnadsavdraget från förvärvsinkomsten</w:t>
      </w:r>
      <w:r w:rsidR="002E211F">
        <w:t xml:space="preserve"> och </w:t>
      </w:r>
      <w:r w:rsidR="00DC36C7">
        <w:t>60</w:t>
      </w:r>
      <w:r w:rsidR="002E211F">
        <w:t xml:space="preserve"> procent av kommunens förlust av skatteintäkter </w:t>
      </w:r>
      <w:r w:rsidR="004B1E1B">
        <w:t>på grund av grundavdraget</w:t>
      </w:r>
      <w:r>
        <w:t>.</w:t>
      </w:r>
    </w:p>
    <w:p w14:paraId="689FEFFC" w14:textId="77777777" w:rsidR="00523BB8" w:rsidRDefault="00523BB8">
      <w:pPr>
        <w:pStyle w:val="ANormal"/>
      </w:pPr>
      <w:r>
        <w:t>- - - - - - - - - - - - - - - - - - - - - - - - - - - - - - - - - - - - - - - - - - - - - - - - - - - -</w:t>
      </w:r>
    </w:p>
    <w:p w14:paraId="2BF42A20" w14:textId="77777777" w:rsidR="00523BB8" w:rsidRDefault="00523BB8" w:rsidP="00523BB8">
      <w:pPr>
        <w:pStyle w:val="ANormal"/>
      </w:pPr>
    </w:p>
    <w:p w14:paraId="13A3EC04" w14:textId="77777777" w:rsidR="00675794" w:rsidRDefault="00675794">
      <w:pPr>
        <w:pStyle w:val="ANormal"/>
        <w:jc w:val="center"/>
      </w:pPr>
      <w:hyperlink w:anchor="_top" w:tooltip="Klicka för att gå till toppen av dokumentet" w:history="1">
        <w:r>
          <w:rPr>
            <w:rStyle w:val="Hyperlnk"/>
          </w:rPr>
          <w:t>__________________</w:t>
        </w:r>
      </w:hyperlink>
    </w:p>
    <w:p w14:paraId="59BF4364" w14:textId="77777777" w:rsidR="00675794" w:rsidRPr="00523BB8" w:rsidRDefault="00675794" w:rsidP="00523BB8">
      <w:pPr>
        <w:pStyle w:val="ANormal"/>
      </w:pPr>
    </w:p>
    <w:p w14:paraId="19C48C19" w14:textId="508262AB" w:rsidR="00AF3004" w:rsidRDefault="00523BB8">
      <w:pPr>
        <w:pStyle w:val="ANormal"/>
      </w:pPr>
      <w:r>
        <w:tab/>
        <w:t>Denna lag träder i kraft den … och tillämpas första gången när det gäller kompensationen för skatteåret 2025.</w:t>
      </w:r>
    </w:p>
    <w:p w14:paraId="026FF03F" w14:textId="77777777" w:rsidR="00675794" w:rsidRDefault="00675794">
      <w:pPr>
        <w:pStyle w:val="ANormal"/>
      </w:pPr>
    </w:p>
    <w:p w14:paraId="243F4917" w14:textId="77777777" w:rsidR="00AF3004" w:rsidRDefault="00AF3004">
      <w:pPr>
        <w:pStyle w:val="ANormal"/>
        <w:jc w:val="center"/>
      </w:pPr>
      <w:hyperlink w:anchor="_top" w:tooltip="Klicka för att gå till toppen av dokumentet" w:history="1">
        <w:r>
          <w:rPr>
            <w:rStyle w:val="Hyperlnk"/>
          </w:rPr>
          <w:t>__________________</w:t>
        </w:r>
      </w:hyperlink>
    </w:p>
    <w:p w14:paraId="2AE3BF10" w14:textId="77777777" w:rsidR="00AF3004" w:rsidRDefault="00AF3004">
      <w:pPr>
        <w:pStyle w:val="ANormal"/>
      </w:pPr>
    </w:p>
    <w:p w14:paraId="7E259C21" w14:textId="77777777" w:rsidR="00AF3004" w:rsidRDefault="00AF3004">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AF3004" w14:paraId="4E219095" w14:textId="77777777">
        <w:trPr>
          <w:cantSplit/>
        </w:trPr>
        <w:tc>
          <w:tcPr>
            <w:tcW w:w="7931" w:type="dxa"/>
            <w:gridSpan w:val="2"/>
          </w:tcPr>
          <w:p w14:paraId="03E39D98" w14:textId="77777777" w:rsidR="00AF3004" w:rsidRDefault="00AF3004">
            <w:pPr>
              <w:pStyle w:val="ANormal"/>
              <w:keepNext/>
            </w:pPr>
            <w:r>
              <w:t xml:space="preserve">Mariehamn den </w:t>
            </w:r>
          </w:p>
        </w:tc>
      </w:tr>
      <w:tr w:rsidR="00AF3004" w14:paraId="6A7CEF26" w14:textId="77777777">
        <w:tc>
          <w:tcPr>
            <w:tcW w:w="4454" w:type="dxa"/>
            <w:vAlign w:val="bottom"/>
          </w:tcPr>
          <w:p w14:paraId="78B47F17" w14:textId="77777777" w:rsidR="00AF3004" w:rsidRDefault="00AF3004">
            <w:pPr>
              <w:pStyle w:val="ANormal"/>
              <w:keepNext/>
            </w:pPr>
          </w:p>
          <w:p w14:paraId="3F7C82D3" w14:textId="77777777" w:rsidR="00AF3004" w:rsidRDefault="00AF3004">
            <w:pPr>
              <w:pStyle w:val="ANormal"/>
              <w:keepNext/>
            </w:pPr>
          </w:p>
          <w:p w14:paraId="26B3C108" w14:textId="77777777" w:rsidR="00AF3004" w:rsidRDefault="00AF3004">
            <w:pPr>
              <w:pStyle w:val="ANormal"/>
              <w:keepNext/>
            </w:pPr>
            <w:r>
              <w:t>L a n t r å d</w:t>
            </w:r>
          </w:p>
        </w:tc>
        <w:tc>
          <w:tcPr>
            <w:tcW w:w="3477" w:type="dxa"/>
            <w:vAlign w:val="bottom"/>
          </w:tcPr>
          <w:p w14:paraId="5901045B" w14:textId="77777777" w:rsidR="00AF3004" w:rsidRDefault="00AF3004">
            <w:pPr>
              <w:pStyle w:val="ANormal"/>
              <w:keepNext/>
            </w:pPr>
          </w:p>
          <w:p w14:paraId="1710F698" w14:textId="77777777" w:rsidR="00AF3004" w:rsidRDefault="00AF3004">
            <w:pPr>
              <w:pStyle w:val="ANormal"/>
              <w:keepNext/>
            </w:pPr>
          </w:p>
          <w:p w14:paraId="00D0EF67" w14:textId="18B7569E" w:rsidR="00AF3004" w:rsidRDefault="00EC1C46">
            <w:pPr>
              <w:pStyle w:val="ANormal"/>
              <w:keepNext/>
            </w:pPr>
            <w:r>
              <w:t>Katrin Sjögren</w:t>
            </w:r>
          </w:p>
        </w:tc>
      </w:tr>
      <w:tr w:rsidR="00AF3004" w14:paraId="272D35CD" w14:textId="77777777">
        <w:tc>
          <w:tcPr>
            <w:tcW w:w="4454" w:type="dxa"/>
            <w:vAlign w:val="bottom"/>
          </w:tcPr>
          <w:p w14:paraId="55EF6F81" w14:textId="77777777" w:rsidR="00AF3004" w:rsidRDefault="00AF3004">
            <w:pPr>
              <w:pStyle w:val="ANormal"/>
              <w:keepNext/>
            </w:pPr>
          </w:p>
          <w:p w14:paraId="5D957FFA" w14:textId="77777777" w:rsidR="00AF3004" w:rsidRDefault="00AF3004">
            <w:pPr>
              <w:pStyle w:val="ANormal"/>
              <w:keepNext/>
            </w:pPr>
          </w:p>
          <w:p w14:paraId="4B5B8B09" w14:textId="634825CA" w:rsidR="00AF3004" w:rsidRDefault="00AF3004">
            <w:pPr>
              <w:pStyle w:val="ANormal"/>
              <w:keepNext/>
            </w:pPr>
            <w:r>
              <w:t xml:space="preserve">Föredragande </w:t>
            </w:r>
            <w:r w:rsidR="00862861">
              <w:t>minister</w:t>
            </w:r>
          </w:p>
        </w:tc>
        <w:tc>
          <w:tcPr>
            <w:tcW w:w="3477" w:type="dxa"/>
            <w:vAlign w:val="bottom"/>
          </w:tcPr>
          <w:p w14:paraId="11F1C3B8" w14:textId="77777777" w:rsidR="00AF3004" w:rsidRDefault="00AF3004">
            <w:pPr>
              <w:pStyle w:val="ANormal"/>
              <w:keepNext/>
            </w:pPr>
          </w:p>
          <w:p w14:paraId="02EE2F75" w14:textId="77777777" w:rsidR="00AF3004" w:rsidRDefault="00AF3004">
            <w:pPr>
              <w:pStyle w:val="ANormal"/>
              <w:keepNext/>
            </w:pPr>
          </w:p>
          <w:p w14:paraId="069F452B" w14:textId="070D181E" w:rsidR="00AF3004" w:rsidRDefault="00EC1C46">
            <w:pPr>
              <w:pStyle w:val="ANormal"/>
              <w:keepNext/>
            </w:pPr>
            <w:r>
              <w:t xml:space="preserve">Mats </w:t>
            </w:r>
            <w:proofErr w:type="spellStart"/>
            <w:r>
              <w:t>Perämaa</w:t>
            </w:r>
            <w:proofErr w:type="spellEnd"/>
          </w:p>
        </w:tc>
      </w:tr>
    </w:tbl>
    <w:p w14:paraId="0C75C645" w14:textId="77777777" w:rsidR="00AF3004" w:rsidRDefault="00AF3004">
      <w:pPr>
        <w:pStyle w:val="ANormal"/>
      </w:pPr>
    </w:p>
    <w:p w14:paraId="00DF0AA8" w14:textId="07A88920" w:rsidR="00675794" w:rsidRDefault="00675794">
      <w:pPr>
        <w:rPr>
          <w:sz w:val="22"/>
          <w:szCs w:val="20"/>
        </w:rPr>
      </w:pPr>
      <w:r>
        <w:br w:type="page"/>
      </w:r>
    </w:p>
    <w:p w14:paraId="67A1337C" w14:textId="1C42AF91" w:rsidR="00675794" w:rsidRDefault="00675794" w:rsidP="00675794">
      <w:pPr>
        <w:pStyle w:val="RubrikA"/>
      </w:pPr>
      <w:bookmarkStart w:id="9" w:name="_Toc182384505"/>
      <w:r>
        <w:lastRenderedPageBreak/>
        <w:t>Parallelltexter</w:t>
      </w:r>
      <w:bookmarkEnd w:id="9"/>
    </w:p>
    <w:p w14:paraId="13315BE8" w14:textId="77777777" w:rsidR="00675794" w:rsidRDefault="00675794" w:rsidP="00675794">
      <w:pPr>
        <w:pStyle w:val="Rubrikmellanrum"/>
      </w:pPr>
    </w:p>
    <w:p w14:paraId="6FDEBCAD" w14:textId="0A3D979A" w:rsidR="00675794" w:rsidRPr="00675794" w:rsidRDefault="00675794" w:rsidP="00675794">
      <w:pPr>
        <w:pStyle w:val="ArendeUnderRubrik"/>
      </w:pPr>
      <w:r>
        <w:t xml:space="preserve">Parallelltexter till landskapsregeringens lagförslag nr </w:t>
      </w:r>
      <w:r w:rsidR="00565693">
        <w:t>6</w:t>
      </w:r>
      <w:r>
        <w:t>/2024-2025</w:t>
      </w:r>
    </w:p>
    <w:sectPr w:rsidR="00675794" w:rsidRPr="00675794">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2BD7E" w14:textId="77777777" w:rsidR="00862861" w:rsidRDefault="00862861">
      <w:r>
        <w:separator/>
      </w:r>
    </w:p>
  </w:endnote>
  <w:endnote w:type="continuationSeparator" w:id="0">
    <w:p w14:paraId="6044D617" w14:textId="77777777" w:rsidR="00862861" w:rsidRDefault="0086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899C7" w14:textId="77777777" w:rsidR="00AF3004" w:rsidRDefault="00AF3004">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AC45E" w14:textId="7931A9E3" w:rsidR="00AF3004" w:rsidRDefault="00AF3004">
    <w:pPr>
      <w:pStyle w:val="Sidfot"/>
      <w:rPr>
        <w:lang w:val="fi-FI"/>
      </w:rPr>
    </w:pPr>
    <w:r>
      <w:fldChar w:fldCharType="begin"/>
    </w:r>
    <w:r>
      <w:rPr>
        <w:lang w:val="fi-FI"/>
      </w:rPr>
      <w:instrText xml:space="preserve"> FILENAME  \* MERGEFORMAT </w:instrText>
    </w:r>
    <w:r>
      <w:fldChar w:fldCharType="separate"/>
    </w:r>
    <w:r w:rsidR="00215AD6">
      <w:rPr>
        <w:noProof/>
        <w:lang w:val="fi-FI"/>
      </w:rPr>
      <w:t>LF0620242025.docx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94769" w14:textId="77777777" w:rsidR="00AF3004" w:rsidRDefault="00AF30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E0FF3" w14:textId="77777777" w:rsidR="00862861" w:rsidRDefault="00862861">
      <w:r>
        <w:separator/>
      </w:r>
    </w:p>
  </w:footnote>
  <w:footnote w:type="continuationSeparator" w:id="0">
    <w:p w14:paraId="1048757A" w14:textId="77777777" w:rsidR="00862861" w:rsidRDefault="00862861">
      <w:r>
        <w:continuationSeparator/>
      </w:r>
    </w:p>
  </w:footnote>
  <w:footnote w:id="1">
    <w:p w14:paraId="266D20D4" w14:textId="11142AF3" w:rsidR="00603899" w:rsidRPr="00603899" w:rsidRDefault="00603899">
      <w:pPr>
        <w:pStyle w:val="Fotnotstext"/>
        <w:rPr>
          <w:lang w:val="sv-FI"/>
        </w:rPr>
      </w:pPr>
      <w:r>
        <w:rPr>
          <w:rStyle w:val="Fotnotsreferens"/>
        </w:rPr>
        <w:footnoteRef/>
      </w:r>
      <w:r>
        <w:t xml:space="preserve"> </w:t>
      </w:r>
      <w:r>
        <w:rPr>
          <w:lang w:val="sv-FI"/>
        </w:rPr>
        <w:t>Se LF 11/2022–2023</w:t>
      </w:r>
    </w:p>
  </w:footnote>
  <w:footnote w:id="2">
    <w:p w14:paraId="68BF0292" w14:textId="7E580D31" w:rsidR="00FE4945" w:rsidRPr="00FE4945" w:rsidRDefault="00FE4945">
      <w:pPr>
        <w:pStyle w:val="Fotnotstext"/>
        <w:rPr>
          <w:lang w:val="sv-FI"/>
        </w:rPr>
      </w:pPr>
      <w:r>
        <w:rPr>
          <w:rStyle w:val="Fotnotsreferens"/>
        </w:rPr>
        <w:footnoteRef/>
      </w:r>
      <w:r>
        <w:t xml:space="preserve"> </w:t>
      </w:r>
      <w:r>
        <w:rPr>
          <w:lang w:val="sv-FI"/>
        </w:rPr>
        <w:t>LTB 25/2023–2024</w:t>
      </w:r>
    </w:p>
  </w:footnote>
  <w:footnote w:id="3">
    <w:p w14:paraId="3868A7AA" w14:textId="77777777" w:rsidR="00754B66" w:rsidRPr="0068003D" w:rsidRDefault="00754B66" w:rsidP="00754B66">
      <w:pPr>
        <w:pStyle w:val="Fotnotstext"/>
        <w:rPr>
          <w:lang w:val="sv-FI"/>
        </w:rPr>
      </w:pPr>
      <w:r>
        <w:rPr>
          <w:rStyle w:val="Fotnotsreferens"/>
        </w:rPr>
        <w:footnoteRef/>
      </w:r>
      <w:r>
        <w:t xml:space="preserve"> </w:t>
      </w:r>
      <w:r>
        <w:rPr>
          <w:lang w:val="sv-FI"/>
        </w:rPr>
        <w:t>Se LF 24/2023–2024</w:t>
      </w:r>
    </w:p>
  </w:footnote>
  <w:footnote w:id="4">
    <w:p w14:paraId="5986A023" w14:textId="10036672" w:rsidR="001D7531" w:rsidRPr="001D7531" w:rsidRDefault="001D7531">
      <w:pPr>
        <w:pStyle w:val="Fotnotstext"/>
        <w:rPr>
          <w:lang w:val="sv-FI"/>
        </w:rPr>
      </w:pPr>
      <w:r>
        <w:rPr>
          <w:rStyle w:val="Fotnotsreferens"/>
        </w:rPr>
        <w:footnoteRef/>
      </w:r>
      <w:r>
        <w:t xml:space="preserve"> </w:t>
      </w:r>
      <w:r>
        <w:rPr>
          <w:lang w:val="sv-FI"/>
        </w:rPr>
        <w:t>Se LF 4//2024–2025</w:t>
      </w:r>
    </w:p>
  </w:footnote>
  <w:footnote w:id="5">
    <w:p w14:paraId="1C6E6C86" w14:textId="25DE7968" w:rsidR="001D7531" w:rsidRPr="001D7531" w:rsidRDefault="001D7531">
      <w:pPr>
        <w:pStyle w:val="Fotnotstext"/>
        <w:rPr>
          <w:lang w:val="sv-FI"/>
        </w:rPr>
      </w:pPr>
      <w:r>
        <w:rPr>
          <w:rStyle w:val="Fotnotsreferens"/>
        </w:rPr>
        <w:footnoteRef/>
      </w:r>
      <w:r>
        <w:t xml:space="preserve"> </w:t>
      </w:r>
      <w:r>
        <w:rPr>
          <w:lang w:val="sv-FI"/>
        </w:rPr>
        <w:t>Se RP 108/2024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F23C8" w14:textId="77777777" w:rsidR="00AF3004" w:rsidRDefault="00AF3004">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p w14:paraId="105C9410" w14:textId="77777777" w:rsidR="00AF3004" w:rsidRDefault="00AF30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8972C" w14:textId="77777777" w:rsidR="00AF3004" w:rsidRDefault="00AF3004">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017343061">
    <w:abstractNumId w:val="6"/>
  </w:num>
  <w:num w:numId="2" w16cid:durableId="1049064113">
    <w:abstractNumId w:val="3"/>
  </w:num>
  <w:num w:numId="3" w16cid:durableId="828979213">
    <w:abstractNumId w:val="2"/>
  </w:num>
  <w:num w:numId="4" w16cid:durableId="2011639787">
    <w:abstractNumId w:val="1"/>
  </w:num>
  <w:num w:numId="5" w16cid:durableId="324014159">
    <w:abstractNumId w:val="0"/>
  </w:num>
  <w:num w:numId="6" w16cid:durableId="1808476542">
    <w:abstractNumId w:val="7"/>
  </w:num>
  <w:num w:numId="7" w16cid:durableId="2078476959">
    <w:abstractNumId w:val="5"/>
  </w:num>
  <w:num w:numId="8" w16cid:durableId="647516565">
    <w:abstractNumId w:val="4"/>
  </w:num>
  <w:num w:numId="9" w16cid:durableId="19549765">
    <w:abstractNumId w:val="10"/>
  </w:num>
  <w:num w:numId="10" w16cid:durableId="1947351352">
    <w:abstractNumId w:val="13"/>
  </w:num>
  <w:num w:numId="11" w16cid:durableId="1545483747">
    <w:abstractNumId w:val="12"/>
  </w:num>
  <w:num w:numId="12" w16cid:durableId="314577813">
    <w:abstractNumId w:val="16"/>
  </w:num>
  <w:num w:numId="13" w16cid:durableId="1914469837">
    <w:abstractNumId w:val="11"/>
  </w:num>
  <w:num w:numId="14" w16cid:durableId="2026321169">
    <w:abstractNumId w:val="15"/>
  </w:num>
  <w:num w:numId="15" w16cid:durableId="2062823171">
    <w:abstractNumId w:val="9"/>
  </w:num>
  <w:num w:numId="16" w16cid:durableId="859969908">
    <w:abstractNumId w:val="21"/>
  </w:num>
  <w:num w:numId="17" w16cid:durableId="673651913">
    <w:abstractNumId w:val="8"/>
  </w:num>
  <w:num w:numId="18" w16cid:durableId="1909992479">
    <w:abstractNumId w:val="17"/>
  </w:num>
  <w:num w:numId="19" w16cid:durableId="1829900624">
    <w:abstractNumId w:val="20"/>
  </w:num>
  <w:num w:numId="20" w16cid:durableId="1685327677">
    <w:abstractNumId w:val="23"/>
  </w:num>
  <w:num w:numId="21" w16cid:durableId="1267689997">
    <w:abstractNumId w:val="22"/>
  </w:num>
  <w:num w:numId="22" w16cid:durableId="1131628341">
    <w:abstractNumId w:val="14"/>
  </w:num>
  <w:num w:numId="23" w16cid:durableId="140344321">
    <w:abstractNumId w:val="18"/>
  </w:num>
  <w:num w:numId="24" w16cid:durableId="2055033009">
    <w:abstractNumId w:val="18"/>
  </w:num>
  <w:num w:numId="25" w16cid:durableId="1499299335">
    <w:abstractNumId w:val="19"/>
  </w:num>
  <w:num w:numId="26" w16cid:durableId="582110488">
    <w:abstractNumId w:val="14"/>
  </w:num>
  <w:num w:numId="27" w16cid:durableId="1221595654">
    <w:abstractNumId w:val="14"/>
  </w:num>
  <w:num w:numId="28" w16cid:durableId="493649733">
    <w:abstractNumId w:val="14"/>
  </w:num>
  <w:num w:numId="29" w16cid:durableId="1511794574">
    <w:abstractNumId w:val="14"/>
  </w:num>
  <w:num w:numId="30" w16cid:durableId="964965446">
    <w:abstractNumId w:val="14"/>
  </w:num>
  <w:num w:numId="31" w16cid:durableId="494731277">
    <w:abstractNumId w:val="14"/>
  </w:num>
  <w:num w:numId="32" w16cid:durableId="785270972">
    <w:abstractNumId w:val="14"/>
  </w:num>
  <w:num w:numId="33" w16cid:durableId="109015188">
    <w:abstractNumId w:val="14"/>
  </w:num>
  <w:num w:numId="34" w16cid:durableId="572741246">
    <w:abstractNumId w:val="14"/>
  </w:num>
  <w:num w:numId="35" w16cid:durableId="1853717019">
    <w:abstractNumId w:val="18"/>
  </w:num>
  <w:num w:numId="36" w16cid:durableId="633220819">
    <w:abstractNumId w:val="19"/>
  </w:num>
  <w:num w:numId="37" w16cid:durableId="562254815">
    <w:abstractNumId w:val="14"/>
  </w:num>
  <w:num w:numId="38" w16cid:durableId="1812284859">
    <w:abstractNumId w:val="14"/>
  </w:num>
  <w:num w:numId="39" w16cid:durableId="1329552610">
    <w:abstractNumId w:val="14"/>
  </w:num>
  <w:num w:numId="40" w16cid:durableId="569312904">
    <w:abstractNumId w:val="14"/>
  </w:num>
  <w:num w:numId="41" w16cid:durableId="899898269">
    <w:abstractNumId w:val="14"/>
  </w:num>
  <w:num w:numId="42" w16cid:durableId="1620647020">
    <w:abstractNumId w:val="14"/>
  </w:num>
  <w:num w:numId="43" w16cid:durableId="481695555">
    <w:abstractNumId w:val="14"/>
  </w:num>
  <w:num w:numId="44" w16cid:durableId="194969958">
    <w:abstractNumId w:val="14"/>
  </w:num>
  <w:num w:numId="45" w16cid:durableId="17326503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defaultTabStop w:val="1304"/>
  <w:autoHyphenation/>
  <w:hyphenationZone w:val="142"/>
  <w:evenAndOddHeaders/>
  <w:drawingGridHorizontalSpacing w:val="5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861"/>
    <w:rsid w:val="00001614"/>
    <w:rsid w:val="00007859"/>
    <w:rsid w:val="000152A5"/>
    <w:rsid w:val="000E3931"/>
    <w:rsid w:val="000F40F2"/>
    <w:rsid w:val="00114E03"/>
    <w:rsid w:val="00120366"/>
    <w:rsid w:val="001735EF"/>
    <w:rsid w:val="00194CED"/>
    <w:rsid w:val="001A25F5"/>
    <w:rsid w:val="001D7531"/>
    <w:rsid w:val="001E1B47"/>
    <w:rsid w:val="001F524F"/>
    <w:rsid w:val="00202894"/>
    <w:rsid w:val="00205149"/>
    <w:rsid w:val="00215AD6"/>
    <w:rsid w:val="00223C85"/>
    <w:rsid w:val="00230492"/>
    <w:rsid w:val="00257107"/>
    <w:rsid w:val="002D618A"/>
    <w:rsid w:val="002E211F"/>
    <w:rsid w:val="002F6F67"/>
    <w:rsid w:val="003021FD"/>
    <w:rsid w:val="00304D62"/>
    <w:rsid w:val="0032036A"/>
    <w:rsid w:val="00342FC4"/>
    <w:rsid w:val="00351B61"/>
    <w:rsid w:val="00360F97"/>
    <w:rsid w:val="00361064"/>
    <w:rsid w:val="003924FD"/>
    <w:rsid w:val="003A268A"/>
    <w:rsid w:val="003B113B"/>
    <w:rsid w:val="003C4202"/>
    <w:rsid w:val="003D3552"/>
    <w:rsid w:val="003D4867"/>
    <w:rsid w:val="003E1386"/>
    <w:rsid w:val="00417D67"/>
    <w:rsid w:val="00441C1D"/>
    <w:rsid w:val="00441DC0"/>
    <w:rsid w:val="00464E03"/>
    <w:rsid w:val="0048713D"/>
    <w:rsid w:val="004A0D3B"/>
    <w:rsid w:val="004A6BA1"/>
    <w:rsid w:val="004B1E1B"/>
    <w:rsid w:val="004D205E"/>
    <w:rsid w:val="00523BB8"/>
    <w:rsid w:val="00525FC5"/>
    <w:rsid w:val="00532E47"/>
    <w:rsid w:val="00534ED5"/>
    <w:rsid w:val="00555B6D"/>
    <w:rsid w:val="00565693"/>
    <w:rsid w:val="00565D27"/>
    <w:rsid w:val="0058586C"/>
    <w:rsid w:val="00597A05"/>
    <w:rsid w:val="005F1DF9"/>
    <w:rsid w:val="005F329E"/>
    <w:rsid w:val="006034AD"/>
    <w:rsid w:val="00603899"/>
    <w:rsid w:val="00614CA4"/>
    <w:rsid w:val="00621240"/>
    <w:rsid w:val="00624EEC"/>
    <w:rsid w:val="00633288"/>
    <w:rsid w:val="00654AA9"/>
    <w:rsid w:val="0066004C"/>
    <w:rsid w:val="00675794"/>
    <w:rsid w:val="0068003D"/>
    <w:rsid w:val="006B633C"/>
    <w:rsid w:val="006D01BA"/>
    <w:rsid w:val="006F2CB1"/>
    <w:rsid w:val="00722128"/>
    <w:rsid w:val="00726D3E"/>
    <w:rsid w:val="00747DDB"/>
    <w:rsid w:val="0075450E"/>
    <w:rsid w:val="00754B66"/>
    <w:rsid w:val="00767BC6"/>
    <w:rsid w:val="0079184C"/>
    <w:rsid w:val="007D5173"/>
    <w:rsid w:val="00815422"/>
    <w:rsid w:val="008450DA"/>
    <w:rsid w:val="00862861"/>
    <w:rsid w:val="008778E9"/>
    <w:rsid w:val="00880E9F"/>
    <w:rsid w:val="00895447"/>
    <w:rsid w:val="008A1F78"/>
    <w:rsid w:val="008B4578"/>
    <w:rsid w:val="00913F6E"/>
    <w:rsid w:val="00943DFC"/>
    <w:rsid w:val="00997B47"/>
    <w:rsid w:val="009A2604"/>
    <w:rsid w:val="009B3293"/>
    <w:rsid w:val="009E5EB4"/>
    <w:rsid w:val="009F2C9E"/>
    <w:rsid w:val="009F494E"/>
    <w:rsid w:val="00A25E0F"/>
    <w:rsid w:val="00A32351"/>
    <w:rsid w:val="00A5536A"/>
    <w:rsid w:val="00A81BF0"/>
    <w:rsid w:val="00AA28CC"/>
    <w:rsid w:val="00AB1248"/>
    <w:rsid w:val="00AB32FC"/>
    <w:rsid w:val="00AB5B71"/>
    <w:rsid w:val="00AE47C4"/>
    <w:rsid w:val="00AE6172"/>
    <w:rsid w:val="00AF3004"/>
    <w:rsid w:val="00B16DCB"/>
    <w:rsid w:val="00B31CA5"/>
    <w:rsid w:val="00B37F02"/>
    <w:rsid w:val="00B645BC"/>
    <w:rsid w:val="00B707D8"/>
    <w:rsid w:val="00B8557A"/>
    <w:rsid w:val="00B9788C"/>
    <w:rsid w:val="00BB0A47"/>
    <w:rsid w:val="00C718B2"/>
    <w:rsid w:val="00C7567D"/>
    <w:rsid w:val="00C7579F"/>
    <w:rsid w:val="00C761BF"/>
    <w:rsid w:val="00C832D1"/>
    <w:rsid w:val="00CC58EA"/>
    <w:rsid w:val="00D0121E"/>
    <w:rsid w:val="00DC36C7"/>
    <w:rsid w:val="00DD5E39"/>
    <w:rsid w:val="00DF56C3"/>
    <w:rsid w:val="00E407D5"/>
    <w:rsid w:val="00E557D3"/>
    <w:rsid w:val="00E935C3"/>
    <w:rsid w:val="00E95364"/>
    <w:rsid w:val="00EC1C46"/>
    <w:rsid w:val="00EF24F0"/>
    <w:rsid w:val="00FB43EA"/>
    <w:rsid w:val="00FD12DB"/>
    <w:rsid w:val="00FD6449"/>
    <w:rsid w:val="00FE4945"/>
    <w:rsid w:val="00FF29BE"/>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91F6CA"/>
  <w15:chartTrackingRefBased/>
  <w15:docId w15:val="{C4794936-42DC-42C0-A50E-365B2A5B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B47"/>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Fotnotstext">
    <w:name w:val="footnote text"/>
    <w:basedOn w:val="Normal"/>
    <w:link w:val="FotnotstextChar"/>
    <w:uiPriority w:val="99"/>
    <w:semiHidden/>
    <w:unhideWhenUsed/>
    <w:rsid w:val="00603899"/>
    <w:rPr>
      <w:sz w:val="20"/>
      <w:szCs w:val="20"/>
    </w:rPr>
  </w:style>
  <w:style w:type="character" w:customStyle="1" w:styleId="FotnotstextChar">
    <w:name w:val="Fotnotstext Char"/>
    <w:basedOn w:val="Standardstycketeckensnitt"/>
    <w:link w:val="Fotnotstext"/>
    <w:uiPriority w:val="99"/>
    <w:semiHidden/>
    <w:rsid w:val="00603899"/>
    <w:rPr>
      <w:lang w:val="sv-SE" w:eastAsia="sv-SE"/>
    </w:rPr>
  </w:style>
  <w:style w:type="character" w:styleId="Fotnotsreferens">
    <w:name w:val="footnote reference"/>
    <w:basedOn w:val="Standardstycketeckensnitt"/>
    <w:uiPriority w:val="99"/>
    <w:semiHidden/>
    <w:unhideWhenUsed/>
    <w:rsid w:val="006038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772067">
      <w:bodyDiv w:val="1"/>
      <w:marLeft w:val="0"/>
      <w:marRight w:val="0"/>
      <w:marTop w:val="0"/>
      <w:marBottom w:val="0"/>
      <w:divBdr>
        <w:top w:val="none" w:sz="0" w:space="0" w:color="auto"/>
        <w:left w:val="none" w:sz="0" w:space="0" w:color="auto"/>
        <w:bottom w:val="none" w:sz="0" w:space="0" w:color="auto"/>
        <w:right w:val="none" w:sz="0" w:space="0" w:color="auto"/>
      </w:divBdr>
    </w:div>
    <w:div w:id="134979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beredning\LS-Framst&#228;llning.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ADCC6-FB72-4621-8D12-A0F5280C5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LS-Framställning.dot</Template>
  <TotalTime>1</TotalTime>
  <Pages>7</Pages>
  <Words>1474</Words>
  <Characters>9180</Characters>
  <Application>Microsoft Office Word</Application>
  <DocSecurity>0</DocSecurity>
  <Lines>76</Lines>
  <Paragraphs>21</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NyLS-Framställning</vt:lpstr>
      <vt:lpstr>NyLS-Framställning</vt:lpstr>
    </vt:vector>
  </TitlesOfParts>
  <Company>Ålands landskapsstyrelse</Company>
  <LinksUpToDate>false</LinksUpToDate>
  <CharactersWithSpaces>10633</CharactersWithSpaces>
  <SharedDoc>false</SharedDoc>
  <HLinks>
    <vt:vector size="60" baseType="variant">
      <vt:variant>
        <vt:i4>262192</vt:i4>
      </vt:variant>
      <vt:variant>
        <vt:i4>54</vt:i4>
      </vt:variant>
      <vt:variant>
        <vt:i4>0</vt:i4>
      </vt:variant>
      <vt:variant>
        <vt:i4>5</vt:i4>
      </vt:variant>
      <vt:variant>
        <vt:lpwstr/>
      </vt:variant>
      <vt:variant>
        <vt:lpwstr>_top</vt:lpwstr>
      </vt:variant>
      <vt:variant>
        <vt:i4>2031669</vt:i4>
      </vt:variant>
      <vt:variant>
        <vt:i4>47</vt:i4>
      </vt:variant>
      <vt:variant>
        <vt:i4>0</vt:i4>
      </vt:variant>
      <vt:variant>
        <vt:i4>5</vt:i4>
      </vt:variant>
      <vt:variant>
        <vt:lpwstr/>
      </vt:variant>
      <vt:variant>
        <vt:lpwstr>_Toc530915178</vt:lpwstr>
      </vt:variant>
      <vt:variant>
        <vt:i4>2031669</vt:i4>
      </vt:variant>
      <vt:variant>
        <vt:i4>41</vt:i4>
      </vt:variant>
      <vt:variant>
        <vt:i4>0</vt:i4>
      </vt:variant>
      <vt:variant>
        <vt:i4>5</vt:i4>
      </vt:variant>
      <vt:variant>
        <vt:lpwstr/>
      </vt:variant>
      <vt:variant>
        <vt:lpwstr>_Toc530915177</vt:lpwstr>
      </vt:variant>
      <vt:variant>
        <vt:i4>2031669</vt:i4>
      </vt:variant>
      <vt:variant>
        <vt:i4>35</vt:i4>
      </vt:variant>
      <vt:variant>
        <vt:i4>0</vt:i4>
      </vt:variant>
      <vt:variant>
        <vt:i4>5</vt:i4>
      </vt:variant>
      <vt:variant>
        <vt:lpwstr/>
      </vt:variant>
      <vt:variant>
        <vt:lpwstr>_Toc530915176</vt:lpwstr>
      </vt:variant>
      <vt:variant>
        <vt:i4>2031669</vt:i4>
      </vt:variant>
      <vt:variant>
        <vt:i4>29</vt:i4>
      </vt:variant>
      <vt:variant>
        <vt:i4>0</vt:i4>
      </vt:variant>
      <vt:variant>
        <vt:i4>5</vt:i4>
      </vt:variant>
      <vt:variant>
        <vt:lpwstr/>
      </vt:variant>
      <vt:variant>
        <vt:lpwstr>_Toc530915175</vt:lpwstr>
      </vt:variant>
      <vt:variant>
        <vt:i4>2031669</vt:i4>
      </vt:variant>
      <vt:variant>
        <vt:i4>23</vt:i4>
      </vt:variant>
      <vt:variant>
        <vt:i4>0</vt:i4>
      </vt:variant>
      <vt:variant>
        <vt:i4>5</vt:i4>
      </vt:variant>
      <vt:variant>
        <vt:lpwstr/>
      </vt:variant>
      <vt:variant>
        <vt:lpwstr>_Toc530915174</vt:lpwstr>
      </vt:variant>
      <vt:variant>
        <vt:i4>2031669</vt:i4>
      </vt:variant>
      <vt:variant>
        <vt:i4>17</vt:i4>
      </vt:variant>
      <vt:variant>
        <vt:i4>0</vt:i4>
      </vt:variant>
      <vt:variant>
        <vt:i4>5</vt:i4>
      </vt:variant>
      <vt:variant>
        <vt:lpwstr/>
      </vt:variant>
      <vt:variant>
        <vt:lpwstr>_Toc530915173</vt:lpwstr>
      </vt:variant>
      <vt:variant>
        <vt:i4>2031669</vt:i4>
      </vt:variant>
      <vt:variant>
        <vt:i4>11</vt:i4>
      </vt:variant>
      <vt:variant>
        <vt:i4>0</vt:i4>
      </vt:variant>
      <vt:variant>
        <vt:i4>5</vt:i4>
      </vt:variant>
      <vt:variant>
        <vt:lpwstr/>
      </vt:variant>
      <vt:variant>
        <vt:lpwstr>_Toc530915172</vt:lpwstr>
      </vt:variant>
      <vt:variant>
        <vt:i4>2031669</vt:i4>
      </vt:variant>
      <vt:variant>
        <vt:i4>5</vt:i4>
      </vt:variant>
      <vt:variant>
        <vt:i4>0</vt:i4>
      </vt:variant>
      <vt:variant>
        <vt:i4>5</vt:i4>
      </vt:variant>
      <vt:variant>
        <vt:lpwstr/>
      </vt:variant>
      <vt:variant>
        <vt:lpwstr>_Toc530915171</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NyLS-Framställning</dc:title>
  <dc:subject>Framställningsmall</dc:subject>
  <dc:creator>Diana Lönngren</dc:creator>
  <cp:keywords/>
  <dc:description/>
  <cp:lastModifiedBy>Jessica Laaksonen</cp:lastModifiedBy>
  <cp:revision>2</cp:revision>
  <cp:lastPrinted>2024-11-14T13:54:00Z</cp:lastPrinted>
  <dcterms:created xsi:type="dcterms:W3CDTF">2024-11-14T13:55:00Z</dcterms:created>
  <dcterms:modified xsi:type="dcterms:W3CDTF">2024-11-14T13:55:00Z</dcterms:modified>
</cp:coreProperties>
</file>