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39CEB0CE" w14:textId="77777777">
        <w:trPr>
          <w:cantSplit/>
          <w:trHeight w:val="20"/>
        </w:trPr>
        <w:tc>
          <w:tcPr>
            <w:tcW w:w="861" w:type="dxa"/>
            <w:vMerge w:val="restart"/>
          </w:tcPr>
          <w:p w14:paraId="3B3060CC" w14:textId="14988BED" w:rsidR="00AF3004" w:rsidRDefault="00952D10">
            <w:pPr>
              <w:pStyle w:val="xLedtext"/>
              <w:keepNext/>
              <w:rPr>
                <w:noProof/>
              </w:rPr>
            </w:pPr>
            <w:r>
              <w:rPr>
                <w:noProof/>
                <w:sz w:val="20"/>
              </w:rPr>
              <w:drawing>
                <wp:anchor distT="0" distB="0" distL="114300" distR="114300" simplePos="0" relativeHeight="251657728" behindDoc="0" locked="0" layoutInCell="1" allowOverlap="1" wp14:anchorId="4957F715" wp14:editId="3B3CAC89">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9FE3F49" w14:textId="083E04EF" w:rsidR="00AF3004" w:rsidRDefault="00952D10">
            <w:pPr>
              <w:pStyle w:val="xMellanrum"/>
            </w:pPr>
            <w:r>
              <w:rPr>
                <w:noProof/>
              </w:rPr>
              <w:drawing>
                <wp:inline distT="0" distB="0" distL="0" distR="0" wp14:anchorId="4EAEC4E2" wp14:editId="749160DD">
                  <wp:extent cx="51435" cy="514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AF3004" w14:paraId="24368DC8" w14:textId="77777777">
        <w:trPr>
          <w:cantSplit/>
          <w:trHeight w:val="299"/>
        </w:trPr>
        <w:tc>
          <w:tcPr>
            <w:tcW w:w="861" w:type="dxa"/>
            <w:vMerge/>
          </w:tcPr>
          <w:p w14:paraId="4961AE25" w14:textId="77777777" w:rsidR="00AF3004" w:rsidRDefault="00AF3004">
            <w:pPr>
              <w:pStyle w:val="xLedtext"/>
            </w:pPr>
          </w:p>
        </w:tc>
        <w:tc>
          <w:tcPr>
            <w:tcW w:w="4448" w:type="dxa"/>
            <w:vAlign w:val="bottom"/>
          </w:tcPr>
          <w:p w14:paraId="43629D14" w14:textId="77777777" w:rsidR="00AF3004" w:rsidRDefault="00AF3004">
            <w:pPr>
              <w:pStyle w:val="xAvsandare1"/>
            </w:pPr>
          </w:p>
        </w:tc>
        <w:tc>
          <w:tcPr>
            <w:tcW w:w="4288" w:type="dxa"/>
            <w:gridSpan w:val="2"/>
            <w:vAlign w:val="bottom"/>
          </w:tcPr>
          <w:p w14:paraId="3930E7BA" w14:textId="69D580DA" w:rsidR="00AF3004" w:rsidRDefault="00453235">
            <w:pPr>
              <w:pStyle w:val="xDokTypNr"/>
            </w:pPr>
            <w:r w:rsidRPr="00B773EE">
              <w:t>LAGFÖRSLAG</w:t>
            </w:r>
            <w:r w:rsidR="00AF3004">
              <w:t xml:space="preserve"> nr </w:t>
            </w:r>
            <w:r w:rsidR="00B51114">
              <w:t>1</w:t>
            </w:r>
            <w:r w:rsidR="00AF3004">
              <w:t>/</w:t>
            </w:r>
            <w:proofErr w:type="gramStart"/>
            <w:r w:rsidR="00AF3004">
              <w:t>20</w:t>
            </w:r>
            <w:r w:rsidR="00095007">
              <w:t>2</w:t>
            </w:r>
            <w:r w:rsidR="00864254">
              <w:t>4</w:t>
            </w:r>
            <w:r w:rsidR="00AF3004">
              <w:t>-20</w:t>
            </w:r>
            <w:r w:rsidR="00095007">
              <w:t>2</w:t>
            </w:r>
            <w:r w:rsidR="00864254">
              <w:t>5</w:t>
            </w:r>
            <w:proofErr w:type="gramEnd"/>
          </w:p>
        </w:tc>
      </w:tr>
      <w:tr w:rsidR="00AF3004" w14:paraId="046A5878" w14:textId="77777777">
        <w:trPr>
          <w:cantSplit/>
          <w:trHeight w:val="238"/>
        </w:trPr>
        <w:tc>
          <w:tcPr>
            <w:tcW w:w="861" w:type="dxa"/>
            <w:vMerge/>
          </w:tcPr>
          <w:p w14:paraId="5BEA08DF" w14:textId="77777777" w:rsidR="00AF3004" w:rsidRDefault="00AF3004">
            <w:pPr>
              <w:pStyle w:val="xLedtext"/>
            </w:pPr>
          </w:p>
        </w:tc>
        <w:tc>
          <w:tcPr>
            <w:tcW w:w="4448" w:type="dxa"/>
            <w:vAlign w:val="bottom"/>
          </w:tcPr>
          <w:p w14:paraId="3C633D56" w14:textId="77777777" w:rsidR="00AF3004" w:rsidRDefault="00AF3004">
            <w:pPr>
              <w:pStyle w:val="xLedtext"/>
            </w:pPr>
          </w:p>
        </w:tc>
        <w:tc>
          <w:tcPr>
            <w:tcW w:w="1725" w:type="dxa"/>
            <w:vAlign w:val="bottom"/>
          </w:tcPr>
          <w:p w14:paraId="4634DC6A" w14:textId="77777777" w:rsidR="00AF3004" w:rsidRDefault="00AF3004">
            <w:pPr>
              <w:pStyle w:val="xLedtext"/>
              <w:rPr>
                <w:lang w:val="de-DE"/>
              </w:rPr>
            </w:pPr>
            <w:r>
              <w:rPr>
                <w:lang w:val="de-DE"/>
              </w:rPr>
              <w:t>Datum</w:t>
            </w:r>
          </w:p>
        </w:tc>
        <w:tc>
          <w:tcPr>
            <w:tcW w:w="2563" w:type="dxa"/>
            <w:vAlign w:val="bottom"/>
          </w:tcPr>
          <w:p w14:paraId="74F8B5FB" w14:textId="77777777" w:rsidR="00AF3004" w:rsidRDefault="00AF3004">
            <w:pPr>
              <w:pStyle w:val="xLedtext"/>
              <w:rPr>
                <w:lang w:val="de-DE"/>
              </w:rPr>
            </w:pPr>
          </w:p>
        </w:tc>
      </w:tr>
      <w:tr w:rsidR="00AF3004" w14:paraId="606E38FA" w14:textId="77777777">
        <w:trPr>
          <w:cantSplit/>
          <w:trHeight w:val="238"/>
        </w:trPr>
        <w:tc>
          <w:tcPr>
            <w:tcW w:w="861" w:type="dxa"/>
            <w:vMerge/>
          </w:tcPr>
          <w:p w14:paraId="7ED0B7DA" w14:textId="77777777" w:rsidR="00AF3004" w:rsidRDefault="00AF3004">
            <w:pPr>
              <w:pStyle w:val="xAvsandare2"/>
              <w:rPr>
                <w:lang w:val="de-DE"/>
              </w:rPr>
            </w:pPr>
          </w:p>
        </w:tc>
        <w:tc>
          <w:tcPr>
            <w:tcW w:w="4448" w:type="dxa"/>
            <w:vAlign w:val="center"/>
          </w:tcPr>
          <w:p w14:paraId="282A123E" w14:textId="77777777" w:rsidR="00AF3004" w:rsidRDefault="00AF3004">
            <w:pPr>
              <w:pStyle w:val="xAvsandare2"/>
              <w:rPr>
                <w:lang w:val="de-DE"/>
              </w:rPr>
            </w:pPr>
          </w:p>
        </w:tc>
        <w:tc>
          <w:tcPr>
            <w:tcW w:w="1725" w:type="dxa"/>
            <w:vAlign w:val="center"/>
          </w:tcPr>
          <w:p w14:paraId="710AABAA" w14:textId="6C4B301F" w:rsidR="00AF3004" w:rsidRDefault="00AF3004">
            <w:pPr>
              <w:pStyle w:val="xDatum1"/>
              <w:rPr>
                <w:lang w:val="de-DE"/>
              </w:rPr>
            </w:pPr>
            <w:r>
              <w:rPr>
                <w:lang w:val="de-DE"/>
              </w:rPr>
              <w:t>20</w:t>
            </w:r>
            <w:r w:rsidR="00095007">
              <w:rPr>
                <w:lang w:val="de-DE"/>
              </w:rPr>
              <w:t>24</w:t>
            </w:r>
            <w:r>
              <w:rPr>
                <w:lang w:val="de-DE"/>
              </w:rPr>
              <w:t>-</w:t>
            </w:r>
            <w:r w:rsidR="00D0359E">
              <w:rPr>
                <w:lang w:val="de-DE"/>
              </w:rPr>
              <w:t>10-24</w:t>
            </w:r>
          </w:p>
        </w:tc>
        <w:tc>
          <w:tcPr>
            <w:tcW w:w="2563" w:type="dxa"/>
            <w:vAlign w:val="center"/>
          </w:tcPr>
          <w:p w14:paraId="41687C1D" w14:textId="77777777" w:rsidR="00AF3004" w:rsidRDefault="00AF3004">
            <w:pPr>
              <w:pStyle w:val="xBeteckning1"/>
              <w:rPr>
                <w:lang w:val="de-DE"/>
              </w:rPr>
            </w:pPr>
          </w:p>
        </w:tc>
      </w:tr>
      <w:tr w:rsidR="00AF3004" w14:paraId="6FFDCC81" w14:textId="77777777">
        <w:trPr>
          <w:cantSplit/>
          <w:trHeight w:val="238"/>
        </w:trPr>
        <w:tc>
          <w:tcPr>
            <w:tcW w:w="861" w:type="dxa"/>
            <w:vMerge/>
          </w:tcPr>
          <w:p w14:paraId="7F8CC3DB" w14:textId="77777777" w:rsidR="00AF3004" w:rsidRDefault="00AF3004">
            <w:pPr>
              <w:pStyle w:val="xLedtext"/>
              <w:rPr>
                <w:lang w:val="de-DE"/>
              </w:rPr>
            </w:pPr>
          </w:p>
        </w:tc>
        <w:tc>
          <w:tcPr>
            <w:tcW w:w="4448" w:type="dxa"/>
            <w:vAlign w:val="bottom"/>
          </w:tcPr>
          <w:p w14:paraId="56429E1F" w14:textId="77777777" w:rsidR="00AF3004" w:rsidRDefault="00AF3004">
            <w:pPr>
              <w:pStyle w:val="xLedtext"/>
              <w:rPr>
                <w:lang w:val="de-DE"/>
              </w:rPr>
            </w:pPr>
          </w:p>
        </w:tc>
        <w:tc>
          <w:tcPr>
            <w:tcW w:w="1725" w:type="dxa"/>
            <w:vAlign w:val="bottom"/>
          </w:tcPr>
          <w:p w14:paraId="54B8E4F3" w14:textId="77777777" w:rsidR="00AF3004" w:rsidRDefault="00AF3004">
            <w:pPr>
              <w:pStyle w:val="xLedtext"/>
              <w:rPr>
                <w:lang w:val="de-DE"/>
              </w:rPr>
            </w:pPr>
          </w:p>
        </w:tc>
        <w:tc>
          <w:tcPr>
            <w:tcW w:w="2563" w:type="dxa"/>
            <w:vAlign w:val="bottom"/>
          </w:tcPr>
          <w:p w14:paraId="54342860" w14:textId="77777777" w:rsidR="00AF3004" w:rsidRDefault="00AF3004">
            <w:pPr>
              <w:pStyle w:val="xLedtext"/>
              <w:rPr>
                <w:lang w:val="de-DE"/>
              </w:rPr>
            </w:pPr>
          </w:p>
        </w:tc>
      </w:tr>
      <w:tr w:rsidR="00AF3004" w14:paraId="718DAEFC" w14:textId="77777777">
        <w:trPr>
          <w:cantSplit/>
          <w:trHeight w:val="238"/>
        </w:trPr>
        <w:tc>
          <w:tcPr>
            <w:tcW w:w="861" w:type="dxa"/>
            <w:vMerge/>
            <w:tcBorders>
              <w:bottom w:val="single" w:sz="4" w:space="0" w:color="auto"/>
            </w:tcBorders>
          </w:tcPr>
          <w:p w14:paraId="769B64B3" w14:textId="77777777" w:rsidR="00AF3004" w:rsidRDefault="00AF3004">
            <w:pPr>
              <w:pStyle w:val="xAvsandare3"/>
              <w:rPr>
                <w:lang w:val="de-DE"/>
              </w:rPr>
            </w:pPr>
          </w:p>
        </w:tc>
        <w:tc>
          <w:tcPr>
            <w:tcW w:w="4448" w:type="dxa"/>
            <w:tcBorders>
              <w:bottom w:val="single" w:sz="4" w:space="0" w:color="auto"/>
            </w:tcBorders>
            <w:vAlign w:val="center"/>
          </w:tcPr>
          <w:p w14:paraId="42732056" w14:textId="77777777" w:rsidR="00AF3004" w:rsidRDefault="00AF3004">
            <w:pPr>
              <w:pStyle w:val="xAvsandare3"/>
              <w:rPr>
                <w:lang w:val="de-DE"/>
              </w:rPr>
            </w:pPr>
          </w:p>
        </w:tc>
        <w:tc>
          <w:tcPr>
            <w:tcW w:w="1725" w:type="dxa"/>
            <w:tcBorders>
              <w:bottom w:val="single" w:sz="4" w:space="0" w:color="auto"/>
            </w:tcBorders>
            <w:vAlign w:val="center"/>
          </w:tcPr>
          <w:p w14:paraId="55AC6014" w14:textId="77777777" w:rsidR="00AF3004" w:rsidRDefault="00AF3004">
            <w:pPr>
              <w:pStyle w:val="xDatum2"/>
              <w:rPr>
                <w:lang w:val="de-DE"/>
              </w:rPr>
            </w:pPr>
          </w:p>
        </w:tc>
        <w:tc>
          <w:tcPr>
            <w:tcW w:w="2563" w:type="dxa"/>
            <w:tcBorders>
              <w:bottom w:val="single" w:sz="4" w:space="0" w:color="auto"/>
            </w:tcBorders>
            <w:vAlign w:val="center"/>
          </w:tcPr>
          <w:p w14:paraId="50EEBB21" w14:textId="77777777" w:rsidR="00AF3004" w:rsidRDefault="00AF3004">
            <w:pPr>
              <w:pStyle w:val="xBeteckning2"/>
              <w:rPr>
                <w:lang w:val="de-DE"/>
              </w:rPr>
            </w:pPr>
          </w:p>
        </w:tc>
      </w:tr>
      <w:tr w:rsidR="00AF3004" w14:paraId="68703579" w14:textId="77777777">
        <w:trPr>
          <w:cantSplit/>
          <w:trHeight w:val="238"/>
        </w:trPr>
        <w:tc>
          <w:tcPr>
            <w:tcW w:w="861" w:type="dxa"/>
            <w:tcBorders>
              <w:top w:val="single" w:sz="4" w:space="0" w:color="auto"/>
            </w:tcBorders>
            <w:vAlign w:val="bottom"/>
          </w:tcPr>
          <w:p w14:paraId="637EFD1E" w14:textId="77777777" w:rsidR="00AF3004" w:rsidRDefault="00AF3004">
            <w:pPr>
              <w:pStyle w:val="xLedtext"/>
              <w:rPr>
                <w:lang w:val="de-DE"/>
              </w:rPr>
            </w:pPr>
          </w:p>
        </w:tc>
        <w:tc>
          <w:tcPr>
            <w:tcW w:w="4448" w:type="dxa"/>
            <w:tcBorders>
              <w:top w:val="single" w:sz="4" w:space="0" w:color="auto"/>
            </w:tcBorders>
            <w:vAlign w:val="bottom"/>
          </w:tcPr>
          <w:p w14:paraId="19C1669B" w14:textId="77777777" w:rsidR="00AF3004" w:rsidRDefault="00AF3004">
            <w:pPr>
              <w:pStyle w:val="xLedtext"/>
              <w:rPr>
                <w:lang w:val="de-DE"/>
              </w:rPr>
            </w:pPr>
          </w:p>
        </w:tc>
        <w:tc>
          <w:tcPr>
            <w:tcW w:w="4288" w:type="dxa"/>
            <w:gridSpan w:val="2"/>
            <w:tcBorders>
              <w:top w:val="single" w:sz="4" w:space="0" w:color="auto"/>
            </w:tcBorders>
            <w:vAlign w:val="bottom"/>
          </w:tcPr>
          <w:p w14:paraId="2B8A01B5" w14:textId="77777777" w:rsidR="00AF3004" w:rsidRDefault="00AF3004">
            <w:pPr>
              <w:pStyle w:val="xLedtext"/>
              <w:rPr>
                <w:lang w:val="de-DE"/>
              </w:rPr>
            </w:pPr>
          </w:p>
        </w:tc>
      </w:tr>
      <w:tr w:rsidR="00AF3004" w14:paraId="042E4FD9" w14:textId="77777777">
        <w:trPr>
          <w:cantSplit/>
          <w:trHeight w:val="238"/>
        </w:trPr>
        <w:tc>
          <w:tcPr>
            <w:tcW w:w="861" w:type="dxa"/>
          </w:tcPr>
          <w:p w14:paraId="33C0500E" w14:textId="77777777" w:rsidR="00AF3004" w:rsidRDefault="00AF3004">
            <w:pPr>
              <w:pStyle w:val="xCelltext"/>
              <w:rPr>
                <w:lang w:val="de-DE"/>
              </w:rPr>
            </w:pPr>
          </w:p>
        </w:tc>
        <w:tc>
          <w:tcPr>
            <w:tcW w:w="4448" w:type="dxa"/>
            <w:vMerge w:val="restart"/>
          </w:tcPr>
          <w:p w14:paraId="73CBEE8B" w14:textId="77777777" w:rsidR="00AF3004" w:rsidRDefault="00AF3004">
            <w:pPr>
              <w:pStyle w:val="xMottagare1"/>
            </w:pPr>
            <w:bookmarkStart w:id="0" w:name="_top"/>
            <w:bookmarkEnd w:id="0"/>
            <w:r>
              <w:t>Till Ålands lagting</w:t>
            </w:r>
          </w:p>
        </w:tc>
        <w:tc>
          <w:tcPr>
            <w:tcW w:w="4288" w:type="dxa"/>
            <w:gridSpan w:val="2"/>
            <w:vMerge w:val="restart"/>
          </w:tcPr>
          <w:p w14:paraId="399BCCC1" w14:textId="49C38396" w:rsidR="00AF3004" w:rsidRDefault="00AF3004">
            <w:pPr>
              <w:pStyle w:val="xMottagare1"/>
              <w:tabs>
                <w:tab w:val="left" w:pos="2349"/>
              </w:tabs>
            </w:pPr>
          </w:p>
          <w:p w14:paraId="59C12CB4" w14:textId="77777777" w:rsidR="00717DF3" w:rsidRDefault="00717DF3" w:rsidP="00717DF3">
            <w:pPr>
              <w:pStyle w:val="xMottagare2"/>
            </w:pPr>
          </w:p>
          <w:p w14:paraId="718B32F2" w14:textId="443FD3E4" w:rsidR="00717DF3" w:rsidRPr="00717DF3" w:rsidRDefault="00717DF3" w:rsidP="008C2151">
            <w:pPr>
              <w:pStyle w:val="xMottagare3"/>
            </w:pPr>
          </w:p>
        </w:tc>
      </w:tr>
      <w:tr w:rsidR="00AF3004" w14:paraId="68C8760F" w14:textId="77777777">
        <w:trPr>
          <w:cantSplit/>
          <w:trHeight w:val="238"/>
        </w:trPr>
        <w:tc>
          <w:tcPr>
            <w:tcW w:w="861" w:type="dxa"/>
          </w:tcPr>
          <w:p w14:paraId="7FB9FAE4" w14:textId="77777777" w:rsidR="00AF3004" w:rsidRDefault="00AF3004">
            <w:pPr>
              <w:pStyle w:val="xCelltext"/>
            </w:pPr>
          </w:p>
        </w:tc>
        <w:tc>
          <w:tcPr>
            <w:tcW w:w="4448" w:type="dxa"/>
            <w:vMerge/>
            <w:vAlign w:val="center"/>
          </w:tcPr>
          <w:p w14:paraId="1CDAEC79" w14:textId="77777777" w:rsidR="00AF3004" w:rsidRDefault="00AF3004">
            <w:pPr>
              <w:pStyle w:val="xCelltext"/>
            </w:pPr>
          </w:p>
        </w:tc>
        <w:tc>
          <w:tcPr>
            <w:tcW w:w="4288" w:type="dxa"/>
            <w:gridSpan w:val="2"/>
            <w:vMerge/>
            <w:vAlign w:val="center"/>
          </w:tcPr>
          <w:p w14:paraId="15AEAA50" w14:textId="77777777" w:rsidR="00AF3004" w:rsidRDefault="00AF3004">
            <w:pPr>
              <w:pStyle w:val="xCelltext"/>
            </w:pPr>
          </w:p>
        </w:tc>
      </w:tr>
      <w:tr w:rsidR="00AF3004" w14:paraId="0FD6E1C8" w14:textId="77777777">
        <w:trPr>
          <w:cantSplit/>
          <w:trHeight w:val="238"/>
        </w:trPr>
        <w:tc>
          <w:tcPr>
            <w:tcW w:w="861" w:type="dxa"/>
          </w:tcPr>
          <w:p w14:paraId="6D6603B9" w14:textId="77777777" w:rsidR="00AF3004" w:rsidRDefault="00AF3004">
            <w:pPr>
              <w:pStyle w:val="xCelltext"/>
            </w:pPr>
          </w:p>
        </w:tc>
        <w:tc>
          <w:tcPr>
            <w:tcW w:w="4448" w:type="dxa"/>
            <w:vMerge/>
            <w:vAlign w:val="center"/>
          </w:tcPr>
          <w:p w14:paraId="7DA9CE15" w14:textId="77777777" w:rsidR="00AF3004" w:rsidRDefault="00AF3004">
            <w:pPr>
              <w:pStyle w:val="xCelltext"/>
            </w:pPr>
          </w:p>
        </w:tc>
        <w:tc>
          <w:tcPr>
            <w:tcW w:w="4288" w:type="dxa"/>
            <w:gridSpan w:val="2"/>
            <w:vMerge/>
            <w:vAlign w:val="center"/>
          </w:tcPr>
          <w:p w14:paraId="765401D3" w14:textId="77777777" w:rsidR="00AF3004" w:rsidRDefault="00AF3004">
            <w:pPr>
              <w:pStyle w:val="xCelltext"/>
            </w:pPr>
          </w:p>
        </w:tc>
      </w:tr>
      <w:tr w:rsidR="00AF3004" w14:paraId="7FB49548" w14:textId="77777777">
        <w:trPr>
          <w:cantSplit/>
          <w:trHeight w:val="238"/>
        </w:trPr>
        <w:tc>
          <w:tcPr>
            <w:tcW w:w="861" w:type="dxa"/>
          </w:tcPr>
          <w:p w14:paraId="41A07F50" w14:textId="77777777" w:rsidR="00AF3004" w:rsidRDefault="00AF3004">
            <w:pPr>
              <w:pStyle w:val="xCelltext"/>
            </w:pPr>
          </w:p>
        </w:tc>
        <w:tc>
          <w:tcPr>
            <w:tcW w:w="4448" w:type="dxa"/>
            <w:vMerge/>
            <w:vAlign w:val="center"/>
          </w:tcPr>
          <w:p w14:paraId="4540E8BE" w14:textId="77777777" w:rsidR="00AF3004" w:rsidRDefault="00AF3004">
            <w:pPr>
              <w:pStyle w:val="xCelltext"/>
            </w:pPr>
          </w:p>
        </w:tc>
        <w:tc>
          <w:tcPr>
            <w:tcW w:w="4288" w:type="dxa"/>
            <w:gridSpan w:val="2"/>
            <w:vMerge/>
            <w:vAlign w:val="center"/>
          </w:tcPr>
          <w:p w14:paraId="662DA234" w14:textId="77777777" w:rsidR="00AF3004" w:rsidRDefault="00AF3004">
            <w:pPr>
              <w:pStyle w:val="xCelltext"/>
            </w:pPr>
          </w:p>
        </w:tc>
      </w:tr>
      <w:tr w:rsidR="00AF3004" w14:paraId="77F0A652" w14:textId="77777777">
        <w:trPr>
          <w:cantSplit/>
          <w:trHeight w:val="238"/>
        </w:trPr>
        <w:tc>
          <w:tcPr>
            <w:tcW w:w="861" w:type="dxa"/>
          </w:tcPr>
          <w:p w14:paraId="4DCFD6AE" w14:textId="77777777" w:rsidR="00AF3004" w:rsidRDefault="00AF3004">
            <w:pPr>
              <w:pStyle w:val="xCelltext"/>
            </w:pPr>
          </w:p>
        </w:tc>
        <w:tc>
          <w:tcPr>
            <w:tcW w:w="4448" w:type="dxa"/>
            <w:vMerge/>
            <w:vAlign w:val="center"/>
          </w:tcPr>
          <w:p w14:paraId="396B9DDD" w14:textId="77777777" w:rsidR="00AF3004" w:rsidRDefault="00AF3004">
            <w:pPr>
              <w:pStyle w:val="xCelltext"/>
            </w:pPr>
          </w:p>
        </w:tc>
        <w:tc>
          <w:tcPr>
            <w:tcW w:w="4288" w:type="dxa"/>
            <w:gridSpan w:val="2"/>
            <w:vMerge/>
            <w:vAlign w:val="center"/>
          </w:tcPr>
          <w:p w14:paraId="7093FA27" w14:textId="77777777" w:rsidR="00AF3004" w:rsidRDefault="00AF3004">
            <w:pPr>
              <w:pStyle w:val="xCelltext"/>
            </w:pPr>
          </w:p>
        </w:tc>
      </w:tr>
    </w:tbl>
    <w:p w14:paraId="6629973D" w14:textId="77777777" w:rsidR="00AF3004" w:rsidRDefault="00AF3004">
      <w:pPr>
        <w:rPr>
          <w:b/>
          <w:bCs/>
        </w:rPr>
        <w:sectPr w:rsidR="00AF3004">
          <w:footerReference w:type="even" r:id="rId9"/>
          <w:footerReference w:type="default" r:id="rId10"/>
          <w:pgSz w:w="11906" w:h="16838" w:code="9"/>
          <w:pgMar w:top="567" w:right="1134" w:bottom="1134" w:left="1191" w:header="624" w:footer="851" w:gutter="0"/>
          <w:cols w:space="708"/>
          <w:docGrid w:linePitch="360"/>
        </w:sectPr>
      </w:pPr>
    </w:p>
    <w:p w14:paraId="649BFE50" w14:textId="43C84DB5" w:rsidR="00AF3004" w:rsidRDefault="00095007">
      <w:pPr>
        <w:pStyle w:val="ArendeRubrik"/>
      </w:pPr>
      <w:r>
        <w:t>Ozonnedbrytande ämnen och fluorerade växthusgaser</w:t>
      </w:r>
    </w:p>
    <w:p w14:paraId="4F782644" w14:textId="77777777" w:rsidR="00AF3004" w:rsidRDefault="00AF3004">
      <w:pPr>
        <w:pStyle w:val="ANormal"/>
      </w:pPr>
    </w:p>
    <w:p w14:paraId="4F60EB6C" w14:textId="77777777" w:rsidR="00AF3004" w:rsidRDefault="00AF3004">
      <w:pPr>
        <w:pStyle w:val="ANormal"/>
      </w:pPr>
    </w:p>
    <w:p w14:paraId="54347D94" w14:textId="77777777" w:rsidR="00AF3004" w:rsidRDefault="00AF3004">
      <w:pPr>
        <w:pStyle w:val="RubrikA"/>
      </w:pPr>
      <w:bookmarkStart w:id="1" w:name="_Toc180656941"/>
      <w:r>
        <w:t>Huvudsakligt innehåll</w:t>
      </w:r>
      <w:bookmarkEnd w:id="1"/>
    </w:p>
    <w:p w14:paraId="7CC26D74" w14:textId="77777777" w:rsidR="00AF3004" w:rsidRDefault="00AF3004">
      <w:pPr>
        <w:pStyle w:val="Rubrikmellanrum"/>
      </w:pPr>
    </w:p>
    <w:p w14:paraId="49EE0169" w14:textId="71A68C44" w:rsidR="00AF3004" w:rsidRDefault="00095007">
      <w:pPr>
        <w:pStyle w:val="ANormal"/>
      </w:pPr>
      <w:r>
        <w:t xml:space="preserve">Landskapsregeringen föreslår att bestämmelserna i landskapslagen om miljöskydd </w:t>
      </w:r>
      <w:r w:rsidR="00D86392">
        <w:t>gällande</w:t>
      </w:r>
      <w:r>
        <w:t xml:space="preserve"> ozonnedbrytande ämnen och fluorerade växthusgaser ändras. Nya EU-förordningar har antagits och lagen behöver anpassas till det.</w:t>
      </w:r>
      <w:r w:rsidR="005962C7">
        <w:t xml:space="preserve"> Vidare föreslås </w:t>
      </w:r>
      <w:r w:rsidR="00206A96">
        <w:t>andra uppdateringar av EU</w:t>
      </w:r>
      <w:r w:rsidR="005962C7">
        <w:t>-förordning</w:t>
      </w:r>
      <w:r w:rsidR="00206A96">
        <w:t>ar.</w:t>
      </w:r>
    </w:p>
    <w:p w14:paraId="2EB3F021" w14:textId="33ACC8CA" w:rsidR="004D04A2" w:rsidRDefault="004D04A2">
      <w:pPr>
        <w:pStyle w:val="ANormal"/>
      </w:pPr>
      <w:r>
        <w:tab/>
      </w:r>
      <w:r w:rsidR="00934F93" w:rsidRPr="00934F93">
        <w:t xml:space="preserve">Avsikten är att </w:t>
      </w:r>
      <w:r w:rsidR="005962C7">
        <w:t xml:space="preserve">de föreslagna </w:t>
      </w:r>
      <w:r w:rsidR="00934F93" w:rsidRPr="00934F93">
        <w:t>lag</w:t>
      </w:r>
      <w:r w:rsidR="00934F93">
        <w:t>ändring</w:t>
      </w:r>
      <w:r w:rsidR="005962C7">
        <w:t>arna</w:t>
      </w:r>
      <w:r w:rsidR="00934F93" w:rsidRPr="00934F93">
        <w:t xml:space="preserve"> ska träda i kraft så snart som möjligt</w:t>
      </w:r>
      <w:r w:rsidR="00934F93">
        <w:t>.</w:t>
      </w:r>
    </w:p>
    <w:p w14:paraId="4AB9062A" w14:textId="77777777" w:rsidR="00AF3004" w:rsidRDefault="00AF3004">
      <w:pPr>
        <w:pStyle w:val="ANormal"/>
      </w:pPr>
    </w:p>
    <w:p w14:paraId="372E5E1D" w14:textId="77777777" w:rsidR="00AF3004" w:rsidRDefault="008D7FDB">
      <w:pPr>
        <w:pStyle w:val="ANormal"/>
        <w:jc w:val="center"/>
      </w:pPr>
      <w:hyperlink w:anchor="_top" w:tooltip="Klicka för att gå till toppen av dokumentet" w:history="1">
        <w:r w:rsidR="00AF3004">
          <w:rPr>
            <w:rStyle w:val="Hyperlnk"/>
          </w:rPr>
          <w:t>__________________</w:t>
        </w:r>
      </w:hyperlink>
    </w:p>
    <w:p w14:paraId="08DD44BF" w14:textId="77777777" w:rsidR="00AF3004" w:rsidRDefault="00AF3004">
      <w:pPr>
        <w:pStyle w:val="ANormal"/>
      </w:pPr>
    </w:p>
    <w:p w14:paraId="2BA30E6F" w14:textId="77777777" w:rsidR="00AF3004" w:rsidRDefault="00AF3004">
      <w:pPr>
        <w:pStyle w:val="ANormal"/>
      </w:pPr>
      <w:r>
        <w:br w:type="page"/>
      </w:r>
    </w:p>
    <w:p w14:paraId="296D70E6" w14:textId="77777777" w:rsidR="00AF3004" w:rsidRDefault="00AF3004">
      <w:pPr>
        <w:pStyle w:val="Innehll1"/>
      </w:pPr>
      <w:r>
        <w:t>INNEHÅLL</w:t>
      </w:r>
    </w:p>
    <w:p w14:paraId="202692FA" w14:textId="1F61DFC2" w:rsidR="006D6137" w:rsidRDefault="00AF3004">
      <w:pPr>
        <w:pStyle w:val="Innehll1"/>
        <w:rPr>
          <w:rFonts w:asciiTheme="minorHAnsi" w:eastAsiaTheme="minorEastAsia" w:hAnsiTheme="minorHAnsi" w:cstheme="minorBidi"/>
          <w:kern w:val="2"/>
          <w:sz w:val="24"/>
          <w:szCs w:val="24"/>
          <w14:ligatures w14:val="standardContextual"/>
        </w:rPr>
      </w:pPr>
      <w:r>
        <w:fldChar w:fldCharType="begin"/>
      </w:r>
      <w:r>
        <w:instrText xml:space="preserve"> TOC \o "1-3" \h \z </w:instrText>
      </w:r>
      <w:r>
        <w:fldChar w:fldCharType="separate"/>
      </w:r>
      <w:hyperlink w:anchor="_Toc180656941" w:history="1">
        <w:r w:rsidR="006D6137" w:rsidRPr="00312B89">
          <w:rPr>
            <w:rStyle w:val="Hyperlnk"/>
          </w:rPr>
          <w:t>Huvudsakligt innehåll</w:t>
        </w:r>
        <w:r w:rsidR="006D6137">
          <w:rPr>
            <w:webHidden/>
          </w:rPr>
          <w:tab/>
        </w:r>
        <w:r w:rsidR="006D6137">
          <w:rPr>
            <w:webHidden/>
          </w:rPr>
          <w:fldChar w:fldCharType="begin"/>
        </w:r>
        <w:r w:rsidR="006D6137">
          <w:rPr>
            <w:webHidden/>
          </w:rPr>
          <w:instrText xml:space="preserve"> PAGEREF _Toc180656941 \h </w:instrText>
        </w:r>
        <w:r w:rsidR="006D6137">
          <w:rPr>
            <w:webHidden/>
          </w:rPr>
        </w:r>
        <w:r w:rsidR="006D6137">
          <w:rPr>
            <w:webHidden/>
          </w:rPr>
          <w:fldChar w:fldCharType="separate"/>
        </w:r>
        <w:r w:rsidR="006D6137">
          <w:rPr>
            <w:webHidden/>
          </w:rPr>
          <w:t>1</w:t>
        </w:r>
        <w:r w:rsidR="006D6137">
          <w:rPr>
            <w:webHidden/>
          </w:rPr>
          <w:fldChar w:fldCharType="end"/>
        </w:r>
      </w:hyperlink>
    </w:p>
    <w:p w14:paraId="02E147B5" w14:textId="4D7E1C73" w:rsidR="006D6137" w:rsidRDefault="008D7FDB">
      <w:pPr>
        <w:pStyle w:val="Innehll1"/>
        <w:rPr>
          <w:rFonts w:asciiTheme="minorHAnsi" w:eastAsiaTheme="minorEastAsia" w:hAnsiTheme="minorHAnsi" w:cstheme="minorBidi"/>
          <w:kern w:val="2"/>
          <w:sz w:val="24"/>
          <w:szCs w:val="24"/>
          <w14:ligatures w14:val="standardContextual"/>
        </w:rPr>
      </w:pPr>
      <w:hyperlink w:anchor="_Toc180656942" w:history="1">
        <w:r w:rsidR="006D6137" w:rsidRPr="00312B89">
          <w:rPr>
            <w:rStyle w:val="Hyperlnk"/>
          </w:rPr>
          <w:t>Allmän motivering</w:t>
        </w:r>
        <w:r w:rsidR="006D6137">
          <w:rPr>
            <w:webHidden/>
          </w:rPr>
          <w:tab/>
        </w:r>
        <w:r w:rsidR="006D6137">
          <w:rPr>
            <w:webHidden/>
          </w:rPr>
          <w:fldChar w:fldCharType="begin"/>
        </w:r>
        <w:r w:rsidR="006D6137">
          <w:rPr>
            <w:webHidden/>
          </w:rPr>
          <w:instrText xml:space="preserve"> PAGEREF _Toc180656942 \h </w:instrText>
        </w:r>
        <w:r w:rsidR="006D6137">
          <w:rPr>
            <w:webHidden/>
          </w:rPr>
        </w:r>
        <w:r w:rsidR="006D6137">
          <w:rPr>
            <w:webHidden/>
          </w:rPr>
          <w:fldChar w:fldCharType="separate"/>
        </w:r>
        <w:r w:rsidR="006D6137">
          <w:rPr>
            <w:webHidden/>
          </w:rPr>
          <w:t>3</w:t>
        </w:r>
        <w:r w:rsidR="006D6137">
          <w:rPr>
            <w:webHidden/>
          </w:rPr>
          <w:fldChar w:fldCharType="end"/>
        </w:r>
      </w:hyperlink>
    </w:p>
    <w:p w14:paraId="178897CA" w14:textId="153976F3"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43" w:history="1">
        <w:r w:rsidR="006D6137" w:rsidRPr="00312B89">
          <w:rPr>
            <w:rStyle w:val="Hyperlnk"/>
          </w:rPr>
          <w:t>1. Bakgrund</w:t>
        </w:r>
        <w:r w:rsidR="006D6137">
          <w:rPr>
            <w:webHidden/>
          </w:rPr>
          <w:tab/>
        </w:r>
        <w:r w:rsidR="006D6137">
          <w:rPr>
            <w:webHidden/>
          </w:rPr>
          <w:fldChar w:fldCharType="begin"/>
        </w:r>
        <w:r w:rsidR="006D6137">
          <w:rPr>
            <w:webHidden/>
          </w:rPr>
          <w:instrText xml:space="preserve"> PAGEREF _Toc180656943 \h </w:instrText>
        </w:r>
        <w:r w:rsidR="006D6137">
          <w:rPr>
            <w:webHidden/>
          </w:rPr>
        </w:r>
        <w:r w:rsidR="006D6137">
          <w:rPr>
            <w:webHidden/>
          </w:rPr>
          <w:fldChar w:fldCharType="separate"/>
        </w:r>
        <w:r w:rsidR="006D6137">
          <w:rPr>
            <w:webHidden/>
          </w:rPr>
          <w:t>3</w:t>
        </w:r>
        <w:r w:rsidR="006D6137">
          <w:rPr>
            <w:webHidden/>
          </w:rPr>
          <w:fldChar w:fldCharType="end"/>
        </w:r>
      </w:hyperlink>
    </w:p>
    <w:p w14:paraId="6E33DA3A" w14:textId="03CFD169" w:rsidR="006D6137" w:rsidRDefault="008D7FDB">
      <w:pPr>
        <w:pStyle w:val="Innehll3"/>
        <w:rPr>
          <w:rFonts w:asciiTheme="minorHAnsi" w:eastAsiaTheme="minorEastAsia" w:hAnsiTheme="minorHAnsi" w:cstheme="minorBidi"/>
          <w:kern w:val="2"/>
          <w:sz w:val="24"/>
          <w:szCs w:val="24"/>
          <w14:ligatures w14:val="standardContextual"/>
        </w:rPr>
      </w:pPr>
      <w:hyperlink w:anchor="_Toc180656944" w:history="1">
        <w:r w:rsidR="006D6137" w:rsidRPr="00312B89">
          <w:rPr>
            <w:rStyle w:val="Hyperlnk"/>
          </w:rPr>
          <w:t>1.1 Ozonnedbrytande ämnen</w:t>
        </w:r>
        <w:r w:rsidR="006D6137">
          <w:rPr>
            <w:webHidden/>
          </w:rPr>
          <w:tab/>
        </w:r>
        <w:r w:rsidR="006D6137">
          <w:rPr>
            <w:webHidden/>
          </w:rPr>
          <w:fldChar w:fldCharType="begin"/>
        </w:r>
        <w:r w:rsidR="006D6137">
          <w:rPr>
            <w:webHidden/>
          </w:rPr>
          <w:instrText xml:space="preserve"> PAGEREF _Toc180656944 \h </w:instrText>
        </w:r>
        <w:r w:rsidR="006D6137">
          <w:rPr>
            <w:webHidden/>
          </w:rPr>
        </w:r>
        <w:r w:rsidR="006D6137">
          <w:rPr>
            <w:webHidden/>
          </w:rPr>
          <w:fldChar w:fldCharType="separate"/>
        </w:r>
        <w:r w:rsidR="006D6137">
          <w:rPr>
            <w:webHidden/>
          </w:rPr>
          <w:t>3</w:t>
        </w:r>
        <w:r w:rsidR="006D6137">
          <w:rPr>
            <w:webHidden/>
          </w:rPr>
          <w:fldChar w:fldCharType="end"/>
        </w:r>
      </w:hyperlink>
    </w:p>
    <w:p w14:paraId="5647DC9A" w14:textId="7424C498" w:rsidR="006D6137" w:rsidRDefault="008D7FDB">
      <w:pPr>
        <w:pStyle w:val="Innehll3"/>
        <w:rPr>
          <w:rFonts w:asciiTheme="minorHAnsi" w:eastAsiaTheme="minorEastAsia" w:hAnsiTheme="minorHAnsi" w:cstheme="minorBidi"/>
          <w:kern w:val="2"/>
          <w:sz w:val="24"/>
          <w:szCs w:val="24"/>
          <w14:ligatures w14:val="standardContextual"/>
        </w:rPr>
      </w:pPr>
      <w:hyperlink w:anchor="_Toc180656945" w:history="1">
        <w:r w:rsidR="006D6137" w:rsidRPr="00312B89">
          <w:rPr>
            <w:rStyle w:val="Hyperlnk"/>
          </w:rPr>
          <w:t>1.2 Fluorerade växthusgaser</w:t>
        </w:r>
        <w:r w:rsidR="006D6137">
          <w:rPr>
            <w:webHidden/>
          </w:rPr>
          <w:tab/>
        </w:r>
        <w:r w:rsidR="006D6137">
          <w:rPr>
            <w:webHidden/>
          </w:rPr>
          <w:fldChar w:fldCharType="begin"/>
        </w:r>
        <w:r w:rsidR="006D6137">
          <w:rPr>
            <w:webHidden/>
          </w:rPr>
          <w:instrText xml:space="preserve"> PAGEREF _Toc180656945 \h </w:instrText>
        </w:r>
        <w:r w:rsidR="006D6137">
          <w:rPr>
            <w:webHidden/>
          </w:rPr>
        </w:r>
        <w:r w:rsidR="006D6137">
          <w:rPr>
            <w:webHidden/>
          </w:rPr>
          <w:fldChar w:fldCharType="separate"/>
        </w:r>
        <w:r w:rsidR="006D6137">
          <w:rPr>
            <w:webHidden/>
          </w:rPr>
          <w:t>3</w:t>
        </w:r>
        <w:r w:rsidR="006D6137">
          <w:rPr>
            <w:webHidden/>
          </w:rPr>
          <w:fldChar w:fldCharType="end"/>
        </w:r>
      </w:hyperlink>
    </w:p>
    <w:p w14:paraId="1DE6F1C4" w14:textId="6D558EFD" w:rsidR="006D6137" w:rsidRDefault="008D7FDB">
      <w:pPr>
        <w:pStyle w:val="Innehll3"/>
        <w:rPr>
          <w:rFonts w:asciiTheme="minorHAnsi" w:eastAsiaTheme="minorEastAsia" w:hAnsiTheme="minorHAnsi" w:cstheme="minorBidi"/>
          <w:kern w:val="2"/>
          <w:sz w:val="24"/>
          <w:szCs w:val="24"/>
          <w14:ligatures w14:val="standardContextual"/>
        </w:rPr>
      </w:pPr>
      <w:hyperlink w:anchor="_Toc180656946" w:history="1">
        <w:r w:rsidR="006D6137" w:rsidRPr="00312B89">
          <w:rPr>
            <w:rStyle w:val="Hyperlnk"/>
          </w:rPr>
          <w:t>1.3 Gällande bestämmelser</w:t>
        </w:r>
        <w:r w:rsidR="006D6137">
          <w:rPr>
            <w:webHidden/>
          </w:rPr>
          <w:tab/>
        </w:r>
        <w:r w:rsidR="006D6137">
          <w:rPr>
            <w:webHidden/>
          </w:rPr>
          <w:fldChar w:fldCharType="begin"/>
        </w:r>
        <w:r w:rsidR="006D6137">
          <w:rPr>
            <w:webHidden/>
          </w:rPr>
          <w:instrText xml:space="preserve"> PAGEREF _Toc180656946 \h </w:instrText>
        </w:r>
        <w:r w:rsidR="006D6137">
          <w:rPr>
            <w:webHidden/>
          </w:rPr>
        </w:r>
        <w:r w:rsidR="006D6137">
          <w:rPr>
            <w:webHidden/>
          </w:rPr>
          <w:fldChar w:fldCharType="separate"/>
        </w:r>
        <w:r w:rsidR="006D6137">
          <w:rPr>
            <w:webHidden/>
          </w:rPr>
          <w:t>4</w:t>
        </w:r>
        <w:r w:rsidR="006D6137">
          <w:rPr>
            <w:webHidden/>
          </w:rPr>
          <w:fldChar w:fldCharType="end"/>
        </w:r>
      </w:hyperlink>
    </w:p>
    <w:p w14:paraId="3FD59C4F" w14:textId="06BB3718" w:rsidR="006D6137" w:rsidRDefault="008D7FDB">
      <w:pPr>
        <w:pStyle w:val="Innehll3"/>
        <w:rPr>
          <w:rFonts w:asciiTheme="minorHAnsi" w:eastAsiaTheme="minorEastAsia" w:hAnsiTheme="minorHAnsi" w:cstheme="minorBidi"/>
          <w:kern w:val="2"/>
          <w:sz w:val="24"/>
          <w:szCs w:val="24"/>
          <w14:ligatures w14:val="standardContextual"/>
        </w:rPr>
      </w:pPr>
      <w:hyperlink w:anchor="_Toc180656947" w:history="1">
        <w:r w:rsidR="006D6137" w:rsidRPr="00312B89">
          <w:rPr>
            <w:rStyle w:val="Hyperlnk"/>
          </w:rPr>
          <w:t>1.4 Ändring i rikets miljöskyddslag</w:t>
        </w:r>
        <w:r w:rsidR="006D6137">
          <w:rPr>
            <w:webHidden/>
          </w:rPr>
          <w:tab/>
        </w:r>
        <w:r w:rsidR="006D6137">
          <w:rPr>
            <w:webHidden/>
          </w:rPr>
          <w:fldChar w:fldCharType="begin"/>
        </w:r>
        <w:r w:rsidR="006D6137">
          <w:rPr>
            <w:webHidden/>
          </w:rPr>
          <w:instrText xml:space="preserve"> PAGEREF _Toc180656947 \h </w:instrText>
        </w:r>
        <w:r w:rsidR="006D6137">
          <w:rPr>
            <w:webHidden/>
          </w:rPr>
        </w:r>
        <w:r w:rsidR="006D6137">
          <w:rPr>
            <w:webHidden/>
          </w:rPr>
          <w:fldChar w:fldCharType="separate"/>
        </w:r>
        <w:r w:rsidR="006D6137">
          <w:rPr>
            <w:webHidden/>
          </w:rPr>
          <w:t>4</w:t>
        </w:r>
        <w:r w:rsidR="006D6137">
          <w:rPr>
            <w:webHidden/>
          </w:rPr>
          <w:fldChar w:fldCharType="end"/>
        </w:r>
      </w:hyperlink>
    </w:p>
    <w:p w14:paraId="00DA4DB5" w14:textId="6F525D13"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48" w:history="1">
        <w:r w:rsidR="006D6137" w:rsidRPr="00312B89">
          <w:rPr>
            <w:rStyle w:val="Hyperlnk"/>
          </w:rPr>
          <w:t>2. Landskapsregeringens förslag</w:t>
        </w:r>
        <w:r w:rsidR="006D6137">
          <w:rPr>
            <w:webHidden/>
          </w:rPr>
          <w:tab/>
        </w:r>
        <w:r w:rsidR="006D6137">
          <w:rPr>
            <w:webHidden/>
          </w:rPr>
          <w:fldChar w:fldCharType="begin"/>
        </w:r>
        <w:r w:rsidR="006D6137">
          <w:rPr>
            <w:webHidden/>
          </w:rPr>
          <w:instrText xml:space="preserve"> PAGEREF _Toc180656948 \h </w:instrText>
        </w:r>
        <w:r w:rsidR="006D6137">
          <w:rPr>
            <w:webHidden/>
          </w:rPr>
        </w:r>
        <w:r w:rsidR="006D6137">
          <w:rPr>
            <w:webHidden/>
          </w:rPr>
          <w:fldChar w:fldCharType="separate"/>
        </w:r>
        <w:r w:rsidR="006D6137">
          <w:rPr>
            <w:webHidden/>
          </w:rPr>
          <w:t>5</w:t>
        </w:r>
        <w:r w:rsidR="006D6137">
          <w:rPr>
            <w:webHidden/>
          </w:rPr>
          <w:fldChar w:fldCharType="end"/>
        </w:r>
      </w:hyperlink>
    </w:p>
    <w:p w14:paraId="51E3C569" w14:textId="6F3D15B5"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49" w:history="1">
        <w:r w:rsidR="006D6137" w:rsidRPr="00312B89">
          <w:rPr>
            <w:rStyle w:val="Hyperlnk"/>
          </w:rPr>
          <w:t>3. Lagstiftningsbehörighet</w:t>
        </w:r>
        <w:r w:rsidR="006D6137">
          <w:rPr>
            <w:webHidden/>
          </w:rPr>
          <w:tab/>
        </w:r>
        <w:r w:rsidR="006D6137">
          <w:rPr>
            <w:webHidden/>
          </w:rPr>
          <w:fldChar w:fldCharType="begin"/>
        </w:r>
        <w:r w:rsidR="006D6137">
          <w:rPr>
            <w:webHidden/>
          </w:rPr>
          <w:instrText xml:space="preserve"> PAGEREF _Toc180656949 \h </w:instrText>
        </w:r>
        <w:r w:rsidR="006D6137">
          <w:rPr>
            <w:webHidden/>
          </w:rPr>
        </w:r>
        <w:r w:rsidR="006D6137">
          <w:rPr>
            <w:webHidden/>
          </w:rPr>
          <w:fldChar w:fldCharType="separate"/>
        </w:r>
        <w:r w:rsidR="006D6137">
          <w:rPr>
            <w:webHidden/>
          </w:rPr>
          <w:t>5</w:t>
        </w:r>
        <w:r w:rsidR="006D6137">
          <w:rPr>
            <w:webHidden/>
          </w:rPr>
          <w:fldChar w:fldCharType="end"/>
        </w:r>
      </w:hyperlink>
    </w:p>
    <w:p w14:paraId="2A1930E0" w14:textId="3DE11643"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50" w:history="1">
        <w:r w:rsidR="006D6137" w:rsidRPr="00312B89">
          <w:rPr>
            <w:rStyle w:val="Hyperlnk"/>
          </w:rPr>
          <w:t>4. Konsekvenser av lagförslaget</w:t>
        </w:r>
        <w:r w:rsidR="006D6137">
          <w:rPr>
            <w:webHidden/>
          </w:rPr>
          <w:tab/>
        </w:r>
        <w:r w:rsidR="006D6137">
          <w:rPr>
            <w:webHidden/>
          </w:rPr>
          <w:fldChar w:fldCharType="begin"/>
        </w:r>
        <w:r w:rsidR="006D6137">
          <w:rPr>
            <w:webHidden/>
          </w:rPr>
          <w:instrText xml:space="preserve"> PAGEREF _Toc180656950 \h </w:instrText>
        </w:r>
        <w:r w:rsidR="006D6137">
          <w:rPr>
            <w:webHidden/>
          </w:rPr>
        </w:r>
        <w:r w:rsidR="006D6137">
          <w:rPr>
            <w:webHidden/>
          </w:rPr>
          <w:fldChar w:fldCharType="separate"/>
        </w:r>
        <w:r w:rsidR="006D6137">
          <w:rPr>
            <w:webHidden/>
          </w:rPr>
          <w:t>5</w:t>
        </w:r>
        <w:r w:rsidR="006D6137">
          <w:rPr>
            <w:webHidden/>
          </w:rPr>
          <w:fldChar w:fldCharType="end"/>
        </w:r>
      </w:hyperlink>
    </w:p>
    <w:p w14:paraId="2374DD9D" w14:textId="14F96CE6"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51" w:history="1">
        <w:r w:rsidR="006D6137" w:rsidRPr="00312B89">
          <w:rPr>
            <w:rStyle w:val="Hyperlnk"/>
          </w:rPr>
          <w:t>5. Beredning av lagförslaget</w:t>
        </w:r>
        <w:r w:rsidR="006D6137">
          <w:rPr>
            <w:webHidden/>
          </w:rPr>
          <w:tab/>
        </w:r>
        <w:r w:rsidR="006D6137">
          <w:rPr>
            <w:webHidden/>
          </w:rPr>
          <w:fldChar w:fldCharType="begin"/>
        </w:r>
        <w:r w:rsidR="006D6137">
          <w:rPr>
            <w:webHidden/>
          </w:rPr>
          <w:instrText xml:space="preserve"> PAGEREF _Toc180656951 \h </w:instrText>
        </w:r>
        <w:r w:rsidR="006D6137">
          <w:rPr>
            <w:webHidden/>
          </w:rPr>
        </w:r>
        <w:r w:rsidR="006D6137">
          <w:rPr>
            <w:webHidden/>
          </w:rPr>
          <w:fldChar w:fldCharType="separate"/>
        </w:r>
        <w:r w:rsidR="006D6137">
          <w:rPr>
            <w:webHidden/>
          </w:rPr>
          <w:t>6</w:t>
        </w:r>
        <w:r w:rsidR="006D6137">
          <w:rPr>
            <w:webHidden/>
          </w:rPr>
          <w:fldChar w:fldCharType="end"/>
        </w:r>
      </w:hyperlink>
    </w:p>
    <w:p w14:paraId="55669A83" w14:textId="14940785" w:rsidR="006D6137" w:rsidRDefault="008D7FDB">
      <w:pPr>
        <w:pStyle w:val="Innehll1"/>
        <w:rPr>
          <w:rFonts w:asciiTheme="minorHAnsi" w:eastAsiaTheme="minorEastAsia" w:hAnsiTheme="minorHAnsi" w:cstheme="minorBidi"/>
          <w:kern w:val="2"/>
          <w:sz w:val="24"/>
          <w:szCs w:val="24"/>
          <w14:ligatures w14:val="standardContextual"/>
        </w:rPr>
      </w:pPr>
      <w:hyperlink w:anchor="_Toc180656952" w:history="1">
        <w:r w:rsidR="006D6137" w:rsidRPr="00312B89">
          <w:rPr>
            <w:rStyle w:val="Hyperlnk"/>
          </w:rPr>
          <w:t>Detaljmotivering</w:t>
        </w:r>
        <w:r w:rsidR="006D6137">
          <w:rPr>
            <w:webHidden/>
          </w:rPr>
          <w:tab/>
        </w:r>
        <w:r w:rsidR="006D6137">
          <w:rPr>
            <w:webHidden/>
          </w:rPr>
          <w:fldChar w:fldCharType="begin"/>
        </w:r>
        <w:r w:rsidR="006D6137">
          <w:rPr>
            <w:webHidden/>
          </w:rPr>
          <w:instrText xml:space="preserve"> PAGEREF _Toc180656952 \h </w:instrText>
        </w:r>
        <w:r w:rsidR="006D6137">
          <w:rPr>
            <w:webHidden/>
          </w:rPr>
        </w:r>
        <w:r w:rsidR="006D6137">
          <w:rPr>
            <w:webHidden/>
          </w:rPr>
          <w:fldChar w:fldCharType="separate"/>
        </w:r>
        <w:r w:rsidR="006D6137">
          <w:rPr>
            <w:webHidden/>
          </w:rPr>
          <w:t>6</w:t>
        </w:r>
        <w:r w:rsidR="006D6137">
          <w:rPr>
            <w:webHidden/>
          </w:rPr>
          <w:fldChar w:fldCharType="end"/>
        </w:r>
      </w:hyperlink>
    </w:p>
    <w:p w14:paraId="5C42828F" w14:textId="1ABADD06"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53" w:history="1">
        <w:r w:rsidR="006D6137" w:rsidRPr="00312B89">
          <w:rPr>
            <w:rStyle w:val="Hyperlnk"/>
          </w:rPr>
          <w:t>Landskapslag om ändring av landskapslagen om miljöskydd</w:t>
        </w:r>
        <w:r w:rsidR="006D6137">
          <w:rPr>
            <w:webHidden/>
          </w:rPr>
          <w:tab/>
        </w:r>
        <w:r w:rsidR="006D6137">
          <w:rPr>
            <w:webHidden/>
          </w:rPr>
          <w:fldChar w:fldCharType="begin"/>
        </w:r>
        <w:r w:rsidR="006D6137">
          <w:rPr>
            <w:webHidden/>
          </w:rPr>
          <w:instrText xml:space="preserve"> PAGEREF _Toc180656953 \h </w:instrText>
        </w:r>
        <w:r w:rsidR="006D6137">
          <w:rPr>
            <w:webHidden/>
          </w:rPr>
        </w:r>
        <w:r w:rsidR="006D6137">
          <w:rPr>
            <w:webHidden/>
          </w:rPr>
          <w:fldChar w:fldCharType="separate"/>
        </w:r>
        <w:r w:rsidR="006D6137">
          <w:rPr>
            <w:webHidden/>
          </w:rPr>
          <w:t>6</w:t>
        </w:r>
        <w:r w:rsidR="006D6137">
          <w:rPr>
            <w:webHidden/>
          </w:rPr>
          <w:fldChar w:fldCharType="end"/>
        </w:r>
      </w:hyperlink>
    </w:p>
    <w:p w14:paraId="7E978229" w14:textId="2DA6A460" w:rsidR="006D6137" w:rsidRDefault="008D7FDB">
      <w:pPr>
        <w:pStyle w:val="Innehll1"/>
        <w:rPr>
          <w:rFonts w:asciiTheme="minorHAnsi" w:eastAsiaTheme="minorEastAsia" w:hAnsiTheme="minorHAnsi" w:cstheme="minorBidi"/>
          <w:kern w:val="2"/>
          <w:sz w:val="24"/>
          <w:szCs w:val="24"/>
          <w14:ligatures w14:val="standardContextual"/>
        </w:rPr>
      </w:pPr>
      <w:hyperlink w:anchor="_Toc180656954" w:history="1">
        <w:r w:rsidR="006D6137" w:rsidRPr="00312B89">
          <w:rPr>
            <w:rStyle w:val="Hyperlnk"/>
          </w:rPr>
          <w:t>Lagtext</w:t>
        </w:r>
        <w:r w:rsidR="006D6137">
          <w:rPr>
            <w:webHidden/>
          </w:rPr>
          <w:tab/>
        </w:r>
        <w:r w:rsidR="006D6137">
          <w:rPr>
            <w:webHidden/>
          </w:rPr>
          <w:fldChar w:fldCharType="begin"/>
        </w:r>
        <w:r w:rsidR="006D6137">
          <w:rPr>
            <w:webHidden/>
          </w:rPr>
          <w:instrText xml:space="preserve"> PAGEREF _Toc180656954 \h </w:instrText>
        </w:r>
        <w:r w:rsidR="006D6137">
          <w:rPr>
            <w:webHidden/>
          </w:rPr>
        </w:r>
        <w:r w:rsidR="006D6137">
          <w:rPr>
            <w:webHidden/>
          </w:rPr>
          <w:fldChar w:fldCharType="separate"/>
        </w:r>
        <w:r w:rsidR="006D6137">
          <w:rPr>
            <w:webHidden/>
          </w:rPr>
          <w:t>8</w:t>
        </w:r>
        <w:r w:rsidR="006D6137">
          <w:rPr>
            <w:webHidden/>
          </w:rPr>
          <w:fldChar w:fldCharType="end"/>
        </w:r>
      </w:hyperlink>
    </w:p>
    <w:p w14:paraId="15695369" w14:textId="7793EA8D" w:rsidR="006D6137" w:rsidRDefault="008D7FDB">
      <w:pPr>
        <w:pStyle w:val="Innehll2"/>
        <w:rPr>
          <w:rFonts w:asciiTheme="minorHAnsi" w:eastAsiaTheme="minorEastAsia" w:hAnsiTheme="minorHAnsi" w:cstheme="minorBidi"/>
          <w:kern w:val="2"/>
          <w:sz w:val="24"/>
          <w:szCs w:val="24"/>
          <w14:ligatures w14:val="standardContextual"/>
        </w:rPr>
      </w:pPr>
      <w:hyperlink w:anchor="_Toc180656955" w:history="1">
        <w:r w:rsidR="006D6137" w:rsidRPr="00312B89">
          <w:rPr>
            <w:rStyle w:val="Hyperlnk"/>
            <w:lang w:val="en-GB"/>
          </w:rPr>
          <w:t xml:space="preserve">L A N D S K A P S L A G </w:t>
        </w:r>
        <w:r w:rsidR="006D6137" w:rsidRPr="00312B89">
          <w:rPr>
            <w:rStyle w:val="Hyperlnk"/>
          </w:rPr>
          <w:t>om ändring av landskapslagen om miljöskydd</w:t>
        </w:r>
        <w:r w:rsidR="006D6137">
          <w:rPr>
            <w:webHidden/>
          </w:rPr>
          <w:tab/>
        </w:r>
        <w:r w:rsidR="006D6137">
          <w:rPr>
            <w:webHidden/>
          </w:rPr>
          <w:fldChar w:fldCharType="begin"/>
        </w:r>
        <w:r w:rsidR="006D6137">
          <w:rPr>
            <w:webHidden/>
          </w:rPr>
          <w:instrText xml:space="preserve"> PAGEREF _Toc180656955 \h </w:instrText>
        </w:r>
        <w:r w:rsidR="006D6137">
          <w:rPr>
            <w:webHidden/>
          </w:rPr>
        </w:r>
        <w:r w:rsidR="006D6137">
          <w:rPr>
            <w:webHidden/>
          </w:rPr>
          <w:fldChar w:fldCharType="separate"/>
        </w:r>
        <w:r w:rsidR="006D6137">
          <w:rPr>
            <w:webHidden/>
          </w:rPr>
          <w:t>8</w:t>
        </w:r>
        <w:r w:rsidR="006D6137">
          <w:rPr>
            <w:webHidden/>
          </w:rPr>
          <w:fldChar w:fldCharType="end"/>
        </w:r>
      </w:hyperlink>
    </w:p>
    <w:p w14:paraId="04B1A802" w14:textId="09641FD7" w:rsidR="006D6137" w:rsidRDefault="008D7FDB">
      <w:pPr>
        <w:pStyle w:val="Innehll1"/>
        <w:rPr>
          <w:rFonts w:asciiTheme="minorHAnsi" w:eastAsiaTheme="minorEastAsia" w:hAnsiTheme="minorHAnsi" w:cstheme="minorBidi"/>
          <w:kern w:val="2"/>
          <w:sz w:val="24"/>
          <w:szCs w:val="24"/>
          <w14:ligatures w14:val="standardContextual"/>
        </w:rPr>
      </w:pPr>
      <w:hyperlink w:anchor="_Toc180656956" w:history="1">
        <w:r w:rsidR="006D6137" w:rsidRPr="00312B89">
          <w:rPr>
            <w:rStyle w:val="Hyperlnk"/>
          </w:rPr>
          <w:t>Parallelltexter</w:t>
        </w:r>
        <w:r w:rsidR="006D6137">
          <w:rPr>
            <w:webHidden/>
          </w:rPr>
          <w:tab/>
        </w:r>
        <w:r w:rsidR="006D6137">
          <w:rPr>
            <w:webHidden/>
          </w:rPr>
          <w:fldChar w:fldCharType="begin"/>
        </w:r>
        <w:r w:rsidR="006D6137">
          <w:rPr>
            <w:webHidden/>
          </w:rPr>
          <w:instrText xml:space="preserve"> PAGEREF _Toc180656956 \h </w:instrText>
        </w:r>
        <w:r w:rsidR="006D6137">
          <w:rPr>
            <w:webHidden/>
          </w:rPr>
        </w:r>
        <w:r w:rsidR="006D6137">
          <w:rPr>
            <w:webHidden/>
          </w:rPr>
          <w:fldChar w:fldCharType="separate"/>
        </w:r>
        <w:r w:rsidR="006D6137">
          <w:rPr>
            <w:webHidden/>
          </w:rPr>
          <w:t>10</w:t>
        </w:r>
        <w:r w:rsidR="006D6137">
          <w:rPr>
            <w:webHidden/>
          </w:rPr>
          <w:fldChar w:fldCharType="end"/>
        </w:r>
      </w:hyperlink>
    </w:p>
    <w:p w14:paraId="0E1FD779" w14:textId="2E87056E" w:rsidR="00AF3004" w:rsidRDefault="00AF3004">
      <w:pPr>
        <w:pStyle w:val="ANormal"/>
        <w:rPr>
          <w:noProof/>
        </w:rPr>
      </w:pPr>
      <w:r>
        <w:rPr>
          <w:rFonts w:ascii="Verdana" w:hAnsi="Verdana"/>
          <w:noProof/>
          <w:sz w:val="16"/>
          <w:szCs w:val="36"/>
        </w:rPr>
        <w:fldChar w:fldCharType="end"/>
      </w:r>
    </w:p>
    <w:p w14:paraId="769A003D" w14:textId="77777777" w:rsidR="00AF3004" w:rsidRDefault="00AF3004">
      <w:pPr>
        <w:pStyle w:val="ANormal"/>
      </w:pPr>
      <w:r>
        <w:br w:type="page"/>
      </w:r>
    </w:p>
    <w:p w14:paraId="0D0828B6" w14:textId="77777777" w:rsidR="00AF3004" w:rsidRDefault="00AF3004">
      <w:pPr>
        <w:pStyle w:val="RubrikA"/>
      </w:pPr>
      <w:bookmarkStart w:id="2" w:name="_Toc180656942"/>
      <w:r>
        <w:t>Allmän motivering</w:t>
      </w:r>
      <w:bookmarkEnd w:id="2"/>
    </w:p>
    <w:p w14:paraId="0D0E8E09" w14:textId="77777777" w:rsidR="00AF3004" w:rsidRDefault="00AF3004">
      <w:pPr>
        <w:pStyle w:val="Rubrikmellanrum"/>
      </w:pPr>
    </w:p>
    <w:p w14:paraId="026BA06D" w14:textId="77777777" w:rsidR="00AF3004" w:rsidRDefault="00AF3004">
      <w:pPr>
        <w:pStyle w:val="RubrikB"/>
      </w:pPr>
      <w:bookmarkStart w:id="3" w:name="_Toc180656943"/>
      <w:r>
        <w:t>1. Bakgrund</w:t>
      </w:r>
      <w:bookmarkEnd w:id="3"/>
    </w:p>
    <w:p w14:paraId="75F62F11" w14:textId="77777777" w:rsidR="00AF3004" w:rsidRDefault="00AF3004">
      <w:pPr>
        <w:pStyle w:val="Rubrikmellanrum"/>
      </w:pPr>
    </w:p>
    <w:p w14:paraId="53C33D5A" w14:textId="345C384D" w:rsidR="00D366E4" w:rsidRDefault="00BC5FA6" w:rsidP="00095007">
      <w:pPr>
        <w:pStyle w:val="ANormal"/>
      </w:pPr>
      <w:r w:rsidRPr="00BC5FA6">
        <w:t>Bestämmelser om ozonnedbrytande ämnen och fluorerade gaser finns i 8a</w:t>
      </w:r>
      <w:r w:rsidR="00453235">
        <w:t> </w:t>
      </w:r>
      <w:r w:rsidRPr="00BC5FA6">
        <w:t>kapitlet i landskapslagen (2008:124) om miljöskydd. Enligt 34a</w:t>
      </w:r>
      <w:r w:rsidR="00453235">
        <w:t> §</w:t>
      </w:r>
      <w:r w:rsidRPr="00BC5FA6">
        <w:t xml:space="preserve"> ska </w:t>
      </w:r>
      <w:r w:rsidRPr="00B773EE">
        <w:t>bestämmelserna i 17</w:t>
      </w:r>
      <w:r w:rsidR="00453235" w:rsidRPr="00B773EE">
        <w:t> kap.</w:t>
      </w:r>
      <w:r w:rsidRPr="00B773EE">
        <w:t xml:space="preserve"> i </w:t>
      </w:r>
      <w:r w:rsidR="00D908CF" w:rsidRPr="00B773EE">
        <w:t xml:space="preserve">rikets </w:t>
      </w:r>
      <w:r w:rsidRPr="00B773EE">
        <w:t>miljöskyddslag</w:t>
      </w:r>
      <w:r w:rsidRPr="00BC5FA6">
        <w:t xml:space="preserve"> (FFS 527/2014) tillämpas på Åland med vissa avvikelser. Bestämmelserna i rikets lag är baserade på EU-förordningar om ozonnedbrytande ämnen och fluorerade gaser.</w:t>
      </w:r>
    </w:p>
    <w:p w14:paraId="7F9FC6EF" w14:textId="77777777" w:rsidR="00BC5FA6" w:rsidRDefault="00BC5FA6" w:rsidP="00095007">
      <w:pPr>
        <w:pStyle w:val="ANormal"/>
      </w:pPr>
    </w:p>
    <w:p w14:paraId="0A057CE7" w14:textId="6DC690D1" w:rsidR="00BC5FA6" w:rsidRDefault="00BC5FA6" w:rsidP="00BC5FA6">
      <w:pPr>
        <w:pStyle w:val="RubrikC"/>
      </w:pPr>
      <w:bookmarkStart w:id="4" w:name="_Toc180656944"/>
      <w:r>
        <w:t>1.</w:t>
      </w:r>
      <w:r w:rsidR="00AD192C">
        <w:t>1</w:t>
      </w:r>
      <w:r>
        <w:t xml:space="preserve"> Ozonnedbrytande ämnen</w:t>
      </w:r>
      <w:bookmarkEnd w:id="4"/>
    </w:p>
    <w:p w14:paraId="1D119112" w14:textId="77777777" w:rsidR="00BC5FA6" w:rsidRPr="00BC5FA6" w:rsidRDefault="00BC5FA6" w:rsidP="00BC5FA6">
      <w:pPr>
        <w:pStyle w:val="Rubrikmellanrum"/>
      </w:pPr>
    </w:p>
    <w:p w14:paraId="3C5EA33C" w14:textId="46B7AFF8" w:rsidR="00095007" w:rsidRDefault="00095007" w:rsidP="00095007">
      <w:pPr>
        <w:pStyle w:val="ANormal"/>
      </w:pPr>
      <w:r>
        <w:t>Ozonnedbrytande ämnen är syntetiska kemikalier som efter utsläpp ofta når den övre atmosfären och skadar det stratosfäriska ozonskikt som skyddar jordens yta från farlig UV-strålning från solen. Denna skada ger upphov till det så kallade ozonhålet som har betydande negativa effekter på vår hälsa och på biosfären. Ozonnedbrytande ämnen är också starka växthusgaser med hög global uppvärmningspotential.</w:t>
      </w:r>
    </w:p>
    <w:p w14:paraId="12416DC7" w14:textId="5EE8B46D" w:rsidR="00095007" w:rsidRDefault="00095007" w:rsidP="00095007">
      <w:pPr>
        <w:pStyle w:val="ANormal"/>
      </w:pPr>
      <w:r>
        <w:tab/>
        <w:t xml:space="preserve">Tack vare de globala åtgärder som vidtagits för att bekämpa nedbrytningen av ozonskiktet inom ramen för 1987 års Montrealprotokoll om ämnen som bryter ned ozonskiktet, nedan </w:t>
      </w:r>
      <w:r w:rsidRPr="001562BD">
        <w:rPr>
          <w:i/>
          <w:iCs/>
        </w:rPr>
        <w:t>Montrealprotokollet</w:t>
      </w:r>
      <w:r>
        <w:t xml:space="preserve">, är ozonhålet på väg att återhämta sig. Detta kan dock bara ske under förutsättning att befintliga krav uppfylls och eventuella nya problem snabbt åtgärdas. Betydande klimatfördelar har också uppnåtts och det är därför viktigt </w:t>
      </w:r>
      <w:r w:rsidRPr="00067FC1">
        <w:t xml:space="preserve">att </w:t>
      </w:r>
      <w:r w:rsidRPr="0088595A">
        <w:t>undvik</w:t>
      </w:r>
      <w:r w:rsidR="00067FC1" w:rsidRPr="0088595A">
        <w:t>a</w:t>
      </w:r>
      <w:r w:rsidRPr="0088595A">
        <w:t xml:space="preserve"> en tillbakagång och säkerställ</w:t>
      </w:r>
      <w:r w:rsidR="00D914CB">
        <w:t>a</w:t>
      </w:r>
      <w:r w:rsidRPr="0088595A">
        <w:t xml:space="preserve"> att politik</w:t>
      </w:r>
      <w:r w:rsidR="00D914CB">
        <w:t>en</w:t>
      </w:r>
      <w:r w:rsidRPr="0088595A">
        <w:t xml:space="preserve"> för ozonnedbrytande ämnen anpassas till målen i den europeiska gröna given, Montrealprotokollet och Parisavtalet.</w:t>
      </w:r>
    </w:p>
    <w:p w14:paraId="3FA817F0" w14:textId="6AD2901F" w:rsidR="00095007" w:rsidRDefault="00095007" w:rsidP="00095007">
      <w:pPr>
        <w:pStyle w:val="ANormal"/>
      </w:pPr>
      <w:r>
        <w:tab/>
        <w:t xml:space="preserve">Europaparlamentets och rådets förordning (EG) nr 1005/2009 om ämnen som bryter ned ozonskiktet har varit det viktigaste instrumentet för att bekämpa ozonnedbrytande ämnen i EU. Dess allmänna mål var att förhindra utsläpp av ozonnedbrytande ämnen och se till att Montrealprotokollet följs. Vid en </w:t>
      </w:r>
      <w:r w:rsidR="002E34B3">
        <w:t>EU</w:t>
      </w:r>
      <w:r>
        <w:t>-utvärdering drogs slutsatsen att förordningen i allmänhet var ändamålsenlig, men att den kunde anpassas bättre till den europeiska gröna given genom att föreskriva ytterligare utsläppsminskningar som är genomförbara till rimliga kostnader. Förordningens innehåll kunde förbättras genom att säkerställa en mer</w:t>
      </w:r>
      <w:r w:rsidR="002E34B3">
        <w:t>a</w:t>
      </w:r>
      <w:r>
        <w:t xml:space="preserve"> omfattande övervakning av ozonnedbrytande ämnen, förenkla och förbättra de befintliga reglernas effektivitet för att minska de administrativa kostnaderna samt förbättra tydligheten och samstämmigheten med andra regler.</w:t>
      </w:r>
    </w:p>
    <w:p w14:paraId="756375A1" w14:textId="1A0E38E3" w:rsidR="00095007" w:rsidRDefault="00095007" w:rsidP="00095007">
      <w:pPr>
        <w:pStyle w:val="ANormal"/>
      </w:pPr>
      <w:r>
        <w:tab/>
      </w:r>
      <w:r w:rsidR="00564559">
        <w:t xml:space="preserve">En ny förordning antogs, </w:t>
      </w:r>
      <w:r>
        <w:t xml:space="preserve">Europaparlamentets och rådets förordning (EU) 2024/590 om ämnen som bryter ned ozonskiktet och om upphävande av förordning (EG) nr 1005/2009, nedan </w:t>
      </w:r>
      <w:r w:rsidRPr="000F5B2A">
        <w:rPr>
          <w:i/>
          <w:iCs/>
        </w:rPr>
        <w:t>ozonförordningen</w:t>
      </w:r>
      <w:r>
        <w:t xml:space="preserve">, </w:t>
      </w:r>
      <w:r w:rsidR="00A1128B">
        <w:t>vilken</w:t>
      </w:r>
      <w:r w:rsidR="00564559">
        <w:t xml:space="preserve"> </w:t>
      </w:r>
      <w:r>
        <w:t>trädde i kraft i mars 2024.</w:t>
      </w:r>
    </w:p>
    <w:p w14:paraId="03A4988E" w14:textId="77777777" w:rsidR="00095007" w:rsidRDefault="00095007" w:rsidP="00095007">
      <w:pPr>
        <w:pStyle w:val="ANormal"/>
      </w:pPr>
    </w:p>
    <w:p w14:paraId="564E2B70" w14:textId="2E54BD1D" w:rsidR="00095007" w:rsidRDefault="00095007" w:rsidP="00095007">
      <w:pPr>
        <w:pStyle w:val="RubrikC"/>
      </w:pPr>
      <w:bookmarkStart w:id="5" w:name="_Toc180656945"/>
      <w:r>
        <w:t>1.2 Fluore</w:t>
      </w:r>
      <w:r w:rsidR="004C58E8">
        <w:t>r</w:t>
      </w:r>
      <w:r>
        <w:t xml:space="preserve">ade </w:t>
      </w:r>
      <w:r w:rsidR="006D6137">
        <w:t>växthus</w:t>
      </w:r>
      <w:r>
        <w:t>gaser</w:t>
      </w:r>
      <w:bookmarkEnd w:id="5"/>
    </w:p>
    <w:p w14:paraId="489A00EE" w14:textId="77777777" w:rsidR="00095007" w:rsidRPr="00095007" w:rsidRDefault="00095007" w:rsidP="00095007">
      <w:pPr>
        <w:pStyle w:val="Rubrikmellanrum"/>
      </w:pPr>
    </w:p>
    <w:p w14:paraId="5C7D24D3" w14:textId="0A337515" w:rsidR="00095007" w:rsidRDefault="00095007" w:rsidP="00095007">
      <w:pPr>
        <w:pStyle w:val="ANormal"/>
      </w:pPr>
      <w:r>
        <w:t xml:space="preserve">Fluorerade växthusgaser, nedan </w:t>
      </w:r>
      <w:r w:rsidRPr="000F5B2A">
        <w:rPr>
          <w:i/>
          <w:iCs/>
        </w:rPr>
        <w:t>F-gaser</w:t>
      </w:r>
      <w:r>
        <w:t>, är syntetiska kemikalier och mycket starka växthusgaser, ofta flera tusen gånger starkare än koldioxid. Tillsammans med koldioxid, metan och kväveoxid tillhör de den grupp växthusgasutsläpp som omfattas av Parisavtalet om klimatförändringar. Utsläppen av F-gaser utgör ca 2,5 % av EU:s totala utsläpp av växthusgaser, men dessa utsläpp fördubblades mellan 1990 och 2014, i motsats till övriga växthusgasutsläpp som minskade. Detta beror på att F-gaser användes för att ersätta ozonnedbrytande ämnen på områden där användningen av dessa förbjudits för att skydda det stratosfäriska ozonskiktet i enlighet med Montrealprotokollet.</w:t>
      </w:r>
    </w:p>
    <w:p w14:paraId="7381DD35" w14:textId="0F4FA92A" w:rsidR="00095007" w:rsidRDefault="00095007" w:rsidP="00095007">
      <w:pPr>
        <w:pStyle w:val="ANormal"/>
      </w:pPr>
      <w:r>
        <w:tab/>
        <w:t xml:space="preserve">Europaparlamentets och rådets förordning (EU) nr 517/2014 om fluorerade växthusgaser och om upphävande av förordning (EG) nr 842/2006 antogs för att vända trenden med ökade utsläpp av </w:t>
      </w:r>
      <w:r w:rsidR="00547707">
        <w:t>F</w:t>
      </w:r>
      <w:r>
        <w:t>-gaser. Fluorkolväten är den viktigaste gruppen F-gaser när det gäller utsläpp av betydelse för klimatet, och den viktigaste nyheten i förordningen om fluorerade växthusgaser var inrättandet av EU:s system för minskad användning av fluorkolväten, vilket är ett kvotsystem för att genomföra en tidsplan för gradvis minskning av den mängd fluorkolväten som importörer och producenter får släppa ut på marknaden varje år.</w:t>
      </w:r>
    </w:p>
    <w:p w14:paraId="00B696CE" w14:textId="33172A06" w:rsidR="00095007" w:rsidRDefault="00095007" w:rsidP="00095007">
      <w:pPr>
        <w:pStyle w:val="ANormal"/>
      </w:pPr>
      <w:r>
        <w:tab/>
        <w:t xml:space="preserve">I kommissionens utvärdering konstaterades att förordningen om fluorerade växthusgaser hade vänt trenden och lett till att utsläppen av </w:t>
      </w:r>
      <w:r w:rsidR="00D908CF">
        <w:t>F</w:t>
      </w:r>
      <w:r>
        <w:t>-gaser minskat varje år från och med 2015 och att de centrala delarna av förordningen borde behållas. Samtidigt bekräftade utvärderingen att vissa aspekter av kvotsystemet behövde åtgärdas. Detta inkluderade allt från olaglig verksamhet, som smuggling och oseriösa näringsidkare med rent spekulativa motiv, till bristen på kvalificerade tekniker. Vissa brister i övervakningen måste också åtgärdas, rapporteringen och kontrollen behövde förbättras och flera befintliga regler behövde förtydligas ytterligare.</w:t>
      </w:r>
    </w:p>
    <w:p w14:paraId="3E0A495D" w14:textId="2EBF91DE" w:rsidR="00AF3004" w:rsidRDefault="00095007" w:rsidP="00095007">
      <w:pPr>
        <w:pStyle w:val="ANormal"/>
      </w:pPr>
      <w:r>
        <w:tab/>
      </w:r>
      <w:r w:rsidR="00A1128B">
        <w:t xml:space="preserve">En ny förordning antogs, </w:t>
      </w:r>
      <w:r>
        <w:t xml:space="preserve">Europaparlamentets och rådets förordning (EU) 2024/573 om fluorerade växthusgaser, om ändring av direktiv (EU) 2019/1937 och om upphävande av förordning (EU) nr 517/2014, nedan </w:t>
      </w:r>
      <w:r w:rsidRPr="000F5B2A">
        <w:rPr>
          <w:i/>
          <w:iCs/>
        </w:rPr>
        <w:t>F-gasförordningen</w:t>
      </w:r>
      <w:r>
        <w:t xml:space="preserve">, </w:t>
      </w:r>
      <w:r w:rsidR="00A1128B">
        <w:t xml:space="preserve">vilken </w:t>
      </w:r>
      <w:r>
        <w:t>trädde i kraft i mars 2024.</w:t>
      </w:r>
    </w:p>
    <w:p w14:paraId="34369FE4" w14:textId="77777777" w:rsidR="00BC5FA6" w:rsidRDefault="00BC5FA6" w:rsidP="00095007">
      <w:pPr>
        <w:pStyle w:val="ANormal"/>
      </w:pPr>
    </w:p>
    <w:p w14:paraId="7B328E62" w14:textId="1B5DD6D9" w:rsidR="00AD192C" w:rsidRDefault="00AD192C" w:rsidP="00AD192C">
      <w:pPr>
        <w:pStyle w:val="RubrikC"/>
      </w:pPr>
      <w:bookmarkStart w:id="6" w:name="_Toc180656946"/>
      <w:r>
        <w:t>1.3 Gällande bestämmelser</w:t>
      </w:r>
      <w:bookmarkEnd w:id="6"/>
    </w:p>
    <w:p w14:paraId="5D8D4966" w14:textId="77777777" w:rsidR="00AD192C" w:rsidRDefault="00AD192C" w:rsidP="00AD192C">
      <w:pPr>
        <w:pStyle w:val="Rubrikmellanrum"/>
      </w:pPr>
    </w:p>
    <w:p w14:paraId="5213B229" w14:textId="0842907C" w:rsidR="00AD192C" w:rsidRDefault="00AD192C" w:rsidP="00AD192C">
      <w:pPr>
        <w:pStyle w:val="ANormal"/>
      </w:pPr>
      <w:r>
        <w:t>Landskapsregeringen sköter enligt 34c</w:t>
      </w:r>
      <w:r w:rsidR="00453235">
        <w:t> §</w:t>
      </w:r>
      <w:r>
        <w:t xml:space="preserve"> i miljöskyddslagen de </w:t>
      </w:r>
      <w:r w:rsidRPr="00483BEB">
        <w:t xml:space="preserve">förvaltningsuppgifter som enligt </w:t>
      </w:r>
      <w:r w:rsidRPr="00B773EE">
        <w:t>bestämmelserna</w:t>
      </w:r>
      <w:r w:rsidR="00A7204C" w:rsidRPr="00B773EE">
        <w:t xml:space="preserve"> i 17</w:t>
      </w:r>
      <w:r w:rsidR="00453235" w:rsidRPr="00B773EE">
        <w:t> kap.</w:t>
      </w:r>
      <w:r w:rsidR="00A7204C" w:rsidRPr="00B773EE">
        <w:t xml:space="preserve"> i rikets miljöskyddslag</w:t>
      </w:r>
      <w:r w:rsidRPr="00483BEB">
        <w:t xml:space="preserve"> ankommer på Säkerhets- och kemikalieverket</w:t>
      </w:r>
      <w:r>
        <w:t xml:space="preserve"> och </w:t>
      </w:r>
      <w:r w:rsidRPr="00483BEB">
        <w:t>Ålands miljö- och hälsoskyddsmyndighet</w:t>
      </w:r>
      <w:r>
        <w:t xml:space="preserve"> är tillsynsmyndighet</w:t>
      </w:r>
      <w:r w:rsidRPr="00483BEB">
        <w:t>.</w:t>
      </w:r>
    </w:p>
    <w:p w14:paraId="58A6C1FC" w14:textId="77777777" w:rsidR="00AD192C" w:rsidRDefault="00AD192C" w:rsidP="00AD192C">
      <w:pPr>
        <w:pStyle w:val="ANormal"/>
      </w:pPr>
      <w:r>
        <w:tab/>
      </w:r>
      <w:r w:rsidRPr="00263D9C">
        <w:t xml:space="preserve">Kapitel 17 i rikets miljöskyddslag </w:t>
      </w:r>
      <w:r>
        <w:t>innehåller bestämmelser om</w:t>
      </w:r>
      <w:r w:rsidRPr="00263D9C">
        <w:t xml:space="preserve"> den kompetens som krävs av dem som hanterar ämnen som bryter ned ozonskiktet samt vissa fluorerade växthusgaser och hur kompetensen visas</w:t>
      </w:r>
      <w:r>
        <w:t>.</w:t>
      </w:r>
      <w:r w:rsidRPr="00263D9C">
        <w:t xml:space="preserve"> </w:t>
      </w:r>
      <w:r>
        <w:t xml:space="preserve">Kompetens kan även visas genom certifikat </w:t>
      </w:r>
      <w:r w:rsidRPr="00263D9C">
        <w:t>i en annan stat inom EES</w:t>
      </w:r>
      <w:r>
        <w:t xml:space="preserve">. Vidare innehåller kapitlet bestämmelser om att en verksamhetsutövare ska utse </w:t>
      </w:r>
      <w:r w:rsidRPr="00263D9C">
        <w:t>ansvarig för verksamheten samt anordningar</w:t>
      </w:r>
      <w:r>
        <w:t xml:space="preserve">. Säkerhets- och kemikalieverket behandlar ansökningar om certifikat och för ett </w:t>
      </w:r>
      <w:r w:rsidRPr="000C7E35">
        <w:t>register över de verksamhetsutövare och personer som är certifierade</w:t>
      </w:r>
      <w:r>
        <w:t>.</w:t>
      </w:r>
    </w:p>
    <w:p w14:paraId="34CDB931" w14:textId="274F8E75" w:rsidR="008E4DEC" w:rsidRDefault="008E4DEC" w:rsidP="00AD192C">
      <w:pPr>
        <w:pStyle w:val="ANormal"/>
      </w:pPr>
      <w:r>
        <w:tab/>
        <w:t xml:space="preserve">Kompletterande bestämmelser finns i </w:t>
      </w:r>
      <w:r w:rsidRPr="00263D9C">
        <w:t>landskapsförordning</w:t>
      </w:r>
      <w:r>
        <w:t>en</w:t>
      </w:r>
      <w:r w:rsidRPr="00263D9C">
        <w:t xml:space="preserve"> (2018:80) om tillämpning på Åland av statsrådets förordning om kompetenskrav för den som hanterar anordningar som innehåller fluorerade växthusgaser eller ämnen som bryter ned ozonskiktet</w:t>
      </w:r>
      <w:r>
        <w:t>.</w:t>
      </w:r>
    </w:p>
    <w:p w14:paraId="390713CE" w14:textId="7AD3552A" w:rsidR="00AD192C" w:rsidRDefault="00AD192C" w:rsidP="00095007">
      <w:pPr>
        <w:pStyle w:val="ANormal"/>
      </w:pPr>
      <w:r>
        <w:tab/>
        <w:t>I och med att certifiering som beslutats av Säkerhets- och kemikalieverket gäller även på Åland har landskapsregeringen uppmanat verksamhetsutövare att anmäla sig till verket. Det är ett arrangemang som Säkerhets- och kemikalieverket har understött. Det finns ett flertal åländska verksamhetsutövare i Säkerhets</w:t>
      </w:r>
      <w:r w:rsidR="00D0359E">
        <w:t>-</w:t>
      </w:r>
      <w:r>
        <w:t xml:space="preserve"> och kemikalieverkets register.</w:t>
      </w:r>
    </w:p>
    <w:p w14:paraId="54DEB1E4" w14:textId="77777777" w:rsidR="00AD192C" w:rsidRDefault="00AD192C" w:rsidP="00095007">
      <w:pPr>
        <w:pStyle w:val="ANormal"/>
      </w:pPr>
    </w:p>
    <w:p w14:paraId="682FE744" w14:textId="524FE07E" w:rsidR="00BC5FA6" w:rsidRDefault="00BC5FA6" w:rsidP="00BC5FA6">
      <w:pPr>
        <w:pStyle w:val="RubrikC"/>
      </w:pPr>
      <w:bookmarkStart w:id="7" w:name="_Toc180656947"/>
      <w:r>
        <w:t>1.4 Ändring i rikets miljöskyddslag</w:t>
      </w:r>
      <w:bookmarkEnd w:id="7"/>
    </w:p>
    <w:p w14:paraId="67B762D9" w14:textId="77777777" w:rsidR="00BC5FA6" w:rsidRDefault="00BC5FA6" w:rsidP="00BC5FA6">
      <w:pPr>
        <w:pStyle w:val="Rubrikmellanrum"/>
      </w:pPr>
    </w:p>
    <w:p w14:paraId="0248E81F" w14:textId="5195CC59" w:rsidR="008E4DEC" w:rsidRDefault="00BC5FA6" w:rsidP="00D908CF">
      <w:pPr>
        <w:pStyle w:val="ANormal"/>
      </w:pPr>
      <w:r>
        <w:t>E</w:t>
      </w:r>
      <w:r w:rsidR="00D86392">
        <w:t>n</w:t>
      </w:r>
      <w:r>
        <w:t xml:space="preserve"> proposition </w:t>
      </w:r>
      <w:r w:rsidR="008B4690">
        <w:t>om</w:t>
      </w:r>
      <w:r>
        <w:t xml:space="preserve"> ändring av rikets miljöskyddslag har </w:t>
      </w:r>
      <w:r w:rsidR="00D86392">
        <w:t>lämnats till riksdagen den 19 september</w:t>
      </w:r>
      <w:r w:rsidR="00965107">
        <w:t xml:space="preserve">, RP </w:t>
      </w:r>
      <w:r w:rsidR="00717DF3">
        <w:t>102</w:t>
      </w:r>
      <w:r w:rsidR="00965107">
        <w:t>/2024</w:t>
      </w:r>
      <w:r>
        <w:t>.</w:t>
      </w:r>
      <w:r w:rsidR="00B015F1">
        <w:t xml:space="preserve"> Enligt </w:t>
      </w:r>
      <w:r w:rsidR="00D86392">
        <w:t>propositionen</w:t>
      </w:r>
      <w:r w:rsidR="00B015F1">
        <w:t xml:space="preserve"> ska systemet för certifiering av personer och verksamhetsutövare i 17</w:t>
      </w:r>
      <w:r w:rsidR="00453235">
        <w:t> kap.</w:t>
      </w:r>
      <w:r w:rsidR="00B015F1">
        <w:t xml:space="preserve"> i miljöskyddslagen anpassas på det sätt som EU-lagstiftningen förutsätter. </w:t>
      </w:r>
      <w:r w:rsidR="008E4DEC" w:rsidRPr="008E4DEC">
        <w:t>Därtill kompletteras 164</w:t>
      </w:r>
      <w:r w:rsidR="00453235">
        <w:t> §</w:t>
      </w:r>
      <w:r w:rsidR="008E4DEC" w:rsidRPr="008E4DEC">
        <w:t xml:space="preserve"> som gäller kompetensregistret och den offentliga tjänsten och 165</w:t>
      </w:r>
      <w:r w:rsidR="00453235">
        <w:t> §</w:t>
      </w:r>
      <w:r w:rsidR="008E4DEC" w:rsidRPr="008E4DEC">
        <w:t xml:space="preserve"> som gäller överlämnande av uppgifter samt fogas </w:t>
      </w:r>
      <w:r w:rsidR="002B3F7E">
        <w:t xml:space="preserve">till lagen en </w:t>
      </w:r>
      <w:r w:rsidR="008E4DEC" w:rsidRPr="008E4DEC">
        <w:t>ny 162</w:t>
      </w:r>
      <w:r w:rsidR="00453235">
        <w:t> </w:t>
      </w:r>
      <w:r w:rsidR="008E4DEC" w:rsidRPr="008E4DEC">
        <w:t>a</w:t>
      </w:r>
      <w:r w:rsidR="00453235">
        <w:t> §</w:t>
      </w:r>
      <w:r w:rsidR="008E4DEC" w:rsidRPr="008E4DEC">
        <w:t xml:space="preserve"> som gäller installationsbevis.</w:t>
      </w:r>
    </w:p>
    <w:p w14:paraId="60D9AEA1" w14:textId="62F3FEE6" w:rsidR="00B364A4" w:rsidRDefault="00F25420" w:rsidP="00D908CF">
      <w:pPr>
        <w:pStyle w:val="ANormal"/>
      </w:pPr>
      <w:r>
        <w:tab/>
      </w:r>
      <w:r w:rsidRPr="00F25420">
        <w:t xml:space="preserve">Enligt </w:t>
      </w:r>
      <w:r w:rsidR="00A1128B">
        <w:t>propositionen</w:t>
      </w:r>
      <w:r w:rsidRPr="00F25420">
        <w:t xml:space="preserve"> bevaras det nationella kravet på certifiering för den ansvarige för verksamheten, eftersom en certifierad ansvarig är en väsentlig förutsättning för att säkerställa att installationsföretagen bedriver ändamålsenlig verksamhet. Det föreslås </w:t>
      </w:r>
      <w:r>
        <w:t xml:space="preserve">även </w:t>
      </w:r>
      <w:r w:rsidRPr="00F25420">
        <w:t xml:space="preserve">att </w:t>
      </w:r>
      <w:r w:rsidR="002B3F7E">
        <w:t xml:space="preserve">bibehålla </w:t>
      </w:r>
      <w:r w:rsidRPr="00F25420">
        <w:t>bestämmelsen enligt den nuvarande lagen, vilken är mer omfattande än kraven i F-gasförordningen, om att verksamhetsutövare som behandlar luftkonditioneringsutrustning i fordon och verksamhetsutövare som tar tillvara köldmedier från elektriskt och elektroniskt skrot ska utse en ansvarig.</w:t>
      </w:r>
      <w:r w:rsidR="0091504F" w:rsidRPr="0091504F">
        <w:t xml:space="preserve"> </w:t>
      </w:r>
    </w:p>
    <w:p w14:paraId="57167C8C" w14:textId="1B716E83" w:rsidR="00B364A4" w:rsidRDefault="00B364A4" w:rsidP="00D908CF">
      <w:pPr>
        <w:pStyle w:val="ANormal"/>
      </w:pPr>
      <w:r>
        <w:tab/>
      </w:r>
      <w:r w:rsidR="0091504F" w:rsidRPr="0091504F">
        <w:t>Däremot föreslås att det nationella kompetenskravet som gäller personer som behandlar kyl-, luftkonditionerings- och värmepumpsutrustning och luftkonditioneringsutrustning på båtar och fartyg</w:t>
      </w:r>
      <w:r w:rsidR="00A1128B">
        <w:t xml:space="preserve"> stryks</w:t>
      </w:r>
      <w:r w:rsidR="0091504F">
        <w:t xml:space="preserve">. </w:t>
      </w:r>
      <w:r>
        <w:t>B</w:t>
      </w:r>
      <w:r w:rsidR="0091504F" w:rsidRPr="0091504F">
        <w:t xml:space="preserve">ehandling av fartygsutrustning som motsvarar stationär utrustning förutsätter </w:t>
      </w:r>
      <w:r>
        <w:t xml:space="preserve">dock </w:t>
      </w:r>
      <w:r w:rsidR="0091504F" w:rsidRPr="0091504F">
        <w:t>certifiering och den ska vara föremål för läckagekontroller. Därtill omfattas intermodala containrar och kylcontainrar av skyldigheten att utföra läckagekontroller i enlighet med F-gasförordningen. Underhållet och läckagekontrollen av denna utrustning kan i allmänhet göras systematiskt då fartyget är i en finländsk hamn, varvid certifierade personer inte behövs på fartyget.</w:t>
      </w:r>
    </w:p>
    <w:p w14:paraId="2910B775" w14:textId="1028058A" w:rsidR="00BC5FA6" w:rsidRPr="00BC5FA6" w:rsidRDefault="00B364A4" w:rsidP="00D908CF">
      <w:pPr>
        <w:pStyle w:val="ANormal"/>
      </w:pPr>
      <w:r>
        <w:tab/>
      </w:r>
      <w:r w:rsidR="0091504F" w:rsidRPr="0091504F">
        <w:t xml:space="preserve">I enlighet med F-gasförordningen utvidgas kompetenskraven till att gälla också behandling av alternativa köldmedier i flera användningssektorer. Det nya nationella kravet om ett installationsbevis som ges för installation av stationär kyl-, luftkonditionerings- och värmepumpsutrustning harmonierar </w:t>
      </w:r>
      <w:r w:rsidR="002554B9">
        <w:t xml:space="preserve">med </w:t>
      </w:r>
      <w:r w:rsidR="0091504F" w:rsidRPr="0091504F">
        <w:t xml:space="preserve">praxis </w:t>
      </w:r>
      <w:r w:rsidR="002554B9">
        <w:t>för</w:t>
      </w:r>
      <w:r w:rsidR="0091504F" w:rsidRPr="0091504F">
        <w:t xml:space="preserve"> bland annat bestämmelserna om brandskydd. Med installationsbeviset intygar verksamhetsutövaren att utrustningen fungerar säkert och att installationen är förenlig med kraven.</w:t>
      </w:r>
      <w:r w:rsidR="00B015F1">
        <w:t xml:space="preserve"> De föreslagna </w:t>
      </w:r>
      <w:r w:rsidR="000E26DE">
        <w:t>ändringarna i rik</w:t>
      </w:r>
      <w:r w:rsidR="00206A96">
        <w:t>s</w:t>
      </w:r>
      <w:r w:rsidR="00B015F1">
        <w:t>lagen avses träda i kraft den 1 januari 2025.</w:t>
      </w:r>
    </w:p>
    <w:p w14:paraId="12F82B29" w14:textId="77777777" w:rsidR="00095007" w:rsidRDefault="00095007" w:rsidP="00095007">
      <w:pPr>
        <w:pStyle w:val="ANormal"/>
      </w:pPr>
    </w:p>
    <w:p w14:paraId="6CFB7BEF" w14:textId="1C66441A" w:rsidR="00095007" w:rsidRDefault="00095007" w:rsidP="00095007">
      <w:pPr>
        <w:pStyle w:val="RubrikB"/>
      </w:pPr>
      <w:bookmarkStart w:id="8" w:name="_Toc180656948"/>
      <w:r>
        <w:t>2. Landskapsregeringens förslag</w:t>
      </w:r>
      <w:bookmarkEnd w:id="8"/>
    </w:p>
    <w:p w14:paraId="73547CB7" w14:textId="77777777" w:rsidR="00095007" w:rsidRDefault="00095007" w:rsidP="00095007">
      <w:pPr>
        <w:pStyle w:val="Rubrikmellanrum"/>
      </w:pPr>
    </w:p>
    <w:p w14:paraId="6AF3358E" w14:textId="4EAAF263" w:rsidR="00095007" w:rsidRDefault="00095007" w:rsidP="00095007">
      <w:pPr>
        <w:pStyle w:val="ANormal"/>
      </w:pPr>
      <w:r>
        <w:t xml:space="preserve">Landskapsregeringen föreslår </w:t>
      </w:r>
      <w:r w:rsidR="0043745B">
        <w:t>anpassningsbestämmelser till nya ozonförordningen och F-gasförordningen. De innehållsmässiga ändringarna av bestämmelserna sker genom att bestämmelser i 17</w:t>
      </w:r>
      <w:r w:rsidR="00453235">
        <w:t> </w:t>
      </w:r>
      <w:r w:rsidR="0043745B">
        <w:t>kap</w:t>
      </w:r>
      <w:r w:rsidR="00453235">
        <w:t>.</w:t>
      </w:r>
      <w:r w:rsidR="0043745B">
        <w:t xml:space="preserve"> i rikets miljöskyddslag ändras </w:t>
      </w:r>
      <w:r w:rsidR="00B72CD2">
        <w:t>då</w:t>
      </w:r>
      <w:r w:rsidR="0043745B">
        <w:t xml:space="preserve"> dessa enligt den åländska miljöskyddslagen ska tillämpas på Åland.</w:t>
      </w:r>
    </w:p>
    <w:p w14:paraId="091AB3CF" w14:textId="43447E5C" w:rsidR="00AA2C9B" w:rsidRDefault="00263D9C" w:rsidP="00095007">
      <w:pPr>
        <w:pStyle w:val="ANormal"/>
      </w:pPr>
      <w:r>
        <w:tab/>
      </w:r>
      <w:r w:rsidR="00AA2C9B">
        <w:t xml:space="preserve">I likhet med motiveringen i avsnitt 4.2.6 i proposition </w:t>
      </w:r>
      <w:r w:rsidR="00717DF3">
        <w:t>102</w:t>
      </w:r>
      <w:r w:rsidR="00AA2C9B">
        <w:t xml:space="preserve">/2024 </w:t>
      </w:r>
      <w:r w:rsidR="00446F4A">
        <w:t xml:space="preserve">bedömer landskapsregeringen </w:t>
      </w:r>
      <w:r w:rsidR="00AA2C9B" w:rsidRPr="00AA2C9B">
        <w:t>att de föreslagna kompetenskraven är proportionerliga</w:t>
      </w:r>
      <w:r w:rsidR="00446F4A">
        <w:t>,</w:t>
      </w:r>
      <w:r w:rsidR="00AA2C9B" w:rsidRPr="00AA2C9B">
        <w:t xml:space="preserve"> godtagbara och motiverade med tanke på den allmänna säkerheten</w:t>
      </w:r>
      <w:r w:rsidR="00AA2C9B">
        <w:t xml:space="preserve"> enligt </w:t>
      </w:r>
      <w:r w:rsidR="00AA2C9B" w:rsidRPr="00AA2C9B">
        <w:t>landskapslagen (2017:22) om erkännande av yrkeskvalifikationer</w:t>
      </w:r>
      <w:r w:rsidR="00AA2C9B">
        <w:t>.</w:t>
      </w:r>
    </w:p>
    <w:p w14:paraId="2C51E42D" w14:textId="3C427E14" w:rsidR="00782DC9" w:rsidRDefault="00AA2C9B" w:rsidP="00095007">
      <w:pPr>
        <w:pStyle w:val="ANormal"/>
      </w:pPr>
      <w:r>
        <w:tab/>
      </w:r>
      <w:r w:rsidR="0043745B" w:rsidRPr="0043745B">
        <w:t xml:space="preserve">På Åland saknas de resurser och den kompetens som certifieringen kräver och idag hänvisas även åländska aktörer till Säkerhets- och kemikalieverket. För att tydliggöra detta förfarande och säkerställa kontinuiteten i det </w:t>
      </w:r>
      <w:r w:rsidR="00DD795C">
        <w:t>avser landskapsregeringen arbeta för att</w:t>
      </w:r>
      <w:r w:rsidR="0043745B" w:rsidRPr="0043745B">
        <w:t xml:space="preserve"> en överenskommelseförordning utfärdas.</w:t>
      </w:r>
    </w:p>
    <w:p w14:paraId="1B2887E9" w14:textId="55F6F8F6" w:rsidR="000E26DE" w:rsidRDefault="000E26DE" w:rsidP="00095007">
      <w:pPr>
        <w:pStyle w:val="ANormal"/>
      </w:pPr>
      <w:r>
        <w:tab/>
        <w:t xml:space="preserve">Landskapsregeringen förslår även att EU-förordningen om finansiering av landsbygdsnäringar som är grund för övervakning enligt miljöskyddslagen uppdateras till gällande </w:t>
      </w:r>
      <w:r w:rsidR="00B72CD2">
        <w:t>EU-</w:t>
      </w:r>
      <w:r>
        <w:t>förordning.</w:t>
      </w:r>
    </w:p>
    <w:p w14:paraId="387BEC4A" w14:textId="77777777" w:rsidR="00473955" w:rsidRDefault="00473955" w:rsidP="00095007">
      <w:pPr>
        <w:pStyle w:val="ANormal"/>
      </w:pPr>
    </w:p>
    <w:p w14:paraId="6759F109" w14:textId="4146352F" w:rsidR="00473955" w:rsidRDefault="00473955" w:rsidP="00473955">
      <w:pPr>
        <w:pStyle w:val="RubrikB"/>
      </w:pPr>
      <w:bookmarkStart w:id="9" w:name="_Toc180656949"/>
      <w:r>
        <w:t>3. Lagstiftningsbehörighet</w:t>
      </w:r>
      <w:bookmarkEnd w:id="9"/>
    </w:p>
    <w:p w14:paraId="05C75094" w14:textId="77777777" w:rsidR="00473955" w:rsidRDefault="00473955" w:rsidP="00473955">
      <w:pPr>
        <w:pStyle w:val="Rubrikmellanrum"/>
      </w:pPr>
    </w:p>
    <w:p w14:paraId="06114E0A" w14:textId="489AEBA3" w:rsidR="00473955" w:rsidRDefault="00473955" w:rsidP="00473955">
      <w:pPr>
        <w:pStyle w:val="ANormal"/>
      </w:pPr>
      <w:r w:rsidRPr="00473955">
        <w:t>Miljövård hör enligt 18</w:t>
      </w:r>
      <w:r w:rsidR="00453235">
        <w:t> §</w:t>
      </w:r>
      <w:r w:rsidRPr="00473955">
        <w:t xml:space="preserve"> </w:t>
      </w:r>
      <w:r w:rsidR="00D908CF">
        <w:t>10</w:t>
      </w:r>
      <w:r w:rsidR="00283C35">
        <w:t> </w:t>
      </w:r>
      <w:r w:rsidR="00D908CF">
        <w:t xml:space="preserve">punkten i </w:t>
      </w:r>
      <w:r w:rsidRPr="00473955">
        <w:t>självstyrelselag</w:t>
      </w:r>
      <w:r w:rsidR="00D908CF">
        <w:t>en</w:t>
      </w:r>
      <w:r w:rsidRPr="00473955">
        <w:t xml:space="preserve"> (1991:71) för Åland till landskapets lagstiftningsbehörighet.</w:t>
      </w:r>
      <w:r w:rsidR="00332B0F">
        <w:t xml:space="preserve"> </w:t>
      </w:r>
      <w:r w:rsidR="00332B0F" w:rsidRPr="00332B0F">
        <w:t xml:space="preserve">Förslaget berör också </w:t>
      </w:r>
      <w:r w:rsidR="003562B5" w:rsidRPr="003562B5">
        <w:t>landskapsregeringen och under denna lydande myndigheter</w:t>
      </w:r>
      <w:r w:rsidR="003562B5">
        <w:t xml:space="preserve">, </w:t>
      </w:r>
      <w:r w:rsidR="00332B0F" w:rsidRPr="00332B0F">
        <w:t xml:space="preserve">näringsverksamhet </w:t>
      </w:r>
      <w:r w:rsidR="00332B0F">
        <w:t>och</w:t>
      </w:r>
      <w:r w:rsidR="00332B0F" w:rsidRPr="00332B0F">
        <w:t xml:space="preserve"> </w:t>
      </w:r>
      <w:r w:rsidR="00263D9C">
        <w:t xml:space="preserve">beläggande av </w:t>
      </w:r>
      <w:r w:rsidR="00332B0F" w:rsidRPr="00332B0F">
        <w:t>straff på vilka områden landskapet har lagstiftningsbehörigheten enligt 18</w:t>
      </w:r>
      <w:r w:rsidR="00453235">
        <w:t> §</w:t>
      </w:r>
      <w:r w:rsidR="00332B0F" w:rsidRPr="00332B0F">
        <w:t xml:space="preserve"> </w:t>
      </w:r>
      <w:r w:rsidR="003562B5">
        <w:t xml:space="preserve">1, </w:t>
      </w:r>
      <w:r w:rsidR="00332B0F" w:rsidRPr="00332B0F">
        <w:t>22 och 25</w:t>
      </w:r>
      <w:r w:rsidR="00453235">
        <w:t> punkt</w:t>
      </w:r>
      <w:r w:rsidR="00332B0F" w:rsidRPr="00332B0F">
        <w:t>erna i självstyrelselagen.</w:t>
      </w:r>
    </w:p>
    <w:p w14:paraId="1001DA33" w14:textId="77777777" w:rsidR="00473955" w:rsidRDefault="00473955" w:rsidP="00473955">
      <w:pPr>
        <w:pStyle w:val="ANormal"/>
      </w:pPr>
    </w:p>
    <w:p w14:paraId="6B3D7A52" w14:textId="6EE820B2" w:rsidR="00473955" w:rsidRDefault="00473955" w:rsidP="00473955">
      <w:pPr>
        <w:pStyle w:val="RubrikB"/>
      </w:pPr>
      <w:bookmarkStart w:id="10" w:name="_Toc180656950"/>
      <w:r>
        <w:t>4. Konsekvenser av lagförslaget</w:t>
      </w:r>
      <w:bookmarkEnd w:id="10"/>
    </w:p>
    <w:p w14:paraId="2DB92C93" w14:textId="77777777" w:rsidR="00473955" w:rsidRDefault="00473955" w:rsidP="00473955">
      <w:pPr>
        <w:pStyle w:val="Rubrikmellanrum"/>
      </w:pPr>
    </w:p>
    <w:p w14:paraId="7C3A6EDD" w14:textId="665BF46E" w:rsidR="00473955" w:rsidRDefault="00782DC9" w:rsidP="00473955">
      <w:pPr>
        <w:pStyle w:val="ANormal"/>
      </w:pPr>
      <w:r>
        <w:t xml:space="preserve">De största förändringarna kan härledas till kraven i ozonförordningen och F-gasförordningen. </w:t>
      </w:r>
      <w:r w:rsidR="00473955">
        <w:t xml:space="preserve">Lagförslaget bedöms få begränsade konsekvenser. </w:t>
      </w:r>
      <w:r w:rsidR="00473955" w:rsidRPr="00473955">
        <w:t>De föreslagna ändringarna i miljöskyddslagen får som följd av de ovan beskrivna nationella kraven begränsade konsekvenser för verksamhetsutövarnas, anläggningsinnehavarnas, myndigheternas och medborgarnas ställning utöver vad som direkt orsakats av ozon</w:t>
      </w:r>
      <w:r w:rsidR="00D0359E">
        <w:t>förordningen</w:t>
      </w:r>
      <w:r w:rsidR="00473955" w:rsidRPr="00473955">
        <w:t xml:space="preserve"> och F-gasförordning</w:t>
      </w:r>
      <w:r w:rsidR="00D0359E">
        <w:t>en</w:t>
      </w:r>
      <w:r w:rsidR="00473955" w:rsidRPr="00473955">
        <w:t>.</w:t>
      </w:r>
    </w:p>
    <w:p w14:paraId="4CD87948" w14:textId="1684C62C" w:rsidR="002E34B3" w:rsidRDefault="002E34B3" w:rsidP="00473955">
      <w:pPr>
        <w:pStyle w:val="ANormal"/>
      </w:pPr>
      <w:r>
        <w:tab/>
        <w:t>För Å</w:t>
      </w:r>
      <w:r w:rsidR="004D4A73">
        <w:t>lands miljö- och hälsoskyddsmyndighet</w:t>
      </w:r>
      <w:r>
        <w:t xml:space="preserve"> </w:t>
      </w:r>
      <w:r w:rsidR="0091504F">
        <w:t xml:space="preserve">kan förslaget innebära visst ökat </w:t>
      </w:r>
      <w:r w:rsidR="008241B5">
        <w:t>tillsyns</w:t>
      </w:r>
      <w:r w:rsidR="0091504F">
        <w:t>arbete</w:t>
      </w:r>
      <w:r w:rsidR="005E576F">
        <w:t>.</w:t>
      </w:r>
    </w:p>
    <w:p w14:paraId="188AB3E1" w14:textId="2F0F944A" w:rsidR="00473955" w:rsidRDefault="00473955" w:rsidP="00473955">
      <w:pPr>
        <w:pStyle w:val="ANormal"/>
      </w:pPr>
      <w:r>
        <w:tab/>
        <w:t>För miljön bedöms förslaget ha positiva konsekvenser.</w:t>
      </w:r>
    </w:p>
    <w:p w14:paraId="722C2925" w14:textId="4DEF1AA2" w:rsidR="00473955" w:rsidRDefault="00473955" w:rsidP="00473955">
      <w:pPr>
        <w:pStyle w:val="ANormal"/>
      </w:pPr>
      <w:r>
        <w:tab/>
      </w:r>
      <w:r w:rsidRPr="00473955">
        <w:t>Förslaget bedöms inte ha konsekvenser för jämställdheten, jämlikheten eller för barn.</w:t>
      </w:r>
    </w:p>
    <w:p w14:paraId="2722F598" w14:textId="77777777" w:rsidR="00473955" w:rsidRDefault="00473955" w:rsidP="00473955">
      <w:pPr>
        <w:pStyle w:val="ANormal"/>
      </w:pPr>
    </w:p>
    <w:p w14:paraId="26821886" w14:textId="42DAEC77" w:rsidR="00473955" w:rsidRDefault="00473955" w:rsidP="00473955">
      <w:pPr>
        <w:pStyle w:val="RubrikB"/>
      </w:pPr>
      <w:bookmarkStart w:id="11" w:name="_Toc180656951"/>
      <w:r>
        <w:t>5. Beredning av lagförslaget</w:t>
      </w:r>
      <w:bookmarkEnd w:id="11"/>
    </w:p>
    <w:p w14:paraId="3479ACC8" w14:textId="77777777" w:rsidR="00473955" w:rsidRDefault="00473955" w:rsidP="00473955">
      <w:pPr>
        <w:pStyle w:val="Rubrikmellanrum"/>
      </w:pPr>
    </w:p>
    <w:p w14:paraId="300233F3" w14:textId="6D649DFC" w:rsidR="00473955" w:rsidRPr="00473955" w:rsidRDefault="00473955" w:rsidP="00473955">
      <w:pPr>
        <w:pStyle w:val="ANormal"/>
      </w:pPr>
      <w:r>
        <w:t>Lagförslaget har beretts som ett tjänstemannauppdrag av lagberedningen baserat på en utredning gjord vid miljöbyrån. Lagförslaget skickades på remiss till Ålands Näringsliv, Företagarna på Åland</w:t>
      </w:r>
      <w:r w:rsidR="00610FA0">
        <w:t>, E</w:t>
      </w:r>
      <w:r w:rsidR="00A533C2">
        <w:t>nergi och miljötekniska föreningen i landskapet Åland</w:t>
      </w:r>
      <w:r>
        <w:t xml:space="preserve"> och Ålands miljö- och hälsoskyddsmyndighet.</w:t>
      </w:r>
      <w:r w:rsidR="00D0359E">
        <w:t xml:space="preserve"> Inga remissvar </w:t>
      </w:r>
      <w:r w:rsidR="004D4A73">
        <w:t>kom in</w:t>
      </w:r>
      <w:r w:rsidR="00D0359E">
        <w:t>.</w:t>
      </w:r>
    </w:p>
    <w:p w14:paraId="2BAD3B8E" w14:textId="77777777" w:rsidR="00AF3004" w:rsidRDefault="00AF3004">
      <w:pPr>
        <w:pStyle w:val="ANormal"/>
      </w:pPr>
    </w:p>
    <w:p w14:paraId="2FD292C0" w14:textId="77777777" w:rsidR="00AF3004" w:rsidRDefault="00AF3004">
      <w:pPr>
        <w:pStyle w:val="RubrikA"/>
      </w:pPr>
      <w:bookmarkStart w:id="12" w:name="_Toc180656952"/>
      <w:r>
        <w:t>Detaljmotivering</w:t>
      </w:r>
      <w:bookmarkEnd w:id="12"/>
    </w:p>
    <w:p w14:paraId="3C549343" w14:textId="77777777" w:rsidR="00AF3004" w:rsidRDefault="00AF3004">
      <w:pPr>
        <w:pStyle w:val="Rubrikmellanrum"/>
      </w:pPr>
    </w:p>
    <w:p w14:paraId="6CD7E45C" w14:textId="2631B7A4" w:rsidR="000E6D1F" w:rsidRDefault="0056666F" w:rsidP="000E6D1F">
      <w:pPr>
        <w:pStyle w:val="RubrikB"/>
      </w:pPr>
      <w:bookmarkStart w:id="13" w:name="_Toc180656953"/>
      <w:r w:rsidRPr="00B773EE">
        <w:t>Landskapslag om ä</w:t>
      </w:r>
      <w:r w:rsidR="000E6D1F" w:rsidRPr="00B773EE">
        <w:t>ndring av landskapsl</w:t>
      </w:r>
      <w:r w:rsidR="000E6D1F">
        <w:t>agen om miljöskydd</w:t>
      </w:r>
      <w:bookmarkEnd w:id="13"/>
    </w:p>
    <w:p w14:paraId="1B5816B0" w14:textId="77777777" w:rsidR="000E6D1F" w:rsidRPr="000E6D1F" w:rsidRDefault="000E6D1F" w:rsidP="000E6D1F">
      <w:pPr>
        <w:pStyle w:val="Rubrikmellanrum"/>
      </w:pPr>
    </w:p>
    <w:p w14:paraId="192793B2" w14:textId="301BD269" w:rsidR="009F26E9" w:rsidRDefault="009F26E9">
      <w:pPr>
        <w:pStyle w:val="ANormal"/>
      </w:pPr>
      <w:r>
        <w:t>27a</w:t>
      </w:r>
      <w:r w:rsidR="00453235">
        <w:t> §</w:t>
      </w:r>
      <w:r>
        <w:t xml:space="preserve"> </w:t>
      </w:r>
      <w:r w:rsidRPr="009F26E9">
        <w:rPr>
          <w:i/>
          <w:iCs/>
        </w:rPr>
        <w:t>Övervakning av villkorlighet</w:t>
      </w:r>
      <w:r>
        <w:t>. Paragrafens</w:t>
      </w:r>
      <w:r w:rsidR="00A61E47">
        <w:t xml:space="preserve"> </w:t>
      </w:r>
      <w:r w:rsidR="00A61E47" w:rsidRPr="001562BD">
        <w:rPr>
          <w:i/>
          <w:iCs/>
        </w:rPr>
        <w:t>1</w:t>
      </w:r>
      <w:r w:rsidR="00453235" w:rsidRPr="001562BD">
        <w:rPr>
          <w:i/>
          <w:iCs/>
        </w:rPr>
        <w:t> mom.</w:t>
      </w:r>
      <w:r w:rsidR="00A61E47">
        <w:t xml:space="preserve"> behöver uppdateras med den aktuella EU-förordningen om finansiering av landsbygdsnäringar.</w:t>
      </w:r>
      <w:r w:rsidR="00F3147A">
        <w:t xml:space="preserve"> Begreppet i EU-förordningen för övervakningen har ändrats från tvärvillkorsövervakning till övervakning av villkorlighet och därför ändras rubriken till det nya begreppet.</w:t>
      </w:r>
    </w:p>
    <w:p w14:paraId="650E1E6F" w14:textId="77777777" w:rsidR="009F26E9" w:rsidRDefault="009F26E9">
      <w:pPr>
        <w:pStyle w:val="ANormal"/>
      </w:pPr>
    </w:p>
    <w:p w14:paraId="659231D4" w14:textId="3F8D67DC" w:rsidR="004A7E50" w:rsidRDefault="004A7E50">
      <w:pPr>
        <w:pStyle w:val="ANormal"/>
      </w:pPr>
      <w:r>
        <w:t>27b</w:t>
      </w:r>
      <w:r w:rsidR="00453235">
        <w:t> §</w:t>
      </w:r>
      <w:r>
        <w:t xml:space="preserve"> </w:t>
      </w:r>
      <w:r w:rsidRPr="00CE0644">
        <w:rPr>
          <w:i/>
          <w:iCs/>
        </w:rPr>
        <w:t>Tillsynsmyndighet för marknadskontrollen</w:t>
      </w:r>
      <w:r>
        <w:t xml:space="preserve">. Paragrafens </w:t>
      </w:r>
      <w:r w:rsidRPr="00833D93">
        <w:rPr>
          <w:i/>
          <w:iCs/>
        </w:rPr>
        <w:t>1</w:t>
      </w:r>
      <w:r w:rsidR="00453235">
        <w:rPr>
          <w:i/>
          <w:iCs/>
        </w:rPr>
        <w:t> mom.</w:t>
      </w:r>
      <w:r>
        <w:t xml:space="preserve"> uppdateras med namnet på nya ozonförordningen och F-gasförordningen.</w:t>
      </w:r>
    </w:p>
    <w:p w14:paraId="584AD107" w14:textId="77777777" w:rsidR="004A7E50" w:rsidRDefault="004A7E50">
      <w:pPr>
        <w:pStyle w:val="ANormal"/>
      </w:pPr>
    </w:p>
    <w:p w14:paraId="5C50A06E" w14:textId="3AFBCA18" w:rsidR="00465496" w:rsidRPr="00B773EE" w:rsidRDefault="00465496">
      <w:pPr>
        <w:pStyle w:val="ANormal"/>
      </w:pPr>
      <w:r>
        <w:t>8a</w:t>
      </w:r>
      <w:r w:rsidR="00453235">
        <w:t> kap.</w:t>
      </w:r>
      <w:r>
        <w:t xml:space="preserve"> </w:t>
      </w:r>
      <w:r w:rsidR="00314FDE" w:rsidRPr="00314FDE">
        <w:rPr>
          <w:i/>
          <w:iCs/>
        </w:rPr>
        <w:t>Ämnen som bryter ned ozonskiktet, fluorerade växthusgaser och alternativa köldmedier</w:t>
      </w:r>
      <w:r w:rsidR="00314FDE">
        <w:t>.</w:t>
      </w:r>
      <w:r w:rsidR="00314FDE" w:rsidRPr="00314FDE">
        <w:t xml:space="preserve"> </w:t>
      </w:r>
      <w:r w:rsidR="00314FDE">
        <w:t>Kapitelr</w:t>
      </w:r>
      <w:r>
        <w:t>ubriken</w:t>
      </w:r>
      <w:r w:rsidR="00314FDE">
        <w:t xml:space="preserve"> kompletteras med alternativa köldmedier på samma sätt som </w:t>
      </w:r>
      <w:r w:rsidR="004D4A73">
        <w:t xml:space="preserve">den föreslagna </w:t>
      </w:r>
      <w:r w:rsidR="00610FA0" w:rsidRPr="00B773EE">
        <w:t>ändring</w:t>
      </w:r>
      <w:r w:rsidR="004D4A73">
        <w:t>en</w:t>
      </w:r>
      <w:r w:rsidR="00610FA0" w:rsidRPr="00B773EE">
        <w:t xml:space="preserve"> av 17</w:t>
      </w:r>
      <w:r w:rsidR="0056666F" w:rsidRPr="00B773EE">
        <w:t> </w:t>
      </w:r>
      <w:r w:rsidR="00610FA0" w:rsidRPr="00B773EE">
        <w:t>kap</w:t>
      </w:r>
      <w:r w:rsidR="0056666F" w:rsidRPr="00B773EE">
        <w:t>.</w:t>
      </w:r>
      <w:r w:rsidR="00610FA0" w:rsidRPr="00B773EE">
        <w:t xml:space="preserve"> </w:t>
      </w:r>
      <w:r w:rsidR="00314FDE" w:rsidRPr="00B773EE">
        <w:t xml:space="preserve">i rikets proposition. Dessutom </w:t>
      </w:r>
      <w:r w:rsidRPr="00B773EE">
        <w:t>ändras ett stavfel i ordet fluorerade där bokstaven n stryks.</w:t>
      </w:r>
    </w:p>
    <w:p w14:paraId="60B2DBFB" w14:textId="77777777" w:rsidR="00095F2E" w:rsidRPr="00B773EE" w:rsidRDefault="00095F2E">
      <w:pPr>
        <w:pStyle w:val="ANormal"/>
      </w:pPr>
    </w:p>
    <w:p w14:paraId="4B8F07C4" w14:textId="39EBF198" w:rsidR="00017239" w:rsidRPr="00B773EE" w:rsidRDefault="00095F2E">
      <w:pPr>
        <w:pStyle w:val="ANormal"/>
      </w:pPr>
      <w:r w:rsidRPr="00B773EE">
        <w:t>34b</w:t>
      </w:r>
      <w:r w:rsidR="00453235" w:rsidRPr="00B773EE">
        <w:t> §</w:t>
      </w:r>
      <w:r w:rsidRPr="00B773EE">
        <w:t xml:space="preserve"> </w:t>
      </w:r>
      <w:r w:rsidRPr="00B773EE">
        <w:rPr>
          <w:i/>
          <w:iCs/>
        </w:rPr>
        <w:t>Avvikelser</w:t>
      </w:r>
      <w:r w:rsidRPr="00B773EE">
        <w:t xml:space="preserve">. </w:t>
      </w:r>
      <w:r w:rsidR="00017239" w:rsidRPr="00B773EE">
        <w:t>Hela paragrafen ändras då både 1 och 4</w:t>
      </w:r>
      <w:r w:rsidR="0056666F" w:rsidRPr="00B773EE">
        <w:t> </w:t>
      </w:r>
      <w:r w:rsidR="00017239" w:rsidRPr="00B773EE">
        <w:t>mom</w:t>
      </w:r>
      <w:r w:rsidR="0056666F" w:rsidRPr="00B773EE">
        <w:t>.</w:t>
      </w:r>
      <w:r w:rsidR="00017239" w:rsidRPr="00B773EE">
        <w:t xml:space="preserve"> i gällande </w:t>
      </w:r>
      <w:r w:rsidR="00610FA0" w:rsidRPr="00B773EE">
        <w:t>paragraf</w:t>
      </w:r>
      <w:r w:rsidR="00017239" w:rsidRPr="00B773EE">
        <w:t xml:space="preserve"> ändras och 2 och 3</w:t>
      </w:r>
      <w:r w:rsidR="0056666F" w:rsidRPr="00B773EE">
        <w:t> </w:t>
      </w:r>
      <w:r w:rsidR="00017239" w:rsidRPr="00B773EE">
        <w:t>mom</w:t>
      </w:r>
      <w:r w:rsidR="0056666F" w:rsidRPr="00B773EE">
        <w:t>.</w:t>
      </w:r>
      <w:r w:rsidR="00017239" w:rsidRPr="00B773EE">
        <w:t xml:space="preserve"> tidigare upphävts.</w:t>
      </w:r>
    </w:p>
    <w:p w14:paraId="694B153C" w14:textId="6964D359" w:rsidR="00D20A25" w:rsidRDefault="00017239">
      <w:pPr>
        <w:pStyle w:val="ANormal"/>
      </w:pPr>
      <w:r w:rsidRPr="00B773EE">
        <w:tab/>
      </w:r>
      <w:r w:rsidR="00D20A25" w:rsidRPr="00B773EE">
        <w:t xml:space="preserve">I paragrafens </w:t>
      </w:r>
      <w:r w:rsidR="00D20A25" w:rsidRPr="00B773EE">
        <w:rPr>
          <w:i/>
          <w:iCs/>
        </w:rPr>
        <w:t>1</w:t>
      </w:r>
      <w:r w:rsidR="00453235" w:rsidRPr="00B773EE">
        <w:rPr>
          <w:i/>
          <w:iCs/>
        </w:rPr>
        <w:t> mom.</w:t>
      </w:r>
      <w:r w:rsidR="00D20A25" w:rsidRPr="00B773EE">
        <w:t xml:space="preserve"> uppdateras att hänvisningen till rikets lagstiftning om yrkesutbildning </w:t>
      </w:r>
      <w:r w:rsidRPr="00B773EE">
        <w:t>är</w:t>
      </w:r>
      <w:r w:rsidR="00D20A25" w:rsidRPr="00B773EE">
        <w:t xml:space="preserve"> lagen om yrkesutbildning (FFS</w:t>
      </w:r>
      <w:r w:rsidR="00D20A25">
        <w:t xml:space="preserve"> </w:t>
      </w:r>
      <w:r w:rsidR="00D20A25" w:rsidRPr="00D20A25">
        <w:t>531/2017</w:t>
      </w:r>
      <w:r w:rsidR="00D20A25">
        <w:t>).</w:t>
      </w:r>
      <w:r>
        <w:t xml:space="preserve"> </w:t>
      </w:r>
      <w:r w:rsidR="00833D93">
        <w:t>Den</w:t>
      </w:r>
      <w:r>
        <w:t xml:space="preserve"> åländska lag</w:t>
      </w:r>
      <w:r w:rsidR="00833D93">
        <w:t>en</w:t>
      </w:r>
      <w:r>
        <w:t xml:space="preserve"> är </w:t>
      </w:r>
      <w:r w:rsidR="00833D93">
        <w:t>landskapslagen (2011:13) om gymnasieutbildning.</w:t>
      </w:r>
    </w:p>
    <w:p w14:paraId="5DF1CE2F" w14:textId="3663D3EC" w:rsidR="00017239" w:rsidRDefault="00D20A25" w:rsidP="00017239">
      <w:pPr>
        <w:pStyle w:val="ANormal"/>
      </w:pPr>
      <w:r>
        <w:tab/>
        <w:t>I 164</w:t>
      </w:r>
      <w:r w:rsidR="00453235">
        <w:t> §</w:t>
      </w:r>
      <w:r>
        <w:t xml:space="preserve"> 5</w:t>
      </w:r>
      <w:r w:rsidR="00453235">
        <w:t> mom.</w:t>
      </w:r>
      <w:r>
        <w:t xml:space="preserve"> i rikets miljöskyddslag finns bestämmelser om att Säkerhets- och kemikalieverket får</w:t>
      </w:r>
      <w:r w:rsidR="00017239">
        <w:t xml:space="preserve"> via det allmänna datanätet lämna ut sådana uppgifter ur registret som behövs för att säkerställa kompetensen.</w:t>
      </w:r>
      <w:r>
        <w:t xml:space="preserve"> I propositionen om ändring av </w:t>
      </w:r>
      <w:r w:rsidR="00610FA0">
        <w:t xml:space="preserve">rikets </w:t>
      </w:r>
      <w:r>
        <w:t xml:space="preserve">miljöskyddslag </w:t>
      </w:r>
      <w:r w:rsidR="00017239">
        <w:t>inleds bestämmelsen med ”</w:t>
      </w:r>
      <w:r w:rsidR="00017239" w:rsidRPr="00017239">
        <w:t>Trots bestämmelserna i 16</w:t>
      </w:r>
      <w:r w:rsidR="00453235">
        <w:t> §</w:t>
      </w:r>
      <w:r w:rsidR="00017239" w:rsidRPr="00017239">
        <w:t xml:space="preserve"> 3</w:t>
      </w:r>
      <w:r w:rsidR="00453235">
        <w:t> mom.</w:t>
      </w:r>
      <w:r w:rsidR="00017239" w:rsidRPr="00017239">
        <w:t xml:space="preserve"> i lagen om offentlighet i myndigheternas verksamhet</w:t>
      </w:r>
      <w:r w:rsidR="00017239">
        <w:t>”. Motsvarande bestämmelse i offentlighetslagen (2021:79) för Åland finns i 25</w:t>
      </w:r>
      <w:r w:rsidR="00453235">
        <w:t> §</w:t>
      </w:r>
      <w:r w:rsidR="00017239">
        <w:t>. Hänvisningen i rikets miljöskyddslag till 16</w:t>
      </w:r>
      <w:r w:rsidR="00453235">
        <w:t> §</w:t>
      </w:r>
      <w:r w:rsidR="00017239">
        <w:t xml:space="preserve"> 3</w:t>
      </w:r>
      <w:r w:rsidR="00453235">
        <w:t> mom.</w:t>
      </w:r>
      <w:r w:rsidR="002B3F7E">
        <w:t xml:space="preserve"> i lagen om offentlighet i myndigheternas verksamhet</w:t>
      </w:r>
      <w:r w:rsidR="00017239">
        <w:t xml:space="preserve"> har inge</w:t>
      </w:r>
      <w:r w:rsidR="002B3F7E">
        <w:t>t</w:t>
      </w:r>
      <w:r w:rsidR="00017239">
        <w:t xml:space="preserve"> materiellt innehåll, men för tydlighetens skull tas en avvikelsebestämmelse in </w:t>
      </w:r>
      <w:r w:rsidR="00833D93">
        <w:t xml:space="preserve">i </w:t>
      </w:r>
      <w:r w:rsidR="00833D93" w:rsidRPr="00833D93">
        <w:rPr>
          <w:i/>
          <w:iCs/>
        </w:rPr>
        <w:t>2</w:t>
      </w:r>
      <w:r w:rsidR="00453235">
        <w:rPr>
          <w:i/>
          <w:iCs/>
        </w:rPr>
        <w:t> mom.</w:t>
      </w:r>
      <w:r w:rsidR="00833D93">
        <w:t xml:space="preserve"> </w:t>
      </w:r>
      <w:r w:rsidR="00017239">
        <w:t>med hänvisning till 25</w:t>
      </w:r>
      <w:r w:rsidR="00453235">
        <w:t> §</w:t>
      </w:r>
      <w:r w:rsidR="00017239">
        <w:t xml:space="preserve"> i offentlighetslagen för Åland.</w:t>
      </w:r>
    </w:p>
    <w:p w14:paraId="58D072D7" w14:textId="06455B8D" w:rsidR="00095F2E" w:rsidRDefault="00017239" w:rsidP="00017239">
      <w:pPr>
        <w:pStyle w:val="ANormal"/>
      </w:pPr>
      <w:r>
        <w:tab/>
      </w:r>
      <w:r w:rsidR="00095F2E">
        <w:t xml:space="preserve">I gällande </w:t>
      </w:r>
      <w:r w:rsidR="00D65755">
        <w:t>4</w:t>
      </w:r>
      <w:r w:rsidR="00453235">
        <w:t> mom.</w:t>
      </w:r>
      <w:r w:rsidR="00095F2E">
        <w:t xml:space="preserve"> </w:t>
      </w:r>
      <w:r w:rsidR="00937A4B">
        <w:t>anges att beträffande bestämmelser om tillsynsmyndighet avses 27</w:t>
      </w:r>
      <w:r w:rsidR="00453235">
        <w:t> §</w:t>
      </w:r>
      <w:r w:rsidR="00937A4B">
        <w:t xml:space="preserve"> 2</w:t>
      </w:r>
      <w:r w:rsidR="00453235">
        <w:t> mom.</w:t>
      </w:r>
      <w:r w:rsidR="00937A4B">
        <w:t xml:space="preserve"> dvs</w:t>
      </w:r>
      <w:r w:rsidR="00D1450D">
        <w:t>.</w:t>
      </w:r>
      <w:r w:rsidR="00937A4B">
        <w:t xml:space="preserve"> att Ålands miljö- och hälsoskyddsmyndighet är tillsynsmyndighet enligt miljöskyddslagen. I</w:t>
      </w:r>
      <w:r w:rsidR="00095F2E">
        <w:t xml:space="preserve"> tillsynsarbetet ingå</w:t>
      </w:r>
      <w:r w:rsidR="002B3F7E">
        <w:t>r</w:t>
      </w:r>
      <w:r w:rsidR="00095F2E">
        <w:t xml:space="preserve"> även marknadskontroll och därför kompletteras </w:t>
      </w:r>
      <w:r w:rsidR="0040662B">
        <w:t>bestämmelsen</w:t>
      </w:r>
      <w:r w:rsidR="00937A4B">
        <w:t xml:space="preserve"> med 27b</w:t>
      </w:r>
      <w:r w:rsidR="00453235">
        <w:t> §</w:t>
      </w:r>
      <w:r w:rsidR="00937A4B">
        <w:t xml:space="preserve"> 3</w:t>
      </w:r>
      <w:r w:rsidR="00453235">
        <w:t> mom.</w:t>
      </w:r>
      <w:r w:rsidR="00937A4B">
        <w:t xml:space="preserve"> </w:t>
      </w:r>
      <w:r w:rsidR="00095F2E">
        <w:t>om tillsynsmyndigheten för marknadskontroll. Ålands miljö- och hälsoskyddsmyndighet är</w:t>
      </w:r>
      <w:r w:rsidR="00937A4B">
        <w:t xml:space="preserve"> också</w:t>
      </w:r>
      <w:r w:rsidR="00095F2E">
        <w:t xml:space="preserve"> tillsynsmyndighet </w:t>
      </w:r>
      <w:r w:rsidR="00937A4B">
        <w:t xml:space="preserve">för </w:t>
      </w:r>
      <w:r w:rsidR="00095F2E">
        <w:t>marknadskontrollen.</w:t>
      </w:r>
      <w:r w:rsidR="0040662B">
        <w:t xml:space="preserve"> Bestämmelsen placeras i </w:t>
      </w:r>
      <w:r w:rsidR="0040662B" w:rsidRPr="0040662B">
        <w:rPr>
          <w:i/>
          <w:iCs/>
        </w:rPr>
        <w:t>3</w:t>
      </w:r>
      <w:r w:rsidR="00453235">
        <w:rPr>
          <w:i/>
          <w:iCs/>
        </w:rPr>
        <w:t> mom.</w:t>
      </w:r>
    </w:p>
    <w:p w14:paraId="34152629" w14:textId="77777777" w:rsidR="00465496" w:rsidRDefault="00465496">
      <w:pPr>
        <w:pStyle w:val="ANormal"/>
      </w:pPr>
    </w:p>
    <w:p w14:paraId="2CF22720" w14:textId="0C103A50" w:rsidR="00AF3004" w:rsidRDefault="001B151A" w:rsidP="00EC6559">
      <w:pPr>
        <w:pStyle w:val="ANormal"/>
      </w:pPr>
      <w:r>
        <w:t>35</w:t>
      </w:r>
      <w:r w:rsidR="00453235">
        <w:t> §</w:t>
      </w:r>
      <w:r w:rsidR="00AF3004">
        <w:t xml:space="preserve"> </w:t>
      </w:r>
      <w:r>
        <w:rPr>
          <w:i/>
          <w:iCs/>
        </w:rPr>
        <w:t>Miljöförstöring</w:t>
      </w:r>
      <w:r w:rsidR="00AF3004">
        <w:rPr>
          <w:i/>
          <w:iCs/>
        </w:rPr>
        <w:t>.</w:t>
      </w:r>
      <w:r w:rsidR="00AF3004">
        <w:t xml:space="preserve"> </w:t>
      </w:r>
      <w:r>
        <w:t xml:space="preserve">Punkterna c och d i </w:t>
      </w:r>
      <w:r w:rsidRPr="00833D93">
        <w:rPr>
          <w:i/>
          <w:iCs/>
        </w:rPr>
        <w:t>2</w:t>
      </w:r>
      <w:r w:rsidR="00453235">
        <w:rPr>
          <w:i/>
          <w:iCs/>
        </w:rPr>
        <w:t> mom.</w:t>
      </w:r>
      <w:r>
        <w:t xml:space="preserve"> uppdateras med de nya EU-förordningarna.</w:t>
      </w:r>
      <w:r w:rsidR="00EC6559">
        <w:t xml:space="preserve"> Dessutom uppdateras punkten b med det gällande namnet på </w:t>
      </w:r>
      <w:r w:rsidR="00EC6559" w:rsidRPr="00EC6559">
        <w:t>Europaparlamentets och rådets förordning (EU) 2019/1021 om långlivade organiska föroreningar</w:t>
      </w:r>
      <w:r w:rsidR="00EC6559">
        <w:t xml:space="preserve">. Även punkten </w:t>
      </w:r>
      <w:r w:rsidR="00466E88">
        <w:t xml:space="preserve">a </w:t>
      </w:r>
      <w:r w:rsidR="00EC6559">
        <w:t xml:space="preserve">behöver ändras så att även </w:t>
      </w:r>
      <w:r w:rsidR="00466E88">
        <w:t>åtgärder</w:t>
      </w:r>
      <w:r w:rsidR="00EC6559">
        <w:t xml:space="preserve"> i strid med artikel 4a i Europaparlamentets och rådets förordning (EG) nr 648/2004 om tvätt- och rengöringsmedel ska vara straffbelag</w:t>
      </w:r>
      <w:r w:rsidR="00466E88">
        <w:t>da</w:t>
      </w:r>
      <w:r w:rsidR="00EC6559">
        <w:t xml:space="preserve">. I artikel 4a anges att tvätt- och rengöringsmedel som inte följer </w:t>
      </w:r>
      <w:r w:rsidR="001D034F">
        <w:t xml:space="preserve">angivna </w:t>
      </w:r>
      <w:r w:rsidR="00EC6559">
        <w:t>b</w:t>
      </w:r>
      <w:r w:rsidR="00EC6559" w:rsidRPr="00EC6559">
        <w:t>egränsningar av mängden fosfater och andra fosforföreningar</w:t>
      </w:r>
      <w:r w:rsidR="001D034F">
        <w:t xml:space="preserve"> inte får släppas ut på marknaden.</w:t>
      </w:r>
      <w:r w:rsidR="00417B81">
        <w:t xml:space="preserve"> </w:t>
      </w:r>
      <w:r w:rsidR="00466E88">
        <w:t>Vidare stryks f</w:t>
      </w:r>
      <w:r w:rsidR="00417B81">
        <w:t>örkortningsnamnen på EU-förordningarna i slutet av punkterna a-d då flera av dem redan nämns tidigare i lagen.</w:t>
      </w:r>
    </w:p>
    <w:p w14:paraId="04E5CF1A" w14:textId="77777777" w:rsidR="002A0E14" w:rsidRDefault="002A0E14">
      <w:pPr>
        <w:pStyle w:val="ANormal"/>
      </w:pPr>
    </w:p>
    <w:p w14:paraId="550D7913" w14:textId="2DBFD31B" w:rsidR="002A0E14" w:rsidRDefault="002A0E14">
      <w:pPr>
        <w:pStyle w:val="ANormal"/>
      </w:pPr>
      <w:r w:rsidRPr="002142FE">
        <w:rPr>
          <w:i/>
          <w:iCs/>
        </w:rPr>
        <w:t>Ikraftträdande.</w:t>
      </w:r>
      <w:r w:rsidRPr="002A0E14">
        <w:t xml:space="preserve"> Lagen föreslås träda i kraft så snart som möjligt. I enlighet med 20</w:t>
      </w:r>
      <w:r w:rsidR="00453235">
        <w:t> §</w:t>
      </w:r>
      <w:r w:rsidRPr="002A0E14">
        <w:t xml:space="preserve"> 2</w:t>
      </w:r>
      <w:r w:rsidR="00453235">
        <w:t> mom.</w:t>
      </w:r>
      <w:r w:rsidRPr="002A0E14">
        <w:t xml:space="preserve"> i självstyrelselagen föreslås därför att datumet för ikraftträdande lämnas öppet för landskapsregeringen att fatta beslut om.</w:t>
      </w:r>
    </w:p>
    <w:p w14:paraId="50F75139" w14:textId="77777777" w:rsidR="000E6D1F" w:rsidRDefault="000E6D1F">
      <w:pPr>
        <w:pStyle w:val="ANormal"/>
      </w:pPr>
    </w:p>
    <w:p w14:paraId="72A792FA" w14:textId="77777777" w:rsidR="000D4AD2" w:rsidRDefault="000D4AD2">
      <w:pPr>
        <w:pStyle w:val="ANormal"/>
      </w:pPr>
    </w:p>
    <w:p w14:paraId="38DFF7AE" w14:textId="322A8A9E" w:rsidR="00AF3004" w:rsidRDefault="00AF3004">
      <w:pPr>
        <w:pStyle w:val="RubrikA"/>
      </w:pPr>
      <w:r>
        <w:br w:type="page"/>
      </w:r>
      <w:bookmarkStart w:id="14" w:name="_Toc180656954"/>
      <w:r>
        <w:t>Lagtext</w:t>
      </w:r>
      <w:bookmarkEnd w:id="14"/>
    </w:p>
    <w:p w14:paraId="032D99F8" w14:textId="77777777" w:rsidR="00AF3004" w:rsidRDefault="00AF3004">
      <w:pPr>
        <w:pStyle w:val="Rubrikmellanrum"/>
      </w:pPr>
    </w:p>
    <w:p w14:paraId="077864B6" w14:textId="77777777" w:rsidR="00AF3004" w:rsidRDefault="00AF3004">
      <w:pPr>
        <w:pStyle w:val="ANormal"/>
      </w:pPr>
      <w:r>
        <w:t>Landskapsregeringen föreslår att följande lag antas.</w:t>
      </w:r>
    </w:p>
    <w:p w14:paraId="30BC54A4" w14:textId="2EC5CD0B" w:rsidR="00AF3004" w:rsidRDefault="00AF3004">
      <w:pPr>
        <w:pStyle w:val="ANormal"/>
      </w:pPr>
    </w:p>
    <w:p w14:paraId="7CABAF42" w14:textId="633A26E6" w:rsidR="00AF3004" w:rsidRPr="00BC5FA6" w:rsidRDefault="00AF3004">
      <w:pPr>
        <w:pStyle w:val="LagHuvRubr"/>
      </w:pPr>
      <w:bookmarkStart w:id="15" w:name="_Toc180656955"/>
      <w:r>
        <w:rPr>
          <w:lang w:val="en-GB"/>
        </w:rPr>
        <w:t>L A N D S K A P S L A G</w:t>
      </w:r>
      <w:r>
        <w:rPr>
          <w:lang w:val="en-GB"/>
        </w:rPr>
        <w:br/>
      </w:r>
      <w:r w:rsidRPr="00BC5FA6">
        <w:t>om</w:t>
      </w:r>
      <w:r w:rsidR="00BC5FA6" w:rsidRPr="00BC5FA6">
        <w:t xml:space="preserve"> ändring av landskapslagen om miljöskydd</w:t>
      </w:r>
      <w:bookmarkEnd w:id="15"/>
    </w:p>
    <w:p w14:paraId="616F7DD9" w14:textId="77777777" w:rsidR="00AF3004" w:rsidRDefault="00AF3004">
      <w:pPr>
        <w:pStyle w:val="ANormal"/>
        <w:rPr>
          <w:lang w:val="en-GB"/>
        </w:rPr>
      </w:pPr>
    </w:p>
    <w:p w14:paraId="38980B1A" w14:textId="77777777" w:rsidR="00295B31" w:rsidRPr="00062632" w:rsidRDefault="00295B31" w:rsidP="00295B31">
      <w:pPr>
        <w:pStyle w:val="ANormal"/>
      </w:pPr>
      <w:r>
        <w:tab/>
      </w:r>
      <w:r w:rsidRPr="00062632">
        <w:t xml:space="preserve">I enlighet med lagtingets beslut </w:t>
      </w:r>
      <w:r w:rsidRPr="00062632">
        <w:rPr>
          <w:b/>
          <w:bCs/>
        </w:rPr>
        <w:t>ändras</w:t>
      </w:r>
      <w:r w:rsidRPr="00062632">
        <w:t xml:space="preserve"> </w:t>
      </w:r>
      <w:r w:rsidRPr="00905163">
        <w:t>rubriken för 27a</w:t>
      </w:r>
      <w:r>
        <w:t> §</w:t>
      </w:r>
      <w:r w:rsidRPr="00905163">
        <w:t>, 27a</w:t>
      </w:r>
      <w:r>
        <w:t> §</w:t>
      </w:r>
      <w:r w:rsidRPr="00905163">
        <w:t xml:space="preserve"> 1</w:t>
      </w:r>
      <w:r>
        <w:t> mom.</w:t>
      </w:r>
      <w:r w:rsidRPr="00905163">
        <w:t xml:space="preserve">, </w:t>
      </w:r>
      <w:r w:rsidRPr="00062632">
        <w:t>27b</w:t>
      </w:r>
      <w:r>
        <w:t> §</w:t>
      </w:r>
      <w:r w:rsidRPr="00062632">
        <w:t xml:space="preserve"> 1</w:t>
      </w:r>
      <w:r>
        <w:t> mom.</w:t>
      </w:r>
      <w:r w:rsidRPr="00062632">
        <w:t xml:space="preserve">, </w:t>
      </w:r>
      <w:r w:rsidRPr="00B773EE">
        <w:t>rubriken för 8a kap., 34b § och 35 § 2 mom. a-d punkterna landskapslagen (2008:124) om miljöskydd, av dessa lagrum rubriken för 27a § och 27a § 1 mom. sådana de lyder i landskapslagen 2012/32, 27b § 1 mom. sådan den lyder i landskapslagen 2023/64,  rubriken för 8a kap. och 35 § 2 mom. a-d punkterna sådana de lyder i landskapslagen 2017/72 samt 34b § sådan den lyder i landskapslagarna 2017/72 och 2019:76,</w:t>
      </w:r>
      <w:r w:rsidRPr="00062632">
        <w:t xml:space="preserve"> som följer:</w:t>
      </w:r>
    </w:p>
    <w:p w14:paraId="0D3BC5E0" w14:textId="396A2847" w:rsidR="00AF3004" w:rsidRDefault="00AF3004">
      <w:pPr>
        <w:pStyle w:val="ANormal"/>
      </w:pPr>
    </w:p>
    <w:p w14:paraId="4922E643" w14:textId="77777777" w:rsidR="00AF3004" w:rsidRDefault="00AF3004">
      <w:pPr>
        <w:pStyle w:val="ANormal"/>
      </w:pPr>
    </w:p>
    <w:p w14:paraId="01ED8904" w14:textId="1B4554F4" w:rsidR="00885E93" w:rsidRDefault="00885E93" w:rsidP="00885E93">
      <w:pPr>
        <w:pStyle w:val="LagParagraf"/>
      </w:pPr>
      <w:r>
        <w:t>27a</w:t>
      </w:r>
      <w:r w:rsidR="00453235">
        <w:t> §</w:t>
      </w:r>
    </w:p>
    <w:p w14:paraId="179E8F03" w14:textId="06AA5EE9" w:rsidR="00885E93" w:rsidRDefault="00885E93" w:rsidP="00885E93">
      <w:pPr>
        <w:pStyle w:val="LagPararubrik"/>
      </w:pPr>
      <w:r>
        <w:t>Övervakning av villkorlighet</w:t>
      </w:r>
    </w:p>
    <w:p w14:paraId="2F265186" w14:textId="728A715E" w:rsidR="00885E93" w:rsidRDefault="00885E93" w:rsidP="00885E93">
      <w:pPr>
        <w:pStyle w:val="ANormal"/>
      </w:pPr>
      <w:r>
        <w:tab/>
      </w:r>
      <w:r w:rsidRPr="00885E93">
        <w:t xml:space="preserve">Landskapsregeringen övervakar efterlevnaden av denna lag och de bestämmelser som utfärdats med stöd av den till den del det är fråga om tillsynen över efterlevnaden av de föreskrivna verksamhetskrav som avses i </w:t>
      </w:r>
      <w:r>
        <w:t>Europaparlamentets och rådets förordning (EU) 2021/2115 om fastställande av regler om stöd för de strategiska planer som medlemsstaterna ska upprätta inom ramen för den gemensamma jordbrukspolitiken (strategiska GJP-planer) och som finansieras av Europeiska garantifonden för jordbruket (EGFJ) och Europeiska jordbruksfonden för landsbygdsutveckling (</w:t>
      </w:r>
      <w:proofErr w:type="spellStart"/>
      <w:r>
        <w:t>Ejflu</w:t>
      </w:r>
      <w:proofErr w:type="spellEnd"/>
      <w:r>
        <w:t>) samt om upphävande av förordningarna (EU) nr 1305/2013 och (EU) nr 1307/2013</w:t>
      </w:r>
      <w:r w:rsidRPr="00885E93">
        <w:t>.</w:t>
      </w:r>
    </w:p>
    <w:p w14:paraId="448E6730" w14:textId="77777777" w:rsidR="00801022" w:rsidRDefault="00801022">
      <w:pPr>
        <w:pStyle w:val="ANormal"/>
      </w:pPr>
      <w:r>
        <w:t>- - - - - - - - - - - - - - - - - - - - - - - - - - - - - - - - - - - - - - - - - - - - - - - - - - - -</w:t>
      </w:r>
    </w:p>
    <w:p w14:paraId="344B6AA5" w14:textId="77777777" w:rsidR="00885E93" w:rsidRDefault="00885E93">
      <w:pPr>
        <w:pStyle w:val="ANormal"/>
      </w:pPr>
    </w:p>
    <w:p w14:paraId="252ACF0A" w14:textId="1295C0A6" w:rsidR="008A3C9F" w:rsidRDefault="008A3C9F" w:rsidP="008A3C9F">
      <w:pPr>
        <w:pStyle w:val="LagParagraf"/>
      </w:pPr>
      <w:r>
        <w:t>27b</w:t>
      </w:r>
      <w:r w:rsidR="00453235">
        <w:t> §</w:t>
      </w:r>
    </w:p>
    <w:p w14:paraId="1EEF8D0F" w14:textId="20488F3A" w:rsidR="008A3C9F" w:rsidRDefault="008A3C9F" w:rsidP="008A3C9F">
      <w:pPr>
        <w:pStyle w:val="LagPararubrik"/>
      </w:pPr>
      <w:r w:rsidRPr="008A3C9F">
        <w:t>Tillsynsmyndighet för marknadskontrollen</w:t>
      </w:r>
    </w:p>
    <w:p w14:paraId="3D63C3D6" w14:textId="5619B5FA" w:rsidR="008A3C9F" w:rsidRDefault="008A3C9F" w:rsidP="008A3C9F">
      <w:pPr>
        <w:pStyle w:val="ANormal"/>
      </w:pPr>
      <w:r>
        <w:tab/>
      </w:r>
      <w:r w:rsidRPr="008A3C9F">
        <w:t>Ålands miljö- och hälsoskyddsmyndighet är tillsynsmyndighet för marknadskontrollen när det gäller produkter som innehåller organiska lösningsmedel och när det gäller produkter enligt Europaparlamentets och rådets förordning (EU) 2024/590 om ämnen som bryter ned ozonskiktet och om upphävande av förordning (EG) nr 1005/2009 och Europaparlamentets och rådets förordning (EU) 2024/573 om fluorerade växthusgaser, om ändring av direktiv (EU) 2019/1937 och om upphävande av förordning (EU) nr 517/2014.</w:t>
      </w:r>
    </w:p>
    <w:p w14:paraId="5404F716" w14:textId="77777777" w:rsidR="008A3C9F" w:rsidRDefault="008A3C9F">
      <w:pPr>
        <w:pStyle w:val="ANormal"/>
      </w:pPr>
      <w:r>
        <w:t>- - - - - - - - - - - - - - - - - - - - - - - - - - - - - - - - - - - - - - - - - - - - - - - - - - - -</w:t>
      </w:r>
    </w:p>
    <w:p w14:paraId="4A4897A6" w14:textId="77777777" w:rsidR="008A3C9F" w:rsidRDefault="008A3C9F">
      <w:pPr>
        <w:pStyle w:val="ANormal"/>
      </w:pPr>
    </w:p>
    <w:p w14:paraId="7B564A2B" w14:textId="4059DC19" w:rsidR="009C6731" w:rsidRDefault="009C6731" w:rsidP="009C6731">
      <w:pPr>
        <w:pStyle w:val="LagKapitel"/>
      </w:pPr>
      <w:r w:rsidRPr="009C6731">
        <w:t>8a</w:t>
      </w:r>
      <w:r w:rsidR="00453235">
        <w:t> kap.</w:t>
      </w:r>
      <w:r w:rsidR="0056666F">
        <w:br/>
      </w:r>
      <w:r w:rsidRPr="009C6731">
        <w:t>Ämnen som bryter ned ozonskiktet</w:t>
      </w:r>
      <w:r w:rsidR="00675585">
        <w:t>,</w:t>
      </w:r>
      <w:r w:rsidRPr="009C6731">
        <w:t xml:space="preserve"> fluorerade växthusgaser</w:t>
      </w:r>
      <w:r w:rsidR="00675585">
        <w:t xml:space="preserve"> och alternativa köldmedier</w:t>
      </w:r>
    </w:p>
    <w:p w14:paraId="122B9C72" w14:textId="77777777" w:rsidR="009C6731" w:rsidRDefault="009C6731">
      <w:pPr>
        <w:pStyle w:val="ANormal"/>
      </w:pPr>
    </w:p>
    <w:p w14:paraId="6051E8A1" w14:textId="72A089B2" w:rsidR="00054771" w:rsidRDefault="00054771" w:rsidP="00054771">
      <w:pPr>
        <w:pStyle w:val="LagParagraf"/>
      </w:pPr>
      <w:r>
        <w:t>34b</w:t>
      </w:r>
      <w:r w:rsidR="00453235">
        <w:t> §</w:t>
      </w:r>
    </w:p>
    <w:p w14:paraId="30D5DD72" w14:textId="5B2EDBB1" w:rsidR="00054771" w:rsidRDefault="00054771" w:rsidP="00054771">
      <w:pPr>
        <w:pStyle w:val="LagPararubrik"/>
      </w:pPr>
      <w:r>
        <w:t>Avvikelser</w:t>
      </w:r>
    </w:p>
    <w:p w14:paraId="6AC698B5" w14:textId="485F3ADB" w:rsidR="00054771" w:rsidRDefault="00D65755">
      <w:pPr>
        <w:pStyle w:val="ANormal"/>
      </w:pPr>
      <w:r>
        <w:tab/>
      </w:r>
      <w:r w:rsidRPr="00D65755">
        <w:t xml:space="preserve">Med lagen om yrkesutbildning (FFS </w:t>
      </w:r>
      <w:r>
        <w:t>531</w:t>
      </w:r>
      <w:r w:rsidRPr="00D65755">
        <w:t>/</w:t>
      </w:r>
      <w:r>
        <w:t>2017</w:t>
      </w:r>
      <w:r w:rsidRPr="00D65755">
        <w:t>) avses på Åland landskapslagen (2011:13) om gymnasieutbildning</w:t>
      </w:r>
      <w:r>
        <w:t>.</w:t>
      </w:r>
    </w:p>
    <w:p w14:paraId="5975B93D" w14:textId="74D1FC8B" w:rsidR="00D5798F" w:rsidRDefault="00054771" w:rsidP="00054771">
      <w:pPr>
        <w:pStyle w:val="ANormal"/>
      </w:pPr>
      <w:r>
        <w:tab/>
      </w:r>
      <w:r w:rsidRPr="00054771">
        <w:t>Hänvisningen i</w:t>
      </w:r>
      <w:r w:rsidR="00725444">
        <w:t xml:space="preserve"> 164</w:t>
      </w:r>
      <w:r w:rsidR="00453235">
        <w:t> §</w:t>
      </w:r>
      <w:r w:rsidR="00725444">
        <w:t xml:space="preserve"> i rikets miljöskyddslag till </w:t>
      </w:r>
      <w:r w:rsidR="00725444" w:rsidRPr="00725444">
        <w:t>16</w:t>
      </w:r>
      <w:r w:rsidR="00453235">
        <w:t> §</w:t>
      </w:r>
      <w:r w:rsidR="00725444" w:rsidRPr="00725444">
        <w:t xml:space="preserve"> 3</w:t>
      </w:r>
      <w:r w:rsidR="00453235">
        <w:t> mom.</w:t>
      </w:r>
      <w:r w:rsidR="00725444" w:rsidRPr="00725444">
        <w:t xml:space="preserve"> i lagen om offentlighet i myndigheternas verksamhet</w:t>
      </w:r>
      <w:r w:rsidR="00725444">
        <w:t xml:space="preserve"> ska på Åland avse 25</w:t>
      </w:r>
      <w:r w:rsidR="00453235">
        <w:t> §</w:t>
      </w:r>
      <w:r w:rsidR="00725444">
        <w:t xml:space="preserve"> i o</w:t>
      </w:r>
      <w:r w:rsidR="00725444" w:rsidRPr="00725444">
        <w:t>ffentlighetslag</w:t>
      </w:r>
      <w:r w:rsidR="00725444">
        <w:t>en</w:t>
      </w:r>
      <w:r w:rsidR="00725444" w:rsidRPr="00725444">
        <w:t xml:space="preserve"> (2021:79) för Åland</w:t>
      </w:r>
      <w:r w:rsidR="00725444">
        <w:t>.</w:t>
      </w:r>
    </w:p>
    <w:p w14:paraId="670D333F" w14:textId="3C73202D" w:rsidR="00054771" w:rsidRPr="00054771" w:rsidRDefault="00D5798F" w:rsidP="00054771">
      <w:pPr>
        <w:pStyle w:val="ANormal"/>
      </w:pPr>
      <w:r>
        <w:tab/>
      </w:r>
      <w:r w:rsidR="00725444">
        <w:t xml:space="preserve">Hänvisningen i </w:t>
      </w:r>
      <w:r w:rsidR="00054771" w:rsidRPr="00054771">
        <w:t>166</w:t>
      </w:r>
      <w:r w:rsidR="00453235">
        <w:t> §</w:t>
      </w:r>
      <w:r w:rsidR="002B3F7E">
        <w:t xml:space="preserve"> i rikets miljöskyddslag</w:t>
      </w:r>
      <w:r w:rsidR="00054771" w:rsidRPr="00054771">
        <w:t xml:space="preserve"> till 24</w:t>
      </w:r>
      <w:r w:rsidR="00453235">
        <w:t> §</w:t>
      </w:r>
      <w:r w:rsidR="00054771" w:rsidRPr="00054771">
        <w:t xml:space="preserve"> 2</w:t>
      </w:r>
      <w:r w:rsidR="00453235">
        <w:t> mom.</w:t>
      </w:r>
      <w:r w:rsidR="00054771" w:rsidRPr="00054771">
        <w:t xml:space="preserve"> i rikets miljöskyddslag ska på Åland avse 27</w:t>
      </w:r>
      <w:r w:rsidR="00453235">
        <w:t> §</w:t>
      </w:r>
      <w:r w:rsidR="00054771" w:rsidRPr="00054771">
        <w:t xml:space="preserve"> 2</w:t>
      </w:r>
      <w:r w:rsidR="00453235">
        <w:t> mom.</w:t>
      </w:r>
      <w:r w:rsidR="00054771">
        <w:t xml:space="preserve"> och 27b</w:t>
      </w:r>
      <w:r w:rsidR="00453235">
        <w:t> §</w:t>
      </w:r>
      <w:r w:rsidR="00054771" w:rsidRPr="00054771">
        <w:t xml:space="preserve"> i denna lag.</w:t>
      </w:r>
    </w:p>
    <w:p w14:paraId="2A71262F" w14:textId="77777777" w:rsidR="00054771" w:rsidRDefault="00054771">
      <w:pPr>
        <w:pStyle w:val="ANormal"/>
      </w:pPr>
    </w:p>
    <w:p w14:paraId="3D1EA516" w14:textId="309A7049" w:rsidR="00BC5FA6" w:rsidRDefault="00BC5FA6" w:rsidP="00BC5FA6">
      <w:pPr>
        <w:pStyle w:val="LagParagraf"/>
      </w:pPr>
      <w:r>
        <w:t>35</w:t>
      </w:r>
      <w:r w:rsidR="00453235">
        <w:t> §</w:t>
      </w:r>
    </w:p>
    <w:p w14:paraId="664E6997" w14:textId="61E352D4" w:rsidR="00BC5FA6" w:rsidRDefault="00BC5FA6" w:rsidP="00BC5FA6">
      <w:pPr>
        <w:pStyle w:val="LagPararubrik"/>
      </w:pPr>
      <w:r>
        <w:t>Miljöförstöring</w:t>
      </w:r>
    </w:p>
    <w:p w14:paraId="5181E793" w14:textId="77777777" w:rsidR="00BC5FA6" w:rsidRDefault="00BC5FA6">
      <w:pPr>
        <w:pStyle w:val="ANormal"/>
      </w:pPr>
      <w:r>
        <w:t>- - - - - - - - - - - - - - - - - - - - - - - - - - - - - - - - - - - - - - - - - - - - - - - - - - - -</w:t>
      </w:r>
    </w:p>
    <w:p w14:paraId="77F8FE6D" w14:textId="2DBEC64D" w:rsidR="00BC5FA6" w:rsidRDefault="00BC5FA6" w:rsidP="00BC5FA6">
      <w:pPr>
        <w:pStyle w:val="ANormal"/>
      </w:pPr>
      <w:r>
        <w:tab/>
      </w:r>
      <w:r w:rsidRPr="00BC5FA6">
        <w:t>För miljöförstöring döms även den som uppsåtligen eller av grov oaktsamhet framställer, överlåter, transporterar, använder, behandlar eller förvarar ett ämne, ett preparat, en blandning, en produkt eller ett föremål eller använder en anordning i strid med</w:t>
      </w:r>
    </w:p>
    <w:p w14:paraId="5B67C90F" w14:textId="5EF8729B" w:rsidR="00CF3D2C" w:rsidRDefault="00CF3D2C" w:rsidP="00BC5FA6">
      <w:pPr>
        <w:pStyle w:val="ANormal"/>
      </w:pPr>
      <w:r>
        <w:tab/>
        <w:t xml:space="preserve">a) </w:t>
      </w:r>
      <w:r w:rsidRPr="00CF3D2C">
        <w:t>artikel 3</w:t>
      </w:r>
      <w:r>
        <w:t>, 4</w:t>
      </w:r>
      <w:r w:rsidRPr="00CF3D2C">
        <w:t xml:space="preserve"> eller 4</w:t>
      </w:r>
      <w:r>
        <w:t>a</w:t>
      </w:r>
      <w:r w:rsidRPr="00CF3D2C">
        <w:t xml:space="preserve"> i Europaparlamentets och rådets förordning (EG) nr 648/2004 om tvätt- och rengöringsmedel,</w:t>
      </w:r>
    </w:p>
    <w:p w14:paraId="0A21EF94" w14:textId="36100EAB" w:rsidR="001E234D" w:rsidRDefault="001E234D" w:rsidP="00BC5FA6">
      <w:pPr>
        <w:pStyle w:val="ANormal"/>
      </w:pPr>
      <w:r>
        <w:tab/>
        <w:t xml:space="preserve">b) </w:t>
      </w:r>
      <w:r w:rsidRPr="001E234D">
        <w:t>Europaparlamentets och rådets förordning</w:t>
      </w:r>
      <w:r>
        <w:t xml:space="preserve"> (EU) 2019/1021</w:t>
      </w:r>
      <w:r w:rsidR="00F579CB">
        <w:t xml:space="preserve"> </w:t>
      </w:r>
      <w:r w:rsidR="00F579CB" w:rsidRPr="00F579CB">
        <w:t>om långlivade organiska föroreningar</w:t>
      </w:r>
      <w:r w:rsidR="00DB20D9">
        <w:t>,</w:t>
      </w:r>
    </w:p>
    <w:p w14:paraId="57113B8C" w14:textId="63C1DD8C" w:rsidR="008B3DBF" w:rsidRDefault="00BC5FA6" w:rsidP="00BC5FA6">
      <w:pPr>
        <w:pStyle w:val="ANormal"/>
      </w:pPr>
      <w:r>
        <w:tab/>
      </w:r>
      <w:r w:rsidR="008B3DBF">
        <w:t xml:space="preserve">c) </w:t>
      </w:r>
      <w:r w:rsidR="008B3DBF" w:rsidRPr="008B3DBF">
        <w:t>Europaparlamentets och rådets förordning (EU) 2024/573 om fluorerade växthusgaser, om ändring av direktiv (EU) 2019/1937 och om upphävande av förordning (EU) nr 517/2014</w:t>
      </w:r>
      <w:r w:rsidR="008B3DBF">
        <w:t>,</w:t>
      </w:r>
    </w:p>
    <w:p w14:paraId="0D97B6E9" w14:textId="594A8C8E" w:rsidR="00BC5FA6" w:rsidRDefault="008B3DBF" w:rsidP="00BC5FA6">
      <w:pPr>
        <w:pStyle w:val="ANormal"/>
      </w:pPr>
      <w:r>
        <w:tab/>
        <w:t>d</w:t>
      </w:r>
      <w:r w:rsidR="00BC5FA6">
        <w:t xml:space="preserve">) </w:t>
      </w:r>
      <w:r w:rsidRPr="008B3DBF">
        <w:t>Europaparlamentets och rådets förordning (EU) 2024/590 om ämnen som bryter ned ozonskiktet och om upphävande av förordning (EG) nr 1005/2009</w:t>
      </w:r>
      <w:r>
        <w:t xml:space="preserve"> eller</w:t>
      </w:r>
    </w:p>
    <w:p w14:paraId="57EE85CD" w14:textId="77777777" w:rsidR="008B3DBF" w:rsidRDefault="008B3DBF">
      <w:pPr>
        <w:pStyle w:val="ANormal"/>
      </w:pPr>
      <w:r>
        <w:t>- - - - - - - - - - - - - - - - - - - - - - - - - - - - - - - - - - - - - - - - - - - - - - - - - - - -</w:t>
      </w:r>
    </w:p>
    <w:p w14:paraId="62E62CE6" w14:textId="77777777" w:rsidR="00375D3B" w:rsidRDefault="00375D3B">
      <w:pPr>
        <w:pStyle w:val="ANormal"/>
      </w:pPr>
    </w:p>
    <w:p w14:paraId="1CBA831F" w14:textId="77777777" w:rsidR="00016EAC" w:rsidRDefault="008D7FDB">
      <w:pPr>
        <w:pStyle w:val="ANormal"/>
        <w:jc w:val="center"/>
      </w:pPr>
      <w:hyperlink w:anchor="_top" w:tooltip="Klicka för att gå till toppen av dokumentet" w:history="1">
        <w:r w:rsidR="00016EAC">
          <w:rPr>
            <w:rStyle w:val="Hyperlnk"/>
          </w:rPr>
          <w:t>__________________</w:t>
        </w:r>
      </w:hyperlink>
    </w:p>
    <w:p w14:paraId="0693C4B8" w14:textId="12979E67" w:rsidR="00016EAC" w:rsidRDefault="00016EAC">
      <w:pPr>
        <w:pStyle w:val="ANormal"/>
      </w:pPr>
    </w:p>
    <w:p w14:paraId="07902F2A" w14:textId="248E01F8" w:rsidR="00016EAC" w:rsidRDefault="00016EAC">
      <w:pPr>
        <w:pStyle w:val="ANormal"/>
      </w:pPr>
      <w:r>
        <w:tab/>
        <w:t>Denna lag träder i kraft den</w:t>
      </w:r>
    </w:p>
    <w:p w14:paraId="66D3BB15" w14:textId="77777777" w:rsidR="00016EAC" w:rsidRDefault="00016EAC">
      <w:pPr>
        <w:pStyle w:val="ANormal"/>
      </w:pPr>
    </w:p>
    <w:p w14:paraId="5211609B" w14:textId="77777777" w:rsidR="00016EAC" w:rsidRDefault="008D7FDB">
      <w:pPr>
        <w:pStyle w:val="ANormal"/>
        <w:jc w:val="center"/>
      </w:pPr>
      <w:hyperlink w:anchor="_top" w:tooltip="Klicka för att gå till toppen av dokumentet" w:history="1">
        <w:r w:rsidR="00016EAC">
          <w:rPr>
            <w:rStyle w:val="Hyperlnk"/>
          </w:rPr>
          <w:t>__________________</w:t>
        </w:r>
      </w:hyperlink>
    </w:p>
    <w:p w14:paraId="41569ADB" w14:textId="77777777" w:rsidR="00016EAC" w:rsidRDefault="00016EAC">
      <w:pPr>
        <w:pStyle w:val="ANormal"/>
      </w:pPr>
    </w:p>
    <w:p w14:paraId="1FF2FD18" w14:textId="77777777" w:rsidR="00AF3004" w:rsidRDefault="00AF3004">
      <w:pPr>
        <w:pStyle w:val="ANormal"/>
      </w:pPr>
    </w:p>
    <w:p w14:paraId="7E66E57C" w14:textId="77777777" w:rsidR="00E536C2" w:rsidRDefault="00E536C2">
      <w:pPr>
        <w:pStyle w:val="ANormal"/>
      </w:pPr>
    </w:p>
    <w:p w14:paraId="47E45543"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4B4F4456" w14:textId="77777777">
        <w:trPr>
          <w:cantSplit/>
        </w:trPr>
        <w:tc>
          <w:tcPr>
            <w:tcW w:w="7931" w:type="dxa"/>
            <w:gridSpan w:val="2"/>
          </w:tcPr>
          <w:p w14:paraId="1DA7D97D" w14:textId="1A74A1C8" w:rsidR="00AF3004" w:rsidRDefault="00AF3004">
            <w:pPr>
              <w:pStyle w:val="ANormal"/>
              <w:keepNext/>
            </w:pPr>
            <w:r>
              <w:t xml:space="preserve">Mariehamn </w:t>
            </w:r>
            <w:r w:rsidR="00B51114">
              <w:t>den 24 oktober 2024</w:t>
            </w:r>
          </w:p>
        </w:tc>
      </w:tr>
      <w:tr w:rsidR="00AF3004" w14:paraId="0C41D992" w14:textId="77777777">
        <w:tc>
          <w:tcPr>
            <w:tcW w:w="4454" w:type="dxa"/>
            <w:vAlign w:val="bottom"/>
          </w:tcPr>
          <w:p w14:paraId="3AFD6C5D" w14:textId="77777777" w:rsidR="00AF3004" w:rsidRDefault="00AF3004">
            <w:pPr>
              <w:pStyle w:val="ANormal"/>
              <w:keepNext/>
            </w:pPr>
          </w:p>
          <w:p w14:paraId="2732EC73" w14:textId="77777777" w:rsidR="00AF3004" w:rsidRDefault="00AF3004">
            <w:pPr>
              <w:pStyle w:val="ANormal"/>
              <w:keepNext/>
            </w:pPr>
          </w:p>
          <w:p w14:paraId="67A5C840" w14:textId="77777777" w:rsidR="00AF3004" w:rsidRDefault="00AF3004">
            <w:pPr>
              <w:pStyle w:val="ANormal"/>
              <w:keepNext/>
            </w:pPr>
            <w:r>
              <w:t>L a n t r å d</w:t>
            </w:r>
          </w:p>
        </w:tc>
        <w:tc>
          <w:tcPr>
            <w:tcW w:w="3477" w:type="dxa"/>
            <w:vAlign w:val="bottom"/>
          </w:tcPr>
          <w:p w14:paraId="5E001C3C" w14:textId="77777777" w:rsidR="00AF3004" w:rsidRDefault="00AF3004">
            <w:pPr>
              <w:pStyle w:val="ANormal"/>
              <w:keepNext/>
            </w:pPr>
          </w:p>
          <w:p w14:paraId="45481398" w14:textId="77777777" w:rsidR="00AF3004" w:rsidRDefault="00AF3004">
            <w:pPr>
              <w:pStyle w:val="ANormal"/>
              <w:keepNext/>
            </w:pPr>
          </w:p>
          <w:p w14:paraId="79249A56" w14:textId="2A1656CB" w:rsidR="00AF3004" w:rsidRDefault="00B51114">
            <w:pPr>
              <w:pStyle w:val="ANormal"/>
              <w:keepNext/>
            </w:pPr>
            <w:r>
              <w:t>Katrin Sjögren</w:t>
            </w:r>
          </w:p>
        </w:tc>
      </w:tr>
      <w:tr w:rsidR="00AF3004" w14:paraId="3DBC84D6" w14:textId="77777777">
        <w:tc>
          <w:tcPr>
            <w:tcW w:w="4454" w:type="dxa"/>
            <w:vAlign w:val="bottom"/>
          </w:tcPr>
          <w:p w14:paraId="5544611F" w14:textId="77777777" w:rsidR="00AF3004" w:rsidRDefault="00AF3004">
            <w:pPr>
              <w:pStyle w:val="ANormal"/>
              <w:keepNext/>
            </w:pPr>
          </w:p>
          <w:p w14:paraId="3B4ECD1C" w14:textId="77777777" w:rsidR="00AF3004" w:rsidRDefault="00AF3004">
            <w:pPr>
              <w:pStyle w:val="ANormal"/>
              <w:keepNext/>
            </w:pPr>
          </w:p>
          <w:p w14:paraId="591F85C2" w14:textId="5B80096E" w:rsidR="00AF3004" w:rsidRDefault="00AF3004">
            <w:pPr>
              <w:pStyle w:val="ANormal"/>
              <w:keepNext/>
            </w:pPr>
            <w:r>
              <w:t xml:space="preserve">Föredragande </w:t>
            </w:r>
            <w:r w:rsidR="00E536C2">
              <w:t>minister</w:t>
            </w:r>
          </w:p>
        </w:tc>
        <w:tc>
          <w:tcPr>
            <w:tcW w:w="3477" w:type="dxa"/>
            <w:vAlign w:val="bottom"/>
          </w:tcPr>
          <w:p w14:paraId="295B5478" w14:textId="77777777" w:rsidR="00AF3004" w:rsidRDefault="00AF3004">
            <w:pPr>
              <w:pStyle w:val="ANormal"/>
              <w:keepNext/>
            </w:pPr>
          </w:p>
          <w:p w14:paraId="2FC45623" w14:textId="77777777" w:rsidR="00AF3004" w:rsidRDefault="00AF3004">
            <w:pPr>
              <w:pStyle w:val="ANormal"/>
              <w:keepNext/>
            </w:pPr>
          </w:p>
          <w:p w14:paraId="1A294EB0" w14:textId="61E5447E" w:rsidR="00AF3004" w:rsidRDefault="00B51114">
            <w:pPr>
              <w:pStyle w:val="ANormal"/>
              <w:keepNext/>
            </w:pPr>
            <w:r>
              <w:t>Jesper Josefsson</w:t>
            </w:r>
          </w:p>
        </w:tc>
      </w:tr>
    </w:tbl>
    <w:p w14:paraId="0440E9DA" w14:textId="1484A809" w:rsidR="00457327" w:rsidRDefault="00457327">
      <w:pPr>
        <w:pStyle w:val="ANormal"/>
      </w:pPr>
    </w:p>
    <w:p w14:paraId="402F212F" w14:textId="040DECD5" w:rsidR="00457327" w:rsidRDefault="00457327">
      <w:pPr>
        <w:rPr>
          <w:sz w:val="22"/>
          <w:szCs w:val="20"/>
        </w:rPr>
      </w:pPr>
    </w:p>
    <w:p w14:paraId="71E5131A" w14:textId="77777777" w:rsidR="00935F5D" w:rsidRDefault="00935F5D">
      <w:pPr>
        <w:rPr>
          <w:sz w:val="30"/>
          <w:szCs w:val="20"/>
        </w:rPr>
      </w:pPr>
      <w:r>
        <w:br w:type="page"/>
      </w:r>
    </w:p>
    <w:p w14:paraId="0EC7729D" w14:textId="75C717B3" w:rsidR="00AF3004" w:rsidRDefault="00457327" w:rsidP="00457327">
      <w:pPr>
        <w:pStyle w:val="RubrikA"/>
      </w:pPr>
      <w:bookmarkStart w:id="16" w:name="_Toc180656956"/>
      <w:r>
        <w:t>Parallelltexter</w:t>
      </w:r>
      <w:bookmarkEnd w:id="16"/>
    </w:p>
    <w:p w14:paraId="21FF6526" w14:textId="43C33077" w:rsidR="00457327" w:rsidRDefault="00457327" w:rsidP="00457327">
      <w:pPr>
        <w:pStyle w:val="Rubrikmellanrum"/>
      </w:pPr>
    </w:p>
    <w:p w14:paraId="49B86D57" w14:textId="082505E4" w:rsidR="00457327" w:rsidRPr="00457327" w:rsidRDefault="00457327" w:rsidP="00457327">
      <w:pPr>
        <w:pStyle w:val="ArendeUnderRubrik"/>
      </w:pPr>
      <w:r>
        <w:t xml:space="preserve">Parallelltexter till landskapsregeringens lagförslag nr </w:t>
      </w:r>
      <w:r w:rsidR="00B51114">
        <w:t>1</w:t>
      </w:r>
      <w:r>
        <w:t>/202</w:t>
      </w:r>
      <w:r w:rsidR="00F90F03">
        <w:t>4</w:t>
      </w:r>
      <w:r>
        <w:t>-202</w:t>
      </w:r>
      <w:r w:rsidR="00F90F03">
        <w:t>5</w:t>
      </w:r>
    </w:p>
    <w:sectPr w:rsidR="00457327" w:rsidRPr="00457327">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DA20" w14:textId="77777777" w:rsidR="00574196" w:rsidRDefault="00574196">
      <w:r>
        <w:separator/>
      </w:r>
    </w:p>
  </w:endnote>
  <w:endnote w:type="continuationSeparator" w:id="0">
    <w:p w14:paraId="0AFC3A25" w14:textId="77777777" w:rsidR="00574196" w:rsidRDefault="0057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A050C"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F482" w14:textId="35372BA8" w:rsidR="00AF3004" w:rsidRDefault="00457327">
    <w:pPr>
      <w:pStyle w:val="Sidfot"/>
      <w:rPr>
        <w:lang w:val="fi-FI"/>
      </w:rPr>
    </w:pPr>
    <w:r>
      <w:t>LF</w:t>
    </w:r>
    <w:r w:rsidR="00B51114">
      <w:t>01</w:t>
    </w:r>
    <w:r>
      <w:t>202</w:t>
    </w:r>
    <w:r w:rsidR="00070751">
      <w:t>4</w:t>
    </w:r>
    <w:r>
      <w:t>202</w:t>
    </w:r>
    <w:r w:rsidR="00070751">
      <w:t>5</w:t>
    </w:r>
    <w: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B4B2"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3FE5" w14:textId="77777777" w:rsidR="00574196" w:rsidRDefault="00574196">
      <w:r>
        <w:separator/>
      </w:r>
    </w:p>
  </w:footnote>
  <w:footnote w:type="continuationSeparator" w:id="0">
    <w:p w14:paraId="4A9936A0" w14:textId="77777777" w:rsidR="00574196" w:rsidRDefault="0057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E03E"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34D5789A"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320F"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792108">
    <w:abstractNumId w:val="6"/>
  </w:num>
  <w:num w:numId="2" w16cid:durableId="1533028470">
    <w:abstractNumId w:val="3"/>
  </w:num>
  <w:num w:numId="3" w16cid:durableId="478681">
    <w:abstractNumId w:val="2"/>
  </w:num>
  <w:num w:numId="4" w16cid:durableId="976034087">
    <w:abstractNumId w:val="1"/>
  </w:num>
  <w:num w:numId="5" w16cid:durableId="346752920">
    <w:abstractNumId w:val="0"/>
  </w:num>
  <w:num w:numId="6" w16cid:durableId="240408096">
    <w:abstractNumId w:val="7"/>
  </w:num>
  <w:num w:numId="7" w16cid:durableId="1248810057">
    <w:abstractNumId w:val="5"/>
  </w:num>
  <w:num w:numId="8" w16cid:durableId="1314410075">
    <w:abstractNumId w:val="4"/>
  </w:num>
  <w:num w:numId="9" w16cid:durableId="1272664107">
    <w:abstractNumId w:val="10"/>
  </w:num>
  <w:num w:numId="10" w16cid:durableId="908199482">
    <w:abstractNumId w:val="13"/>
  </w:num>
  <w:num w:numId="11" w16cid:durableId="109711581">
    <w:abstractNumId w:val="12"/>
  </w:num>
  <w:num w:numId="12" w16cid:durableId="409809377">
    <w:abstractNumId w:val="16"/>
  </w:num>
  <w:num w:numId="13" w16cid:durableId="1371540151">
    <w:abstractNumId w:val="11"/>
  </w:num>
  <w:num w:numId="14" w16cid:durableId="1190483906">
    <w:abstractNumId w:val="15"/>
  </w:num>
  <w:num w:numId="15" w16cid:durableId="1698579918">
    <w:abstractNumId w:val="9"/>
  </w:num>
  <w:num w:numId="16" w16cid:durableId="550308662">
    <w:abstractNumId w:val="21"/>
  </w:num>
  <w:num w:numId="17" w16cid:durableId="1051004549">
    <w:abstractNumId w:val="8"/>
  </w:num>
  <w:num w:numId="18" w16cid:durableId="1113863465">
    <w:abstractNumId w:val="17"/>
  </w:num>
  <w:num w:numId="19" w16cid:durableId="565451743">
    <w:abstractNumId w:val="20"/>
  </w:num>
  <w:num w:numId="20" w16cid:durableId="1955944379">
    <w:abstractNumId w:val="23"/>
  </w:num>
  <w:num w:numId="21" w16cid:durableId="1712606671">
    <w:abstractNumId w:val="22"/>
  </w:num>
  <w:num w:numId="22" w16cid:durableId="970939965">
    <w:abstractNumId w:val="14"/>
  </w:num>
  <w:num w:numId="23" w16cid:durableId="350687312">
    <w:abstractNumId w:val="18"/>
  </w:num>
  <w:num w:numId="24" w16cid:durableId="124200647">
    <w:abstractNumId w:val="18"/>
  </w:num>
  <w:num w:numId="25" w16cid:durableId="1710951698">
    <w:abstractNumId w:val="19"/>
  </w:num>
  <w:num w:numId="26" w16cid:durableId="761604204">
    <w:abstractNumId w:val="14"/>
  </w:num>
  <w:num w:numId="27" w16cid:durableId="1882396508">
    <w:abstractNumId w:val="14"/>
  </w:num>
  <w:num w:numId="28" w16cid:durableId="1644651518">
    <w:abstractNumId w:val="14"/>
  </w:num>
  <w:num w:numId="29" w16cid:durableId="1483619484">
    <w:abstractNumId w:val="14"/>
  </w:num>
  <w:num w:numId="30" w16cid:durableId="1879121111">
    <w:abstractNumId w:val="14"/>
  </w:num>
  <w:num w:numId="31" w16cid:durableId="755059643">
    <w:abstractNumId w:val="14"/>
  </w:num>
  <w:num w:numId="32" w16cid:durableId="33699220">
    <w:abstractNumId w:val="14"/>
  </w:num>
  <w:num w:numId="33" w16cid:durableId="520433574">
    <w:abstractNumId w:val="14"/>
  </w:num>
  <w:num w:numId="34" w16cid:durableId="1013147063">
    <w:abstractNumId w:val="14"/>
  </w:num>
  <w:num w:numId="35" w16cid:durableId="1931624611">
    <w:abstractNumId w:val="18"/>
  </w:num>
  <w:num w:numId="36" w16cid:durableId="1660386437">
    <w:abstractNumId w:val="19"/>
  </w:num>
  <w:num w:numId="37" w16cid:durableId="1412044668">
    <w:abstractNumId w:val="14"/>
  </w:num>
  <w:num w:numId="38" w16cid:durableId="495002875">
    <w:abstractNumId w:val="14"/>
  </w:num>
  <w:num w:numId="39" w16cid:durableId="1835800990">
    <w:abstractNumId w:val="14"/>
  </w:num>
  <w:num w:numId="40" w16cid:durableId="55662344">
    <w:abstractNumId w:val="14"/>
  </w:num>
  <w:num w:numId="41" w16cid:durableId="414131544">
    <w:abstractNumId w:val="14"/>
  </w:num>
  <w:num w:numId="42" w16cid:durableId="1412235515">
    <w:abstractNumId w:val="14"/>
  </w:num>
  <w:num w:numId="43" w16cid:durableId="1317950993">
    <w:abstractNumId w:val="14"/>
  </w:num>
  <w:num w:numId="44" w16cid:durableId="82726875">
    <w:abstractNumId w:val="14"/>
  </w:num>
  <w:num w:numId="45" w16cid:durableId="1128477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10"/>
    <w:rsid w:val="00004767"/>
    <w:rsid w:val="00010ABB"/>
    <w:rsid w:val="000128D6"/>
    <w:rsid w:val="00016EAC"/>
    <w:rsid w:val="00017239"/>
    <w:rsid w:val="000242C7"/>
    <w:rsid w:val="00054771"/>
    <w:rsid w:val="000574CE"/>
    <w:rsid w:val="00067FC1"/>
    <w:rsid w:val="00070751"/>
    <w:rsid w:val="00095007"/>
    <w:rsid w:val="00095F2E"/>
    <w:rsid w:val="000C7E35"/>
    <w:rsid w:val="000D4AD2"/>
    <w:rsid w:val="000E26DE"/>
    <w:rsid w:val="000E6D1F"/>
    <w:rsid w:val="000F1C88"/>
    <w:rsid w:val="000F5B2A"/>
    <w:rsid w:val="00100145"/>
    <w:rsid w:val="00132E67"/>
    <w:rsid w:val="0013698E"/>
    <w:rsid w:val="00136D31"/>
    <w:rsid w:val="001562BD"/>
    <w:rsid w:val="00162C53"/>
    <w:rsid w:val="00184A7A"/>
    <w:rsid w:val="001918C9"/>
    <w:rsid w:val="001A77FA"/>
    <w:rsid w:val="001B151A"/>
    <w:rsid w:val="001D034F"/>
    <w:rsid w:val="001D3079"/>
    <w:rsid w:val="001D4DC1"/>
    <w:rsid w:val="001E234D"/>
    <w:rsid w:val="001F2852"/>
    <w:rsid w:val="001F2E15"/>
    <w:rsid w:val="00202894"/>
    <w:rsid w:val="00202B13"/>
    <w:rsid w:val="00206A96"/>
    <w:rsid w:val="002142FE"/>
    <w:rsid w:val="00245F0F"/>
    <w:rsid w:val="002554B9"/>
    <w:rsid w:val="00263D9C"/>
    <w:rsid w:val="002836E8"/>
    <w:rsid w:val="00283C35"/>
    <w:rsid w:val="00295B31"/>
    <w:rsid w:val="002A0E14"/>
    <w:rsid w:val="002A12C0"/>
    <w:rsid w:val="002B3F7E"/>
    <w:rsid w:val="002B5A5B"/>
    <w:rsid w:val="002C4D31"/>
    <w:rsid w:val="002E34B3"/>
    <w:rsid w:val="002F7944"/>
    <w:rsid w:val="00307FC8"/>
    <w:rsid w:val="00314FDE"/>
    <w:rsid w:val="003163D6"/>
    <w:rsid w:val="0031671B"/>
    <w:rsid w:val="003305DE"/>
    <w:rsid w:val="00332B0F"/>
    <w:rsid w:val="00342FC4"/>
    <w:rsid w:val="003562B5"/>
    <w:rsid w:val="00375D3B"/>
    <w:rsid w:val="00377E0E"/>
    <w:rsid w:val="003A3D38"/>
    <w:rsid w:val="003E3BAF"/>
    <w:rsid w:val="0040662B"/>
    <w:rsid w:val="00407D7A"/>
    <w:rsid w:val="00417B81"/>
    <w:rsid w:val="00426242"/>
    <w:rsid w:val="0043745B"/>
    <w:rsid w:val="00446F4A"/>
    <w:rsid w:val="00453235"/>
    <w:rsid w:val="00457327"/>
    <w:rsid w:val="00463421"/>
    <w:rsid w:val="00464E03"/>
    <w:rsid w:val="00465496"/>
    <w:rsid w:val="00466E88"/>
    <w:rsid w:val="00473955"/>
    <w:rsid w:val="00477E9D"/>
    <w:rsid w:val="00483BEB"/>
    <w:rsid w:val="004A010C"/>
    <w:rsid w:val="004A6BA1"/>
    <w:rsid w:val="004A7E50"/>
    <w:rsid w:val="004C58E8"/>
    <w:rsid w:val="004D04A2"/>
    <w:rsid w:val="004D4A73"/>
    <w:rsid w:val="00507170"/>
    <w:rsid w:val="005318C8"/>
    <w:rsid w:val="005330ED"/>
    <w:rsid w:val="005367CC"/>
    <w:rsid w:val="00547707"/>
    <w:rsid w:val="00564559"/>
    <w:rsid w:val="0056666F"/>
    <w:rsid w:val="00574196"/>
    <w:rsid w:val="005962C7"/>
    <w:rsid w:val="00597667"/>
    <w:rsid w:val="005B0432"/>
    <w:rsid w:val="005C370F"/>
    <w:rsid w:val="005C4A6A"/>
    <w:rsid w:val="005C6CF6"/>
    <w:rsid w:val="005D2F76"/>
    <w:rsid w:val="005E14E8"/>
    <w:rsid w:val="005E576F"/>
    <w:rsid w:val="005F1DF9"/>
    <w:rsid w:val="00610FA0"/>
    <w:rsid w:val="00617A1C"/>
    <w:rsid w:val="00625EF3"/>
    <w:rsid w:val="00630A08"/>
    <w:rsid w:val="00675585"/>
    <w:rsid w:val="006B28A4"/>
    <w:rsid w:val="006B633C"/>
    <w:rsid w:val="006B784F"/>
    <w:rsid w:val="006D6137"/>
    <w:rsid w:val="00704EB1"/>
    <w:rsid w:val="00717DF3"/>
    <w:rsid w:val="00722128"/>
    <w:rsid w:val="00725444"/>
    <w:rsid w:val="007469B5"/>
    <w:rsid w:val="0077178A"/>
    <w:rsid w:val="00782DC9"/>
    <w:rsid w:val="00801022"/>
    <w:rsid w:val="008241B5"/>
    <w:rsid w:val="008269F8"/>
    <w:rsid w:val="00833D93"/>
    <w:rsid w:val="008450DA"/>
    <w:rsid w:val="00855488"/>
    <w:rsid w:val="00861848"/>
    <w:rsid w:val="00864254"/>
    <w:rsid w:val="00873ACA"/>
    <w:rsid w:val="0088595A"/>
    <w:rsid w:val="00885E93"/>
    <w:rsid w:val="008918BA"/>
    <w:rsid w:val="008A1517"/>
    <w:rsid w:val="008A3C9F"/>
    <w:rsid w:val="008B3DBF"/>
    <w:rsid w:val="008B4690"/>
    <w:rsid w:val="008C2151"/>
    <w:rsid w:val="008D7FDB"/>
    <w:rsid w:val="008E4DEC"/>
    <w:rsid w:val="008F61C4"/>
    <w:rsid w:val="008F73C0"/>
    <w:rsid w:val="0091504F"/>
    <w:rsid w:val="009151C5"/>
    <w:rsid w:val="00922DBB"/>
    <w:rsid w:val="00926BAF"/>
    <w:rsid w:val="00930AF2"/>
    <w:rsid w:val="00931C36"/>
    <w:rsid w:val="00934F93"/>
    <w:rsid w:val="00935F5D"/>
    <w:rsid w:val="00937A4B"/>
    <w:rsid w:val="00952D10"/>
    <w:rsid w:val="00952E9E"/>
    <w:rsid w:val="0096246A"/>
    <w:rsid w:val="00965107"/>
    <w:rsid w:val="009668A1"/>
    <w:rsid w:val="00973025"/>
    <w:rsid w:val="00973F8C"/>
    <w:rsid w:val="00974CC4"/>
    <w:rsid w:val="00991E77"/>
    <w:rsid w:val="009A26EC"/>
    <w:rsid w:val="009C6731"/>
    <w:rsid w:val="009F26E9"/>
    <w:rsid w:val="00A1128B"/>
    <w:rsid w:val="00A2661C"/>
    <w:rsid w:val="00A32351"/>
    <w:rsid w:val="00A533C2"/>
    <w:rsid w:val="00A53E06"/>
    <w:rsid w:val="00A54DF0"/>
    <w:rsid w:val="00A61E47"/>
    <w:rsid w:val="00A7204C"/>
    <w:rsid w:val="00A92573"/>
    <w:rsid w:val="00AA0005"/>
    <w:rsid w:val="00AA2C9B"/>
    <w:rsid w:val="00AD192C"/>
    <w:rsid w:val="00AE1A90"/>
    <w:rsid w:val="00AF3004"/>
    <w:rsid w:val="00B015F1"/>
    <w:rsid w:val="00B1642E"/>
    <w:rsid w:val="00B364A4"/>
    <w:rsid w:val="00B51114"/>
    <w:rsid w:val="00B72CD2"/>
    <w:rsid w:val="00B74C93"/>
    <w:rsid w:val="00B773EE"/>
    <w:rsid w:val="00BB0F2A"/>
    <w:rsid w:val="00BC5FA6"/>
    <w:rsid w:val="00BD4371"/>
    <w:rsid w:val="00BF403A"/>
    <w:rsid w:val="00C05840"/>
    <w:rsid w:val="00C11F9D"/>
    <w:rsid w:val="00C201AA"/>
    <w:rsid w:val="00C413A8"/>
    <w:rsid w:val="00C92CB6"/>
    <w:rsid w:val="00C973B5"/>
    <w:rsid w:val="00CC041B"/>
    <w:rsid w:val="00CC58EA"/>
    <w:rsid w:val="00CD1DA0"/>
    <w:rsid w:val="00CE0644"/>
    <w:rsid w:val="00CE6000"/>
    <w:rsid w:val="00CF3D2C"/>
    <w:rsid w:val="00D025F6"/>
    <w:rsid w:val="00D0359E"/>
    <w:rsid w:val="00D13A19"/>
    <w:rsid w:val="00D1450D"/>
    <w:rsid w:val="00D20A25"/>
    <w:rsid w:val="00D366E4"/>
    <w:rsid w:val="00D53CAB"/>
    <w:rsid w:val="00D5798F"/>
    <w:rsid w:val="00D65755"/>
    <w:rsid w:val="00D86392"/>
    <w:rsid w:val="00D8710C"/>
    <w:rsid w:val="00D907D0"/>
    <w:rsid w:val="00D908CF"/>
    <w:rsid w:val="00D914CB"/>
    <w:rsid w:val="00DB20D9"/>
    <w:rsid w:val="00DC36ED"/>
    <w:rsid w:val="00DD5E39"/>
    <w:rsid w:val="00DD795C"/>
    <w:rsid w:val="00DF71FE"/>
    <w:rsid w:val="00E370EA"/>
    <w:rsid w:val="00E536C2"/>
    <w:rsid w:val="00E70430"/>
    <w:rsid w:val="00E9514E"/>
    <w:rsid w:val="00EA2D5F"/>
    <w:rsid w:val="00EC6559"/>
    <w:rsid w:val="00ED7798"/>
    <w:rsid w:val="00EF0B1B"/>
    <w:rsid w:val="00F16F46"/>
    <w:rsid w:val="00F22A88"/>
    <w:rsid w:val="00F232CC"/>
    <w:rsid w:val="00F25420"/>
    <w:rsid w:val="00F3147A"/>
    <w:rsid w:val="00F54EB3"/>
    <w:rsid w:val="00F56072"/>
    <w:rsid w:val="00F579CB"/>
    <w:rsid w:val="00F77261"/>
    <w:rsid w:val="00F80187"/>
    <w:rsid w:val="00F84338"/>
    <w:rsid w:val="00F90F03"/>
    <w:rsid w:val="00F97124"/>
    <w:rsid w:val="00FA69BF"/>
    <w:rsid w:val="00FD6449"/>
    <w:rsid w:val="00FF29BE"/>
    <w:rsid w:val="00FF6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D8CA8"/>
  <w15:chartTrackingRefBased/>
  <w15:docId w15:val="{F59D3A94-799C-4150-A085-AA95B2CF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Revision">
    <w:name w:val="Revision"/>
    <w:hidden/>
    <w:uiPriority w:val="99"/>
    <w:semiHidden/>
    <w:rsid w:val="001E234D"/>
    <w:rPr>
      <w:sz w:val="24"/>
      <w:szCs w:val="24"/>
    </w:rPr>
  </w:style>
  <w:style w:type="character" w:styleId="Kommentarsreferens">
    <w:name w:val="annotation reference"/>
    <w:basedOn w:val="Standardstycketeckensnitt"/>
    <w:uiPriority w:val="99"/>
    <w:semiHidden/>
    <w:unhideWhenUsed/>
    <w:rsid w:val="00801022"/>
    <w:rPr>
      <w:sz w:val="16"/>
      <w:szCs w:val="16"/>
    </w:rPr>
  </w:style>
  <w:style w:type="paragraph" w:styleId="Kommentarer">
    <w:name w:val="annotation text"/>
    <w:basedOn w:val="Normal"/>
    <w:link w:val="KommentarerChar"/>
    <w:uiPriority w:val="99"/>
    <w:unhideWhenUsed/>
    <w:rsid w:val="00801022"/>
    <w:rPr>
      <w:sz w:val="20"/>
      <w:szCs w:val="20"/>
    </w:rPr>
  </w:style>
  <w:style w:type="character" w:customStyle="1" w:styleId="KommentarerChar">
    <w:name w:val="Kommentarer Char"/>
    <w:basedOn w:val="Standardstycketeckensnitt"/>
    <w:link w:val="Kommentarer"/>
    <w:uiPriority w:val="99"/>
    <w:rsid w:val="00801022"/>
  </w:style>
  <w:style w:type="paragraph" w:styleId="Kommentarsmne">
    <w:name w:val="annotation subject"/>
    <w:basedOn w:val="Kommentarer"/>
    <w:next w:val="Kommentarer"/>
    <w:link w:val="KommentarsmneChar"/>
    <w:uiPriority w:val="99"/>
    <w:semiHidden/>
    <w:unhideWhenUsed/>
    <w:rsid w:val="00801022"/>
    <w:rPr>
      <w:b/>
      <w:bCs/>
    </w:rPr>
  </w:style>
  <w:style w:type="character" w:customStyle="1" w:styleId="KommentarsmneChar">
    <w:name w:val="Kommentarsämne Char"/>
    <w:basedOn w:val="KommentarerChar"/>
    <w:link w:val="Kommentarsmne"/>
    <w:uiPriority w:val="99"/>
    <w:semiHidden/>
    <w:rsid w:val="00801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LS-Framställning.dot</Template>
  <TotalTime>1</TotalTime>
  <Pages>1</Pages>
  <Words>2739</Words>
  <Characters>17696</Characters>
  <Application>Microsoft Office Word</Application>
  <DocSecurity>0</DocSecurity>
  <Lines>147</Lines>
  <Paragraphs>40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20395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Helena Blomqvist</dc:creator>
  <cp:keywords/>
  <dc:description/>
  <cp:lastModifiedBy>Jessica Laaksonen</cp:lastModifiedBy>
  <cp:revision>2</cp:revision>
  <cp:lastPrinted>2001-02-13T09:44:00Z</cp:lastPrinted>
  <dcterms:created xsi:type="dcterms:W3CDTF">2024-10-25T07:17:00Z</dcterms:created>
  <dcterms:modified xsi:type="dcterms:W3CDTF">2024-10-25T07:17:00Z</dcterms:modified>
</cp:coreProperties>
</file>