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057A4BE7" w14:textId="77777777">
        <w:trPr>
          <w:cantSplit/>
          <w:trHeight w:val="20"/>
        </w:trPr>
        <w:tc>
          <w:tcPr>
            <w:tcW w:w="861" w:type="dxa"/>
            <w:vMerge w:val="restart"/>
          </w:tcPr>
          <w:p w14:paraId="25D3A854" w14:textId="77777777" w:rsidR="002401D0" w:rsidRDefault="00577410">
            <w:pPr>
              <w:pStyle w:val="xLedtext"/>
              <w:rPr>
                <w:noProof/>
              </w:rPr>
            </w:pPr>
            <w:bookmarkStart w:id="0" w:name="_top"/>
            <w:bookmarkEnd w:id="0"/>
            <w:r>
              <w:rPr>
                <w:noProof/>
                <w:lang w:val="sv-FI" w:eastAsia="sv-FI"/>
              </w:rPr>
              <w:drawing>
                <wp:inline distT="0" distB="0" distL="0" distR="0" wp14:anchorId="66E54DFF" wp14:editId="05EE27FA">
                  <wp:extent cx="482600" cy="683895"/>
                  <wp:effectExtent l="0" t="0" r="0" b="1905"/>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683895"/>
                          </a:xfrm>
                          <a:prstGeom prst="rect">
                            <a:avLst/>
                          </a:prstGeom>
                          <a:noFill/>
                          <a:ln>
                            <a:noFill/>
                          </a:ln>
                        </pic:spPr>
                      </pic:pic>
                    </a:graphicData>
                  </a:graphic>
                </wp:inline>
              </w:drawing>
            </w:r>
          </w:p>
        </w:tc>
        <w:tc>
          <w:tcPr>
            <w:tcW w:w="8736" w:type="dxa"/>
            <w:gridSpan w:val="3"/>
            <w:vAlign w:val="bottom"/>
          </w:tcPr>
          <w:p w14:paraId="43ED664C" w14:textId="77777777" w:rsidR="002401D0" w:rsidRDefault="00577410">
            <w:pPr>
              <w:pStyle w:val="xMellanrum"/>
            </w:pPr>
            <w:r>
              <w:rPr>
                <w:noProof/>
                <w:lang w:val="sv-FI" w:eastAsia="sv-FI"/>
              </w:rPr>
              <w:drawing>
                <wp:inline distT="0" distB="0" distL="0" distR="0" wp14:anchorId="1C804A5C" wp14:editId="00B1692B">
                  <wp:extent cx="47625" cy="4762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652C38CC" w14:textId="77777777">
        <w:trPr>
          <w:cantSplit/>
          <w:trHeight w:val="299"/>
        </w:trPr>
        <w:tc>
          <w:tcPr>
            <w:tcW w:w="861" w:type="dxa"/>
            <w:vMerge/>
          </w:tcPr>
          <w:p w14:paraId="3FBE8BAC" w14:textId="77777777" w:rsidR="002401D0" w:rsidRDefault="002401D0">
            <w:pPr>
              <w:pStyle w:val="xLedtext"/>
            </w:pPr>
          </w:p>
        </w:tc>
        <w:tc>
          <w:tcPr>
            <w:tcW w:w="4448" w:type="dxa"/>
            <w:vAlign w:val="bottom"/>
          </w:tcPr>
          <w:p w14:paraId="0C012C84" w14:textId="77777777" w:rsidR="002401D0" w:rsidRDefault="002401D0">
            <w:pPr>
              <w:pStyle w:val="xAvsandare1"/>
            </w:pPr>
            <w:r>
              <w:t>Ålands lagting</w:t>
            </w:r>
          </w:p>
        </w:tc>
        <w:tc>
          <w:tcPr>
            <w:tcW w:w="4288" w:type="dxa"/>
            <w:gridSpan w:val="2"/>
            <w:vAlign w:val="bottom"/>
          </w:tcPr>
          <w:p w14:paraId="24156E11" w14:textId="4473C39D" w:rsidR="002401D0" w:rsidRDefault="002401D0" w:rsidP="00837646">
            <w:pPr>
              <w:pStyle w:val="xDokTypNr"/>
            </w:pPr>
            <w:r>
              <w:t xml:space="preserve">BETÄNKANDE nr </w:t>
            </w:r>
            <w:r w:rsidR="0091166C">
              <w:t>14</w:t>
            </w:r>
            <w:r>
              <w:t>/</w:t>
            </w:r>
            <w:proofErr w:type="gramStart"/>
            <w:r>
              <w:t>20</w:t>
            </w:r>
            <w:r w:rsidR="000B1DB9">
              <w:t>2</w:t>
            </w:r>
            <w:r w:rsidR="00102387">
              <w:t>3</w:t>
            </w:r>
            <w:r w:rsidR="0015337C">
              <w:t>-20</w:t>
            </w:r>
            <w:r w:rsidR="004D3D04">
              <w:t>2</w:t>
            </w:r>
            <w:r w:rsidR="00102387">
              <w:t>4</w:t>
            </w:r>
            <w:proofErr w:type="gramEnd"/>
          </w:p>
        </w:tc>
      </w:tr>
      <w:tr w:rsidR="002401D0" w14:paraId="2C3FA8B9" w14:textId="77777777">
        <w:trPr>
          <w:cantSplit/>
          <w:trHeight w:val="238"/>
        </w:trPr>
        <w:tc>
          <w:tcPr>
            <w:tcW w:w="861" w:type="dxa"/>
            <w:vMerge/>
          </w:tcPr>
          <w:p w14:paraId="6C8BD3E8" w14:textId="77777777" w:rsidR="002401D0" w:rsidRDefault="002401D0">
            <w:pPr>
              <w:pStyle w:val="xLedtext"/>
            </w:pPr>
          </w:p>
        </w:tc>
        <w:tc>
          <w:tcPr>
            <w:tcW w:w="4448" w:type="dxa"/>
            <w:vAlign w:val="bottom"/>
          </w:tcPr>
          <w:p w14:paraId="4B4D5767" w14:textId="77777777" w:rsidR="002401D0" w:rsidRDefault="002401D0">
            <w:pPr>
              <w:pStyle w:val="xLedtext"/>
            </w:pPr>
          </w:p>
        </w:tc>
        <w:tc>
          <w:tcPr>
            <w:tcW w:w="1725" w:type="dxa"/>
            <w:vAlign w:val="bottom"/>
          </w:tcPr>
          <w:p w14:paraId="711EE873" w14:textId="77777777" w:rsidR="002401D0" w:rsidRDefault="002401D0">
            <w:pPr>
              <w:pStyle w:val="xLedtext"/>
            </w:pPr>
            <w:r>
              <w:t>Datum</w:t>
            </w:r>
          </w:p>
        </w:tc>
        <w:tc>
          <w:tcPr>
            <w:tcW w:w="2563" w:type="dxa"/>
            <w:vAlign w:val="bottom"/>
          </w:tcPr>
          <w:p w14:paraId="49C88268" w14:textId="77777777" w:rsidR="002401D0" w:rsidRDefault="002401D0">
            <w:pPr>
              <w:pStyle w:val="xLedtext"/>
            </w:pPr>
          </w:p>
        </w:tc>
      </w:tr>
      <w:tr w:rsidR="002401D0" w14:paraId="59239E53" w14:textId="77777777">
        <w:trPr>
          <w:cantSplit/>
          <w:trHeight w:val="238"/>
        </w:trPr>
        <w:tc>
          <w:tcPr>
            <w:tcW w:w="861" w:type="dxa"/>
            <w:vMerge/>
          </w:tcPr>
          <w:p w14:paraId="21388BFD" w14:textId="77777777" w:rsidR="002401D0" w:rsidRDefault="002401D0">
            <w:pPr>
              <w:pStyle w:val="xAvsandare2"/>
            </w:pPr>
          </w:p>
        </w:tc>
        <w:tc>
          <w:tcPr>
            <w:tcW w:w="4448" w:type="dxa"/>
            <w:vAlign w:val="center"/>
          </w:tcPr>
          <w:p w14:paraId="115F2707" w14:textId="77777777" w:rsidR="002401D0" w:rsidRDefault="0028660F">
            <w:pPr>
              <w:pStyle w:val="xAvsandare2"/>
            </w:pPr>
            <w:r>
              <w:t>Finans- och närings</w:t>
            </w:r>
            <w:r w:rsidR="002401D0">
              <w:t>utskottet</w:t>
            </w:r>
          </w:p>
        </w:tc>
        <w:tc>
          <w:tcPr>
            <w:tcW w:w="1725" w:type="dxa"/>
            <w:vAlign w:val="center"/>
          </w:tcPr>
          <w:p w14:paraId="0A690147" w14:textId="695A2CA1" w:rsidR="002401D0" w:rsidRDefault="002401D0" w:rsidP="00FD3F3C">
            <w:pPr>
              <w:pStyle w:val="xDatum1"/>
            </w:pPr>
            <w:r>
              <w:t>20</w:t>
            </w:r>
            <w:r w:rsidR="004D3D04">
              <w:t>2</w:t>
            </w:r>
            <w:r w:rsidR="00102387">
              <w:t>4</w:t>
            </w:r>
            <w:r w:rsidR="0028660F">
              <w:t>-0</w:t>
            </w:r>
            <w:r w:rsidR="00CA1E7C">
              <w:t>9</w:t>
            </w:r>
            <w:r w:rsidR="0028660F">
              <w:t>-</w:t>
            </w:r>
            <w:r w:rsidR="000A5A8F">
              <w:t>24</w:t>
            </w:r>
          </w:p>
        </w:tc>
        <w:tc>
          <w:tcPr>
            <w:tcW w:w="2563" w:type="dxa"/>
            <w:vAlign w:val="center"/>
          </w:tcPr>
          <w:p w14:paraId="7962AA13" w14:textId="77777777" w:rsidR="002401D0" w:rsidRDefault="002401D0">
            <w:pPr>
              <w:pStyle w:val="xBeteckning1"/>
            </w:pPr>
          </w:p>
        </w:tc>
      </w:tr>
      <w:tr w:rsidR="002401D0" w14:paraId="07034CB8" w14:textId="77777777">
        <w:trPr>
          <w:cantSplit/>
          <w:trHeight w:val="238"/>
        </w:trPr>
        <w:tc>
          <w:tcPr>
            <w:tcW w:w="861" w:type="dxa"/>
            <w:vMerge/>
          </w:tcPr>
          <w:p w14:paraId="467DC712" w14:textId="77777777" w:rsidR="002401D0" w:rsidRDefault="002401D0">
            <w:pPr>
              <w:pStyle w:val="xLedtext"/>
            </w:pPr>
          </w:p>
        </w:tc>
        <w:tc>
          <w:tcPr>
            <w:tcW w:w="4448" w:type="dxa"/>
            <w:vAlign w:val="bottom"/>
          </w:tcPr>
          <w:p w14:paraId="624ACD1C" w14:textId="77777777" w:rsidR="002401D0" w:rsidRDefault="002401D0">
            <w:pPr>
              <w:pStyle w:val="xLedtext"/>
            </w:pPr>
          </w:p>
        </w:tc>
        <w:tc>
          <w:tcPr>
            <w:tcW w:w="1725" w:type="dxa"/>
            <w:vAlign w:val="bottom"/>
          </w:tcPr>
          <w:p w14:paraId="6AABA7A0" w14:textId="77777777" w:rsidR="002401D0" w:rsidRDefault="002401D0">
            <w:pPr>
              <w:pStyle w:val="xLedtext"/>
            </w:pPr>
          </w:p>
        </w:tc>
        <w:tc>
          <w:tcPr>
            <w:tcW w:w="2563" w:type="dxa"/>
            <w:vAlign w:val="bottom"/>
          </w:tcPr>
          <w:p w14:paraId="564A9A03" w14:textId="77777777" w:rsidR="002401D0" w:rsidRDefault="002401D0">
            <w:pPr>
              <w:pStyle w:val="xLedtext"/>
            </w:pPr>
          </w:p>
        </w:tc>
      </w:tr>
      <w:tr w:rsidR="002401D0" w14:paraId="7AD8161F" w14:textId="77777777">
        <w:trPr>
          <w:cantSplit/>
          <w:trHeight w:val="238"/>
        </w:trPr>
        <w:tc>
          <w:tcPr>
            <w:tcW w:w="861" w:type="dxa"/>
            <w:vMerge/>
            <w:tcBorders>
              <w:bottom w:val="single" w:sz="4" w:space="0" w:color="auto"/>
            </w:tcBorders>
          </w:tcPr>
          <w:p w14:paraId="24A2EA57" w14:textId="77777777" w:rsidR="002401D0" w:rsidRDefault="002401D0">
            <w:pPr>
              <w:pStyle w:val="xAvsandare3"/>
            </w:pPr>
          </w:p>
        </w:tc>
        <w:tc>
          <w:tcPr>
            <w:tcW w:w="4448" w:type="dxa"/>
            <w:tcBorders>
              <w:bottom w:val="single" w:sz="4" w:space="0" w:color="auto"/>
            </w:tcBorders>
            <w:vAlign w:val="center"/>
          </w:tcPr>
          <w:p w14:paraId="1904C7A0" w14:textId="77777777" w:rsidR="002401D0" w:rsidRDefault="002401D0">
            <w:pPr>
              <w:pStyle w:val="xAvsandare3"/>
            </w:pPr>
          </w:p>
        </w:tc>
        <w:tc>
          <w:tcPr>
            <w:tcW w:w="1725" w:type="dxa"/>
            <w:tcBorders>
              <w:bottom w:val="single" w:sz="4" w:space="0" w:color="auto"/>
            </w:tcBorders>
            <w:vAlign w:val="center"/>
          </w:tcPr>
          <w:p w14:paraId="676B0B8E" w14:textId="77777777" w:rsidR="002401D0" w:rsidRDefault="002401D0">
            <w:pPr>
              <w:pStyle w:val="xDatum2"/>
            </w:pPr>
          </w:p>
        </w:tc>
        <w:tc>
          <w:tcPr>
            <w:tcW w:w="2563" w:type="dxa"/>
            <w:tcBorders>
              <w:bottom w:val="single" w:sz="4" w:space="0" w:color="auto"/>
            </w:tcBorders>
            <w:vAlign w:val="center"/>
          </w:tcPr>
          <w:p w14:paraId="10A73CE7" w14:textId="77777777" w:rsidR="002401D0" w:rsidRDefault="002401D0">
            <w:pPr>
              <w:pStyle w:val="xBeteckning2"/>
            </w:pPr>
          </w:p>
        </w:tc>
      </w:tr>
      <w:tr w:rsidR="002401D0" w14:paraId="210CC041" w14:textId="77777777">
        <w:trPr>
          <w:cantSplit/>
          <w:trHeight w:val="238"/>
        </w:trPr>
        <w:tc>
          <w:tcPr>
            <w:tcW w:w="861" w:type="dxa"/>
            <w:tcBorders>
              <w:top w:val="single" w:sz="4" w:space="0" w:color="auto"/>
            </w:tcBorders>
            <w:vAlign w:val="bottom"/>
          </w:tcPr>
          <w:p w14:paraId="4ED5A9E8" w14:textId="77777777" w:rsidR="002401D0" w:rsidRDefault="002401D0">
            <w:pPr>
              <w:pStyle w:val="xLedtext"/>
            </w:pPr>
          </w:p>
        </w:tc>
        <w:tc>
          <w:tcPr>
            <w:tcW w:w="4448" w:type="dxa"/>
            <w:tcBorders>
              <w:top w:val="single" w:sz="4" w:space="0" w:color="auto"/>
            </w:tcBorders>
            <w:vAlign w:val="bottom"/>
          </w:tcPr>
          <w:p w14:paraId="75E412DA" w14:textId="77777777" w:rsidR="002401D0" w:rsidRDefault="002401D0">
            <w:pPr>
              <w:pStyle w:val="xLedtext"/>
            </w:pPr>
          </w:p>
        </w:tc>
        <w:tc>
          <w:tcPr>
            <w:tcW w:w="4288" w:type="dxa"/>
            <w:gridSpan w:val="2"/>
            <w:tcBorders>
              <w:top w:val="single" w:sz="4" w:space="0" w:color="auto"/>
            </w:tcBorders>
            <w:vAlign w:val="bottom"/>
          </w:tcPr>
          <w:p w14:paraId="49B432C6" w14:textId="77777777" w:rsidR="002401D0" w:rsidRDefault="002401D0">
            <w:pPr>
              <w:pStyle w:val="xLedtext"/>
            </w:pPr>
          </w:p>
        </w:tc>
      </w:tr>
      <w:tr w:rsidR="002401D0" w14:paraId="3BC1322C" w14:textId="77777777">
        <w:trPr>
          <w:cantSplit/>
          <w:trHeight w:val="238"/>
        </w:trPr>
        <w:tc>
          <w:tcPr>
            <w:tcW w:w="861" w:type="dxa"/>
          </w:tcPr>
          <w:p w14:paraId="01384DCA" w14:textId="77777777" w:rsidR="002401D0" w:rsidRDefault="002401D0">
            <w:pPr>
              <w:pStyle w:val="xCelltext"/>
            </w:pPr>
          </w:p>
        </w:tc>
        <w:tc>
          <w:tcPr>
            <w:tcW w:w="4448" w:type="dxa"/>
            <w:vMerge w:val="restart"/>
          </w:tcPr>
          <w:p w14:paraId="680CFF7E" w14:textId="77777777" w:rsidR="002401D0" w:rsidRDefault="002401D0">
            <w:pPr>
              <w:pStyle w:val="xMottagare1"/>
            </w:pPr>
            <w:r>
              <w:t>Till Ålands lagting</w:t>
            </w:r>
          </w:p>
        </w:tc>
        <w:tc>
          <w:tcPr>
            <w:tcW w:w="4288" w:type="dxa"/>
            <w:gridSpan w:val="2"/>
            <w:vMerge w:val="restart"/>
          </w:tcPr>
          <w:p w14:paraId="55B27F0E" w14:textId="77777777" w:rsidR="002401D0" w:rsidRDefault="002401D0">
            <w:pPr>
              <w:pStyle w:val="xMottagare1"/>
              <w:tabs>
                <w:tab w:val="left" w:pos="2349"/>
              </w:tabs>
            </w:pPr>
          </w:p>
        </w:tc>
      </w:tr>
      <w:tr w:rsidR="002401D0" w14:paraId="47CC7A0A" w14:textId="77777777">
        <w:trPr>
          <w:cantSplit/>
          <w:trHeight w:val="238"/>
        </w:trPr>
        <w:tc>
          <w:tcPr>
            <w:tcW w:w="861" w:type="dxa"/>
          </w:tcPr>
          <w:p w14:paraId="7DAEA603" w14:textId="77777777" w:rsidR="002401D0" w:rsidRDefault="002401D0">
            <w:pPr>
              <w:pStyle w:val="xCelltext"/>
            </w:pPr>
          </w:p>
        </w:tc>
        <w:tc>
          <w:tcPr>
            <w:tcW w:w="4448" w:type="dxa"/>
            <w:vMerge/>
            <w:vAlign w:val="center"/>
          </w:tcPr>
          <w:p w14:paraId="3023ADBD" w14:textId="77777777" w:rsidR="002401D0" w:rsidRDefault="002401D0">
            <w:pPr>
              <w:pStyle w:val="xCelltext"/>
            </w:pPr>
          </w:p>
        </w:tc>
        <w:tc>
          <w:tcPr>
            <w:tcW w:w="4288" w:type="dxa"/>
            <w:gridSpan w:val="2"/>
            <w:vMerge/>
            <w:vAlign w:val="center"/>
          </w:tcPr>
          <w:p w14:paraId="63CCEDD2" w14:textId="77777777" w:rsidR="002401D0" w:rsidRDefault="002401D0">
            <w:pPr>
              <w:pStyle w:val="xCelltext"/>
            </w:pPr>
          </w:p>
        </w:tc>
      </w:tr>
      <w:tr w:rsidR="002401D0" w14:paraId="30F97625" w14:textId="77777777">
        <w:trPr>
          <w:cantSplit/>
          <w:trHeight w:val="238"/>
        </w:trPr>
        <w:tc>
          <w:tcPr>
            <w:tcW w:w="861" w:type="dxa"/>
          </w:tcPr>
          <w:p w14:paraId="0A72A8EE" w14:textId="77777777" w:rsidR="002401D0" w:rsidRDefault="002401D0">
            <w:pPr>
              <w:pStyle w:val="xCelltext"/>
            </w:pPr>
          </w:p>
        </w:tc>
        <w:tc>
          <w:tcPr>
            <w:tcW w:w="4448" w:type="dxa"/>
            <w:vMerge/>
            <w:vAlign w:val="center"/>
          </w:tcPr>
          <w:p w14:paraId="6BC75706" w14:textId="77777777" w:rsidR="002401D0" w:rsidRDefault="002401D0">
            <w:pPr>
              <w:pStyle w:val="xCelltext"/>
            </w:pPr>
          </w:p>
        </w:tc>
        <w:tc>
          <w:tcPr>
            <w:tcW w:w="4288" w:type="dxa"/>
            <w:gridSpan w:val="2"/>
            <w:vMerge/>
            <w:vAlign w:val="center"/>
          </w:tcPr>
          <w:p w14:paraId="59627398" w14:textId="77777777" w:rsidR="002401D0" w:rsidRDefault="002401D0">
            <w:pPr>
              <w:pStyle w:val="xCelltext"/>
            </w:pPr>
          </w:p>
        </w:tc>
      </w:tr>
      <w:tr w:rsidR="002401D0" w14:paraId="44515530" w14:textId="77777777">
        <w:trPr>
          <w:cantSplit/>
          <w:trHeight w:val="238"/>
        </w:trPr>
        <w:tc>
          <w:tcPr>
            <w:tcW w:w="861" w:type="dxa"/>
          </w:tcPr>
          <w:p w14:paraId="6D3640CE" w14:textId="77777777" w:rsidR="002401D0" w:rsidRDefault="002401D0">
            <w:pPr>
              <w:pStyle w:val="xCelltext"/>
            </w:pPr>
          </w:p>
        </w:tc>
        <w:tc>
          <w:tcPr>
            <w:tcW w:w="4448" w:type="dxa"/>
            <w:vMerge/>
            <w:vAlign w:val="center"/>
          </w:tcPr>
          <w:p w14:paraId="55611718" w14:textId="77777777" w:rsidR="002401D0" w:rsidRDefault="002401D0">
            <w:pPr>
              <w:pStyle w:val="xCelltext"/>
            </w:pPr>
          </w:p>
        </w:tc>
        <w:tc>
          <w:tcPr>
            <w:tcW w:w="4288" w:type="dxa"/>
            <w:gridSpan w:val="2"/>
            <w:vMerge/>
            <w:vAlign w:val="center"/>
          </w:tcPr>
          <w:p w14:paraId="08BFE218" w14:textId="77777777" w:rsidR="002401D0" w:rsidRDefault="002401D0">
            <w:pPr>
              <w:pStyle w:val="xCelltext"/>
            </w:pPr>
          </w:p>
        </w:tc>
      </w:tr>
      <w:tr w:rsidR="002401D0" w14:paraId="558DA280" w14:textId="77777777">
        <w:trPr>
          <w:cantSplit/>
          <w:trHeight w:val="238"/>
        </w:trPr>
        <w:tc>
          <w:tcPr>
            <w:tcW w:w="861" w:type="dxa"/>
          </w:tcPr>
          <w:p w14:paraId="7F3DDB30" w14:textId="77777777" w:rsidR="002401D0" w:rsidRDefault="002401D0">
            <w:pPr>
              <w:pStyle w:val="xCelltext"/>
            </w:pPr>
          </w:p>
        </w:tc>
        <w:tc>
          <w:tcPr>
            <w:tcW w:w="4448" w:type="dxa"/>
            <w:vMerge/>
            <w:vAlign w:val="center"/>
          </w:tcPr>
          <w:p w14:paraId="030ECEF5" w14:textId="77777777" w:rsidR="002401D0" w:rsidRDefault="002401D0">
            <w:pPr>
              <w:pStyle w:val="xCelltext"/>
            </w:pPr>
          </w:p>
        </w:tc>
        <w:tc>
          <w:tcPr>
            <w:tcW w:w="4288" w:type="dxa"/>
            <w:gridSpan w:val="2"/>
            <w:vMerge/>
            <w:vAlign w:val="center"/>
          </w:tcPr>
          <w:p w14:paraId="6A262CB2" w14:textId="77777777" w:rsidR="002401D0" w:rsidRDefault="002401D0">
            <w:pPr>
              <w:pStyle w:val="xCelltext"/>
            </w:pPr>
          </w:p>
        </w:tc>
      </w:tr>
    </w:tbl>
    <w:p w14:paraId="359FE051"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516D58C5" w14:textId="77777777" w:rsidR="002401D0" w:rsidRDefault="0028660F">
      <w:pPr>
        <w:pStyle w:val="ArendeOverRubrik"/>
      </w:pPr>
      <w:r>
        <w:t>Finans- och närings</w:t>
      </w:r>
      <w:r w:rsidR="002401D0">
        <w:t>utskottets betänkande</w:t>
      </w:r>
    </w:p>
    <w:p w14:paraId="3A581238" w14:textId="395A7DD1" w:rsidR="0031113B" w:rsidRDefault="0028660F" w:rsidP="0028660F">
      <w:pPr>
        <w:pStyle w:val="ArendeRubrik"/>
        <w:ind w:right="-1248"/>
      </w:pPr>
      <w:r>
        <w:t>R</w:t>
      </w:r>
      <w:r w:rsidR="0031113B">
        <w:t>edogörelse över årsredovisning</w:t>
      </w:r>
      <w:r w:rsidR="00FD3F3C">
        <w:t>en</w:t>
      </w:r>
      <w:r w:rsidR="0031113B">
        <w:t xml:space="preserve"> per 31.12.20</w:t>
      </w:r>
      <w:r w:rsidR="000B1DB9">
        <w:t>2</w:t>
      </w:r>
      <w:r w:rsidR="00102387">
        <w:t>3</w:t>
      </w:r>
    </w:p>
    <w:p w14:paraId="13C929D4" w14:textId="54390CDC" w:rsidR="002401D0" w:rsidRDefault="007537BE">
      <w:pPr>
        <w:pStyle w:val="ArendeUnderRubrik"/>
      </w:pPr>
      <w:r>
        <w:fldChar w:fldCharType="begin"/>
      </w:r>
      <w:r>
        <w:instrText>HYPERLINK "https://www.lagtinget.ax/dokument/redogorelse-32019-2020-47532"</w:instrText>
      </w:r>
      <w:r>
        <w:fldChar w:fldCharType="separate"/>
      </w:r>
      <w:r w:rsidR="0028660F" w:rsidRPr="000C1885">
        <w:rPr>
          <w:rStyle w:val="Hyperlnk"/>
        </w:rPr>
        <w:t xml:space="preserve">Landskapsregeringens redogörelse </w:t>
      </w:r>
      <w:r w:rsidR="00AA1C2B">
        <w:rPr>
          <w:rStyle w:val="Hyperlnk"/>
        </w:rPr>
        <w:t xml:space="preserve">nr </w:t>
      </w:r>
      <w:r>
        <w:rPr>
          <w:rStyle w:val="Hyperlnk"/>
        </w:rPr>
        <w:t>3</w:t>
      </w:r>
      <w:r w:rsidR="0028660F" w:rsidRPr="000C1885">
        <w:rPr>
          <w:rStyle w:val="Hyperlnk"/>
        </w:rPr>
        <w:t>/20</w:t>
      </w:r>
      <w:r w:rsidR="000B1DB9">
        <w:rPr>
          <w:rStyle w:val="Hyperlnk"/>
        </w:rPr>
        <w:t>2</w:t>
      </w:r>
      <w:r w:rsidR="00102387">
        <w:rPr>
          <w:rStyle w:val="Hyperlnk"/>
        </w:rPr>
        <w:t>3</w:t>
      </w:r>
      <w:r w:rsidR="0028660F" w:rsidRPr="000C1885">
        <w:rPr>
          <w:rStyle w:val="Hyperlnk"/>
        </w:rPr>
        <w:t>-20</w:t>
      </w:r>
      <w:r w:rsidR="004D3D04">
        <w:rPr>
          <w:rStyle w:val="Hyperlnk"/>
        </w:rPr>
        <w:t>2</w:t>
      </w:r>
      <w:r>
        <w:rPr>
          <w:rStyle w:val="Hyperlnk"/>
        </w:rPr>
        <w:fldChar w:fldCharType="end"/>
      </w:r>
      <w:r w:rsidR="00102387">
        <w:rPr>
          <w:rStyle w:val="Hyperlnk"/>
        </w:rPr>
        <w:t>4</w:t>
      </w:r>
    </w:p>
    <w:p w14:paraId="275661D7" w14:textId="77777777" w:rsidR="002401D0" w:rsidRDefault="002401D0">
      <w:pPr>
        <w:pStyle w:val="ANormal"/>
      </w:pPr>
    </w:p>
    <w:p w14:paraId="37F434F2" w14:textId="77777777" w:rsidR="002401D0" w:rsidRDefault="002401D0">
      <w:pPr>
        <w:pStyle w:val="Innehll1"/>
      </w:pPr>
      <w:r>
        <w:t>INNEHÅLL</w:t>
      </w:r>
    </w:p>
    <w:p w14:paraId="138E3DDC" w14:textId="50106C72" w:rsidR="000A5A8F"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78066485" w:history="1">
        <w:r w:rsidR="000A5A8F" w:rsidRPr="005579B5">
          <w:rPr>
            <w:rStyle w:val="Hyperlnk"/>
          </w:rPr>
          <w:t>Sammanfattning</w:t>
        </w:r>
        <w:r w:rsidR="000A5A8F">
          <w:rPr>
            <w:webHidden/>
          </w:rPr>
          <w:tab/>
        </w:r>
        <w:r w:rsidR="000A5A8F">
          <w:rPr>
            <w:webHidden/>
          </w:rPr>
          <w:fldChar w:fldCharType="begin"/>
        </w:r>
        <w:r w:rsidR="000A5A8F">
          <w:rPr>
            <w:webHidden/>
          </w:rPr>
          <w:instrText xml:space="preserve"> PAGEREF _Toc178066485 \h </w:instrText>
        </w:r>
        <w:r w:rsidR="000A5A8F">
          <w:rPr>
            <w:webHidden/>
          </w:rPr>
        </w:r>
        <w:r w:rsidR="000A5A8F">
          <w:rPr>
            <w:webHidden/>
          </w:rPr>
          <w:fldChar w:fldCharType="separate"/>
        </w:r>
        <w:r w:rsidR="009A3B43">
          <w:rPr>
            <w:webHidden/>
          </w:rPr>
          <w:t>1</w:t>
        </w:r>
        <w:r w:rsidR="000A5A8F">
          <w:rPr>
            <w:webHidden/>
          </w:rPr>
          <w:fldChar w:fldCharType="end"/>
        </w:r>
      </w:hyperlink>
    </w:p>
    <w:p w14:paraId="52E7CD34" w14:textId="4ECB1050" w:rsidR="000A5A8F" w:rsidRDefault="007537BE">
      <w:pPr>
        <w:pStyle w:val="Innehll2"/>
        <w:rPr>
          <w:rFonts w:asciiTheme="minorHAnsi" w:eastAsiaTheme="minorEastAsia" w:hAnsiTheme="minorHAnsi" w:cstheme="minorBidi"/>
          <w:kern w:val="2"/>
          <w:sz w:val="24"/>
          <w:szCs w:val="24"/>
          <w:lang w:val="sv-FI" w:eastAsia="sv-FI"/>
          <w14:ligatures w14:val="standardContextual"/>
        </w:rPr>
      </w:pPr>
      <w:hyperlink w:anchor="_Toc178066486" w:history="1">
        <w:r w:rsidR="000A5A8F" w:rsidRPr="005579B5">
          <w:rPr>
            <w:rStyle w:val="Hyperlnk"/>
          </w:rPr>
          <w:t>Landskapsregeringens förslag</w:t>
        </w:r>
        <w:r w:rsidR="000A5A8F">
          <w:rPr>
            <w:webHidden/>
          </w:rPr>
          <w:tab/>
        </w:r>
        <w:r w:rsidR="000A5A8F">
          <w:rPr>
            <w:webHidden/>
          </w:rPr>
          <w:fldChar w:fldCharType="begin"/>
        </w:r>
        <w:r w:rsidR="000A5A8F">
          <w:rPr>
            <w:webHidden/>
          </w:rPr>
          <w:instrText xml:space="preserve"> PAGEREF _Toc178066486 \h </w:instrText>
        </w:r>
        <w:r w:rsidR="000A5A8F">
          <w:rPr>
            <w:webHidden/>
          </w:rPr>
        </w:r>
        <w:r w:rsidR="000A5A8F">
          <w:rPr>
            <w:webHidden/>
          </w:rPr>
          <w:fldChar w:fldCharType="separate"/>
        </w:r>
        <w:r w:rsidR="009A3B43">
          <w:rPr>
            <w:webHidden/>
          </w:rPr>
          <w:t>1</w:t>
        </w:r>
        <w:r w:rsidR="000A5A8F">
          <w:rPr>
            <w:webHidden/>
          </w:rPr>
          <w:fldChar w:fldCharType="end"/>
        </w:r>
      </w:hyperlink>
    </w:p>
    <w:p w14:paraId="21B82B25" w14:textId="5A1F0A43" w:rsidR="000A5A8F" w:rsidRDefault="007537BE">
      <w:pPr>
        <w:pStyle w:val="Innehll2"/>
        <w:rPr>
          <w:rFonts w:asciiTheme="minorHAnsi" w:eastAsiaTheme="minorEastAsia" w:hAnsiTheme="minorHAnsi" w:cstheme="minorBidi"/>
          <w:kern w:val="2"/>
          <w:sz w:val="24"/>
          <w:szCs w:val="24"/>
          <w:lang w:val="sv-FI" w:eastAsia="sv-FI"/>
          <w14:ligatures w14:val="standardContextual"/>
        </w:rPr>
      </w:pPr>
      <w:hyperlink w:anchor="_Toc178066487" w:history="1">
        <w:r w:rsidR="000A5A8F" w:rsidRPr="005579B5">
          <w:rPr>
            <w:rStyle w:val="Hyperlnk"/>
          </w:rPr>
          <w:t>Utskottets förslag</w:t>
        </w:r>
        <w:r w:rsidR="000A5A8F">
          <w:rPr>
            <w:webHidden/>
          </w:rPr>
          <w:tab/>
        </w:r>
        <w:r w:rsidR="000A5A8F">
          <w:rPr>
            <w:webHidden/>
          </w:rPr>
          <w:fldChar w:fldCharType="begin"/>
        </w:r>
        <w:r w:rsidR="000A5A8F">
          <w:rPr>
            <w:webHidden/>
          </w:rPr>
          <w:instrText xml:space="preserve"> PAGEREF _Toc178066487 \h </w:instrText>
        </w:r>
        <w:r w:rsidR="000A5A8F">
          <w:rPr>
            <w:webHidden/>
          </w:rPr>
        </w:r>
        <w:r w:rsidR="000A5A8F">
          <w:rPr>
            <w:webHidden/>
          </w:rPr>
          <w:fldChar w:fldCharType="separate"/>
        </w:r>
        <w:r w:rsidR="009A3B43">
          <w:rPr>
            <w:webHidden/>
          </w:rPr>
          <w:t>1</w:t>
        </w:r>
        <w:r w:rsidR="000A5A8F">
          <w:rPr>
            <w:webHidden/>
          </w:rPr>
          <w:fldChar w:fldCharType="end"/>
        </w:r>
      </w:hyperlink>
    </w:p>
    <w:p w14:paraId="315BE975" w14:textId="7DF4423D" w:rsidR="000A5A8F" w:rsidRDefault="007537BE">
      <w:pPr>
        <w:pStyle w:val="Innehll1"/>
        <w:rPr>
          <w:rFonts w:asciiTheme="minorHAnsi" w:eastAsiaTheme="minorEastAsia" w:hAnsiTheme="minorHAnsi" w:cstheme="minorBidi"/>
          <w:kern w:val="2"/>
          <w:sz w:val="24"/>
          <w:szCs w:val="24"/>
          <w:lang w:val="sv-FI" w:eastAsia="sv-FI"/>
          <w14:ligatures w14:val="standardContextual"/>
        </w:rPr>
      </w:pPr>
      <w:hyperlink w:anchor="_Toc178066488" w:history="1">
        <w:r w:rsidR="000A5A8F" w:rsidRPr="005579B5">
          <w:rPr>
            <w:rStyle w:val="Hyperlnk"/>
          </w:rPr>
          <w:t>Utskottets synpunkter</w:t>
        </w:r>
        <w:r w:rsidR="000A5A8F">
          <w:rPr>
            <w:webHidden/>
          </w:rPr>
          <w:tab/>
        </w:r>
        <w:r w:rsidR="000A5A8F">
          <w:rPr>
            <w:webHidden/>
          </w:rPr>
          <w:fldChar w:fldCharType="begin"/>
        </w:r>
        <w:r w:rsidR="000A5A8F">
          <w:rPr>
            <w:webHidden/>
          </w:rPr>
          <w:instrText xml:space="preserve"> PAGEREF _Toc178066488 \h </w:instrText>
        </w:r>
        <w:r w:rsidR="000A5A8F">
          <w:rPr>
            <w:webHidden/>
          </w:rPr>
        </w:r>
        <w:r w:rsidR="000A5A8F">
          <w:rPr>
            <w:webHidden/>
          </w:rPr>
          <w:fldChar w:fldCharType="separate"/>
        </w:r>
        <w:r w:rsidR="009A3B43">
          <w:rPr>
            <w:webHidden/>
          </w:rPr>
          <w:t>1</w:t>
        </w:r>
        <w:r w:rsidR="000A5A8F">
          <w:rPr>
            <w:webHidden/>
          </w:rPr>
          <w:fldChar w:fldCharType="end"/>
        </w:r>
      </w:hyperlink>
    </w:p>
    <w:p w14:paraId="2E17FE21" w14:textId="30E33FD9" w:rsidR="000A5A8F" w:rsidRDefault="007537BE">
      <w:pPr>
        <w:pStyle w:val="Innehll3"/>
        <w:rPr>
          <w:rFonts w:asciiTheme="minorHAnsi" w:eastAsiaTheme="minorEastAsia" w:hAnsiTheme="minorHAnsi" w:cstheme="minorBidi"/>
          <w:kern w:val="2"/>
          <w:sz w:val="24"/>
          <w:szCs w:val="24"/>
          <w:lang w:val="sv-FI" w:eastAsia="sv-FI"/>
          <w14:ligatures w14:val="standardContextual"/>
        </w:rPr>
      </w:pPr>
      <w:hyperlink w:anchor="_Toc178066489" w:history="1">
        <w:r w:rsidR="000A5A8F" w:rsidRPr="005579B5">
          <w:rPr>
            <w:rStyle w:val="Hyperlnk"/>
          </w:rPr>
          <w:t>Förvaltningsberättelsen</w:t>
        </w:r>
        <w:r w:rsidR="000A5A8F">
          <w:rPr>
            <w:webHidden/>
          </w:rPr>
          <w:tab/>
        </w:r>
        <w:r w:rsidR="000A5A8F">
          <w:rPr>
            <w:webHidden/>
          </w:rPr>
          <w:fldChar w:fldCharType="begin"/>
        </w:r>
        <w:r w:rsidR="000A5A8F">
          <w:rPr>
            <w:webHidden/>
          </w:rPr>
          <w:instrText xml:space="preserve"> PAGEREF _Toc178066489 \h </w:instrText>
        </w:r>
        <w:r w:rsidR="000A5A8F">
          <w:rPr>
            <w:webHidden/>
          </w:rPr>
        </w:r>
        <w:r w:rsidR="000A5A8F">
          <w:rPr>
            <w:webHidden/>
          </w:rPr>
          <w:fldChar w:fldCharType="separate"/>
        </w:r>
        <w:r w:rsidR="009A3B43">
          <w:rPr>
            <w:webHidden/>
          </w:rPr>
          <w:t>2</w:t>
        </w:r>
        <w:r w:rsidR="000A5A8F">
          <w:rPr>
            <w:webHidden/>
          </w:rPr>
          <w:fldChar w:fldCharType="end"/>
        </w:r>
      </w:hyperlink>
    </w:p>
    <w:p w14:paraId="697CFC8C" w14:textId="5BDEFF30" w:rsidR="000A5A8F" w:rsidRDefault="007537BE">
      <w:pPr>
        <w:pStyle w:val="Innehll3"/>
        <w:rPr>
          <w:rFonts w:asciiTheme="minorHAnsi" w:eastAsiaTheme="minorEastAsia" w:hAnsiTheme="minorHAnsi" w:cstheme="minorBidi"/>
          <w:kern w:val="2"/>
          <w:sz w:val="24"/>
          <w:szCs w:val="24"/>
          <w:lang w:val="sv-FI" w:eastAsia="sv-FI"/>
          <w14:ligatures w14:val="standardContextual"/>
        </w:rPr>
      </w:pPr>
      <w:hyperlink w:anchor="_Toc178066490" w:history="1">
        <w:r w:rsidR="000A5A8F" w:rsidRPr="005579B5">
          <w:rPr>
            <w:rStyle w:val="Hyperlnk"/>
          </w:rPr>
          <w:t>Samordning och effektiviseringsprocesser</w:t>
        </w:r>
        <w:r w:rsidR="000A5A8F">
          <w:rPr>
            <w:webHidden/>
          </w:rPr>
          <w:tab/>
        </w:r>
        <w:r w:rsidR="000A5A8F">
          <w:rPr>
            <w:webHidden/>
          </w:rPr>
          <w:fldChar w:fldCharType="begin"/>
        </w:r>
        <w:r w:rsidR="000A5A8F">
          <w:rPr>
            <w:webHidden/>
          </w:rPr>
          <w:instrText xml:space="preserve"> PAGEREF _Toc178066490 \h </w:instrText>
        </w:r>
        <w:r w:rsidR="000A5A8F">
          <w:rPr>
            <w:webHidden/>
          </w:rPr>
        </w:r>
        <w:r w:rsidR="000A5A8F">
          <w:rPr>
            <w:webHidden/>
          </w:rPr>
          <w:fldChar w:fldCharType="separate"/>
        </w:r>
        <w:r w:rsidR="009A3B43">
          <w:rPr>
            <w:webHidden/>
          </w:rPr>
          <w:t>2</w:t>
        </w:r>
        <w:r w:rsidR="000A5A8F">
          <w:rPr>
            <w:webHidden/>
          </w:rPr>
          <w:fldChar w:fldCharType="end"/>
        </w:r>
      </w:hyperlink>
    </w:p>
    <w:p w14:paraId="7AF1686A" w14:textId="6FC8120F" w:rsidR="000A5A8F" w:rsidRDefault="007537BE">
      <w:pPr>
        <w:pStyle w:val="Innehll3"/>
        <w:rPr>
          <w:rFonts w:asciiTheme="minorHAnsi" w:eastAsiaTheme="minorEastAsia" w:hAnsiTheme="minorHAnsi" w:cstheme="minorBidi"/>
          <w:kern w:val="2"/>
          <w:sz w:val="24"/>
          <w:szCs w:val="24"/>
          <w:lang w:val="sv-FI" w:eastAsia="sv-FI"/>
          <w14:ligatures w14:val="standardContextual"/>
        </w:rPr>
      </w:pPr>
      <w:hyperlink w:anchor="_Toc178066491" w:history="1">
        <w:r w:rsidR="000A5A8F" w:rsidRPr="005579B5">
          <w:rPr>
            <w:rStyle w:val="Hyperlnk"/>
          </w:rPr>
          <w:t>Resultat- och kostnadsutveckling</w:t>
        </w:r>
        <w:r w:rsidR="000A5A8F">
          <w:rPr>
            <w:webHidden/>
          </w:rPr>
          <w:tab/>
        </w:r>
        <w:r w:rsidR="000A5A8F">
          <w:rPr>
            <w:webHidden/>
          </w:rPr>
          <w:fldChar w:fldCharType="begin"/>
        </w:r>
        <w:r w:rsidR="000A5A8F">
          <w:rPr>
            <w:webHidden/>
          </w:rPr>
          <w:instrText xml:space="preserve"> PAGEREF _Toc178066491 \h </w:instrText>
        </w:r>
        <w:r w:rsidR="000A5A8F">
          <w:rPr>
            <w:webHidden/>
          </w:rPr>
        </w:r>
        <w:r w:rsidR="000A5A8F">
          <w:rPr>
            <w:webHidden/>
          </w:rPr>
          <w:fldChar w:fldCharType="separate"/>
        </w:r>
        <w:r w:rsidR="009A3B43">
          <w:rPr>
            <w:webHidden/>
          </w:rPr>
          <w:t>2</w:t>
        </w:r>
        <w:r w:rsidR="000A5A8F">
          <w:rPr>
            <w:webHidden/>
          </w:rPr>
          <w:fldChar w:fldCharType="end"/>
        </w:r>
      </w:hyperlink>
    </w:p>
    <w:p w14:paraId="1A3F9762" w14:textId="175920CC" w:rsidR="000A5A8F" w:rsidRDefault="007537BE">
      <w:pPr>
        <w:pStyle w:val="Innehll3"/>
        <w:rPr>
          <w:rFonts w:asciiTheme="minorHAnsi" w:eastAsiaTheme="minorEastAsia" w:hAnsiTheme="minorHAnsi" w:cstheme="minorBidi"/>
          <w:kern w:val="2"/>
          <w:sz w:val="24"/>
          <w:szCs w:val="24"/>
          <w:lang w:val="sv-FI" w:eastAsia="sv-FI"/>
          <w14:ligatures w14:val="standardContextual"/>
        </w:rPr>
      </w:pPr>
      <w:hyperlink w:anchor="_Toc178066492" w:history="1">
        <w:r w:rsidR="000A5A8F" w:rsidRPr="005579B5">
          <w:rPr>
            <w:rStyle w:val="Hyperlnk"/>
          </w:rPr>
          <w:t>Skatteintäkter och likviditet</w:t>
        </w:r>
        <w:r w:rsidR="000A5A8F">
          <w:rPr>
            <w:webHidden/>
          </w:rPr>
          <w:tab/>
        </w:r>
        <w:r w:rsidR="000A5A8F">
          <w:rPr>
            <w:webHidden/>
          </w:rPr>
          <w:fldChar w:fldCharType="begin"/>
        </w:r>
        <w:r w:rsidR="000A5A8F">
          <w:rPr>
            <w:webHidden/>
          </w:rPr>
          <w:instrText xml:space="preserve"> PAGEREF _Toc178066492 \h </w:instrText>
        </w:r>
        <w:r w:rsidR="000A5A8F">
          <w:rPr>
            <w:webHidden/>
          </w:rPr>
        </w:r>
        <w:r w:rsidR="000A5A8F">
          <w:rPr>
            <w:webHidden/>
          </w:rPr>
          <w:fldChar w:fldCharType="separate"/>
        </w:r>
        <w:r w:rsidR="009A3B43">
          <w:rPr>
            <w:webHidden/>
          </w:rPr>
          <w:t>3</w:t>
        </w:r>
        <w:r w:rsidR="000A5A8F">
          <w:rPr>
            <w:webHidden/>
          </w:rPr>
          <w:fldChar w:fldCharType="end"/>
        </w:r>
      </w:hyperlink>
    </w:p>
    <w:p w14:paraId="149F3B3C" w14:textId="6B98F049" w:rsidR="000A5A8F" w:rsidRDefault="007537BE">
      <w:pPr>
        <w:pStyle w:val="Innehll3"/>
        <w:rPr>
          <w:rFonts w:asciiTheme="minorHAnsi" w:eastAsiaTheme="minorEastAsia" w:hAnsiTheme="minorHAnsi" w:cstheme="minorBidi"/>
          <w:kern w:val="2"/>
          <w:sz w:val="24"/>
          <w:szCs w:val="24"/>
          <w:lang w:val="sv-FI" w:eastAsia="sv-FI"/>
          <w14:ligatures w14:val="standardContextual"/>
        </w:rPr>
      </w:pPr>
      <w:hyperlink w:anchor="_Toc178066493" w:history="1">
        <w:r w:rsidR="000A5A8F" w:rsidRPr="005579B5">
          <w:rPr>
            <w:rStyle w:val="Hyperlnk"/>
          </w:rPr>
          <w:t>Pensionskostnaderna</w:t>
        </w:r>
        <w:r w:rsidR="000A5A8F">
          <w:rPr>
            <w:webHidden/>
          </w:rPr>
          <w:tab/>
        </w:r>
        <w:r w:rsidR="000A5A8F">
          <w:rPr>
            <w:webHidden/>
          </w:rPr>
          <w:fldChar w:fldCharType="begin"/>
        </w:r>
        <w:r w:rsidR="000A5A8F">
          <w:rPr>
            <w:webHidden/>
          </w:rPr>
          <w:instrText xml:space="preserve"> PAGEREF _Toc178066493 \h </w:instrText>
        </w:r>
        <w:r w:rsidR="000A5A8F">
          <w:rPr>
            <w:webHidden/>
          </w:rPr>
        </w:r>
        <w:r w:rsidR="000A5A8F">
          <w:rPr>
            <w:webHidden/>
          </w:rPr>
          <w:fldChar w:fldCharType="separate"/>
        </w:r>
        <w:r w:rsidR="009A3B43">
          <w:rPr>
            <w:webHidden/>
          </w:rPr>
          <w:t>4</w:t>
        </w:r>
        <w:r w:rsidR="000A5A8F">
          <w:rPr>
            <w:webHidden/>
          </w:rPr>
          <w:fldChar w:fldCharType="end"/>
        </w:r>
      </w:hyperlink>
    </w:p>
    <w:p w14:paraId="3BB01BDA" w14:textId="73189DE3" w:rsidR="000A5A8F" w:rsidRDefault="007537BE">
      <w:pPr>
        <w:pStyle w:val="Innehll3"/>
        <w:rPr>
          <w:rFonts w:asciiTheme="minorHAnsi" w:eastAsiaTheme="minorEastAsia" w:hAnsiTheme="minorHAnsi" w:cstheme="minorBidi"/>
          <w:kern w:val="2"/>
          <w:sz w:val="24"/>
          <w:szCs w:val="24"/>
          <w:lang w:val="sv-FI" w:eastAsia="sv-FI"/>
          <w14:ligatures w14:val="standardContextual"/>
        </w:rPr>
      </w:pPr>
      <w:hyperlink w:anchor="_Toc178066494" w:history="1">
        <w:r w:rsidR="000A5A8F" w:rsidRPr="005579B5">
          <w:rPr>
            <w:rStyle w:val="Hyperlnk"/>
          </w:rPr>
          <w:t>Personal</w:t>
        </w:r>
        <w:r w:rsidR="000A5A8F">
          <w:rPr>
            <w:webHidden/>
          </w:rPr>
          <w:tab/>
        </w:r>
        <w:r w:rsidR="000A5A8F">
          <w:rPr>
            <w:webHidden/>
          </w:rPr>
          <w:fldChar w:fldCharType="begin"/>
        </w:r>
        <w:r w:rsidR="000A5A8F">
          <w:rPr>
            <w:webHidden/>
          </w:rPr>
          <w:instrText xml:space="preserve"> PAGEREF _Toc178066494 \h </w:instrText>
        </w:r>
        <w:r w:rsidR="000A5A8F">
          <w:rPr>
            <w:webHidden/>
          </w:rPr>
        </w:r>
        <w:r w:rsidR="000A5A8F">
          <w:rPr>
            <w:webHidden/>
          </w:rPr>
          <w:fldChar w:fldCharType="separate"/>
        </w:r>
        <w:r w:rsidR="009A3B43">
          <w:rPr>
            <w:webHidden/>
          </w:rPr>
          <w:t>4</w:t>
        </w:r>
        <w:r w:rsidR="000A5A8F">
          <w:rPr>
            <w:webHidden/>
          </w:rPr>
          <w:fldChar w:fldCharType="end"/>
        </w:r>
      </w:hyperlink>
    </w:p>
    <w:p w14:paraId="6E2956BB" w14:textId="21CA598F" w:rsidR="000A5A8F" w:rsidRDefault="007537BE">
      <w:pPr>
        <w:pStyle w:val="Innehll3"/>
        <w:rPr>
          <w:rFonts w:asciiTheme="minorHAnsi" w:eastAsiaTheme="minorEastAsia" w:hAnsiTheme="minorHAnsi" w:cstheme="minorBidi"/>
          <w:kern w:val="2"/>
          <w:sz w:val="24"/>
          <w:szCs w:val="24"/>
          <w:lang w:val="sv-FI" w:eastAsia="sv-FI"/>
          <w14:ligatures w14:val="standardContextual"/>
        </w:rPr>
      </w:pPr>
      <w:hyperlink w:anchor="_Toc178066495" w:history="1">
        <w:r w:rsidR="000A5A8F" w:rsidRPr="005579B5">
          <w:rPr>
            <w:rStyle w:val="Hyperlnk"/>
          </w:rPr>
          <w:t>Landskapets tillgångar</w:t>
        </w:r>
        <w:r w:rsidR="000A5A8F">
          <w:rPr>
            <w:webHidden/>
          </w:rPr>
          <w:tab/>
        </w:r>
        <w:r w:rsidR="000A5A8F">
          <w:rPr>
            <w:webHidden/>
          </w:rPr>
          <w:fldChar w:fldCharType="begin"/>
        </w:r>
        <w:r w:rsidR="000A5A8F">
          <w:rPr>
            <w:webHidden/>
          </w:rPr>
          <w:instrText xml:space="preserve"> PAGEREF _Toc178066495 \h </w:instrText>
        </w:r>
        <w:r w:rsidR="000A5A8F">
          <w:rPr>
            <w:webHidden/>
          </w:rPr>
        </w:r>
        <w:r w:rsidR="000A5A8F">
          <w:rPr>
            <w:webHidden/>
          </w:rPr>
          <w:fldChar w:fldCharType="separate"/>
        </w:r>
        <w:r w:rsidR="009A3B43">
          <w:rPr>
            <w:webHidden/>
          </w:rPr>
          <w:t>5</w:t>
        </w:r>
        <w:r w:rsidR="000A5A8F">
          <w:rPr>
            <w:webHidden/>
          </w:rPr>
          <w:fldChar w:fldCharType="end"/>
        </w:r>
      </w:hyperlink>
    </w:p>
    <w:p w14:paraId="42F12A49" w14:textId="5CCF84CF" w:rsidR="000A5A8F" w:rsidRDefault="007537BE">
      <w:pPr>
        <w:pStyle w:val="Innehll3"/>
        <w:rPr>
          <w:rFonts w:asciiTheme="minorHAnsi" w:eastAsiaTheme="minorEastAsia" w:hAnsiTheme="minorHAnsi" w:cstheme="minorBidi"/>
          <w:kern w:val="2"/>
          <w:sz w:val="24"/>
          <w:szCs w:val="24"/>
          <w:lang w:val="sv-FI" w:eastAsia="sv-FI"/>
          <w14:ligatures w14:val="standardContextual"/>
        </w:rPr>
      </w:pPr>
      <w:hyperlink w:anchor="_Toc178066496" w:history="1">
        <w:r w:rsidR="000A5A8F" w:rsidRPr="005579B5">
          <w:rPr>
            <w:rStyle w:val="Hyperlnk"/>
          </w:rPr>
          <w:t>Landskapets pensionsfond</w:t>
        </w:r>
        <w:r w:rsidR="000A5A8F">
          <w:rPr>
            <w:webHidden/>
          </w:rPr>
          <w:tab/>
        </w:r>
        <w:r w:rsidR="000A5A8F">
          <w:rPr>
            <w:webHidden/>
          </w:rPr>
          <w:fldChar w:fldCharType="begin"/>
        </w:r>
        <w:r w:rsidR="000A5A8F">
          <w:rPr>
            <w:webHidden/>
          </w:rPr>
          <w:instrText xml:space="preserve"> PAGEREF _Toc178066496 \h </w:instrText>
        </w:r>
        <w:r w:rsidR="000A5A8F">
          <w:rPr>
            <w:webHidden/>
          </w:rPr>
        </w:r>
        <w:r w:rsidR="000A5A8F">
          <w:rPr>
            <w:webHidden/>
          </w:rPr>
          <w:fldChar w:fldCharType="separate"/>
        </w:r>
        <w:r w:rsidR="009A3B43">
          <w:rPr>
            <w:webHidden/>
          </w:rPr>
          <w:t>6</w:t>
        </w:r>
        <w:r w:rsidR="000A5A8F">
          <w:rPr>
            <w:webHidden/>
          </w:rPr>
          <w:fldChar w:fldCharType="end"/>
        </w:r>
      </w:hyperlink>
    </w:p>
    <w:p w14:paraId="38F01128" w14:textId="0CA3367F" w:rsidR="000A5A8F" w:rsidRDefault="007537BE">
      <w:pPr>
        <w:pStyle w:val="Innehll3"/>
        <w:rPr>
          <w:rFonts w:asciiTheme="minorHAnsi" w:eastAsiaTheme="minorEastAsia" w:hAnsiTheme="minorHAnsi" w:cstheme="minorBidi"/>
          <w:kern w:val="2"/>
          <w:sz w:val="24"/>
          <w:szCs w:val="24"/>
          <w:lang w:val="sv-FI" w:eastAsia="sv-FI"/>
          <w14:ligatures w14:val="standardContextual"/>
        </w:rPr>
      </w:pPr>
      <w:hyperlink w:anchor="_Toc178066497" w:history="1">
        <w:r w:rsidR="000A5A8F" w:rsidRPr="005579B5">
          <w:rPr>
            <w:rStyle w:val="Hyperlnk"/>
          </w:rPr>
          <w:t>Landskapets fastighetsverk</w:t>
        </w:r>
        <w:r w:rsidR="000A5A8F">
          <w:rPr>
            <w:webHidden/>
          </w:rPr>
          <w:tab/>
        </w:r>
        <w:r w:rsidR="000A5A8F">
          <w:rPr>
            <w:webHidden/>
          </w:rPr>
          <w:fldChar w:fldCharType="begin"/>
        </w:r>
        <w:r w:rsidR="000A5A8F">
          <w:rPr>
            <w:webHidden/>
          </w:rPr>
          <w:instrText xml:space="preserve"> PAGEREF _Toc178066497 \h </w:instrText>
        </w:r>
        <w:r w:rsidR="000A5A8F">
          <w:rPr>
            <w:webHidden/>
          </w:rPr>
        </w:r>
        <w:r w:rsidR="000A5A8F">
          <w:rPr>
            <w:webHidden/>
          </w:rPr>
          <w:fldChar w:fldCharType="separate"/>
        </w:r>
        <w:r w:rsidR="009A3B43">
          <w:rPr>
            <w:webHidden/>
          </w:rPr>
          <w:t>7</w:t>
        </w:r>
        <w:r w:rsidR="000A5A8F">
          <w:rPr>
            <w:webHidden/>
          </w:rPr>
          <w:fldChar w:fldCharType="end"/>
        </w:r>
      </w:hyperlink>
    </w:p>
    <w:p w14:paraId="6CCEEED0" w14:textId="63398DA2" w:rsidR="000A5A8F" w:rsidRDefault="007537BE">
      <w:pPr>
        <w:pStyle w:val="Innehll3"/>
        <w:rPr>
          <w:rFonts w:asciiTheme="minorHAnsi" w:eastAsiaTheme="minorEastAsia" w:hAnsiTheme="minorHAnsi" w:cstheme="minorBidi"/>
          <w:kern w:val="2"/>
          <w:sz w:val="24"/>
          <w:szCs w:val="24"/>
          <w:lang w:val="sv-FI" w:eastAsia="sv-FI"/>
          <w14:ligatures w14:val="standardContextual"/>
        </w:rPr>
      </w:pPr>
      <w:hyperlink w:anchor="_Toc178066498" w:history="1">
        <w:r w:rsidR="000A5A8F" w:rsidRPr="005579B5">
          <w:rPr>
            <w:rStyle w:val="Hyperlnk"/>
          </w:rPr>
          <w:t>Landskapets bolag</w:t>
        </w:r>
        <w:r w:rsidR="000A5A8F">
          <w:rPr>
            <w:webHidden/>
          </w:rPr>
          <w:tab/>
        </w:r>
        <w:r w:rsidR="000A5A8F">
          <w:rPr>
            <w:webHidden/>
          </w:rPr>
          <w:fldChar w:fldCharType="begin"/>
        </w:r>
        <w:r w:rsidR="000A5A8F">
          <w:rPr>
            <w:webHidden/>
          </w:rPr>
          <w:instrText xml:space="preserve"> PAGEREF _Toc178066498 \h </w:instrText>
        </w:r>
        <w:r w:rsidR="000A5A8F">
          <w:rPr>
            <w:webHidden/>
          </w:rPr>
        </w:r>
        <w:r w:rsidR="000A5A8F">
          <w:rPr>
            <w:webHidden/>
          </w:rPr>
          <w:fldChar w:fldCharType="separate"/>
        </w:r>
        <w:r w:rsidR="009A3B43">
          <w:rPr>
            <w:webHidden/>
          </w:rPr>
          <w:t>7</w:t>
        </w:r>
        <w:r w:rsidR="000A5A8F">
          <w:rPr>
            <w:webHidden/>
          </w:rPr>
          <w:fldChar w:fldCharType="end"/>
        </w:r>
      </w:hyperlink>
    </w:p>
    <w:p w14:paraId="59ACA61C" w14:textId="14B215B2" w:rsidR="000A5A8F" w:rsidRDefault="007537BE">
      <w:pPr>
        <w:pStyle w:val="Innehll3"/>
        <w:rPr>
          <w:rFonts w:asciiTheme="minorHAnsi" w:eastAsiaTheme="minorEastAsia" w:hAnsiTheme="minorHAnsi" w:cstheme="minorBidi"/>
          <w:kern w:val="2"/>
          <w:sz w:val="24"/>
          <w:szCs w:val="24"/>
          <w:lang w:val="sv-FI" w:eastAsia="sv-FI"/>
          <w14:ligatures w14:val="standardContextual"/>
        </w:rPr>
      </w:pPr>
      <w:hyperlink w:anchor="_Toc178066499" w:history="1">
        <w:r w:rsidR="000A5A8F" w:rsidRPr="005579B5">
          <w:rPr>
            <w:rStyle w:val="Hyperlnk"/>
          </w:rPr>
          <w:t>Pågående rättegångar</w:t>
        </w:r>
        <w:r w:rsidR="000A5A8F">
          <w:rPr>
            <w:webHidden/>
          </w:rPr>
          <w:tab/>
        </w:r>
        <w:r w:rsidR="000A5A8F">
          <w:rPr>
            <w:webHidden/>
          </w:rPr>
          <w:fldChar w:fldCharType="begin"/>
        </w:r>
        <w:r w:rsidR="000A5A8F">
          <w:rPr>
            <w:webHidden/>
          </w:rPr>
          <w:instrText xml:space="preserve"> PAGEREF _Toc178066499 \h </w:instrText>
        </w:r>
        <w:r w:rsidR="000A5A8F">
          <w:rPr>
            <w:webHidden/>
          </w:rPr>
        </w:r>
        <w:r w:rsidR="000A5A8F">
          <w:rPr>
            <w:webHidden/>
          </w:rPr>
          <w:fldChar w:fldCharType="separate"/>
        </w:r>
        <w:r w:rsidR="009A3B43">
          <w:rPr>
            <w:webHidden/>
          </w:rPr>
          <w:t>8</w:t>
        </w:r>
        <w:r w:rsidR="000A5A8F">
          <w:rPr>
            <w:webHidden/>
          </w:rPr>
          <w:fldChar w:fldCharType="end"/>
        </w:r>
      </w:hyperlink>
    </w:p>
    <w:p w14:paraId="4F6D6673" w14:textId="38B3A88E" w:rsidR="000A5A8F" w:rsidRDefault="007537BE">
      <w:pPr>
        <w:pStyle w:val="Innehll1"/>
        <w:rPr>
          <w:rFonts w:asciiTheme="minorHAnsi" w:eastAsiaTheme="minorEastAsia" w:hAnsiTheme="minorHAnsi" w:cstheme="minorBidi"/>
          <w:kern w:val="2"/>
          <w:sz w:val="24"/>
          <w:szCs w:val="24"/>
          <w:lang w:val="sv-FI" w:eastAsia="sv-FI"/>
          <w14:ligatures w14:val="standardContextual"/>
        </w:rPr>
      </w:pPr>
      <w:hyperlink w:anchor="_Toc178066500" w:history="1">
        <w:r w:rsidR="000A5A8F" w:rsidRPr="005579B5">
          <w:rPr>
            <w:rStyle w:val="Hyperlnk"/>
          </w:rPr>
          <w:t>Ärendets behandling</w:t>
        </w:r>
        <w:r w:rsidR="000A5A8F">
          <w:rPr>
            <w:webHidden/>
          </w:rPr>
          <w:tab/>
        </w:r>
        <w:r w:rsidR="000A5A8F">
          <w:rPr>
            <w:webHidden/>
          </w:rPr>
          <w:fldChar w:fldCharType="begin"/>
        </w:r>
        <w:r w:rsidR="000A5A8F">
          <w:rPr>
            <w:webHidden/>
          </w:rPr>
          <w:instrText xml:space="preserve"> PAGEREF _Toc178066500 \h </w:instrText>
        </w:r>
        <w:r w:rsidR="000A5A8F">
          <w:rPr>
            <w:webHidden/>
          </w:rPr>
        </w:r>
        <w:r w:rsidR="000A5A8F">
          <w:rPr>
            <w:webHidden/>
          </w:rPr>
          <w:fldChar w:fldCharType="separate"/>
        </w:r>
        <w:r w:rsidR="009A3B43">
          <w:rPr>
            <w:webHidden/>
          </w:rPr>
          <w:t>8</w:t>
        </w:r>
        <w:r w:rsidR="000A5A8F">
          <w:rPr>
            <w:webHidden/>
          </w:rPr>
          <w:fldChar w:fldCharType="end"/>
        </w:r>
      </w:hyperlink>
    </w:p>
    <w:p w14:paraId="3300214B" w14:textId="08210508" w:rsidR="000A5A8F" w:rsidRDefault="007537BE">
      <w:pPr>
        <w:pStyle w:val="Innehll1"/>
        <w:rPr>
          <w:rFonts w:asciiTheme="minorHAnsi" w:eastAsiaTheme="minorEastAsia" w:hAnsiTheme="minorHAnsi" w:cstheme="minorBidi"/>
          <w:kern w:val="2"/>
          <w:sz w:val="24"/>
          <w:szCs w:val="24"/>
          <w:lang w:val="sv-FI" w:eastAsia="sv-FI"/>
          <w14:ligatures w14:val="standardContextual"/>
        </w:rPr>
      </w:pPr>
      <w:hyperlink w:anchor="_Toc178066501" w:history="1">
        <w:r w:rsidR="000A5A8F" w:rsidRPr="005579B5">
          <w:rPr>
            <w:rStyle w:val="Hyperlnk"/>
          </w:rPr>
          <w:t>Utskottets förslag</w:t>
        </w:r>
        <w:r w:rsidR="000A5A8F">
          <w:rPr>
            <w:webHidden/>
          </w:rPr>
          <w:tab/>
        </w:r>
        <w:r w:rsidR="000A5A8F">
          <w:rPr>
            <w:webHidden/>
          </w:rPr>
          <w:fldChar w:fldCharType="begin"/>
        </w:r>
        <w:r w:rsidR="000A5A8F">
          <w:rPr>
            <w:webHidden/>
          </w:rPr>
          <w:instrText xml:space="preserve"> PAGEREF _Toc178066501 \h </w:instrText>
        </w:r>
        <w:r w:rsidR="000A5A8F">
          <w:rPr>
            <w:webHidden/>
          </w:rPr>
        </w:r>
        <w:r w:rsidR="000A5A8F">
          <w:rPr>
            <w:webHidden/>
          </w:rPr>
          <w:fldChar w:fldCharType="separate"/>
        </w:r>
        <w:r w:rsidR="009A3B43">
          <w:rPr>
            <w:webHidden/>
          </w:rPr>
          <w:t>8</w:t>
        </w:r>
        <w:r w:rsidR="000A5A8F">
          <w:rPr>
            <w:webHidden/>
          </w:rPr>
          <w:fldChar w:fldCharType="end"/>
        </w:r>
      </w:hyperlink>
    </w:p>
    <w:p w14:paraId="4FA5C5D1" w14:textId="270A1A15" w:rsidR="002401D0" w:rsidRDefault="002401D0">
      <w:pPr>
        <w:pStyle w:val="ANormal"/>
        <w:rPr>
          <w:noProof/>
        </w:rPr>
      </w:pPr>
      <w:r>
        <w:rPr>
          <w:rFonts w:ascii="Verdana" w:hAnsi="Verdana"/>
          <w:noProof/>
          <w:sz w:val="16"/>
          <w:szCs w:val="36"/>
        </w:rPr>
        <w:fldChar w:fldCharType="end"/>
      </w:r>
    </w:p>
    <w:p w14:paraId="6C7E7A3F" w14:textId="33DA92FF" w:rsidR="002A2CF6" w:rsidRDefault="002A2CF6">
      <w:pPr>
        <w:pStyle w:val="ANormal"/>
      </w:pPr>
    </w:p>
    <w:p w14:paraId="4B8D5272" w14:textId="77777777" w:rsidR="002A2CF6" w:rsidRDefault="002A2CF6">
      <w:pPr>
        <w:pStyle w:val="ANormal"/>
      </w:pPr>
    </w:p>
    <w:p w14:paraId="6E338841" w14:textId="77777777" w:rsidR="002401D0" w:rsidRPr="009C0360" w:rsidRDefault="002401D0">
      <w:pPr>
        <w:pStyle w:val="RubrikA"/>
      </w:pPr>
      <w:bookmarkStart w:id="1" w:name="_Toc529800932"/>
      <w:bookmarkStart w:id="2" w:name="_Toc178066485"/>
      <w:r w:rsidRPr="009C0360">
        <w:t>Sammanfattning</w:t>
      </w:r>
      <w:bookmarkEnd w:id="1"/>
      <w:bookmarkEnd w:id="2"/>
    </w:p>
    <w:p w14:paraId="49FF1063" w14:textId="77777777" w:rsidR="002401D0" w:rsidRPr="009C0360" w:rsidRDefault="002401D0">
      <w:pPr>
        <w:pStyle w:val="Rubrikmellanrum"/>
      </w:pPr>
    </w:p>
    <w:p w14:paraId="592479A9" w14:textId="77777777" w:rsidR="002401D0" w:rsidRPr="009C0360" w:rsidRDefault="0028660F">
      <w:pPr>
        <w:pStyle w:val="RubrikB"/>
      </w:pPr>
      <w:bookmarkStart w:id="3" w:name="_Toc529800933"/>
      <w:bookmarkStart w:id="4" w:name="_Toc178066486"/>
      <w:r w:rsidRPr="009C0360">
        <w:t>Landskapsregeringens</w:t>
      </w:r>
      <w:r w:rsidR="002401D0" w:rsidRPr="009C0360">
        <w:t xml:space="preserve"> förslag</w:t>
      </w:r>
      <w:bookmarkEnd w:id="3"/>
      <w:bookmarkEnd w:id="4"/>
    </w:p>
    <w:p w14:paraId="675C1E1C" w14:textId="77777777" w:rsidR="002401D0" w:rsidRPr="009C0360" w:rsidRDefault="002401D0">
      <w:pPr>
        <w:pStyle w:val="Rubrikmellanrum"/>
      </w:pPr>
    </w:p>
    <w:p w14:paraId="53FC1095" w14:textId="0F1BC7C7" w:rsidR="0028660F" w:rsidRPr="005870DA" w:rsidRDefault="0028660F" w:rsidP="0028660F">
      <w:pPr>
        <w:pStyle w:val="ANormal"/>
      </w:pPr>
      <w:r w:rsidRPr="005870DA">
        <w:t xml:space="preserve">Landskapsregeringen </w:t>
      </w:r>
      <w:r w:rsidR="00C772BB" w:rsidRPr="005870DA">
        <w:t xml:space="preserve">har </w:t>
      </w:r>
      <w:r w:rsidR="009C0360" w:rsidRPr="005870DA">
        <w:t>i enlighet med 25</w:t>
      </w:r>
      <w:r w:rsidR="004F1700" w:rsidRPr="005870DA">
        <w:t xml:space="preserve"> §</w:t>
      </w:r>
      <w:r w:rsidR="009C0360" w:rsidRPr="005870DA">
        <w:t xml:space="preserve"> landskapslagen (1971:42) om Ålands landskapsregering </w:t>
      </w:r>
      <w:r w:rsidRPr="005870DA">
        <w:t>överlämna</w:t>
      </w:r>
      <w:r w:rsidR="00C772BB" w:rsidRPr="005870DA">
        <w:t>t</w:t>
      </w:r>
      <w:r w:rsidRPr="005870DA">
        <w:t xml:space="preserve"> årsredovisning</w:t>
      </w:r>
      <w:r w:rsidR="00C772BB" w:rsidRPr="005870DA">
        <w:t>en</w:t>
      </w:r>
      <w:r w:rsidRPr="005870DA">
        <w:t xml:space="preserve"> för landskapet Åland </w:t>
      </w:r>
      <w:r w:rsidR="008B267F" w:rsidRPr="005870DA">
        <w:t>2</w:t>
      </w:r>
      <w:r w:rsidR="009C0360" w:rsidRPr="005870DA">
        <w:t>0</w:t>
      </w:r>
      <w:r w:rsidR="000B1DB9" w:rsidRPr="005870DA">
        <w:t>2</w:t>
      </w:r>
      <w:r w:rsidR="005870DA" w:rsidRPr="005870DA">
        <w:t>3</w:t>
      </w:r>
      <w:r w:rsidR="008B267F" w:rsidRPr="005870DA">
        <w:t xml:space="preserve"> t</w:t>
      </w:r>
      <w:r w:rsidRPr="005870DA">
        <w:t xml:space="preserve">ill lagtinget såsom redogörelse nr </w:t>
      </w:r>
      <w:r w:rsidR="00274393" w:rsidRPr="005870DA">
        <w:t>2</w:t>
      </w:r>
      <w:r w:rsidRPr="005870DA">
        <w:t>/</w:t>
      </w:r>
      <w:proofErr w:type="gramStart"/>
      <w:r w:rsidRPr="005870DA">
        <w:t>20</w:t>
      </w:r>
      <w:r w:rsidR="000B1DB9" w:rsidRPr="005870DA">
        <w:t>2</w:t>
      </w:r>
      <w:r w:rsidR="005870DA" w:rsidRPr="005870DA">
        <w:t>3</w:t>
      </w:r>
      <w:r w:rsidRPr="005870DA">
        <w:t>-20</w:t>
      </w:r>
      <w:r w:rsidR="00AA1C2B" w:rsidRPr="005870DA">
        <w:t>2</w:t>
      </w:r>
      <w:r w:rsidR="005870DA" w:rsidRPr="005870DA">
        <w:t>4</w:t>
      </w:r>
      <w:proofErr w:type="gramEnd"/>
      <w:r w:rsidR="0000155F" w:rsidRPr="005870DA">
        <w:t>.</w:t>
      </w:r>
      <w:r w:rsidR="009C0360" w:rsidRPr="005870DA">
        <w:t xml:space="preserve"> </w:t>
      </w:r>
      <w:r w:rsidR="00C772BB" w:rsidRPr="005870DA">
        <w:t xml:space="preserve">Årsredovisningen inkluderar </w:t>
      </w:r>
      <w:r w:rsidR="009C0360" w:rsidRPr="005870DA">
        <w:t xml:space="preserve">i enlighet med 19 § LL (2012:69) om landskapets finansförvaltning landskapsbokslutet och en förvaltningsberättelse. I </w:t>
      </w:r>
      <w:r w:rsidR="00AA579A" w:rsidRPr="005870DA">
        <w:t>årsredovisningen ingår också</w:t>
      </w:r>
      <w:r w:rsidR="00C772BB" w:rsidRPr="005870DA">
        <w:t xml:space="preserve"> </w:t>
      </w:r>
      <w:r w:rsidR="00D11A6D" w:rsidRPr="005870DA">
        <w:t>l</w:t>
      </w:r>
      <w:r w:rsidR="00C772BB" w:rsidRPr="005870DA">
        <w:t>andskapsrevisionens revisionsberättelse för finansåret 20</w:t>
      </w:r>
      <w:r w:rsidR="000B1DB9" w:rsidRPr="005870DA">
        <w:t>2</w:t>
      </w:r>
      <w:r w:rsidR="005870DA" w:rsidRPr="005870DA">
        <w:t>3</w:t>
      </w:r>
      <w:r w:rsidR="00C772BB" w:rsidRPr="005870DA">
        <w:t>.</w:t>
      </w:r>
    </w:p>
    <w:p w14:paraId="0814FA00" w14:textId="77777777" w:rsidR="002401D0" w:rsidRPr="00102387" w:rsidRDefault="002401D0">
      <w:pPr>
        <w:pStyle w:val="ANormal"/>
        <w:rPr>
          <w:color w:val="FF0000"/>
        </w:rPr>
      </w:pPr>
    </w:p>
    <w:p w14:paraId="27C78B9F" w14:textId="77777777" w:rsidR="002401D0" w:rsidRPr="00D11A6D" w:rsidRDefault="002401D0">
      <w:pPr>
        <w:pStyle w:val="RubrikB"/>
      </w:pPr>
      <w:bookmarkStart w:id="5" w:name="_Toc529800934"/>
      <w:bookmarkStart w:id="6" w:name="_Toc178066487"/>
      <w:r w:rsidRPr="00D11A6D">
        <w:t>Utskottets förslag</w:t>
      </w:r>
      <w:bookmarkEnd w:id="5"/>
      <w:bookmarkEnd w:id="6"/>
    </w:p>
    <w:p w14:paraId="2D442064" w14:textId="77777777" w:rsidR="002401D0" w:rsidRPr="00D11A6D" w:rsidRDefault="002401D0">
      <w:pPr>
        <w:pStyle w:val="Rubrikmellanrum"/>
      </w:pPr>
    </w:p>
    <w:p w14:paraId="299B56B3" w14:textId="272A79C0" w:rsidR="002401D0" w:rsidRPr="00D11A6D" w:rsidRDefault="00023409">
      <w:pPr>
        <w:pStyle w:val="ANormal"/>
      </w:pPr>
      <w:r w:rsidRPr="00D11A6D">
        <w:t>Utskottet föreslår att årsredovisningen för 20</w:t>
      </w:r>
      <w:r w:rsidR="000B1DB9">
        <w:t>2</w:t>
      </w:r>
      <w:r w:rsidR="00102387">
        <w:t>3</w:t>
      </w:r>
      <w:r w:rsidRPr="00D11A6D">
        <w:t xml:space="preserve"> antecknas för kännedom och att utskottets synpunkter bringas landskapsregeringen till kännedom.</w:t>
      </w:r>
    </w:p>
    <w:p w14:paraId="4759D79C" w14:textId="77777777" w:rsidR="002401D0" w:rsidRPr="00D11A6D" w:rsidRDefault="002401D0">
      <w:pPr>
        <w:pStyle w:val="ANormal"/>
      </w:pPr>
    </w:p>
    <w:p w14:paraId="5CB1598E" w14:textId="7018BE84" w:rsidR="002401D0" w:rsidRDefault="002401D0">
      <w:pPr>
        <w:pStyle w:val="RubrikA"/>
        <w:rPr>
          <w:color w:val="000000" w:themeColor="text1"/>
        </w:rPr>
      </w:pPr>
      <w:bookmarkStart w:id="7" w:name="_Toc529800935"/>
      <w:bookmarkStart w:id="8" w:name="_Toc178066488"/>
      <w:r w:rsidRPr="000F4682">
        <w:rPr>
          <w:color w:val="000000" w:themeColor="text1"/>
        </w:rPr>
        <w:t>Utskottets synpunkter</w:t>
      </w:r>
      <w:bookmarkEnd w:id="7"/>
      <w:bookmarkEnd w:id="8"/>
    </w:p>
    <w:p w14:paraId="0051D13B" w14:textId="5DD480E6" w:rsidR="0053660C" w:rsidRDefault="0053660C" w:rsidP="0053660C">
      <w:pPr>
        <w:pStyle w:val="Rubrikmellanrum"/>
      </w:pPr>
    </w:p>
    <w:p w14:paraId="3C61E7CD" w14:textId="052E001B" w:rsidR="0053660C" w:rsidRPr="001C5EC3" w:rsidRDefault="0053660C" w:rsidP="0053660C">
      <w:pPr>
        <w:pStyle w:val="ANormal"/>
        <w:rPr>
          <w:b/>
          <w:bCs/>
        </w:rPr>
      </w:pPr>
      <w:r w:rsidRPr="001C5EC3">
        <w:rPr>
          <w:b/>
          <w:bCs/>
        </w:rPr>
        <w:t>Årsredovisningen i allmänhet</w:t>
      </w:r>
    </w:p>
    <w:p w14:paraId="4544064D" w14:textId="5DB29E49" w:rsidR="0053660C" w:rsidRPr="001C5EC3" w:rsidRDefault="0053660C" w:rsidP="0053660C">
      <w:pPr>
        <w:pStyle w:val="Rubrikmellanrum"/>
      </w:pPr>
    </w:p>
    <w:p w14:paraId="5AF3DCA0" w14:textId="421BBD4B" w:rsidR="001C5EC3" w:rsidRDefault="0053660C" w:rsidP="0053660C">
      <w:pPr>
        <w:pStyle w:val="ANormal"/>
      </w:pPr>
      <w:r w:rsidRPr="001C5EC3">
        <w:t>Utskottet konstaterar att utöver årsredovisningen för landskapet Ålands förvaltning och ekonomi har separata verksamhetsberättelser jämte bokslut upprättats för</w:t>
      </w:r>
      <w:r w:rsidR="00AA579A" w:rsidRPr="001C5EC3">
        <w:t xml:space="preserve"> Landskapets fastighetsverk</w:t>
      </w:r>
      <w:r w:rsidRPr="001C5EC3">
        <w:t xml:space="preserve">, Landskapets pensionsfond och </w:t>
      </w:r>
      <w:r w:rsidR="00AA579A" w:rsidRPr="001C5EC3">
        <w:t>Ålands hälso- och sjukvård (ÅHS)</w:t>
      </w:r>
      <w:r w:rsidRPr="001C5EC3">
        <w:t xml:space="preserve">. Av dessa är endast ÅHS konsoliderat i huvudbokslutet. </w:t>
      </w:r>
      <w:r w:rsidR="001C5EC3">
        <w:t>ÅHS upprättar också en egen utförlig verksamhetsberättelse som innehåller separata bilagor för bokslut, verksamhetsstatistik och personalberättelse.</w:t>
      </w:r>
    </w:p>
    <w:p w14:paraId="4F0A0046" w14:textId="5863C309" w:rsidR="001C5EC3" w:rsidRDefault="001C5EC3" w:rsidP="0053660C">
      <w:pPr>
        <w:pStyle w:val="ANormal"/>
      </w:pPr>
      <w:r>
        <w:lastRenderedPageBreak/>
        <w:tab/>
      </w:r>
      <w:r w:rsidR="00AA579A" w:rsidRPr="001C5EC3">
        <w:t>Fastighetsverkets sifferbokslut ingår som en bilaga i bokslutet. Därtill finns det en bilaga med e</w:t>
      </w:r>
      <w:r w:rsidR="00576A16" w:rsidRPr="001C5EC3">
        <w:t>tt</w:t>
      </w:r>
      <w:r w:rsidR="00AA579A" w:rsidRPr="001C5EC3">
        <w:t xml:space="preserve"> </w:t>
      </w:r>
      <w:r w:rsidR="0053660C" w:rsidRPr="001C5EC3">
        <w:t xml:space="preserve">pro forma-koncernbokslut för landskapsregeringen och Fastighetsverket. Det konsoliderade bokslutet, som omfattar resultaträkning och balansräkning, är enbart att betrakta som informationsmaterial (bilagorna </w:t>
      </w:r>
      <w:r>
        <w:t>3</w:t>
      </w:r>
      <w:r w:rsidR="0053660C" w:rsidRPr="001C5EC3">
        <w:t xml:space="preserve"> och </w:t>
      </w:r>
      <w:r>
        <w:t>4</w:t>
      </w:r>
      <w:r w:rsidR="0053660C" w:rsidRPr="001C5EC3">
        <w:t>).</w:t>
      </w:r>
    </w:p>
    <w:p w14:paraId="670D1E32" w14:textId="3D39AD34" w:rsidR="00576A16" w:rsidRPr="001C5EC3" w:rsidRDefault="00B11C58" w:rsidP="0053660C">
      <w:pPr>
        <w:pStyle w:val="ANormal"/>
      </w:pPr>
      <w:r>
        <w:tab/>
        <w:t>Landskapsförvaltningen utgör i dagsläget en relativt stor helhet omfattande den allmänna förvaltningen, fristående myndigheter, affärsverk och olika bolag. För att underlätta för allmänheten att skapa sig en bild över denna helhet föreslår utskottet att samtliga verksamhetsberättelser och bokslut skulle samlas på en egen sida på landskapsregeringens hemsidor.</w:t>
      </w:r>
    </w:p>
    <w:p w14:paraId="23908A29" w14:textId="58DF8430" w:rsidR="00167CB6" w:rsidRPr="00102387" w:rsidRDefault="00167CB6" w:rsidP="0053660C">
      <w:pPr>
        <w:pStyle w:val="ANormal"/>
        <w:rPr>
          <w:color w:val="FF0000"/>
        </w:rPr>
      </w:pPr>
    </w:p>
    <w:p w14:paraId="560B788D" w14:textId="7A83656A" w:rsidR="00167CB6" w:rsidRPr="00B11C58" w:rsidRDefault="00167CB6" w:rsidP="00167CB6">
      <w:pPr>
        <w:pStyle w:val="RubrikC"/>
      </w:pPr>
      <w:bookmarkStart w:id="9" w:name="_Toc178066489"/>
      <w:r w:rsidRPr="00B11C58">
        <w:t>Förvaltningsberättelsen</w:t>
      </w:r>
      <w:bookmarkEnd w:id="9"/>
    </w:p>
    <w:p w14:paraId="1DD6804E" w14:textId="49050049" w:rsidR="00167CB6" w:rsidRPr="00B11C58" w:rsidRDefault="00167CB6" w:rsidP="00167CB6">
      <w:pPr>
        <w:pStyle w:val="Rubrikmellanrum"/>
      </w:pPr>
    </w:p>
    <w:p w14:paraId="5FE8C317" w14:textId="28662423" w:rsidR="00167CB6" w:rsidRDefault="00167CB6" w:rsidP="00167CB6">
      <w:pPr>
        <w:pStyle w:val="ANormal"/>
      </w:pPr>
      <w:r w:rsidRPr="00B11C58">
        <w:t>Förvaltning</w:t>
      </w:r>
      <w:r w:rsidR="00380074" w:rsidRPr="00B11C58">
        <w:t>s</w:t>
      </w:r>
      <w:r w:rsidRPr="00B11C58">
        <w:t xml:space="preserve">berättelsen </w:t>
      </w:r>
      <w:r w:rsidR="008660B8" w:rsidRPr="00B11C58">
        <w:t>omfattar</w:t>
      </w:r>
      <w:r w:rsidRPr="00B11C58">
        <w:t xml:space="preserve"> c</w:t>
      </w:r>
      <w:r w:rsidR="008660B8" w:rsidRPr="00B11C58">
        <w:t>irk</w:t>
      </w:r>
      <w:r w:rsidRPr="00B11C58">
        <w:t>a 1</w:t>
      </w:r>
      <w:r w:rsidR="001C5EC3" w:rsidRPr="00B11C58">
        <w:t>9</w:t>
      </w:r>
      <w:r w:rsidRPr="00B11C58">
        <w:t xml:space="preserve">0 sidor text och utgör således </w:t>
      </w:r>
      <w:r w:rsidR="001C5EC3" w:rsidRPr="00B11C58">
        <w:t>större delen</w:t>
      </w:r>
      <w:r w:rsidRPr="00B11C58">
        <w:t xml:space="preserve"> av hela årsredovisningen. Förvaltningsberättelsen utgör numera</w:t>
      </w:r>
      <w:r w:rsidR="00A7667D" w:rsidRPr="00B11C58">
        <w:t xml:space="preserve"> en stramt hållen och systematisk redogörelse över verksamheten. </w:t>
      </w:r>
      <w:r w:rsidR="004942D5" w:rsidRPr="00B11C58">
        <w:t>Varje avdelning redovisar en årsöversikt, budget- och måluppfyllnad samt väsentliga förändringar. De fristående myndigheterna redovisar därtill för risker och osäkerhetsfaktorer samt för den interna kontrollen.</w:t>
      </w:r>
    </w:p>
    <w:p w14:paraId="52F15281" w14:textId="77777777" w:rsidR="00F06C86" w:rsidRDefault="00F06C86" w:rsidP="00167CB6">
      <w:pPr>
        <w:pStyle w:val="ANormal"/>
      </w:pPr>
    </w:p>
    <w:p w14:paraId="4D89008B" w14:textId="1BE6B48F" w:rsidR="00F06C86" w:rsidRDefault="00F06C86" w:rsidP="00F06C86">
      <w:pPr>
        <w:pStyle w:val="RubrikC"/>
      </w:pPr>
      <w:bookmarkStart w:id="10" w:name="_Toc178066490"/>
      <w:r>
        <w:t>Samordning och effektiviseringsprocesser</w:t>
      </w:r>
      <w:bookmarkEnd w:id="10"/>
    </w:p>
    <w:p w14:paraId="0DA74153" w14:textId="77777777" w:rsidR="00F06C86" w:rsidRDefault="00F06C86" w:rsidP="00F06C86">
      <w:pPr>
        <w:pStyle w:val="Rubrikmellanrum"/>
      </w:pPr>
    </w:p>
    <w:p w14:paraId="60798415" w14:textId="3744BADF" w:rsidR="00F06C86" w:rsidRDefault="00F06C86" w:rsidP="00F06C86">
      <w:pPr>
        <w:pStyle w:val="ANormal"/>
      </w:pPr>
      <w:r>
        <w:t xml:space="preserve">Utskottet får regelbundet erfara hur det brister i samordning av anskaffningar, speciellt gällande olika systemplattformar. Samordningsbristerna gäller </w:t>
      </w:r>
      <w:proofErr w:type="gramStart"/>
      <w:r>
        <w:t>såväl inom landskapsregeringen och</w:t>
      </w:r>
      <w:proofErr w:type="gramEnd"/>
      <w:r>
        <w:t xml:space="preserve"> dess underlydande myndigheter, kommunerna sinsemellan och även mellan landskapet och kommunerna. </w:t>
      </w:r>
    </w:p>
    <w:p w14:paraId="401D2939" w14:textId="68B67E41" w:rsidR="00F06C86" w:rsidRDefault="00F06C86" w:rsidP="00F06C86">
      <w:pPr>
        <w:pStyle w:val="ANormal"/>
      </w:pPr>
      <w:r>
        <w:tab/>
        <w:t xml:space="preserve">Utskottet har inte närmare utrett orsakerna till detta, men det finns uppenbarligen en kultur där man värderar sin egen integritet så pass högt att de olika </w:t>
      </w:r>
      <w:r w:rsidR="00C23DD0">
        <w:t>aktörerna</w:t>
      </w:r>
      <w:r>
        <w:t xml:space="preserve"> inte ser något behov av att försöka få till stånd gemensamma upphandlingar och drift</w:t>
      </w:r>
      <w:r w:rsidR="00E00BC1">
        <w:t>s</w:t>
      </w:r>
      <w:r>
        <w:t>funktioner.</w:t>
      </w:r>
    </w:p>
    <w:p w14:paraId="63B31089" w14:textId="521F2ADD" w:rsidR="00F06C86" w:rsidRPr="00F06C86" w:rsidRDefault="00F06C86" w:rsidP="00F06C86">
      <w:pPr>
        <w:pStyle w:val="ANormal"/>
      </w:pPr>
      <w:r>
        <w:tab/>
      </w:r>
      <w:r w:rsidR="00433E76">
        <w:t>Enligt vad utskottet erfar förs det en diskussion om inrättande av ett servicecenter för landskapets olika servicefunktioner, men på sikt även för att betjäna kommunerna. Utskottet konstaterar att för att hålla ner kostnaderna och för att minska uppstartkostnaderna bör man sträva till virtuella arbetsmiljöer där eventuell överförd personal kan arbeta kvar i sina ursprungliga miljöer i görligaste mån.</w:t>
      </w:r>
      <w:r>
        <w:t xml:space="preserve"> </w:t>
      </w:r>
    </w:p>
    <w:p w14:paraId="69B923FB" w14:textId="77777777" w:rsidR="00167CB6" w:rsidRPr="00102387" w:rsidRDefault="00167CB6" w:rsidP="0053660C">
      <w:pPr>
        <w:pStyle w:val="ANormal"/>
        <w:rPr>
          <w:color w:val="FF0000"/>
        </w:rPr>
      </w:pPr>
    </w:p>
    <w:p w14:paraId="4165E436" w14:textId="3260D48E" w:rsidR="000F32A0" w:rsidRPr="002542D0" w:rsidRDefault="000F32A0" w:rsidP="000F32A0">
      <w:pPr>
        <w:pStyle w:val="RubrikC"/>
      </w:pPr>
      <w:bookmarkStart w:id="11" w:name="_Toc178066491"/>
      <w:r w:rsidRPr="002542D0">
        <w:t>Resultat</w:t>
      </w:r>
      <w:r w:rsidR="000001AB" w:rsidRPr="002542D0">
        <w:t xml:space="preserve">- och </w:t>
      </w:r>
      <w:r w:rsidR="00926D1C" w:rsidRPr="002542D0">
        <w:t>kostnadsutveckling</w:t>
      </w:r>
      <w:bookmarkEnd w:id="11"/>
    </w:p>
    <w:p w14:paraId="7CF0D629" w14:textId="77777777" w:rsidR="000F32A0" w:rsidRPr="002542D0" w:rsidRDefault="000F32A0" w:rsidP="000F32A0">
      <w:pPr>
        <w:pStyle w:val="Rubrikmellanrum"/>
      </w:pPr>
    </w:p>
    <w:p w14:paraId="60B433CC" w14:textId="2002A80A" w:rsidR="00D41D6E" w:rsidRPr="002542D0" w:rsidRDefault="00D93512" w:rsidP="00074652">
      <w:pPr>
        <w:pStyle w:val="ANormal"/>
      </w:pPr>
      <w:r w:rsidRPr="002542D0">
        <w:t>Då man jämför resultatet för</w:t>
      </w:r>
      <w:r w:rsidR="00D41D6E" w:rsidRPr="002542D0">
        <w:t xml:space="preserve"> hela landskapets verksamhet </w:t>
      </w:r>
      <w:r w:rsidRPr="002542D0">
        <w:t>mellan olika verksamhetsår är</w:t>
      </w:r>
      <w:r w:rsidR="00D41D6E" w:rsidRPr="002542D0">
        <w:t xml:space="preserve"> årsbidraget</w:t>
      </w:r>
      <w:r w:rsidRPr="002542D0">
        <w:t xml:space="preserve"> den mest relevanta posten</w:t>
      </w:r>
      <w:r w:rsidR="00D41D6E" w:rsidRPr="002542D0">
        <w:t xml:space="preserve">. </w:t>
      </w:r>
      <w:r w:rsidR="00074652" w:rsidRPr="002542D0">
        <w:t>Årsbidraget utgörs av verksamhet</w:t>
      </w:r>
      <w:r w:rsidRPr="002542D0">
        <w:t>ens intäkter och kostnader</w:t>
      </w:r>
      <w:r w:rsidR="00074652" w:rsidRPr="002542D0">
        <w:t xml:space="preserve">, skatteinkomster </w:t>
      </w:r>
      <w:r w:rsidRPr="002542D0">
        <w:t>samt</w:t>
      </w:r>
      <w:r w:rsidR="00074652" w:rsidRPr="002542D0">
        <w:t xml:space="preserve"> finansiella poster </w:t>
      </w:r>
      <w:r w:rsidRPr="002542D0">
        <w:t xml:space="preserve">och </w:t>
      </w:r>
      <w:r w:rsidR="00074652" w:rsidRPr="002542D0">
        <w:t>uppgick till</w:t>
      </w:r>
      <w:r w:rsidR="002F654E" w:rsidRPr="002542D0">
        <w:t xml:space="preserve"> </w:t>
      </w:r>
      <w:r w:rsidR="005B6F65" w:rsidRPr="002542D0">
        <w:t>37,7</w:t>
      </w:r>
      <w:r w:rsidR="00074652" w:rsidRPr="002542D0">
        <w:t xml:space="preserve"> miljoner euro</w:t>
      </w:r>
      <w:r w:rsidRPr="002542D0">
        <w:t>, vilket således är en för</w:t>
      </w:r>
      <w:r w:rsidR="005B6F65" w:rsidRPr="002542D0">
        <w:t>bättring</w:t>
      </w:r>
      <w:r w:rsidRPr="002542D0">
        <w:t xml:space="preserve"> med </w:t>
      </w:r>
      <w:r w:rsidR="005B6F65" w:rsidRPr="002542D0">
        <w:t>21,</w:t>
      </w:r>
      <w:r w:rsidR="00093C35" w:rsidRPr="002542D0">
        <w:t>9</w:t>
      </w:r>
      <w:r w:rsidRPr="002542D0">
        <w:t xml:space="preserve"> miljoner euro från föregående år</w:t>
      </w:r>
      <w:r w:rsidR="00074652" w:rsidRPr="002542D0">
        <w:t xml:space="preserve">. </w:t>
      </w:r>
    </w:p>
    <w:p w14:paraId="0CCF31FD" w14:textId="77777777" w:rsidR="005B6F65" w:rsidRDefault="005B6F65" w:rsidP="00074652">
      <w:pPr>
        <w:pStyle w:val="ANormal"/>
        <w:rPr>
          <w:color w:val="FF0000"/>
        </w:rPr>
      </w:pPr>
    </w:p>
    <w:tbl>
      <w:tblPr>
        <w:tblStyle w:val="Tabellrutnt"/>
        <w:tblW w:w="0" w:type="auto"/>
        <w:tblLook w:val="04A0" w:firstRow="1" w:lastRow="0" w:firstColumn="1" w:lastColumn="0" w:noHBand="0" w:noVBand="1"/>
      </w:tblPr>
      <w:tblGrid>
        <w:gridCol w:w="1098"/>
        <w:gridCol w:w="1024"/>
        <w:gridCol w:w="992"/>
        <w:gridCol w:w="992"/>
        <w:gridCol w:w="992"/>
        <w:gridCol w:w="993"/>
      </w:tblGrid>
      <w:tr w:rsidR="005B6F65" w:rsidRPr="00BD2F1D" w14:paraId="1DAE9FB2" w14:textId="77777777" w:rsidTr="00A17906">
        <w:tc>
          <w:tcPr>
            <w:tcW w:w="1098" w:type="dxa"/>
          </w:tcPr>
          <w:p w14:paraId="2C96D8BB" w14:textId="77777777" w:rsidR="005B6F65" w:rsidRPr="00BD2F1D" w:rsidRDefault="005B6F65" w:rsidP="00B97383">
            <w:pPr>
              <w:pStyle w:val="ANormal"/>
              <w:jc w:val="center"/>
              <w:rPr>
                <w:b/>
                <w:bCs/>
                <w:sz w:val="20"/>
                <w:szCs w:val="18"/>
              </w:rPr>
            </w:pPr>
          </w:p>
        </w:tc>
        <w:tc>
          <w:tcPr>
            <w:tcW w:w="1024" w:type="dxa"/>
          </w:tcPr>
          <w:p w14:paraId="782D1431" w14:textId="51A551D2" w:rsidR="005B6F65" w:rsidRPr="00BD2F1D" w:rsidRDefault="005B6F65" w:rsidP="00B97383">
            <w:pPr>
              <w:pStyle w:val="ANormal"/>
              <w:jc w:val="center"/>
              <w:rPr>
                <w:b/>
                <w:bCs/>
                <w:sz w:val="20"/>
                <w:szCs w:val="18"/>
              </w:rPr>
            </w:pPr>
            <w:r>
              <w:rPr>
                <w:b/>
                <w:bCs/>
                <w:sz w:val="20"/>
                <w:szCs w:val="18"/>
              </w:rPr>
              <w:t>2019</w:t>
            </w:r>
          </w:p>
        </w:tc>
        <w:tc>
          <w:tcPr>
            <w:tcW w:w="992" w:type="dxa"/>
          </w:tcPr>
          <w:p w14:paraId="320536BB" w14:textId="0214EF4D" w:rsidR="005B6F65" w:rsidRPr="00BD2F1D" w:rsidRDefault="005B6F65" w:rsidP="00B97383">
            <w:pPr>
              <w:pStyle w:val="ANormal"/>
              <w:jc w:val="center"/>
              <w:rPr>
                <w:b/>
                <w:bCs/>
                <w:sz w:val="20"/>
                <w:szCs w:val="18"/>
              </w:rPr>
            </w:pPr>
            <w:r w:rsidRPr="00BD2F1D">
              <w:rPr>
                <w:b/>
                <w:bCs/>
                <w:sz w:val="20"/>
                <w:szCs w:val="18"/>
              </w:rPr>
              <w:t>2020</w:t>
            </w:r>
          </w:p>
        </w:tc>
        <w:tc>
          <w:tcPr>
            <w:tcW w:w="992" w:type="dxa"/>
          </w:tcPr>
          <w:p w14:paraId="0D1171A3" w14:textId="77777777" w:rsidR="005B6F65" w:rsidRPr="00BD2F1D" w:rsidRDefault="005B6F65" w:rsidP="00B97383">
            <w:pPr>
              <w:pStyle w:val="ANormal"/>
              <w:jc w:val="center"/>
              <w:rPr>
                <w:b/>
                <w:bCs/>
                <w:sz w:val="20"/>
                <w:szCs w:val="18"/>
              </w:rPr>
            </w:pPr>
            <w:r w:rsidRPr="00BD2F1D">
              <w:rPr>
                <w:b/>
                <w:bCs/>
                <w:sz w:val="20"/>
                <w:szCs w:val="18"/>
              </w:rPr>
              <w:t>2021</w:t>
            </w:r>
          </w:p>
        </w:tc>
        <w:tc>
          <w:tcPr>
            <w:tcW w:w="992" w:type="dxa"/>
          </w:tcPr>
          <w:p w14:paraId="71413B8D" w14:textId="77777777" w:rsidR="005B6F65" w:rsidRPr="00BD2F1D" w:rsidRDefault="005B6F65" w:rsidP="00B97383">
            <w:pPr>
              <w:pStyle w:val="ANormal"/>
              <w:jc w:val="center"/>
              <w:rPr>
                <w:b/>
                <w:bCs/>
                <w:sz w:val="20"/>
                <w:szCs w:val="18"/>
              </w:rPr>
            </w:pPr>
            <w:r w:rsidRPr="00BD2F1D">
              <w:rPr>
                <w:b/>
                <w:bCs/>
                <w:sz w:val="20"/>
                <w:szCs w:val="18"/>
              </w:rPr>
              <w:t>2022</w:t>
            </w:r>
          </w:p>
        </w:tc>
        <w:tc>
          <w:tcPr>
            <w:tcW w:w="993" w:type="dxa"/>
          </w:tcPr>
          <w:p w14:paraId="6E96790B" w14:textId="77777777" w:rsidR="005B6F65" w:rsidRPr="00BD2F1D" w:rsidRDefault="005B6F65" w:rsidP="00B97383">
            <w:pPr>
              <w:pStyle w:val="ANormal"/>
              <w:jc w:val="center"/>
              <w:rPr>
                <w:b/>
                <w:bCs/>
                <w:sz w:val="20"/>
                <w:szCs w:val="18"/>
              </w:rPr>
            </w:pPr>
            <w:r w:rsidRPr="00BD2F1D">
              <w:rPr>
                <w:b/>
                <w:bCs/>
                <w:sz w:val="20"/>
                <w:szCs w:val="18"/>
              </w:rPr>
              <w:t>2023</w:t>
            </w:r>
          </w:p>
        </w:tc>
      </w:tr>
      <w:tr w:rsidR="005B6F65" w14:paraId="56BBEC79" w14:textId="77777777" w:rsidTr="00A17906">
        <w:tc>
          <w:tcPr>
            <w:tcW w:w="1098" w:type="dxa"/>
          </w:tcPr>
          <w:p w14:paraId="4F313D84" w14:textId="28249DB3" w:rsidR="005B6F65" w:rsidRPr="00FA27A8" w:rsidRDefault="005B6F65" w:rsidP="00B97383">
            <w:pPr>
              <w:pStyle w:val="ANormal"/>
              <w:rPr>
                <w:sz w:val="18"/>
                <w:szCs w:val="16"/>
              </w:rPr>
            </w:pPr>
            <w:r>
              <w:rPr>
                <w:sz w:val="18"/>
                <w:szCs w:val="16"/>
              </w:rPr>
              <w:t xml:space="preserve">Årsbidrag, </w:t>
            </w:r>
            <w:proofErr w:type="spellStart"/>
            <w:proofErr w:type="gramStart"/>
            <w:r>
              <w:rPr>
                <w:sz w:val="18"/>
                <w:szCs w:val="16"/>
              </w:rPr>
              <w:t>milj.euro</w:t>
            </w:r>
            <w:proofErr w:type="spellEnd"/>
            <w:proofErr w:type="gramEnd"/>
          </w:p>
        </w:tc>
        <w:tc>
          <w:tcPr>
            <w:tcW w:w="1024" w:type="dxa"/>
            <w:vAlign w:val="center"/>
          </w:tcPr>
          <w:p w14:paraId="7F0E6839" w14:textId="0ADA9926" w:rsidR="005B6F65" w:rsidRDefault="005B6F65" w:rsidP="002542D0">
            <w:pPr>
              <w:pStyle w:val="ANormal"/>
              <w:jc w:val="center"/>
            </w:pPr>
            <w:r>
              <w:t>14,6</w:t>
            </w:r>
          </w:p>
        </w:tc>
        <w:tc>
          <w:tcPr>
            <w:tcW w:w="992" w:type="dxa"/>
            <w:vAlign w:val="center"/>
          </w:tcPr>
          <w:p w14:paraId="2F11C03B" w14:textId="04E923C8" w:rsidR="005B6F65" w:rsidRDefault="005B6F65" w:rsidP="002542D0">
            <w:pPr>
              <w:pStyle w:val="ANormal"/>
              <w:jc w:val="center"/>
            </w:pPr>
            <w:r>
              <w:t>-15,3</w:t>
            </w:r>
          </w:p>
        </w:tc>
        <w:tc>
          <w:tcPr>
            <w:tcW w:w="992" w:type="dxa"/>
            <w:vAlign w:val="center"/>
          </w:tcPr>
          <w:p w14:paraId="570851A7" w14:textId="232174D5" w:rsidR="005B6F65" w:rsidRDefault="005B6F65" w:rsidP="002542D0">
            <w:pPr>
              <w:pStyle w:val="ANormal"/>
              <w:jc w:val="center"/>
            </w:pPr>
            <w:r>
              <w:t>23,7</w:t>
            </w:r>
          </w:p>
        </w:tc>
        <w:tc>
          <w:tcPr>
            <w:tcW w:w="992" w:type="dxa"/>
            <w:vAlign w:val="center"/>
          </w:tcPr>
          <w:p w14:paraId="753152AD" w14:textId="67A4B70A" w:rsidR="005B6F65" w:rsidRDefault="005B6F65" w:rsidP="002542D0">
            <w:pPr>
              <w:pStyle w:val="ANormal"/>
              <w:jc w:val="center"/>
            </w:pPr>
            <w:r>
              <w:t>15,8</w:t>
            </w:r>
          </w:p>
        </w:tc>
        <w:tc>
          <w:tcPr>
            <w:tcW w:w="993" w:type="dxa"/>
            <w:vAlign w:val="center"/>
          </w:tcPr>
          <w:p w14:paraId="003D9CFB" w14:textId="0507D5BF" w:rsidR="005B6F65" w:rsidRDefault="005B6F65" w:rsidP="002542D0">
            <w:pPr>
              <w:pStyle w:val="ANormal"/>
              <w:jc w:val="center"/>
            </w:pPr>
            <w:r>
              <w:t>37,7</w:t>
            </w:r>
          </w:p>
        </w:tc>
      </w:tr>
      <w:tr w:rsidR="005B6F65" w14:paraId="1D1BD0B6" w14:textId="77777777" w:rsidTr="00A17906">
        <w:tc>
          <w:tcPr>
            <w:tcW w:w="1098" w:type="dxa"/>
          </w:tcPr>
          <w:p w14:paraId="026BCD02" w14:textId="18C6A469" w:rsidR="005B6F65" w:rsidRPr="00FA27A8" w:rsidRDefault="005B6F65" w:rsidP="00B97383">
            <w:pPr>
              <w:pStyle w:val="ANormal"/>
              <w:rPr>
                <w:sz w:val="18"/>
                <w:szCs w:val="16"/>
              </w:rPr>
            </w:pPr>
            <w:r>
              <w:rPr>
                <w:sz w:val="18"/>
                <w:szCs w:val="16"/>
              </w:rPr>
              <w:t>Avskrivningar</w:t>
            </w:r>
          </w:p>
        </w:tc>
        <w:tc>
          <w:tcPr>
            <w:tcW w:w="1024" w:type="dxa"/>
            <w:vAlign w:val="center"/>
          </w:tcPr>
          <w:p w14:paraId="3C38C8CB" w14:textId="54EE740E" w:rsidR="005B6F65" w:rsidRDefault="005B6F65" w:rsidP="002542D0">
            <w:pPr>
              <w:pStyle w:val="ANormal"/>
              <w:jc w:val="center"/>
            </w:pPr>
            <w:r>
              <w:t>-9,0</w:t>
            </w:r>
          </w:p>
        </w:tc>
        <w:tc>
          <w:tcPr>
            <w:tcW w:w="992" w:type="dxa"/>
            <w:vAlign w:val="center"/>
          </w:tcPr>
          <w:p w14:paraId="7CA46891" w14:textId="22629D49" w:rsidR="005B6F65" w:rsidRDefault="005B6F65" w:rsidP="002542D0">
            <w:pPr>
              <w:pStyle w:val="ANormal"/>
              <w:jc w:val="center"/>
            </w:pPr>
            <w:r>
              <w:t>-10,6</w:t>
            </w:r>
          </w:p>
        </w:tc>
        <w:tc>
          <w:tcPr>
            <w:tcW w:w="992" w:type="dxa"/>
            <w:vAlign w:val="center"/>
          </w:tcPr>
          <w:p w14:paraId="4A4C6E46" w14:textId="2DE4E462" w:rsidR="005B6F65" w:rsidRDefault="005B6F65" w:rsidP="002542D0">
            <w:pPr>
              <w:pStyle w:val="ANormal"/>
              <w:jc w:val="center"/>
            </w:pPr>
            <w:r>
              <w:t>-19,1</w:t>
            </w:r>
          </w:p>
        </w:tc>
        <w:tc>
          <w:tcPr>
            <w:tcW w:w="992" w:type="dxa"/>
            <w:vAlign w:val="center"/>
          </w:tcPr>
          <w:p w14:paraId="712F5E0D" w14:textId="3A8BDEA0" w:rsidR="005B6F65" w:rsidRDefault="005B6F65" w:rsidP="002542D0">
            <w:pPr>
              <w:pStyle w:val="ANormal"/>
              <w:jc w:val="center"/>
            </w:pPr>
            <w:r>
              <w:t>-11,5</w:t>
            </w:r>
          </w:p>
        </w:tc>
        <w:tc>
          <w:tcPr>
            <w:tcW w:w="993" w:type="dxa"/>
            <w:vAlign w:val="center"/>
          </w:tcPr>
          <w:p w14:paraId="413804C5" w14:textId="60C1CAD6" w:rsidR="005B6F65" w:rsidRDefault="005B6F65" w:rsidP="002542D0">
            <w:pPr>
              <w:pStyle w:val="ANormal"/>
              <w:jc w:val="center"/>
            </w:pPr>
            <w:r>
              <w:t>-12,1</w:t>
            </w:r>
          </w:p>
        </w:tc>
      </w:tr>
      <w:tr w:rsidR="005B6F65" w:rsidRPr="00C43A02" w14:paraId="056C27D8" w14:textId="77777777" w:rsidTr="00A17906">
        <w:trPr>
          <w:trHeight w:val="304"/>
        </w:trPr>
        <w:tc>
          <w:tcPr>
            <w:tcW w:w="1098" w:type="dxa"/>
            <w:vAlign w:val="center"/>
          </w:tcPr>
          <w:p w14:paraId="4F22931C" w14:textId="191C79B6" w:rsidR="005B6F65" w:rsidRPr="00FA27A8" w:rsidRDefault="005B6F65" w:rsidP="00B97383">
            <w:pPr>
              <w:pStyle w:val="ANormal"/>
              <w:rPr>
                <w:sz w:val="18"/>
                <w:szCs w:val="16"/>
              </w:rPr>
            </w:pPr>
            <w:r>
              <w:rPr>
                <w:sz w:val="18"/>
                <w:szCs w:val="16"/>
              </w:rPr>
              <w:t>Resultat före extra poster</w:t>
            </w:r>
          </w:p>
        </w:tc>
        <w:tc>
          <w:tcPr>
            <w:tcW w:w="1024" w:type="dxa"/>
            <w:vAlign w:val="center"/>
          </w:tcPr>
          <w:p w14:paraId="1C350FCF" w14:textId="00A344B9" w:rsidR="005B6F65" w:rsidRPr="002542D0" w:rsidRDefault="005B6F65" w:rsidP="002542D0">
            <w:pPr>
              <w:pStyle w:val="ANormal"/>
              <w:jc w:val="center"/>
            </w:pPr>
            <w:r w:rsidRPr="002542D0">
              <w:t>5,8</w:t>
            </w:r>
          </w:p>
        </w:tc>
        <w:tc>
          <w:tcPr>
            <w:tcW w:w="992" w:type="dxa"/>
            <w:vAlign w:val="center"/>
          </w:tcPr>
          <w:p w14:paraId="7C726D76" w14:textId="52DD8D48" w:rsidR="005B6F65" w:rsidRPr="002542D0" w:rsidRDefault="002542D0" w:rsidP="002542D0">
            <w:pPr>
              <w:pStyle w:val="ANormal"/>
              <w:jc w:val="center"/>
            </w:pPr>
            <w:r w:rsidRPr="002542D0">
              <w:t>-25,9</w:t>
            </w:r>
          </w:p>
        </w:tc>
        <w:tc>
          <w:tcPr>
            <w:tcW w:w="992" w:type="dxa"/>
            <w:vAlign w:val="center"/>
          </w:tcPr>
          <w:p w14:paraId="4CDE5555" w14:textId="2E834260" w:rsidR="005B6F65" w:rsidRPr="002542D0" w:rsidRDefault="002542D0" w:rsidP="002542D0">
            <w:pPr>
              <w:pStyle w:val="ANormal"/>
              <w:jc w:val="center"/>
            </w:pPr>
            <w:r w:rsidRPr="002542D0">
              <w:t>4,7</w:t>
            </w:r>
          </w:p>
        </w:tc>
        <w:tc>
          <w:tcPr>
            <w:tcW w:w="992" w:type="dxa"/>
            <w:vAlign w:val="center"/>
          </w:tcPr>
          <w:p w14:paraId="087C7553" w14:textId="77AC2250" w:rsidR="005B6F65" w:rsidRPr="002542D0" w:rsidRDefault="002542D0" w:rsidP="002542D0">
            <w:pPr>
              <w:pStyle w:val="ANormal"/>
              <w:jc w:val="center"/>
            </w:pPr>
            <w:r w:rsidRPr="002542D0">
              <w:t>21,8</w:t>
            </w:r>
          </w:p>
        </w:tc>
        <w:tc>
          <w:tcPr>
            <w:tcW w:w="993" w:type="dxa"/>
            <w:vAlign w:val="center"/>
          </w:tcPr>
          <w:p w14:paraId="29ADA3A8" w14:textId="5A97C10B" w:rsidR="005B6F65" w:rsidRPr="002542D0" w:rsidRDefault="002542D0" w:rsidP="002542D0">
            <w:pPr>
              <w:pStyle w:val="ANormal"/>
              <w:jc w:val="center"/>
            </w:pPr>
            <w:r w:rsidRPr="002542D0">
              <w:t>12,5</w:t>
            </w:r>
          </w:p>
        </w:tc>
      </w:tr>
      <w:tr w:rsidR="005B6F65" w:rsidRPr="00C43A02" w14:paraId="24B0959D" w14:textId="77777777" w:rsidTr="00A17906">
        <w:trPr>
          <w:trHeight w:val="304"/>
        </w:trPr>
        <w:tc>
          <w:tcPr>
            <w:tcW w:w="1098" w:type="dxa"/>
            <w:vAlign w:val="center"/>
          </w:tcPr>
          <w:p w14:paraId="21414BB5" w14:textId="3348AB9C" w:rsidR="005B6F65" w:rsidRDefault="00C57B50" w:rsidP="00B97383">
            <w:pPr>
              <w:pStyle w:val="ANormal"/>
              <w:rPr>
                <w:sz w:val="18"/>
                <w:szCs w:val="16"/>
              </w:rPr>
            </w:pPr>
            <w:proofErr w:type="gramStart"/>
            <w:r>
              <w:rPr>
                <w:sz w:val="18"/>
                <w:szCs w:val="16"/>
              </w:rPr>
              <w:t>Periodens  under</w:t>
            </w:r>
            <w:proofErr w:type="gramEnd"/>
            <w:r>
              <w:rPr>
                <w:sz w:val="18"/>
                <w:szCs w:val="16"/>
              </w:rPr>
              <w:t>- eller överskott</w:t>
            </w:r>
            <w:r w:rsidR="005B6F65">
              <w:rPr>
                <w:sz w:val="18"/>
                <w:szCs w:val="16"/>
              </w:rPr>
              <w:t xml:space="preserve"> </w:t>
            </w:r>
          </w:p>
        </w:tc>
        <w:tc>
          <w:tcPr>
            <w:tcW w:w="1024" w:type="dxa"/>
            <w:vAlign w:val="center"/>
          </w:tcPr>
          <w:p w14:paraId="0D789674" w14:textId="41CF90BC" w:rsidR="005B6F65" w:rsidRPr="002542D0" w:rsidRDefault="005B6F65" w:rsidP="002542D0">
            <w:pPr>
              <w:pStyle w:val="ANormal"/>
              <w:jc w:val="center"/>
            </w:pPr>
            <w:r w:rsidRPr="002542D0">
              <w:t>-2,0</w:t>
            </w:r>
          </w:p>
        </w:tc>
        <w:tc>
          <w:tcPr>
            <w:tcW w:w="992" w:type="dxa"/>
            <w:vAlign w:val="center"/>
          </w:tcPr>
          <w:p w14:paraId="6102281B" w14:textId="095BE302" w:rsidR="005B6F65" w:rsidRPr="002542D0" w:rsidRDefault="002542D0" w:rsidP="002542D0">
            <w:pPr>
              <w:pStyle w:val="ANormal"/>
              <w:jc w:val="center"/>
            </w:pPr>
            <w:r w:rsidRPr="002542D0">
              <w:t>-50,0</w:t>
            </w:r>
          </w:p>
        </w:tc>
        <w:tc>
          <w:tcPr>
            <w:tcW w:w="992" w:type="dxa"/>
            <w:vAlign w:val="center"/>
          </w:tcPr>
          <w:p w14:paraId="2AC98D58" w14:textId="7E5710BF" w:rsidR="005B6F65" w:rsidRPr="002542D0" w:rsidRDefault="002542D0" w:rsidP="002542D0">
            <w:pPr>
              <w:pStyle w:val="ANormal"/>
              <w:jc w:val="center"/>
            </w:pPr>
            <w:r w:rsidRPr="002542D0">
              <w:t>-0,2</w:t>
            </w:r>
          </w:p>
        </w:tc>
        <w:tc>
          <w:tcPr>
            <w:tcW w:w="992" w:type="dxa"/>
            <w:vAlign w:val="center"/>
          </w:tcPr>
          <w:p w14:paraId="11403446" w14:textId="56EE61AD" w:rsidR="005B6F65" w:rsidRPr="002542D0" w:rsidRDefault="002542D0" w:rsidP="002542D0">
            <w:pPr>
              <w:pStyle w:val="ANormal"/>
              <w:jc w:val="center"/>
            </w:pPr>
            <w:r w:rsidRPr="002542D0">
              <w:t>15,3</w:t>
            </w:r>
          </w:p>
        </w:tc>
        <w:tc>
          <w:tcPr>
            <w:tcW w:w="993" w:type="dxa"/>
            <w:vAlign w:val="center"/>
          </w:tcPr>
          <w:p w14:paraId="672229F5" w14:textId="0305EFAC" w:rsidR="005B6F65" w:rsidRPr="002542D0" w:rsidRDefault="002542D0" w:rsidP="002542D0">
            <w:pPr>
              <w:pStyle w:val="ANormal"/>
              <w:jc w:val="center"/>
            </w:pPr>
            <w:r w:rsidRPr="002542D0">
              <w:t>-3,9</w:t>
            </w:r>
          </w:p>
        </w:tc>
      </w:tr>
    </w:tbl>
    <w:p w14:paraId="421B4E47" w14:textId="77777777" w:rsidR="005B6F65" w:rsidRPr="00102387" w:rsidRDefault="005B6F65" w:rsidP="00074652">
      <w:pPr>
        <w:pStyle w:val="ANormal"/>
        <w:rPr>
          <w:color w:val="FF0000"/>
        </w:rPr>
      </w:pPr>
    </w:p>
    <w:p w14:paraId="24B74354" w14:textId="702EF9AB" w:rsidR="002542D0" w:rsidRPr="002542D0" w:rsidRDefault="00D41D6E" w:rsidP="00074652">
      <w:pPr>
        <w:pStyle w:val="ANormal"/>
      </w:pPr>
      <w:r w:rsidRPr="002542D0">
        <w:tab/>
      </w:r>
      <w:r w:rsidR="00110090" w:rsidRPr="002542D0">
        <w:t>Räkenskapsperiodens resultat år 20</w:t>
      </w:r>
      <w:r w:rsidR="00157C9A" w:rsidRPr="002542D0">
        <w:t>2</w:t>
      </w:r>
      <w:r w:rsidR="002542D0" w:rsidRPr="002542D0">
        <w:t>3</w:t>
      </w:r>
      <w:r w:rsidR="00110090" w:rsidRPr="002542D0">
        <w:t xml:space="preserve"> uppgår till </w:t>
      </w:r>
      <w:r w:rsidR="002542D0" w:rsidRPr="002542D0">
        <w:t>1</w:t>
      </w:r>
      <w:r w:rsidR="00093C35" w:rsidRPr="002542D0">
        <w:t>2,</w:t>
      </w:r>
      <w:r w:rsidR="002542D0" w:rsidRPr="002542D0">
        <w:t>5</w:t>
      </w:r>
      <w:r w:rsidR="00093C35" w:rsidRPr="002542D0">
        <w:t xml:space="preserve"> (</w:t>
      </w:r>
      <w:r w:rsidR="002542D0" w:rsidRPr="002542D0">
        <w:t>21,8</w:t>
      </w:r>
      <w:r w:rsidR="00157C9A" w:rsidRPr="002542D0">
        <w:t>)</w:t>
      </w:r>
      <w:r w:rsidR="00110090" w:rsidRPr="002542D0">
        <w:t xml:space="preserve"> miljoner euro</w:t>
      </w:r>
      <w:r w:rsidR="003B7559" w:rsidRPr="002542D0">
        <w:t xml:space="preserve">. </w:t>
      </w:r>
      <w:r w:rsidR="002542D0" w:rsidRPr="002542D0">
        <w:t xml:space="preserve">Detta belopp tyngs av den skadeståndsersättning om 13,2 miljoner euro som föranletts av hovrättens dom gällande upphandlingen av färjetrafik till </w:t>
      </w:r>
      <w:r w:rsidR="002542D0" w:rsidRPr="002542D0">
        <w:lastRenderedPageBreak/>
        <w:t>Föglö</w:t>
      </w:r>
      <w:r w:rsidR="002542D0">
        <w:t xml:space="preserve"> och </w:t>
      </w:r>
      <w:r w:rsidR="00C57B50">
        <w:t xml:space="preserve">utgör </w:t>
      </w:r>
      <w:r w:rsidR="002542D0">
        <w:t>således en engångskostnad.</w:t>
      </w:r>
      <w:r w:rsidR="00C57B50">
        <w:t xml:space="preserve"> Om denna kostnadspost inte skulle ha funnits hade årets resultat uppgått till 25,7 miljoner euro.</w:t>
      </w:r>
      <w:r w:rsidR="00A17906">
        <w:t xml:space="preserve"> Utgående från de senaste fem årens relationstal går det att utläsa en svag positiv trend.</w:t>
      </w:r>
    </w:p>
    <w:p w14:paraId="107D30B0" w14:textId="0326FC70" w:rsidR="00C57B50" w:rsidRPr="00C57B50" w:rsidRDefault="000545CE" w:rsidP="00074652">
      <w:pPr>
        <w:pStyle w:val="ANormal"/>
      </w:pPr>
      <w:r>
        <w:tab/>
      </w:r>
      <w:r w:rsidR="00C57B50" w:rsidRPr="00C57B50">
        <w:t>Det slutliga resultatet, som i årsredovisningen kallas ”Räkenskapsperiodens under eller överskott”, uppvisar ett minus om 3,9 miljoner euro. Minuset uppkommer på grund av bokföringstekniska orsaker då 16,4 miljoner euro reserv</w:t>
      </w:r>
      <w:r w:rsidR="00C57B50">
        <w:t>eras</w:t>
      </w:r>
      <w:r w:rsidR="00C57B50" w:rsidRPr="00C57B50">
        <w:t xml:space="preserve"> för framtida kostnader.</w:t>
      </w:r>
      <w:r w:rsidR="00C57B50">
        <w:t xml:space="preserve"> Om dessa medel</w:t>
      </w:r>
      <w:r>
        <w:t xml:space="preserve">, som huvudsakligen utgörs av PAF-medel, </w:t>
      </w:r>
      <w:r w:rsidR="00C57B50">
        <w:t xml:space="preserve">förs en diskussion </w:t>
      </w:r>
      <w:r>
        <w:t>på ett annat ställe i detta betänkande.</w:t>
      </w:r>
    </w:p>
    <w:p w14:paraId="45FE76D4" w14:textId="6583F662" w:rsidR="00AE1714" w:rsidRPr="00B50CFD" w:rsidRDefault="00110090" w:rsidP="00110090">
      <w:pPr>
        <w:pStyle w:val="ANormal"/>
      </w:pPr>
      <w:r w:rsidRPr="00B50CFD">
        <w:tab/>
        <w:t>Verksamhetens kostnader uppgick år 20</w:t>
      </w:r>
      <w:r w:rsidR="00AE1714" w:rsidRPr="00B50CFD">
        <w:t>2</w:t>
      </w:r>
      <w:r w:rsidR="000545CE" w:rsidRPr="00B50CFD">
        <w:t>3</w:t>
      </w:r>
      <w:r w:rsidRPr="00B50CFD">
        <w:t xml:space="preserve"> till </w:t>
      </w:r>
      <w:r w:rsidR="000545CE" w:rsidRPr="00B50CFD">
        <w:t>228,7 (</w:t>
      </w:r>
      <w:r w:rsidR="00A906FF" w:rsidRPr="00B50CFD">
        <w:t>222,1)</w:t>
      </w:r>
      <w:r w:rsidRPr="00B50CFD">
        <w:t xml:space="preserve"> miljoner euro, vilket är</w:t>
      </w:r>
      <w:r w:rsidR="00AE1714" w:rsidRPr="00B50CFD">
        <w:t xml:space="preserve"> en ökning </w:t>
      </w:r>
      <w:r w:rsidR="00195FF1" w:rsidRPr="00B50CFD">
        <w:t>med</w:t>
      </w:r>
      <w:r w:rsidR="00AE1714" w:rsidRPr="00B50CFD">
        <w:t xml:space="preserve"> </w:t>
      </w:r>
      <w:r w:rsidR="000545CE" w:rsidRPr="00B50CFD">
        <w:t>6,</w:t>
      </w:r>
      <w:r w:rsidR="00003871" w:rsidRPr="00B50CFD">
        <w:t>6</w:t>
      </w:r>
      <w:r w:rsidR="000545CE" w:rsidRPr="00B50CFD">
        <w:t xml:space="preserve"> (</w:t>
      </w:r>
      <w:r w:rsidR="00A906FF" w:rsidRPr="00B50CFD">
        <w:t>12,3)</w:t>
      </w:r>
      <w:r w:rsidRPr="00B50CFD">
        <w:t xml:space="preserve"> miljoner eller </w:t>
      </w:r>
      <w:r w:rsidR="000545CE" w:rsidRPr="00B50CFD">
        <w:t>3,0 (</w:t>
      </w:r>
      <w:r w:rsidR="00A906FF" w:rsidRPr="00B50CFD">
        <w:t>5,9</w:t>
      </w:r>
      <w:r w:rsidR="00AE1714" w:rsidRPr="00B50CFD">
        <w:t xml:space="preserve">) </w:t>
      </w:r>
      <w:r w:rsidRPr="00B50CFD">
        <w:t xml:space="preserve">procent </w:t>
      </w:r>
      <w:r w:rsidR="00AE1714" w:rsidRPr="00B50CFD">
        <w:t xml:space="preserve">jämfört med </w:t>
      </w:r>
      <w:r w:rsidRPr="00B50CFD">
        <w:t>år 20</w:t>
      </w:r>
      <w:r w:rsidR="00586D81" w:rsidRPr="00B50CFD">
        <w:t>2</w:t>
      </w:r>
      <w:r w:rsidR="000545CE" w:rsidRPr="00B50CFD">
        <w:t>2</w:t>
      </w:r>
      <w:r w:rsidR="00586D81" w:rsidRPr="00B50CFD">
        <w:t>.</w:t>
      </w:r>
    </w:p>
    <w:p w14:paraId="249CE2DC" w14:textId="1670E389" w:rsidR="00926D1C" w:rsidRPr="00102387" w:rsidRDefault="00AE1714" w:rsidP="00110090">
      <w:pPr>
        <w:pStyle w:val="ANormal"/>
        <w:rPr>
          <w:color w:val="FF0000"/>
        </w:rPr>
      </w:pPr>
      <w:r w:rsidRPr="000545CE">
        <w:tab/>
        <w:t xml:space="preserve">Kostnaderna för inkomst- och kapitalöverföringar </w:t>
      </w:r>
      <w:r w:rsidR="000545CE" w:rsidRPr="000545CE">
        <w:t xml:space="preserve">ökade </w:t>
      </w:r>
      <w:r w:rsidRPr="000545CE">
        <w:t xml:space="preserve">med </w:t>
      </w:r>
      <w:r w:rsidR="000545CE" w:rsidRPr="000545CE">
        <w:t>8,3 (</w:t>
      </w:r>
      <w:r w:rsidR="00A906FF" w:rsidRPr="000545CE">
        <w:t>3,0)</w:t>
      </w:r>
      <w:r w:rsidR="00586D81" w:rsidRPr="000545CE">
        <w:t xml:space="preserve"> </w:t>
      </w:r>
      <w:r w:rsidRPr="000545CE">
        <w:t xml:space="preserve">miljoner euro till </w:t>
      </w:r>
      <w:r w:rsidR="000545CE" w:rsidRPr="000545CE">
        <w:t>109,2 (</w:t>
      </w:r>
      <w:r w:rsidR="00A906FF" w:rsidRPr="000545CE">
        <w:t>100,9)</w:t>
      </w:r>
      <w:r w:rsidRPr="000545CE">
        <w:t xml:space="preserve"> miljoner euro. </w:t>
      </w:r>
    </w:p>
    <w:p w14:paraId="3EA37A85" w14:textId="20A011FE" w:rsidR="009F715D" w:rsidRPr="00102387" w:rsidRDefault="009F715D" w:rsidP="00110090">
      <w:pPr>
        <w:pStyle w:val="ANormal"/>
        <w:rPr>
          <w:color w:val="FF0000"/>
        </w:rPr>
      </w:pPr>
    </w:p>
    <w:p w14:paraId="37DEF04D" w14:textId="4CA66F33" w:rsidR="009F715D" w:rsidRPr="00102387" w:rsidRDefault="009F715D" w:rsidP="00110090">
      <w:pPr>
        <w:pStyle w:val="ANormal"/>
        <w:rPr>
          <w:b/>
          <w:bCs/>
          <w:color w:val="FF0000"/>
        </w:rPr>
      </w:pPr>
      <w:r w:rsidRPr="00CB6092">
        <w:rPr>
          <w:b/>
          <w:bCs/>
        </w:rPr>
        <w:t>Budgetuppföljningen</w:t>
      </w:r>
    </w:p>
    <w:p w14:paraId="2A1099C9" w14:textId="60EB16B1" w:rsidR="009F715D" w:rsidRPr="00102387" w:rsidRDefault="009F715D" w:rsidP="00110090">
      <w:pPr>
        <w:pStyle w:val="ANormal"/>
        <w:rPr>
          <w:color w:val="FF0000"/>
          <w:sz w:val="10"/>
          <w:szCs w:val="8"/>
        </w:rPr>
      </w:pPr>
    </w:p>
    <w:p w14:paraId="6BAD82B0" w14:textId="77777777" w:rsidR="00D17DFB" w:rsidRPr="00D17DFB" w:rsidRDefault="009F715D" w:rsidP="00215926">
      <w:pPr>
        <w:pStyle w:val="ANormal"/>
      </w:pPr>
      <w:r w:rsidRPr="00D17DFB">
        <w:t xml:space="preserve">Budgetefterlevnaden </w:t>
      </w:r>
      <w:r w:rsidR="00552063" w:rsidRPr="00D17DFB">
        <w:t>visar att</w:t>
      </w:r>
      <w:r w:rsidRPr="00D17DFB">
        <w:t xml:space="preserve"> </w:t>
      </w:r>
      <w:r w:rsidR="0007018A" w:rsidRPr="00D17DFB">
        <w:t>8</w:t>
      </w:r>
      <w:r w:rsidR="002302B2" w:rsidRPr="00D17DFB">
        <w:t>9</w:t>
      </w:r>
      <w:r w:rsidR="0007018A" w:rsidRPr="00D17DFB">
        <w:t xml:space="preserve"> (</w:t>
      </w:r>
      <w:r w:rsidRPr="00D17DFB">
        <w:t>8</w:t>
      </w:r>
      <w:r w:rsidR="00B244AF" w:rsidRPr="00D17DFB">
        <w:t>7</w:t>
      </w:r>
      <w:r w:rsidR="0007018A" w:rsidRPr="00D17DFB">
        <w:t>)</w:t>
      </w:r>
      <w:r w:rsidRPr="00D17DFB">
        <w:t xml:space="preserve"> % av budgetanslagen för verksamhet och överföringar har utnyttjats, vilket lämnade ett </w:t>
      </w:r>
      <w:r w:rsidR="0007018A" w:rsidRPr="00D17DFB">
        <w:t xml:space="preserve">budgettekniskt </w:t>
      </w:r>
      <w:r w:rsidRPr="00D17DFB">
        <w:t xml:space="preserve">överskott om </w:t>
      </w:r>
      <w:r w:rsidR="002302B2" w:rsidRPr="00D17DFB">
        <w:t>43,0 (</w:t>
      </w:r>
      <w:r w:rsidR="00B244AF" w:rsidRPr="00D17DFB">
        <w:t>46,8</w:t>
      </w:r>
      <w:r w:rsidR="0007018A" w:rsidRPr="00D17DFB">
        <w:t>)</w:t>
      </w:r>
      <w:r w:rsidRPr="00D17DFB">
        <w:t xml:space="preserve"> m</w:t>
      </w:r>
      <w:r w:rsidR="00552063" w:rsidRPr="00D17DFB">
        <w:t>iljoner euro</w:t>
      </w:r>
      <w:r w:rsidRPr="00D17DFB">
        <w:t xml:space="preserve">. Av detta belopp överförs </w:t>
      </w:r>
      <w:r w:rsidR="00D17DFB" w:rsidRPr="00D17DFB">
        <w:t>27,5 (</w:t>
      </w:r>
      <w:r w:rsidR="00B244AF" w:rsidRPr="00D17DFB">
        <w:t>33,7</w:t>
      </w:r>
      <w:r w:rsidR="0007018A" w:rsidRPr="00D17DFB">
        <w:t>)</w:t>
      </w:r>
      <w:r w:rsidRPr="00D17DFB">
        <w:t xml:space="preserve"> m</w:t>
      </w:r>
      <w:r w:rsidR="00552063" w:rsidRPr="00D17DFB">
        <w:t>iljoner euro</w:t>
      </w:r>
      <w:r w:rsidRPr="00D17DFB">
        <w:t xml:space="preserve"> till budgetåret 202</w:t>
      </w:r>
      <w:r w:rsidR="00D17DFB" w:rsidRPr="00D17DFB">
        <w:t>4</w:t>
      </w:r>
      <w:r w:rsidRPr="00D17DFB">
        <w:t xml:space="preserve">. </w:t>
      </w:r>
    </w:p>
    <w:p w14:paraId="1C7B9147" w14:textId="77777777" w:rsidR="00C23DD0" w:rsidRDefault="00D17DFB" w:rsidP="00215926">
      <w:pPr>
        <w:pStyle w:val="ANormal"/>
      </w:pPr>
      <w:r w:rsidRPr="00D17DFB">
        <w:tab/>
      </w:r>
      <w:r w:rsidR="00B244AF" w:rsidRPr="00D17DFB">
        <w:t xml:space="preserve">De </w:t>
      </w:r>
      <w:r w:rsidRPr="00D17DFB">
        <w:t xml:space="preserve">största avvikelserna mellan </w:t>
      </w:r>
      <w:r w:rsidR="00B244AF" w:rsidRPr="00D17DFB">
        <w:t>budgeterat belopp och utfall hänför sig till</w:t>
      </w:r>
      <w:r w:rsidR="00C23DD0">
        <w:t xml:space="preserve"> </w:t>
      </w:r>
      <w:r w:rsidR="00B244AF" w:rsidRPr="00D17DFB">
        <w:t>finansieringen av olika EU-program samt</w:t>
      </w:r>
      <w:r w:rsidRPr="00D17DFB">
        <w:t xml:space="preserve"> till</w:t>
      </w:r>
      <w:r w:rsidR="00B244AF" w:rsidRPr="00D17DFB">
        <w:t xml:space="preserve"> användningen av PAF-medel. </w:t>
      </w:r>
    </w:p>
    <w:p w14:paraId="684999F3" w14:textId="09F08107" w:rsidR="00215926" w:rsidRDefault="00C23DD0" w:rsidP="00215926">
      <w:pPr>
        <w:pStyle w:val="ANormal"/>
      </w:pPr>
      <w:r>
        <w:tab/>
      </w:r>
      <w:r w:rsidR="00B244AF" w:rsidRPr="00D17DFB">
        <w:t>Utskottet konstaterar att denna typ av projektorienterade anslag alltid kommer att uppvisa stora fluktuationer i utfallet. Utskottet konstaterar därför att landskapsbudgeten inte innehåller så kallad budgetluft i någon betydande utsträckning.</w:t>
      </w:r>
      <w:r w:rsidR="00D17DFB">
        <w:t xml:space="preserve"> </w:t>
      </w:r>
    </w:p>
    <w:p w14:paraId="33003694" w14:textId="1EB02BE8" w:rsidR="007D7E4E" w:rsidRPr="00CB6092" w:rsidRDefault="00215926" w:rsidP="00215926">
      <w:pPr>
        <w:pStyle w:val="ANormal"/>
      </w:pPr>
      <w:r w:rsidRPr="00B20CED">
        <w:tab/>
      </w:r>
      <w:r w:rsidR="007D7E4E" w:rsidRPr="00B20CED">
        <w:t>Beloppe</w:t>
      </w:r>
      <w:r w:rsidR="00D17DFB">
        <w:t>n</w:t>
      </w:r>
      <w:r w:rsidR="007D7E4E" w:rsidRPr="00B20CED">
        <w:t xml:space="preserve"> i budgeten som hänför sig till verksamhet</w:t>
      </w:r>
      <w:r w:rsidR="00D17DFB">
        <w:t xml:space="preserve"> och</w:t>
      </w:r>
      <w:r w:rsidR="007D7E4E" w:rsidRPr="00B20CED">
        <w:t xml:space="preserve"> överföringar och som överförs till följande år har </w:t>
      </w:r>
      <w:r w:rsidR="00B20CED" w:rsidRPr="00B20CED">
        <w:t xml:space="preserve">tidigare år haft </w:t>
      </w:r>
      <w:r w:rsidR="007D7E4E" w:rsidRPr="00B20CED">
        <w:t>en tendens att stiga för varje år. Från 202</w:t>
      </w:r>
      <w:r w:rsidR="00B20CED" w:rsidRPr="00B20CED">
        <w:t>3</w:t>
      </w:r>
      <w:r w:rsidR="007D7E4E" w:rsidRPr="00B20CED">
        <w:t xml:space="preserve"> överförs</w:t>
      </w:r>
      <w:r w:rsidR="00B20CED" w:rsidRPr="00B20CED">
        <w:t xml:space="preserve"> dock ett lägre belopp än tidigare år, 27,5 (</w:t>
      </w:r>
      <w:r w:rsidR="00B244AF" w:rsidRPr="00B20CED">
        <w:t>33,7)</w:t>
      </w:r>
      <w:r w:rsidR="007D7E4E" w:rsidRPr="00B20CED">
        <w:t xml:space="preserve"> miljo</w:t>
      </w:r>
      <w:r w:rsidR="007D7E4E" w:rsidRPr="00CB6092">
        <w:t>ner euro</w:t>
      </w:r>
      <w:r w:rsidRPr="00CB6092">
        <w:t xml:space="preserve">. Som jämförelse kan nämnas att 2018 uppgick det överförda beloppet till 16,0 miljoner euro. </w:t>
      </w:r>
      <w:r w:rsidR="005B1A95" w:rsidRPr="00CB6092">
        <w:t>Huvuddelen av de överförda beloppen kan hänföras till finans-</w:t>
      </w:r>
      <w:r w:rsidR="00B244AF" w:rsidRPr="00CB6092">
        <w:t>, infrastruktur-</w:t>
      </w:r>
      <w:r w:rsidR="005B1A95" w:rsidRPr="00CB6092">
        <w:t xml:space="preserve"> och näringsavdelningarnas verksamhetsområde</w:t>
      </w:r>
      <w:r w:rsidR="00CF569E" w:rsidRPr="00CB6092">
        <w:t>n</w:t>
      </w:r>
      <w:r w:rsidR="003E1373" w:rsidRPr="00CB6092">
        <w:t>.</w:t>
      </w:r>
    </w:p>
    <w:p w14:paraId="646BEE14" w14:textId="096B4269" w:rsidR="009F715D" w:rsidRDefault="009F715D" w:rsidP="00215926">
      <w:pPr>
        <w:pStyle w:val="ANormal"/>
      </w:pPr>
      <w:r w:rsidRPr="00CB6092">
        <w:tab/>
        <w:t xml:space="preserve">Investeringsanslagen (utan finansiella investeringar) uppgick till </w:t>
      </w:r>
      <w:r w:rsidR="009E7149">
        <w:t>46,0</w:t>
      </w:r>
      <w:r w:rsidR="00CB6092" w:rsidRPr="00CB6092">
        <w:t xml:space="preserve"> (</w:t>
      </w:r>
      <w:r w:rsidR="00B244AF" w:rsidRPr="00CB6092">
        <w:t>44,8</w:t>
      </w:r>
      <w:r w:rsidR="0007018A" w:rsidRPr="00CB6092">
        <w:t>)</w:t>
      </w:r>
      <w:r w:rsidRPr="00CB6092">
        <w:t xml:space="preserve"> m</w:t>
      </w:r>
      <w:r w:rsidR="00552063" w:rsidRPr="00CB6092">
        <w:t>iljoner euro</w:t>
      </w:r>
      <w:r w:rsidRPr="00CB6092">
        <w:t xml:space="preserve">, av vilket </w:t>
      </w:r>
      <w:r w:rsidR="00CB6092" w:rsidRPr="00CB6092">
        <w:t>2</w:t>
      </w:r>
      <w:r w:rsidR="009E7149">
        <w:t>3</w:t>
      </w:r>
      <w:r w:rsidR="00CB6092" w:rsidRPr="00CB6092">
        <w:t>,</w:t>
      </w:r>
      <w:r w:rsidR="009E7149">
        <w:t>4</w:t>
      </w:r>
      <w:r w:rsidR="00CB6092" w:rsidRPr="00CB6092">
        <w:t xml:space="preserve"> (</w:t>
      </w:r>
      <w:r w:rsidR="00B244AF" w:rsidRPr="00CB6092">
        <w:t xml:space="preserve">18,1) miljoner euro </w:t>
      </w:r>
      <w:r w:rsidRPr="00CB6092">
        <w:t>utnyttja</w:t>
      </w:r>
      <w:r w:rsidR="00B244AF" w:rsidRPr="00CB6092">
        <w:t>des</w:t>
      </w:r>
      <w:r w:rsidRPr="00CB6092">
        <w:t xml:space="preserve">. </w:t>
      </w:r>
      <w:r w:rsidR="0007018A" w:rsidRPr="00CB6092">
        <w:t>Till budgeten 202</w:t>
      </w:r>
      <w:r w:rsidR="00CB6092" w:rsidRPr="00CB6092">
        <w:t>4</w:t>
      </w:r>
      <w:r w:rsidR="0007018A" w:rsidRPr="00CB6092">
        <w:t xml:space="preserve"> har </w:t>
      </w:r>
      <w:r w:rsidR="009E7149">
        <w:t>18,0</w:t>
      </w:r>
      <w:r w:rsidR="00CB6092" w:rsidRPr="00CB6092">
        <w:t xml:space="preserve"> (</w:t>
      </w:r>
      <w:r w:rsidR="00B244AF" w:rsidRPr="00CB6092">
        <w:t>26</w:t>
      </w:r>
      <w:r w:rsidR="00543AFA" w:rsidRPr="00CB6092">
        <w:t>,</w:t>
      </w:r>
      <w:r w:rsidR="00B244AF" w:rsidRPr="00CB6092">
        <w:t>7)</w:t>
      </w:r>
      <w:r w:rsidR="0007018A" w:rsidRPr="00CB6092">
        <w:t xml:space="preserve"> miljoner euro </w:t>
      </w:r>
      <w:r w:rsidR="007D7E4E" w:rsidRPr="00CB6092">
        <w:t xml:space="preserve">av investeringsanslagen </w:t>
      </w:r>
      <w:r w:rsidR="0007018A" w:rsidRPr="00CB6092">
        <w:t>överförts.</w:t>
      </w:r>
    </w:p>
    <w:p w14:paraId="62019029" w14:textId="47923825" w:rsidR="00EF3F86" w:rsidRPr="00B50CFD" w:rsidRDefault="00EF3F86" w:rsidP="00EF3F86">
      <w:pPr>
        <w:pStyle w:val="ANormal"/>
        <w:rPr>
          <w:lang w:val="sv-FI"/>
        </w:rPr>
      </w:pPr>
      <w:r w:rsidRPr="00B50CFD">
        <w:tab/>
      </w:r>
      <w:r w:rsidRPr="00B50CFD">
        <w:rPr>
          <w:lang w:val="sv-FI"/>
        </w:rPr>
        <w:t xml:space="preserve">Utskottet konstaterar att bokslutet innehåller nyckeltal som mäter det arbete som utförs i förvaltningen. Det pågår ett arbete inom landskapsregeringen att utveckla den här delen av bokslutet. Utskottet påpekar att det är av stor vikt för uppföljningen av bokslutet att man har relevanta nyckeltal som ger läsaren en god översikt av hur resurser har fördelats under bokslutsåret. Med mätbara nyckeltal har landskapsregeringen bättre möjligheter till kvalificerade avväganden huruvida resurserna i förvaltningen är ansträngda eller ej. </w:t>
      </w:r>
    </w:p>
    <w:p w14:paraId="65FC6957" w14:textId="71045F97" w:rsidR="00EF3F86" w:rsidRPr="00B50CFD" w:rsidRDefault="00EF3F86" w:rsidP="00215926">
      <w:pPr>
        <w:pStyle w:val="ANormal"/>
        <w:rPr>
          <w:i/>
          <w:iCs/>
        </w:rPr>
      </w:pPr>
    </w:p>
    <w:p w14:paraId="0F457A5C" w14:textId="0AF30F37" w:rsidR="008522F4" w:rsidRPr="00085531" w:rsidRDefault="008522F4" w:rsidP="008522F4">
      <w:pPr>
        <w:pStyle w:val="RubrikC"/>
      </w:pPr>
      <w:bookmarkStart w:id="12" w:name="_Toc178066492"/>
      <w:r w:rsidRPr="00085531">
        <w:t>Skatteintäkter</w:t>
      </w:r>
      <w:r w:rsidR="00397857" w:rsidRPr="00085531">
        <w:t xml:space="preserve"> och likviditet</w:t>
      </w:r>
      <w:bookmarkEnd w:id="12"/>
    </w:p>
    <w:p w14:paraId="7773C9A6" w14:textId="77777777" w:rsidR="008522F4" w:rsidRPr="00085531" w:rsidRDefault="008522F4" w:rsidP="008522F4">
      <w:pPr>
        <w:pStyle w:val="Rubrikmellanrum"/>
      </w:pPr>
    </w:p>
    <w:p w14:paraId="48FDA692" w14:textId="0C576B5A" w:rsidR="004F5A98" w:rsidRPr="00102387" w:rsidRDefault="008522F4" w:rsidP="00224726">
      <w:pPr>
        <w:pStyle w:val="ANormal"/>
        <w:rPr>
          <w:color w:val="FF0000"/>
        </w:rPr>
      </w:pPr>
      <w:r w:rsidRPr="00085531">
        <w:t xml:space="preserve">De totala intäkterna av skattekaraktär </w:t>
      </w:r>
      <w:r w:rsidR="00085531" w:rsidRPr="00085531">
        <w:t>ökade med 26,1 (-</w:t>
      </w:r>
      <w:r w:rsidR="004F5A98" w:rsidRPr="00085531">
        <w:t>3,2</w:t>
      </w:r>
      <w:r w:rsidR="00085531" w:rsidRPr="00085531">
        <w:t>)</w:t>
      </w:r>
      <w:r w:rsidR="00E56129" w:rsidRPr="00085531">
        <w:t xml:space="preserve"> miljoner</w:t>
      </w:r>
      <w:r w:rsidR="00224726" w:rsidRPr="00085531">
        <w:t xml:space="preserve"> euro</w:t>
      </w:r>
      <w:r w:rsidR="003B7559" w:rsidRPr="00085531">
        <w:t xml:space="preserve">, </w:t>
      </w:r>
      <w:r w:rsidR="00085531">
        <w:t xml:space="preserve">eller 8,75 procent, </w:t>
      </w:r>
      <w:r w:rsidR="003B7559" w:rsidRPr="00085531">
        <w:t xml:space="preserve">till </w:t>
      </w:r>
      <w:r w:rsidR="00085531" w:rsidRPr="00085531">
        <w:t>324,3 (</w:t>
      </w:r>
      <w:r w:rsidR="004F5A98" w:rsidRPr="00085531">
        <w:t>298,3)</w:t>
      </w:r>
      <w:r w:rsidR="00084AE1" w:rsidRPr="00085531">
        <w:t xml:space="preserve"> miljoner</w:t>
      </w:r>
      <w:r w:rsidR="003B7559" w:rsidRPr="00085531">
        <w:t xml:space="preserve"> euro</w:t>
      </w:r>
      <w:r w:rsidR="00250D54" w:rsidRPr="00085531">
        <w:t xml:space="preserve"> </w:t>
      </w:r>
      <w:r w:rsidR="00D10359" w:rsidRPr="00085531">
        <w:t xml:space="preserve">jämfört med år </w:t>
      </w:r>
      <w:r w:rsidR="002151FD" w:rsidRPr="00085531">
        <w:t>20</w:t>
      </w:r>
      <w:r w:rsidR="00D10359" w:rsidRPr="00085531">
        <w:t>2</w:t>
      </w:r>
      <w:r w:rsidR="00085531" w:rsidRPr="00085531">
        <w:t>2</w:t>
      </w:r>
      <w:r w:rsidR="00E56129" w:rsidRPr="00085531">
        <w:t xml:space="preserve">. </w:t>
      </w:r>
      <w:r w:rsidR="002B4BC9">
        <w:t>Det bör noteras att å</w:t>
      </w:r>
      <w:r w:rsidR="00085531">
        <w:t>r 2023 var det första året som inte hade kvarstående effekter från det tidigare skattefinansiella utjämningssystemet.</w:t>
      </w:r>
    </w:p>
    <w:p w14:paraId="3A62AB9B" w14:textId="10BE1ED6" w:rsidR="00224726" w:rsidRPr="00085531" w:rsidRDefault="002151FD" w:rsidP="00224726">
      <w:pPr>
        <w:pStyle w:val="ANormal"/>
      </w:pPr>
      <w:r w:rsidRPr="00085531">
        <w:tab/>
        <w:t>Övriga finansiella intäkter och kostnader uppgick till netto</w:t>
      </w:r>
      <w:r w:rsidR="00DE5A9B" w:rsidRPr="00085531">
        <w:t xml:space="preserve"> </w:t>
      </w:r>
      <w:r w:rsidR="00085531" w:rsidRPr="00085531">
        <w:t>40,9 (</w:t>
      </w:r>
      <w:r w:rsidR="00DE5A9B" w:rsidRPr="00085531">
        <w:t>27,1</w:t>
      </w:r>
      <w:r w:rsidR="0000076A" w:rsidRPr="00085531">
        <w:t>)</w:t>
      </w:r>
      <w:r w:rsidRPr="00085531">
        <w:t xml:space="preserve"> miljoner euro</w:t>
      </w:r>
      <w:r w:rsidR="0000076A" w:rsidRPr="00085531">
        <w:t xml:space="preserve">. </w:t>
      </w:r>
      <w:r w:rsidR="00DE5A9B" w:rsidRPr="00085531">
        <w:t xml:space="preserve">Ökningen </w:t>
      </w:r>
      <w:r w:rsidR="0000076A" w:rsidRPr="00085531">
        <w:t xml:space="preserve">beror </w:t>
      </w:r>
      <w:r w:rsidR="00DE5A9B" w:rsidRPr="00085531">
        <w:t xml:space="preserve">huvudsakligen </w:t>
      </w:r>
      <w:r w:rsidR="0000076A" w:rsidRPr="00085531">
        <w:t xml:space="preserve">på att </w:t>
      </w:r>
      <w:r w:rsidR="00C6183B" w:rsidRPr="00085531">
        <w:t>uttag</w:t>
      </w:r>
      <w:r w:rsidR="0000076A" w:rsidRPr="00085531">
        <w:t>et</w:t>
      </w:r>
      <w:r w:rsidR="00C6183B" w:rsidRPr="00085531">
        <w:t xml:space="preserve"> från P</w:t>
      </w:r>
      <w:r w:rsidR="00077752" w:rsidRPr="00085531">
        <w:t>enningautomatföreningen</w:t>
      </w:r>
      <w:r w:rsidR="00C6183B" w:rsidRPr="00085531">
        <w:t xml:space="preserve"> </w:t>
      </w:r>
      <w:r w:rsidR="00DE5A9B" w:rsidRPr="00085531">
        <w:t>höjdes från 20</w:t>
      </w:r>
      <w:r w:rsidR="008C12A6">
        <w:t>,0</w:t>
      </w:r>
      <w:r w:rsidR="00DE5A9B" w:rsidRPr="00085531">
        <w:t xml:space="preserve"> </w:t>
      </w:r>
      <w:r w:rsidR="00085531" w:rsidRPr="00085531">
        <w:t xml:space="preserve">till 33,1 </w:t>
      </w:r>
      <w:r w:rsidR="0000076A" w:rsidRPr="00085531">
        <w:t>miljoner</w:t>
      </w:r>
      <w:r w:rsidR="00C6183B" w:rsidRPr="00085531">
        <w:t xml:space="preserve"> euro.</w:t>
      </w:r>
      <w:r w:rsidR="0000076A" w:rsidRPr="00085531">
        <w:t xml:space="preserve"> Övriga intäkter</w:t>
      </w:r>
      <w:r w:rsidR="00085531">
        <w:t xml:space="preserve"> i denna kategori</w:t>
      </w:r>
      <w:r w:rsidR="0000076A" w:rsidRPr="00085531">
        <w:t xml:space="preserve"> består huvudsakligen av den finansiella överföringen från fas</w:t>
      </w:r>
      <w:r w:rsidR="0000076A" w:rsidRPr="00085531">
        <w:lastRenderedPageBreak/>
        <w:t>tighetsverket</w:t>
      </w:r>
      <w:r w:rsidR="00085531" w:rsidRPr="00085531">
        <w:t xml:space="preserve"> som i budgeten hade sänkts från 6,0 till 4,5 miljoner euro. Bortfallet kompenserades </w:t>
      </w:r>
      <w:r w:rsidR="00085531">
        <w:t xml:space="preserve">genom en kraftig </w:t>
      </w:r>
      <w:r w:rsidR="00085531" w:rsidRPr="00085531">
        <w:t>höjning av ränteintäkter</w:t>
      </w:r>
      <w:r w:rsidR="00085531">
        <w:t xml:space="preserve">na från </w:t>
      </w:r>
      <w:r w:rsidR="00085531" w:rsidRPr="00085531">
        <w:t>olika slag</w:t>
      </w:r>
      <w:r w:rsidR="00085531">
        <w:t xml:space="preserve"> av placeringar</w:t>
      </w:r>
      <w:r w:rsidR="00085531" w:rsidRPr="00085531">
        <w:t xml:space="preserve">, </w:t>
      </w:r>
      <w:r w:rsidR="00085531">
        <w:t>från 0,6 till 2,9 miljoner euro.</w:t>
      </w:r>
    </w:p>
    <w:p w14:paraId="1A93DC63" w14:textId="4C47D69C" w:rsidR="00021809" w:rsidRPr="001E1B17" w:rsidRDefault="00397857" w:rsidP="00224726">
      <w:pPr>
        <w:pStyle w:val="ANormal"/>
      </w:pPr>
      <w:r w:rsidRPr="001E1B17">
        <w:tab/>
        <w:t xml:space="preserve">Likviditeten har ökat med </w:t>
      </w:r>
      <w:r w:rsidR="00F17926" w:rsidRPr="001E1B17">
        <w:t>14,2 (</w:t>
      </w:r>
      <w:r w:rsidR="008E2B9C" w:rsidRPr="001E1B17">
        <w:t>22,9)</w:t>
      </w:r>
      <w:r w:rsidRPr="001E1B17">
        <w:t xml:space="preserve"> miljoner euro från </w:t>
      </w:r>
      <w:r w:rsidR="008E2B9C" w:rsidRPr="001E1B17">
        <w:t xml:space="preserve">64,7 </w:t>
      </w:r>
      <w:r w:rsidR="00F17926" w:rsidRPr="001E1B17">
        <w:t xml:space="preserve">till 78,9 </w:t>
      </w:r>
      <w:r w:rsidRPr="001E1B17">
        <w:t xml:space="preserve">miljoner euro. </w:t>
      </w:r>
      <w:r w:rsidR="006A70A6" w:rsidRPr="001E1B17">
        <w:t xml:space="preserve">Fastighetsverkets likviditet vid årsskiftet uppgick till </w:t>
      </w:r>
      <w:r w:rsidR="00F17926" w:rsidRPr="001E1B17">
        <w:t>22,8 (</w:t>
      </w:r>
      <w:r w:rsidR="008E2B9C" w:rsidRPr="001E1B17">
        <w:t>18,2)</w:t>
      </w:r>
      <w:r w:rsidR="006A70A6" w:rsidRPr="001E1B17">
        <w:t xml:space="preserve"> miljoner euro</w:t>
      </w:r>
      <w:r w:rsidR="00F17926" w:rsidRPr="002A1F13">
        <w:t>, vilket innebär att landskapets totala likviditet vid årsskiftet uppgick till 1</w:t>
      </w:r>
      <w:r w:rsidR="002A1F13">
        <w:t>01,7</w:t>
      </w:r>
      <w:r w:rsidR="001E1B17" w:rsidRPr="002A1F13">
        <w:t xml:space="preserve"> miljoner euro.</w:t>
      </w:r>
    </w:p>
    <w:p w14:paraId="7591710E" w14:textId="5679729C" w:rsidR="002B26FD" w:rsidRDefault="002B26FD" w:rsidP="002B26FD">
      <w:pPr>
        <w:pStyle w:val="ANormal"/>
      </w:pPr>
      <w:r w:rsidRPr="001E1B17">
        <w:tab/>
        <w:t>Enligt motiveringen i förslaget till landskapslag</w:t>
      </w:r>
      <w:r w:rsidR="0057039B" w:rsidRPr="001E1B17">
        <w:t>en</w:t>
      </w:r>
      <w:r w:rsidRPr="001E1B17">
        <w:t xml:space="preserve"> om fastighetsverket ska verkets likviditet hanteras inom ramen för landskapskassan. Utskottet uppmanar därför landskapsregeringen att utveckla en friktionsfri hantering av fastighetsverkets över- respektive underskottslikviditet utan att någon räntedebitering behöver förekomma.</w:t>
      </w:r>
    </w:p>
    <w:p w14:paraId="2829CA29" w14:textId="7C0E3218" w:rsidR="001B5BB0" w:rsidRPr="001E1B17" w:rsidRDefault="001B5BB0" w:rsidP="002B26FD">
      <w:pPr>
        <w:pStyle w:val="ANormal"/>
      </w:pPr>
      <w:r>
        <w:tab/>
        <w:t xml:space="preserve">Utskottet är av den uppfattningen att landskapsregeringen bör kunna använda landskapets samlade likviditet på ett dynamiskt sätt, vilket också skulle gälla den ”fondering” på 30 miljoner euro som </w:t>
      </w:r>
      <w:r w:rsidR="002B4BC9">
        <w:t xml:space="preserve">planeras bli </w:t>
      </w:r>
      <w:r>
        <w:t>avsatt för finansiering av den tredje sektorn i framtiden i det fall tilldelningen från PAF inte kan hållas på nuvarande nivå.</w:t>
      </w:r>
    </w:p>
    <w:p w14:paraId="7937E9F8" w14:textId="77777777" w:rsidR="00C6183B" w:rsidRPr="00102387" w:rsidRDefault="00C6183B" w:rsidP="00224726">
      <w:pPr>
        <w:pStyle w:val="ANormal"/>
        <w:rPr>
          <w:color w:val="FF0000"/>
        </w:rPr>
      </w:pPr>
    </w:p>
    <w:p w14:paraId="39E11C7C" w14:textId="77777777" w:rsidR="000F32A0" w:rsidRPr="00BD2F1D" w:rsidRDefault="000F32A0" w:rsidP="000F32A0">
      <w:pPr>
        <w:pStyle w:val="RubrikC"/>
      </w:pPr>
      <w:bookmarkStart w:id="13" w:name="_Toc178066493"/>
      <w:r w:rsidRPr="00BD2F1D">
        <w:t>Pensionskostnaderna</w:t>
      </w:r>
      <w:bookmarkEnd w:id="13"/>
    </w:p>
    <w:p w14:paraId="0C0E91E6" w14:textId="77777777" w:rsidR="000F32A0" w:rsidRPr="00B24EE4" w:rsidRDefault="000F32A0" w:rsidP="000F32A0">
      <w:pPr>
        <w:pStyle w:val="Rubrikmellanrum"/>
      </w:pPr>
    </w:p>
    <w:p w14:paraId="45E4518F" w14:textId="0208A971" w:rsidR="00A41FD2" w:rsidRDefault="004568BA" w:rsidP="00A41FD2">
      <w:pPr>
        <w:pStyle w:val="ANormal"/>
      </w:pPr>
      <w:r w:rsidRPr="00B24EE4">
        <w:t>Utgifterna för landskapets pensioner</w:t>
      </w:r>
      <w:r w:rsidR="00A41FD2" w:rsidRPr="00B24EE4">
        <w:t xml:space="preserve"> uppgår till </w:t>
      </w:r>
      <w:r w:rsidR="00B24EE4" w:rsidRPr="00B24EE4">
        <w:t>42,1 (</w:t>
      </w:r>
      <w:r w:rsidR="00F566D8" w:rsidRPr="00B24EE4">
        <w:t>38,8)</w:t>
      </w:r>
      <w:r w:rsidR="00A41FD2" w:rsidRPr="00B24EE4">
        <w:t xml:space="preserve"> miljoner euro, vilket är </w:t>
      </w:r>
      <w:r w:rsidR="00B24EE4" w:rsidRPr="00B24EE4">
        <w:t>3,3 (</w:t>
      </w:r>
      <w:r w:rsidR="00F566D8" w:rsidRPr="00B24EE4">
        <w:t>1,5</w:t>
      </w:r>
      <w:r w:rsidR="00A41FD2" w:rsidRPr="00B24EE4">
        <w:t xml:space="preserve">) miljoner eller </w:t>
      </w:r>
      <w:r w:rsidR="00B24EE4" w:rsidRPr="00B24EE4">
        <w:t>8,5 (</w:t>
      </w:r>
      <w:r w:rsidR="00F566D8" w:rsidRPr="00B24EE4">
        <w:t>3,8</w:t>
      </w:r>
      <w:r w:rsidR="00A41FD2" w:rsidRPr="00B24EE4">
        <w:t>) procent högre än 202</w:t>
      </w:r>
      <w:r w:rsidR="00B24EE4" w:rsidRPr="00B24EE4">
        <w:t>2</w:t>
      </w:r>
      <w:r w:rsidR="00A41FD2" w:rsidRPr="00B24EE4">
        <w:t>. Enligt budgeten för 202</w:t>
      </w:r>
      <w:r w:rsidR="008779C3" w:rsidRPr="00B24EE4">
        <w:t>2</w:t>
      </w:r>
      <w:r w:rsidR="00A41FD2" w:rsidRPr="00B24EE4">
        <w:t xml:space="preserve"> skulle pensionskostnaderna </w:t>
      </w:r>
      <w:r w:rsidR="00B24EE4" w:rsidRPr="00B24EE4">
        <w:t xml:space="preserve">ha </w:t>
      </w:r>
      <w:r w:rsidR="006B444B" w:rsidRPr="00B24EE4">
        <w:t>uppgå</w:t>
      </w:r>
      <w:r w:rsidR="00B70932">
        <w:t>tt</w:t>
      </w:r>
      <w:r w:rsidR="006B444B" w:rsidRPr="00B24EE4">
        <w:t xml:space="preserve"> till </w:t>
      </w:r>
      <w:r w:rsidR="00B24EE4" w:rsidRPr="00B24EE4">
        <w:t>42,0</w:t>
      </w:r>
      <w:r w:rsidR="006B444B" w:rsidRPr="00B24EE4">
        <w:t xml:space="preserve"> miljoner euro.</w:t>
      </w:r>
      <w:r w:rsidR="00BD2F1D">
        <w:t xml:space="preserve"> Den relativt stora höjningen beror sannolikt på de stora indexhöjningar som inflationen förorsakat.</w:t>
      </w:r>
      <w:r w:rsidR="00C43A02">
        <w:t xml:space="preserve"> Antalet pensionstagare ökar för närvarande med nästan 100 personer per år.</w:t>
      </w:r>
    </w:p>
    <w:p w14:paraId="6EA97C2B" w14:textId="77777777" w:rsidR="00BD2F1D" w:rsidRDefault="00BD2F1D" w:rsidP="00A41FD2">
      <w:pPr>
        <w:pStyle w:val="ANormal"/>
      </w:pPr>
    </w:p>
    <w:tbl>
      <w:tblPr>
        <w:tblStyle w:val="Tabellrutnt"/>
        <w:tblW w:w="0" w:type="auto"/>
        <w:tblLook w:val="04A0" w:firstRow="1" w:lastRow="0" w:firstColumn="1" w:lastColumn="0" w:noHBand="0" w:noVBand="1"/>
      </w:tblPr>
      <w:tblGrid>
        <w:gridCol w:w="1336"/>
        <w:gridCol w:w="1336"/>
        <w:gridCol w:w="1336"/>
        <w:gridCol w:w="1336"/>
        <w:gridCol w:w="1336"/>
      </w:tblGrid>
      <w:tr w:rsidR="00BD2F1D" w14:paraId="16E04826" w14:textId="2B69E968" w:rsidTr="00BD2F1D">
        <w:tc>
          <w:tcPr>
            <w:tcW w:w="1336" w:type="dxa"/>
          </w:tcPr>
          <w:p w14:paraId="35FFC600" w14:textId="77777777" w:rsidR="00BD2F1D" w:rsidRPr="00BD2F1D" w:rsidRDefault="00BD2F1D" w:rsidP="00BD2F1D">
            <w:pPr>
              <w:pStyle w:val="ANormal"/>
              <w:jc w:val="center"/>
              <w:rPr>
                <w:b/>
                <w:bCs/>
                <w:sz w:val="20"/>
                <w:szCs w:val="18"/>
              </w:rPr>
            </w:pPr>
          </w:p>
        </w:tc>
        <w:tc>
          <w:tcPr>
            <w:tcW w:w="1336" w:type="dxa"/>
          </w:tcPr>
          <w:p w14:paraId="305BC0F2" w14:textId="0AFB2D02" w:rsidR="00BD2F1D" w:rsidRPr="00BD2F1D" w:rsidRDefault="00BD2F1D" w:rsidP="00BD2F1D">
            <w:pPr>
              <w:pStyle w:val="ANormal"/>
              <w:jc w:val="center"/>
              <w:rPr>
                <w:b/>
                <w:bCs/>
                <w:sz w:val="20"/>
                <w:szCs w:val="18"/>
              </w:rPr>
            </w:pPr>
            <w:r w:rsidRPr="00BD2F1D">
              <w:rPr>
                <w:b/>
                <w:bCs/>
                <w:sz w:val="20"/>
                <w:szCs w:val="18"/>
              </w:rPr>
              <w:t>2020</w:t>
            </w:r>
          </w:p>
        </w:tc>
        <w:tc>
          <w:tcPr>
            <w:tcW w:w="1336" w:type="dxa"/>
          </w:tcPr>
          <w:p w14:paraId="4B05E0AD" w14:textId="4801E8D4" w:rsidR="00BD2F1D" w:rsidRPr="00BD2F1D" w:rsidRDefault="00BD2F1D" w:rsidP="00BD2F1D">
            <w:pPr>
              <w:pStyle w:val="ANormal"/>
              <w:jc w:val="center"/>
              <w:rPr>
                <w:b/>
                <w:bCs/>
                <w:sz w:val="20"/>
                <w:szCs w:val="18"/>
              </w:rPr>
            </w:pPr>
            <w:r w:rsidRPr="00BD2F1D">
              <w:rPr>
                <w:b/>
                <w:bCs/>
                <w:sz w:val="20"/>
                <w:szCs w:val="18"/>
              </w:rPr>
              <w:t>2021</w:t>
            </w:r>
          </w:p>
        </w:tc>
        <w:tc>
          <w:tcPr>
            <w:tcW w:w="1336" w:type="dxa"/>
          </w:tcPr>
          <w:p w14:paraId="3B8921BE" w14:textId="067FA6E0" w:rsidR="00BD2F1D" w:rsidRPr="00BD2F1D" w:rsidRDefault="00BD2F1D" w:rsidP="00BD2F1D">
            <w:pPr>
              <w:pStyle w:val="ANormal"/>
              <w:jc w:val="center"/>
              <w:rPr>
                <w:b/>
                <w:bCs/>
                <w:sz w:val="20"/>
                <w:szCs w:val="18"/>
              </w:rPr>
            </w:pPr>
            <w:r w:rsidRPr="00BD2F1D">
              <w:rPr>
                <w:b/>
                <w:bCs/>
                <w:sz w:val="20"/>
                <w:szCs w:val="18"/>
              </w:rPr>
              <w:t>2022</w:t>
            </w:r>
          </w:p>
        </w:tc>
        <w:tc>
          <w:tcPr>
            <w:tcW w:w="1336" w:type="dxa"/>
          </w:tcPr>
          <w:p w14:paraId="192C1526" w14:textId="3489B610" w:rsidR="00BD2F1D" w:rsidRPr="00BD2F1D" w:rsidRDefault="00BD2F1D" w:rsidP="00BD2F1D">
            <w:pPr>
              <w:pStyle w:val="ANormal"/>
              <w:jc w:val="center"/>
              <w:rPr>
                <w:b/>
                <w:bCs/>
                <w:sz w:val="20"/>
                <w:szCs w:val="18"/>
              </w:rPr>
            </w:pPr>
            <w:r w:rsidRPr="00BD2F1D">
              <w:rPr>
                <w:b/>
                <w:bCs/>
                <w:sz w:val="20"/>
                <w:szCs w:val="18"/>
              </w:rPr>
              <w:t>2023</w:t>
            </w:r>
          </w:p>
        </w:tc>
      </w:tr>
      <w:tr w:rsidR="00BD2F1D" w14:paraId="09C0251D" w14:textId="4B340887" w:rsidTr="00FA27A8">
        <w:tc>
          <w:tcPr>
            <w:tcW w:w="1336" w:type="dxa"/>
          </w:tcPr>
          <w:p w14:paraId="353C9047" w14:textId="745E16F3" w:rsidR="00BD2F1D" w:rsidRPr="00FA27A8" w:rsidRDefault="00FA27A8" w:rsidP="00A41FD2">
            <w:pPr>
              <w:pStyle w:val="ANormal"/>
              <w:rPr>
                <w:sz w:val="18"/>
                <w:szCs w:val="16"/>
              </w:rPr>
            </w:pPr>
            <w:r w:rsidRPr="00FA27A8">
              <w:rPr>
                <w:sz w:val="18"/>
                <w:szCs w:val="16"/>
              </w:rPr>
              <w:t>Inkomster från pensionsfonden</w:t>
            </w:r>
          </w:p>
        </w:tc>
        <w:tc>
          <w:tcPr>
            <w:tcW w:w="1336" w:type="dxa"/>
            <w:vAlign w:val="center"/>
          </w:tcPr>
          <w:p w14:paraId="6F77CFA7" w14:textId="563DBA7F" w:rsidR="00BD2F1D" w:rsidRDefault="00FA27A8" w:rsidP="00FA27A8">
            <w:pPr>
              <w:pStyle w:val="ANormal"/>
              <w:jc w:val="center"/>
            </w:pPr>
            <w:r>
              <w:t>19 100 000</w:t>
            </w:r>
          </w:p>
        </w:tc>
        <w:tc>
          <w:tcPr>
            <w:tcW w:w="1336" w:type="dxa"/>
            <w:vAlign w:val="center"/>
          </w:tcPr>
          <w:p w14:paraId="62662E08" w14:textId="4F95CD1A" w:rsidR="00BD2F1D" w:rsidRDefault="00FA27A8" w:rsidP="00FA27A8">
            <w:pPr>
              <w:pStyle w:val="ANormal"/>
              <w:jc w:val="center"/>
            </w:pPr>
            <w:r>
              <w:t>20 275 000</w:t>
            </w:r>
          </w:p>
        </w:tc>
        <w:tc>
          <w:tcPr>
            <w:tcW w:w="1336" w:type="dxa"/>
            <w:vAlign w:val="center"/>
          </w:tcPr>
          <w:p w14:paraId="0500C632" w14:textId="5648ADF3" w:rsidR="00BD2F1D" w:rsidRDefault="00FA27A8" w:rsidP="00FA27A8">
            <w:pPr>
              <w:pStyle w:val="ANormal"/>
              <w:jc w:val="center"/>
            </w:pPr>
            <w:r>
              <w:t>21 400 000</w:t>
            </w:r>
          </w:p>
        </w:tc>
        <w:tc>
          <w:tcPr>
            <w:tcW w:w="1336" w:type="dxa"/>
            <w:vAlign w:val="center"/>
          </w:tcPr>
          <w:p w14:paraId="263805F3" w14:textId="33F0587C" w:rsidR="00BD2F1D" w:rsidRDefault="00FA27A8" w:rsidP="00FA27A8">
            <w:pPr>
              <w:pStyle w:val="ANormal"/>
              <w:jc w:val="center"/>
            </w:pPr>
            <w:r>
              <w:t>22 400 000</w:t>
            </w:r>
          </w:p>
        </w:tc>
      </w:tr>
      <w:tr w:rsidR="00BD2F1D" w14:paraId="4616C401" w14:textId="4E490C20" w:rsidTr="00FA27A8">
        <w:tc>
          <w:tcPr>
            <w:tcW w:w="1336" w:type="dxa"/>
          </w:tcPr>
          <w:p w14:paraId="2B5C7ED0" w14:textId="21C50067" w:rsidR="00BD2F1D" w:rsidRPr="00FA27A8" w:rsidRDefault="00FA27A8" w:rsidP="00A41FD2">
            <w:pPr>
              <w:pStyle w:val="ANormal"/>
              <w:rPr>
                <w:sz w:val="18"/>
                <w:szCs w:val="16"/>
              </w:rPr>
            </w:pPr>
            <w:r w:rsidRPr="00FA27A8">
              <w:rPr>
                <w:sz w:val="18"/>
                <w:szCs w:val="16"/>
              </w:rPr>
              <w:t>Kostnader för pensioner</w:t>
            </w:r>
          </w:p>
        </w:tc>
        <w:tc>
          <w:tcPr>
            <w:tcW w:w="1336" w:type="dxa"/>
            <w:vAlign w:val="center"/>
          </w:tcPr>
          <w:p w14:paraId="1679AAA9" w14:textId="187F7F94" w:rsidR="00BD2F1D" w:rsidRDefault="00FA27A8" w:rsidP="00FA27A8">
            <w:pPr>
              <w:pStyle w:val="ANormal"/>
              <w:jc w:val="center"/>
            </w:pPr>
            <w:r>
              <w:t>36 506 700</w:t>
            </w:r>
          </w:p>
        </w:tc>
        <w:tc>
          <w:tcPr>
            <w:tcW w:w="1336" w:type="dxa"/>
            <w:vAlign w:val="center"/>
          </w:tcPr>
          <w:p w14:paraId="5494D89B" w14:textId="3ECF599F" w:rsidR="00BD2F1D" w:rsidRDefault="00FA27A8" w:rsidP="00FA27A8">
            <w:pPr>
              <w:pStyle w:val="ANormal"/>
              <w:jc w:val="center"/>
            </w:pPr>
            <w:r>
              <w:t>37 342 800</w:t>
            </w:r>
          </w:p>
        </w:tc>
        <w:tc>
          <w:tcPr>
            <w:tcW w:w="1336" w:type="dxa"/>
            <w:vAlign w:val="center"/>
          </w:tcPr>
          <w:p w14:paraId="6D468986" w14:textId="2B3D8E7C" w:rsidR="00BD2F1D" w:rsidRDefault="00FA27A8" w:rsidP="00FA27A8">
            <w:pPr>
              <w:pStyle w:val="ANormal"/>
              <w:jc w:val="center"/>
            </w:pPr>
            <w:r>
              <w:t>38 768 200</w:t>
            </w:r>
          </w:p>
        </w:tc>
        <w:tc>
          <w:tcPr>
            <w:tcW w:w="1336" w:type="dxa"/>
            <w:vAlign w:val="center"/>
          </w:tcPr>
          <w:p w14:paraId="63630116" w14:textId="01BAC494" w:rsidR="00BD2F1D" w:rsidRDefault="00FA27A8" w:rsidP="00FA27A8">
            <w:pPr>
              <w:pStyle w:val="ANormal"/>
              <w:jc w:val="center"/>
            </w:pPr>
            <w:r>
              <w:t>42 107 200</w:t>
            </w:r>
          </w:p>
        </w:tc>
      </w:tr>
      <w:tr w:rsidR="00FA27A8" w14:paraId="53C520A1" w14:textId="77777777" w:rsidTr="00C43A02">
        <w:trPr>
          <w:trHeight w:val="304"/>
        </w:trPr>
        <w:tc>
          <w:tcPr>
            <w:tcW w:w="1336" w:type="dxa"/>
            <w:vAlign w:val="center"/>
          </w:tcPr>
          <w:p w14:paraId="64F3B1B6" w14:textId="5066ED94" w:rsidR="00FA27A8" w:rsidRPr="00FA27A8" w:rsidRDefault="00FA27A8" w:rsidP="00A41FD2">
            <w:pPr>
              <w:pStyle w:val="ANormal"/>
              <w:rPr>
                <w:sz w:val="18"/>
                <w:szCs w:val="16"/>
              </w:rPr>
            </w:pPr>
            <w:r>
              <w:rPr>
                <w:sz w:val="18"/>
                <w:szCs w:val="16"/>
              </w:rPr>
              <w:t>Nettokostnad</w:t>
            </w:r>
          </w:p>
        </w:tc>
        <w:tc>
          <w:tcPr>
            <w:tcW w:w="1336" w:type="dxa"/>
            <w:vAlign w:val="center"/>
          </w:tcPr>
          <w:p w14:paraId="73F58BF9" w14:textId="5E09D5E4" w:rsidR="00FA27A8" w:rsidRPr="00C43A02" w:rsidRDefault="00FA27A8" w:rsidP="00FA27A8">
            <w:pPr>
              <w:pStyle w:val="ANormal"/>
              <w:jc w:val="center"/>
              <w:rPr>
                <w:b/>
                <w:bCs/>
              </w:rPr>
            </w:pPr>
            <w:r w:rsidRPr="00C43A02">
              <w:rPr>
                <w:b/>
                <w:bCs/>
              </w:rPr>
              <w:t>17 406 700</w:t>
            </w:r>
          </w:p>
        </w:tc>
        <w:tc>
          <w:tcPr>
            <w:tcW w:w="1336" w:type="dxa"/>
            <w:vAlign w:val="center"/>
          </w:tcPr>
          <w:p w14:paraId="2E07CF23" w14:textId="76B1BD64" w:rsidR="00FA27A8" w:rsidRPr="00C43A02" w:rsidRDefault="00FA27A8" w:rsidP="00FA27A8">
            <w:pPr>
              <w:pStyle w:val="ANormal"/>
              <w:jc w:val="center"/>
              <w:rPr>
                <w:b/>
                <w:bCs/>
              </w:rPr>
            </w:pPr>
            <w:r w:rsidRPr="00C43A02">
              <w:rPr>
                <w:b/>
                <w:bCs/>
              </w:rPr>
              <w:t>17 067 800</w:t>
            </w:r>
          </w:p>
        </w:tc>
        <w:tc>
          <w:tcPr>
            <w:tcW w:w="1336" w:type="dxa"/>
            <w:vAlign w:val="center"/>
          </w:tcPr>
          <w:p w14:paraId="7CA238F8" w14:textId="453C72E0" w:rsidR="00FA27A8" w:rsidRPr="00C43A02" w:rsidRDefault="00FA27A8" w:rsidP="00FA27A8">
            <w:pPr>
              <w:pStyle w:val="ANormal"/>
              <w:jc w:val="center"/>
              <w:rPr>
                <w:b/>
                <w:bCs/>
              </w:rPr>
            </w:pPr>
            <w:r w:rsidRPr="00C43A02">
              <w:rPr>
                <w:b/>
                <w:bCs/>
              </w:rPr>
              <w:t>17 368 200</w:t>
            </w:r>
          </w:p>
        </w:tc>
        <w:tc>
          <w:tcPr>
            <w:tcW w:w="1336" w:type="dxa"/>
            <w:vAlign w:val="center"/>
          </w:tcPr>
          <w:p w14:paraId="76707854" w14:textId="55872EF5" w:rsidR="00FA27A8" w:rsidRPr="00C43A02" w:rsidRDefault="00FA27A8" w:rsidP="00FA27A8">
            <w:pPr>
              <w:pStyle w:val="ANormal"/>
              <w:jc w:val="center"/>
              <w:rPr>
                <w:b/>
                <w:bCs/>
              </w:rPr>
            </w:pPr>
            <w:r w:rsidRPr="00C43A02">
              <w:rPr>
                <w:b/>
                <w:bCs/>
              </w:rPr>
              <w:t>19 707 200</w:t>
            </w:r>
          </w:p>
        </w:tc>
      </w:tr>
      <w:tr w:rsidR="00C43A02" w14:paraId="54F6C079" w14:textId="77777777" w:rsidTr="00C43A02">
        <w:trPr>
          <w:trHeight w:val="304"/>
        </w:trPr>
        <w:tc>
          <w:tcPr>
            <w:tcW w:w="1336" w:type="dxa"/>
            <w:vAlign w:val="center"/>
          </w:tcPr>
          <w:p w14:paraId="428087C9" w14:textId="6E912294" w:rsidR="00C43A02" w:rsidRDefault="00C43A02" w:rsidP="00A41FD2">
            <w:pPr>
              <w:pStyle w:val="ANormal"/>
              <w:rPr>
                <w:sz w:val="18"/>
                <w:szCs w:val="16"/>
              </w:rPr>
            </w:pPr>
            <w:r>
              <w:rPr>
                <w:sz w:val="18"/>
                <w:szCs w:val="16"/>
              </w:rPr>
              <w:t>Antal pen</w:t>
            </w:r>
            <w:r w:rsidR="00B70932">
              <w:rPr>
                <w:sz w:val="18"/>
                <w:szCs w:val="16"/>
              </w:rPr>
              <w:t>s</w:t>
            </w:r>
            <w:r>
              <w:rPr>
                <w:sz w:val="18"/>
                <w:szCs w:val="16"/>
              </w:rPr>
              <w:t>ionstagare</w:t>
            </w:r>
          </w:p>
        </w:tc>
        <w:tc>
          <w:tcPr>
            <w:tcW w:w="1336" w:type="dxa"/>
            <w:vAlign w:val="center"/>
          </w:tcPr>
          <w:p w14:paraId="57E604E8" w14:textId="63AA5C94" w:rsidR="00C43A02" w:rsidRPr="00C43A02" w:rsidRDefault="00C43A02" w:rsidP="00FA27A8">
            <w:pPr>
              <w:pStyle w:val="ANormal"/>
              <w:jc w:val="center"/>
              <w:rPr>
                <w:b/>
                <w:bCs/>
              </w:rPr>
            </w:pPr>
            <w:r>
              <w:rPr>
                <w:b/>
                <w:bCs/>
              </w:rPr>
              <w:t>3 034</w:t>
            </w:r>
          </w:p>
        </w:tc>
        <w:tc>
          <w:tcPr>
            <w:tcW w:w="1336" w:type="dxa"/>
            <w:vAlign w:val="center"/>
          </w:tcPr>
          <w:p w14:paraId="2E571EC9" w14:textId="19AE7F55" w:rsidR="00C43A02" w:rsidRPr="00C43A02" w:rsidRDefault="00C43A02" w:rsidP="00FA27A8">
            <w:pPr>
              <w:pStyle w:val="ANormal"/>
              <w:jc w:val="center"/>
              <w:rPr>
                <w:b/>
                <w:bCs/>
              </w:rPr>
            </w:pPr>
            <w:r>
              <w:rPr>
                <w:b/>
                <w:bCs/>
              </w:rPr>
              <w:t>3 112</w:t>
            </w:r>
          </w:p>
        </w:tc>
        <w:tc>
          <w:tcPr>
            <w:tcW w:w="1336" w:type="dxa"/>
            <w:vAlign w:val="center"/>
          </w:tcPr>
          <w:p w14:paraId="5F44CB13" w14:textId="5657AEB4" w:rsidR="00C43A02" w:rsidRPr="00C43A02" w:rsidRDefault="00C43A02" w:rsidP="00FA27A8">
            <w:pPr>
              <w:pStyle w:val="ANormal"/>
              <w:jc w:val="center"/>
              <w:rPr>
                <w:b/>
                <w:bCs/>
              </w:rPr>
            </w:pPr>
            <w:r>
              <w:rPr>
                <w:b/>
                <w:bCs/>
              </w:rPr>
              <w:t>3 224</w:t>
            </w:r>
          </w:p>
        </w:tc>
        <w:tc>
          <w:tcPr>
            <w:tcW w:w="1336" w:type="dxa"/>
            <w:vAlign w:val="center"/>
          </w:tcPr>
          <w:p w14:paraId="6D2F91BC" w14:textId="7CD60C86" w:rsidR="00C43A02" w:rsidRPr="00C43A02" w:rsidRDefault="00C43A02" w:rsidP="00FA27A8">
            <w:pPr>
              <w:pStyle w:val="ANormal"/>
              <w:jc w:val="center"/>
              <w:rPr>
                <w:b/>
                <w:bCs/>
              </w:rPr>
            </w:pPr>
            <w:r>
              <w:rPr>
                <w:b/>
                <w:bCs/>
              </w:rPr>
              <w:t>3 305</w:t>
            </w:r>
          </w:p>
        </w:tc>
      </w:tr>
    </w:tbl>
    <w:p w14:paraId="5C16B405" w14:textId="77777777" w:rsidR="00BD2F1D" w:rsidRDefault="00BD2F1D" w:rsidP="00A41FD2">
      <w:pPr>
        <w:pStyle w:val="ANormal"/>
      </w:pPr>
    </w:p>
    <w:p w14:paraId="3C86DC6A" w14:textId="36074B18" w:rsidR="00172A39" w:rsidRDefault="00172A39" w:rsidP="00A41FD2">
      <w:pPr>
        <w:pStyle w:val="ANormal"/>
      </w:pPr>
      <w:r>
        <w:tab/>
        <w:t xml:space="preserve">Ur tabellen framgår det att </w:t>
      </w:r>
      <w:r w:rsidR="002B4BC9">
        <w:t>netto</w:t>
      </w:r>
      <w:r>
        <w:t xml:space="preserve">kostnaderna </w:t>
      </w:r>
      <w:r w:rsidR="002B4BC9">
        <w:t>för pensionerna tidigare</w:t>
      </w:r>
      <w:r>
        <w:t xml:space="preserve"> har legat på drygt 17 miljoner euro, trots</w:t>
      </w:r>
      <w:r w:rsidR="002B4BC9">
        <w:t xml:space="preserve"> att pensionernas totalbelopp har stigit</w:t>
      </w:r>
      <w:r>
        <w:t>. Regleringen av nettokostnaden har skett genom ett ökat uttag från pensionsfonden, vilket är helt i samklang med fondens syften. För 2023 budgeterades en ökad nettokostnad, vilket innebar en höjning av nettokostnaderna med drygt 2 miljoner euro. Nettokostnadsnivån om 19,7 miljoner euro för 2023 används också i 2024</w:t>
      </w:r>
      <w:r w:rsidR="00B70932">
        <w:t xml:space="preserve"> </w:t>
      </w:r>
      <w:r w:rsidR="00C43A02">
        <w:t>års</w:t>
      </w:r>
      <w:r w:rsidR="00B70932">
        <w:t xml:space="preserve"> </w:t>
      </w:r>
      <w:r w:rsidR="00C43A02">
        <w:t>budget</w:t>
      </w:r>
      <w:r>
        <w:t>.</w:t>
      </w:r>
    </w:p>
    <w:p w14:paraId="7A4FAB9D" w14:textId="63D7414C" w:rsidR="008F4736" w:rsidRPr="00102387" w:rsidRDefault="008F4736" w:rsidP="000F32A0">
      <w:pPr>
        <w:pStyle w:val="ANormal"/>
        <w:rPr>
          <w:color w:val="FF0000"/>
        </w:rPr>
      </w:pPr>
    </w:p>
    <w:p w14:paraId="3EE06529" w14:textId="352710C3" w:rsidR="004A03FE" w:rsidRPr="00903E19" w:rsidRDefault="00A00CA6" w:rsidP="004A03FE">
      <w:pPr>
        <w:pStyle w:val="RubrikC"/>
      </w:pPr>
      <w:bookmarkStart w:id="14" w:name="_Toc178066494"/>
      <w:r w:rsidRPr="00903E19">
        <w:t>Personal</w:t>
      </w:r>
      <w:bookmarkEnd w:id="14"/>
    </w:p>
    <w:p w14:paraId="36BAEAC6" w14:textId="77777777" w:rsidR="004A03FE" w:rsidRPr="00903E19" w:rsidRDefault="004A03FE" w:rsidP="004A03FE">
      <w:pPr>
        <w:pStyle w:val="Rubrikmellanrum"/>
      </w:pPr>
    </w:p>
    <w:p w14:paraId="7AB28226" w14:textId="77777777" w:rsidR="003E1E3E" w:rsidRPr="00903E19" w:rsidRDefault="006A65AC" w:rsidP="00BC2A42">
      <w:pPr>
        <w:pStyle w:val="ANormal"/>
      </w:pPr>
      <w:r w:rsidRPr="00903E19">
        <w:t>I årsredovisningens relationstal för personalen ingår den allmänna förvaltningen och de underställda myndigheterna, förutom Landskapets fastighetsverk och Ålands hälso- och sjukvård</w:t>
      </w:r>
      <w:r w:rsidR="00EB43DB" w:rsidRPr="00903E19">
        <w:t xml:space="preserve"> (ÅHS)</w:t>
      </w:r>
      <w:r w:rsidR="002C5C9A" w:rsidRPr="00903E19">
        <w:t xml:space="preserve"> som redovisar personalparametrar</w:t>
      </w:r>
      <w:r w:rsidR="002B7E94" w:rsidRPr="00903E19">
        <w:t>na</w:t>
      </w:r>
      <w:r w:rsidR="002C5C9A" w:rsidRPr="00903E19">
        <w:t xml:space="preserve"> i sina egna årsredovisningar</w:t>
      </w:r>
      <w:r w:rsidRPr="00903E19">
        <w:t xml:space="preserve">. </w:t>
      </w:r>
    </w:p>
    <w:p w14:paraId="04647727" w14:textId="5030B89E" w:rsidR="002B7E94" w:rsidRDefault="003E1E3E" w:rsidP="00BC2A42">
      <w:pPr>
        <w:pStyle w:val="ANormal"/>
      </w:pPr>
      <w:r w:rsidRPr="00903E19">
        <w:tab/>
      </w:r>
      <w:r w:rsidR="006A65AC" w:rsidRPr="00903E19">
        <w:t xml:space="preserve">Antalet årsverken </w:t>
      </w:r>
      <w:r w:rsidRPr="00903E19">
        <w:t xml:space="preserve">redovisas dock för hela landskapet, förutom för Landskapets fastighetsverk som utelämnats. </w:t>
      </w:r>
      <w:r w:rsidR="0000525D">
        <w:t xml:space="preserve">Fastighetsverkets siffror går dock att få fram från verkets eget bokslut. </w:t>
      </w:r>
      <w:r w:rsidRPr="00903E19">
        <w:t>I</w:t>
      </w:r>
      <w:r w:rsidR="006A65AC" w:rsidRPr="00903E19">
        <w:t>nom allmänna förvaltningen uppgick</w:t>
      </w:r>
      <w:r w:rsidRPr="00903E19">
        <w:t xml:space="preserve"> antalet årsverken till</w:t>
      </w:r>
      <w:r w:rsidR="006A65AC" w:rsidRPr="00903E19">
        <w:t xml:space="preserve"> </w:t>
      </w:r>
      <w:r w:rsidR="00F25730" w:rsidRPr="00903E19">
        <w:t>30</w:t>
      </w:r>
      <w:r w:rsidR="00B42924" w:rsidRPr="00903E19">
        <w:t>8</w:t>
      </w:r>
      <w:r w:rsidR="00F25730" w:rsidRPr="00903E19">
        <w:t xml:space="preserve"> (</w:t>
      </w:r>
      <w:r w:rsidR="00B42924" w:rsidRPr="00903E19">
        <w:t>30</w:t>
      </w:r>
      <w:r w:rsidR="002C3371">
        <w:t>2</w:t>
      </w:r>
      <w:r w:rsidR="00F25730" w:rsidRPr="00903E19">
        <w:t>)</w:t>
      </w:r>
      <w:r w:rsidRPr="00903E19">
        <w:t>, Fastighetsverket 57 (5</w:t>
      </w:r>
      <w:r w:rsidR="002C3371">
        <w:t>8</w:t>
      </w:r>
      <w:r w:rsidRPr="00903E19">
        <w:t>)</w:t>
      </w:r>
      <w:r w:rsidR="002C3371">
        <w:t>,</w:t>
      </w:r>
      <w:r w:rsidR="006A65AC" w:rsidRPr="00903E19">
        <w:t xml:space="preserve"> i de underställda myndigheterna till </w:t>
      </w:r>
      <w:r w:rsidRPr="00903E19">
        <w:t>506 (</w:t>
      </w:r>
      <w:r w:rsidR="00B42924" w:rsidRPr="00903E19">
        <w:t>498</w:t>
      </w:r>
      <w:r w:rsidRPr="00903E19">
        <w:t>)</w:t>
      </w:r>
      <w:r w:rsidR="002C3371">
        <w:t xml:space="preserve"> och inom ÅHS till</w:t>
      </w:r>
      <w:r w:rsidR="009E7149">
        <w:t xml:space="preserve"> </w:t>
      </w:r>
      <w:r w:rsidR="002C3371">
        <w:t>882 (880)</w:t>
      </w:r>
      <w:r w:rsidR="00E5016A" w:rsidRPr="00903E19">
        <w:t xml:space="preserve">, totalt </w:t>
      </w:r>
      <w:r w:rsidR="002C3371">
        <w:t>1753 (173</w:t>
      </w:r>
      <w:r w:rsidR="009B61FC">
        <w:t>8</w:t>
      </w:r>
      <w:r w:rsidR="002C3371">
        <w:t>)</w:t>
      </w:r>
      <w:r w:rsidR="006A65AC" w:rsidRPr="00903E19">
        <w:t xml:space="preserve">. </w:t>
      </w:r>
      <w:r w:rsidR="009B61FC">
        <w:t xml:space="preserve">Årsverkena har således </w:t>
      </w:r>
      <w:r w:rsidR="009E7149">
        <w:t xml:space="preserve">under året </w:t>
      </w:r>
      <w:r w:rsidR="009B61FC">
        <w:t>ökat med</w:t>
      </w:r>
      <w:r w:rsidR="009E7149">
        <w:t xml:space="preserve"> totalt</w:t>
      </w:r>
      <w:r w:rsidR="009B61FC">
        <w:t xml:space="preserve"> </w:t>
      </w:r>
      <w:r w:rsidR="009B61FC" w:rsidRPr="009E7149">
        <w:t>15</w:t>
      </w:r>
      <w:r w:rsidR="009B61FC">
        <w:t>.</w:t>
      </w:r>
      <w:r w:rsidR="009E7149">
        <w:t xml:space="preserve"> Utskottet har kunnat notera en diskrepans i antalet årsverken gällande ÅHS, som i sin egen årsberättelse anger antalet till 903.</w:t>
      </w:r>
    </w:p>
    <w:p w14:paraId="5AD59E2E" w14:textId="0B84DCF1" w:rsidR="009B61FC" w:rsidRPr="00903E19" w:rsidRDefault="009B61FC" w:rsidP="00BC2A42">
      <w:pPr>
        <w:pStyle w:val="ANormal"/>
      </w:pPr>
      <w:r>
        <w:lastRenderedPageBreak/>
        <w:tab/>
        <w:t>Fastighetsverket</w:t>
      </w:r>
      <w:r w:rsidR="00B70932">
        <w:t xml:space="preserve"> </w:t>
      </w:r>
      <w:r>
        <w:t>bör i fortsättningen finnas med i redovisningen.</w:t>
      </w:r>
    </w:p>
    <w:p w14:paraId="172EDADC" w14:textId="7D385A5A" w:rsidR="003C4CFC" w:rsidRDefault="002B7E94" w:rsidP="00BC2A42">
      <w:pPr>
        <w:pStyle w:val="ANormal"/>
      </w:pPr>
      <w:r w:rsidRPr="004C08EE">
        <w:tab/>
      </w:r>
      <w:bookmarkStart w:id="15" w:name="_Hlk176337457"/>
      <w:r w:rsidR="00B42924" w:rsidRPr="004C08EE">
        <w:t>Utskottet noterar att årsverkena i de små myndigheterna inte redovisas på myndighetsnivå, detta för att inte identifiera individer. I detta fall handlar det dock om att redovisa resursanvändning i förhållande till budgeten varför utskottet är av den uppfattningen att de små myndigheternas årsverken</w:t>
      </w:r>
      <w:r w:rsidR="003446BB" w:rsidRPr="004C08EE">
        <w:t xml:space="preserve"> i fortsättningen</w:t>
      </w:r>
      <w:r w:rsidR="00B42924" w:rsidRPr="004C08EE">
        <w:t xml:space="preserve"> bör redovisas per myndighet. </w:t>
      </w:r>
    </w:p>
    <w:p w14:paraId="431F5A14" w14:textId="06977964" w:rsidR="009B61FC" w:rsidRPr="004C08EE" w:rsidRDefault="009B61FC" w:rsidP="00BC2A42">
      <w:pPr>
        <w:pStyle w:val="ANormal"/>
      </w:pPr>
      <w:r>
        <w:tab/>
        <w:t>Även antalet anställda redovisas för landskapsförvaltningen</w:t>
      </w:r>
      <w:r w:rsidR="005E5074">
        <w:t>s del</w:t>
      </w:r>
      <w:r>
        <w:t xml:space="preserve"> och uppgår till </w:t>
      </w:r>
      <w:r w:rsidR="005E5074">
        <w:t>939, vilket kan jämföras med 814 årsverken. Antalet anställda är betydligt högre än mängden genomförda årsverken eftersom vikarier, deltidsanställda och timanställda ingår i siffran. Därtill kan noteras att möjligheten att ta ut statistik har förbättrats jämfört med tidigare år, vilket gav resultatet att antalet</w:t>
      </w:r>
      <w:r w:rsidR="002B119B">
        <w:t xml:space="preserve"> anställda</w:t>
      </w:r>
      <w:r w:rsidR="005E5074">
        <w:t xml:space="preserve"> ökade med 66 personer jämfört med 2022.</w:t>
      </w:r>
    </w:p>
    <w:bookmarkEnd w:id="15"/>
    <w:p w14:paraId="0A0F1D4D" w14:textId="1A54958D" w:rsidR="00EB43DB" w:rsidRPr="00D00810" w:rsidRDefault="00EB43DB" w:rsidP="00EB43DB">
      <w:pPr>
        <w:pStyle w:val="ANormal"/>
      </w:pPr>
      <w:r w:rsidRPr="00D00810">
        <w:tab/>
        <w:t>Även den hälsorelaterade frånvaron redovisas på ett tydligt sätt</w:t>
      </w:r>
      <w:r w:rsidR="00047AF9" w:rsidRPr="00D00810">
        <w:t xml:space="preserve"> och</w:t>
      </w:r>
      <w:r w:rsidRPr="00D00810">
        <w:t xml:space="preserve"> uppgick år 202</w:t>
      </w:r>
      <w:r w:rsidR="00D00810" w:rsidRPr="00D00810">
        <w:t>3</w:t>
      </w:r>
      <w:r w:rsidRPr="00D00810">
        <w:t xml:space="preserve"> till</w:t>
      </w:r>
      <w:r w:rsidR="00D00810" w:rsidRPr="00D00810">
        <w:t xml:space="preserve"> 14 041 kalenderdagar</w:t>
      </w:r>
      <w:r w:rsidR="00F25730" w:rsidRPr="00D00810">
        <w:t xml:space="preserve"> </w:t>
      </w:r>
      <w:r w:rsidR="00D00810" w:rsidRPr="00D00810">
        <w:t>(</w:t>
      </w:r>
      <w:r w:rsidR="00B42924" w:rsidRPr="00D00810">
        <w:t>15</w:t>
      </w:r>
      <w:r w:rsidR="00D00810" w:rsidRPr="00D00810">
        <w:t> </w:t>
      </w:r>
      <w:r w:rsidR="00B42924" w:rsidRPr="00D00810">
        <w:t>249</w:t>
      </w:r>
      <w:r w:rsidR="00D00810" w:rsidRPr="00D00810">
        <w:t>)</w:t>
      </w:r>
      <w:r w:rsidRPr="00D00810">
        <w:t xml:space="preserve">, vilket </w:t>
      </w:r>
      <w:r w:rsidR="00F25730" w:rsidRPr="00D00810">
        <w:t>är en</w:t>
      </w:r>
      <w:r w:rsidR="00D00810" w:rsidRPr="00D00810">
        <w:t xml:space="preserve"> minskning </w:t>
      </w:r>
      <w:r w:rsidR="00F25730" w:rsidRPr="00D00810">
        <w:t>jämfört med</w:t>
      </w:r>
      <w:r w:rsidR="00D00810" w:rsidRPr="00D00810">
        <w:t xml:space="preserve"> 2022, men </w:t>
      </w:r>
      <w:r w:rsidR="00D00810">
        <w:t xml:space="preserve">fortfarande </w:t>
      </w:r>
      <w:r w:rsidR="00D00810" w:rsidRPr="00D00810">
        <w:t xml:space="preserve">högre än </w:t>
      </w:r>
      <w:r w:rsidR="00F25730" w:rsidRPr="00D00810">
        <w:t>20</w:t>
      </w:r>
      <w:r w:rsidR="00B42924" w:rsidRPr="00D00810">
        <w:t>20 (10 073)</w:t>
      </w:r>
      <w:r w:rsidR="00F25730" w:rsidRPr="00D00810">
        <w:t xml:space="preserve"> </w:t>
      </w:r>
      <w:r w:rsidR="00D00810" w:rsidRPr="00D00810">
        <w:t xml:space="preserve">och </w:t>
      </w:r>
      <w:r w:rsidR="00F25730" w:rsidRPr="00D00810">
        <w:t>202</w:t>
      </w:r>
      <w:r w:rsidR="00B42924" w:rsidRPr="00D00810">
        <w:t>1</w:t>
      </w:r>
      <w:r w:rsidR="00F25730" w:rsidRPr="00D00810">
        <w:t xml:space="preserve"> </w:t>
      </w:r>
      <w:r w:rsidR="00B42924" w:rsidRPr="00D00810">
        <w:t xml:space="preserve">(9 580). </w:t>
      </w:r>
      <w:r w:rsidR="00F25730" w:rsidRPr="00D00810">
        <w:t>Räknat per årsverk</w:t>
      </w:r>
      <w:r w:rsidR="00B42924" w:rsidRPr="00D00810">
        <w:t>en</w:t>
      </w:r>
      <w:r w:rsidR="00F25730" w:rsidRPr="00D00810">
        <w:t xml:space="preserve"> är frånvaron</w:t>
      </w:r>
      <w:r w:rsidR="00B42924" w:rsidRPr="00D00810">
        <w:t xml:space="preserve"> </w:t>
      </w:r>
      <w:r w:rsidR="00D00810" w:rsidRPr="00D00810">
        <w:t>17 (</w:t>
      </w:r>
      <w:r w:rsidR="00B42924" w:rsidRPr="00D00810">
        <w:t>19</w:t>
      </w:r>
      <w:r w:rsidR="00D00810" w:rsidRPr="00D00810">
        <w:t xml:space="preserve">) </w:t>
      </w:r>
      <w:r w:rsidRPr="00D00810">
        <w:t>dagar</w:t>
      </w:r>
      <w:r w:rsidR="003E511D" w:rsidRPr="00D00810">
        <w:t xml:space="preserve"> per </w:t>
      </w:r>
      <w:r w:rsidRPr="00D00810">
        <w:t>årsverk</w:t>
      </w:r>
      <w:r w:rsidR="00D00810" w:rsidRPr="00D00810">
        <w:t>e</w:t>
      </w:r>
      <w:r w:rsidRPr="00D00810">
        <w:t>.</w:t>
      </w:r>
      <w:r w:rsidR="00B42924" w:rsidRPr="00D00810">
        <w:t xml:space="preserve"> </w:t>
      </w:r>
      <w:r w:rsidR="0000525D">
        <w:t>Minskningen förklaras till stor del av att långtidssjukskrivningarna har minskat.</w:t>
      </w:r>
    </w:p>
    <w:p w14:paraId="2289C4D4" w14:textId="74561AD7" w:rsidR="009234F8" w:rsidRPr="0000525D" w:rsidRDefault="00EB43DB" w:rsidP="009234F8">
      <w:pPr>
        <w:pStyle w:val="ANormal"/>
      </w:pPr>
      <w:r w:rsidRPr="0000525D">
        <w:tab/>
        <w:t xml:space="preserve">ÅHS gör upp ett eget personalbokslut. I </w:t>
      </w:r>
      <w:r w:rsidR="00C6568C" w:rsidRPr="0000525D">
        <w:t>december</w:t>
      </w:r>
      <w:r w:rsidRPr="0000525D">
        <w:t xml:space="preserve"> 202</w:t>
      </w:r>
      <w:r w:rsidR="0000525D" w:rsidRPr="0000525D">
        <w:t>3</w:t>
      </w:r>
      <w:r w:rsidRPr="0000525D">
        <w:t xml:space="preserve"> fanns det </w:t>
      </w:r>
      <w:r w:rsidR="0000525D" w:rsidRPr="0000525D">
        <w:t>975 (</w:t>
      </w:r>
      <w:r w:rsidR="002D1915" w:rsidRPr="0000525D">
        <w:t>964</w:t>
      </w:r>
      <w:r w:rsidR="00C6568C" w:rsidRPr="0000525D">
        <w:t>)</w:t>
      </w:r>
      <w:r w:rsidRPr="0000525D">
        <w:t xml:space="preserve"> anställda personer, varav </w:t>
      </w:r>
      <w:r w:rsidR="0000525D" w:rsidRPr="0000525D">
        <w:t>236 (</w:t>
      </w:r>
      <w:r w:rsidR="002D1915" w:rsidRPr="0000525D">
        <w:t>220</w:t>
      </w:r>
      <w:r w:rsidR="00C6568C" w:rsidRPr="0000525D">
        <w:t>)</w:t>
      </w:r>
      <w:r w:rsidR="002B0A4C" w:rsidRPr="0000525D">
        <w:t xml:space="preserve"> personer</w:t>
      </w:r>
      <w:r w:rsidRPr="0000525D">
        <w:t xml:space="preserve"> hade tidsbegränsade anställningar. </w:t>
      </w:r>
      <w:r w:rsidR="00C6568C" w:rsidRPr="0000525D">
        <w:t xml:space="preserve">Totalt beräknar man att antalet årsverken uppgick till </w:t>
      </w:r>
      <w:r w:rsidR="0000525D" w:rsidRPr="00EC2B67">
        <w:t>903 (</w:t>
      </w:r>
      <w:r w:rsidR="002D1915" w:rsidRPr="00EC2B67">
        <w:t>880)</w:t>
      </w:r>
      <w:r w:rsidR="00C6568C" w:rsidRPr="00EC2B67">
        <w:t>.</w:t>
      </w:r>
      <w:r w:rsidR="00C6568C" w:rsidRPr="0000525D">
        <w:t xml:space="preserve"> </w:t>
      </w:r>
    </w:p>
    <w:p w14:paraId="684C303E" w14:textId="4DE1A0DE" w:rsidR="00EB43DB" w:rsidRPr="00954F67" w:rsidRDefault="009234F8" w:rsidP="009234F8">
      <w:pPr>
        <w:pStyle w:val="ANormal"/>
      </w:pPr>
      <w:r w:rsidRPr="00954F67">
        <w:tab/>
        <w:t>A</w:t>
      </w:r>
      <w:r w:rsidR="00EB43DB" w:rsidRPr="00954F67">
        <w:t>ntalet sjukdagar</w:t>
      </w:r>
      <w:r w:rsidR="000D567E">
        <w:t xml:space="preserve"> i ÅHS</w:t>
      </w:r>
      <w:r w:rsidR="00EB43DB" w:rsidRPr="00954F67">
        <w:t xml:space="preserve"> uppgick till </w:t>
      </w:r>
      <w:r w:rsidR="00954F67" w:rsidRPr="00954F67">
        <w:t>18 101 (</w:t>
      </w:r>
      <w:r w:rsidR="002D1915" w:rsidRPr="00954F67">
        <w:t>23 765</w:t>
      </w:r>
      <w:r w:rsidR="00C6568C" w:rsidRPr="00954F67">
        <w:t>)</w:t>
      </w:r>
      <w:r w:rsidR="00EB43DB" w:rsidRPr="00954F67">
        <w:t xml:space="preserve">, vilket är </w:t>
      </w:r>
      <w:r w:rsidR="00954F67" w:rsidRPr="00954F67">
        <w:t>19 (</w:t>
      </w:r>
      <w:r w:rsidR="002D1915" w:rsidRPr="00954F67">
        <w:t>25</w:t>
      </w:r>
      <w:r w:rsidR="00C6568C" w:rsidRPr="00954F67">
        <w:t>)</w:t>
      </w:r>
      <w:r w:rsidR="00EB43DB" w:rsidRPr="00954F67">
        <w:t xml:space="preserve"> dagar per anställd. </w:t>
      </w:r>
      <w:r w:rsidR="002D1915" w:rsidRPr="00954F67">
        <w:t>Covid-19 toppade på Åland under början av 2022 vilket är orsaken till att sjukfrånvaron är högre under 2022 än tidigare</w:t>
      </w:r>
      <w:r w:rsidR="003E511D" w:rsidRPr="00954F67">
        <w:t xml:space="preserve"> år</w:t>
      </w:r>
      <w:r w:rsidR="002D1915" w:rsidRPr="00954F67">
        <w:t xml:space="preserve">. </w:t>
      </w:r>
      <w:r w:rsidR="00A569BB" w:rsidRPr="00954F67">
        <w:t xml:space="preserve">På grund av pandemin har strängare närvaroregler än annars tillämpats, vilket har lett till att </w:t>
      </w:r>
      <w:r w:rsidR="004E493E" w:rsidRPr="00954F67">
        <w:t xml:space="preserve">antalet </w:t>
      </w:r>
      <w:r w:rsidR="00A569BB" w:rsidRPr="00954F67">
        <w:t>s</w:t>
      </w:r>
      <w:r w:rsidR="00EB43DB" w:rsidRPr="00954F67">
        <w:t xml:space="preserve">jukdagar </w:t>
      </w:r>
      <w:r w:rsidR="00A569BB" w:rsidRPr="00954F67">
        <w:t xml:space="preserve">för </w:t>
      </w:r>
      <w:proofErr w:type="gramStart"/>
      <w:r w:rsidR="00A569BB" w:rsidRPr="00954F67">
        <w:t>2020-202</w:t>
      </w:r>
      <w:r w:rsidR="002D1915" w:rsidRPr="00954F67">
        <w:t>2</w:t>
      </w:r>
      <w:proofErr w:type="gramEnd"/>
      <w:r w:rsidR="00A569BB" w:rsidRPr="00954F67">
        <w:t xml:space="preserve"> </w:t>
      </w:r>
      <w:r w:rsidR="008625F2">
        <w:t>var</w:t>
      </w:r>
      <w:r w:rsidR="00EB43DB" w:rsidRPr="00954F67">
        <w:t xml:space="preserve"> betydligt högre än </w:t>
      </w:r>
      <w:r w:rsidR="002D1915" w:rsidRPr="00954F67">
        <w:t>tidigare</w:t>
      </w:r>
      <w:r w:rsidR="00A569BB" w:rsidRPr="00954F67">
        <w:t>.</w:t>
      </w:r>
      <w:r w:rsidR="004E493E" w:rsidRPr="00954F67">
        <w:t xml:space="preserve"> </w:t>
      </w:r>
    </w:p>
    <w:p w14:paraId="0AE3D575" w14:textId="40FF2C07" w:rsidR="006D548C" w:rsidRPr="00954F67" w:rsidRDefault="006D548C" w:rsidP="00BC2A42">
      <w:pPr>
        <w:pStyle w:val="ANormal"/>
      </w:pPr>
      <w:r w:rsidRPr="00954F67">
        <w:tab/>
      </w:r>
      <w:r w:rsidR="007A37E8" w:rsidRPr="00954F67">
        <w:t xml:space="preserve">Det </w:t>
      </w:r>
      <w:r w:rsidR="0063082B" w:rsidRPr="00954F67">
        <w:t>genomsnittlig</w:t>
      </w:r>
      <w:r w:rsidR="007A37E8" w:rsidRPr="00954F67">
        <w:t>a antalet</w:t>
      </w:r>
      <w:r w:rsidR="0063082B" w:rsidRPr="00954F67">
        <w:t xml:space="preserve"> månadsanställda </w:t>
      </w:r>
      <w:r w:rsidR="007A37E8" w:rsidRPr="00954F67">
        <w:t xml:space="preserve">i Fastighetsverket </w:t>
      </w:r>
      <w:r w:rsidR="00313E09" w:rsidRPr="00954F67">
        <w:t xml:space="preserve">uppgår till </w:t>
      </w:r>
      <w:r w:rsidR="002D1915" w:rsidRPr="00954F67">
        <w:t>5</w:t>
      </w:r>
      <w:r w:rsidR="00954F67">
        <w:t>6,7</w:t>
      </w:r>
      <w:r w:rsidR="002D1915" w:rsidRPr="00954F67">
        <w:t xml:space="preserve"> (</w:t>
      </w:r>
      <w:r w:rsidR="0063082B" w:rsidRPr="00954F67">
        <w:t>5</w:t>
      </w:r>
      <w:r w:rsidR="00954F67">
        <w:t>7,5</w:t>
      </w:r>
      <w:r w:rsidR="002D1915" w:rsidRPr="00954F67">
        <w:t>)</w:t>
      </w:r>
      <w:r w:rsidR="0063082B" w:rsidRPr="00954F67">
        <w:t xml:space="preserve"> personer</w:t>
      </w:r>
      <w:r w:rsidR="002D1915" w:rsidRPr="00954F67">
        <w:t>.</w:t>
      </w:r>
    </w:p>
    <w:p w14:paraId="2DEA7AE5" w14:textId="4E0CB156" w:rsidR="00C46A55" w:rsidRPr="00954F67" w:rsidRDefault="007F7EF6" w:rsidP="00C46A55">
      <w:pPr>
        <w:pStyle w:val="ANormal"/>
      </w:pPr>
      <w:r w:rsidRPr="00954F67">
        <w:tab/>
      </w:r>
    </w:p>
    <w:p w14:paraId="01F6FCE4" w14:textId="714AF9A7" w:rsidR="00A867C0" w:rsidRPr="001B5BB0" w:rsidRDefault="00A867C0" w:rsidP="00A867C0">
      <w:pPr>
        <w:pStyle w:val="RubrikC"/>
      </w:pPr>
      <w:bookmarkStart w:id="16" w:name="_Toc178066495"/>
      <w:r w:rsidRPr="001B5BB0">
        <w:t>Landskapets tillgångar</w:t>
      </w:r>
      <w:bookmarkEnd w:id="16"/>
    </w:p>
    <w:p w14:paraId="64588203" w14:textId="3280A128" w:rsidR="00A867C0" w:rsidRPr="00102387" w:rsidRDefault="00A867C0" w:rsidP="00A867C0">
      <w:pPr>
        <w:pStyle w:val="Rubrikmellanrum"/>
        <w:rPr>
          <w:color w:val="FF0000"/>
        </w:rPr>
      </w:pPr>
    </w:p>
    <w:p w14:paraId="445FE58F" w14:textId="1A4FF9BE" w:rsidR="005762E4" w:rsidRPr="002A1F13" w:rsidRDefault="001A0448" w:rsidP="00A867C0">
      <w:pPr>
        <w:pStyle w:val="ANormal"/>
      </w:pPr>
      <w:r w:rsidRPr="002A1F13">
        <w:t xml:space="preserve">Landskapets </w:t>
      </w:r>
      <w:proofErr w:type="spellStart"/>
      <w:r w:rsidR="0000076A" w:rsidRPr="002A1F13">
        <w:t>l</w:t>
      </w:r>
      <w:r w:rsidR="00D10359" w:rsidRPr="002A1F13">
        <w:t>ånefordringar</w:t>
      </w:r>
      <w:proofErr w:type="spellEnd"/>
      <w:r w:rsidR="001D7281" w:rsidRPr="002A1F13">
        <w:t xml:space="preserve"> </w:t>
      </w:r>
      <w:r w:rsidR="00733F66" w:rsidRPr="002A1F13">
        <w:t>(not 1</w:t>
      </w:r>
      <w:r w:rsidR="005762E4" w:rsidRPr="002A1F13">
        <w:t>2</w:t>
      </w:r>
      <w:r w:rsidR="00733F66" w:rsidRPr="002A1F13">
        <w:t xml:space="preserve">) </w:t>
      </w:r>
      <w:r w:rsidR="001D7281" w:rsidRPr="002A1F13">
        <w:t xml:space="preserve">utgör finansiella tillgångar som kommer att återbetalas till landskapet och följaktligen successivt förbättra likviditeten. </w:t>
      </w:r>
      <w:proofErr w:type="spellStart"/>
      <w:r w:rsidR="001D7281" w:rsidRPr="002A1F13">
        <w:t>Lånefo</w:t>
      </w:r>
      <w:r w:rsidR="00733F66" w:rsidRPr="002A1F13">
        <w:t>r</w:t>
      </w:r>
      <w:r w:rsidR="001D7281" w:rsidRPr="002A1F13">
        <w:t>dringarna</w:t>
      </w:r>
      <w:proofErr w:type="spellEnd"/>
      <w:r w:rsidR="001D7281" w:rsidRPr="002A1F13">
        <w:t xml:space="preserve"> uppgår till </w:t>
      </w:r>
      <w:r w:rsidR="005762E4" w:rsidRPr="002A1F13">
        <w:t xml:space="preserve">netto </w:t>
      </w:r>
      <w:r w:rsidR="00F67409">
        <w:t>41,1 (</w:t>
      </w:r>
      <w:r w:rsidR="005762E4" w:rsidRPr="002A1F13">
        <w:t>42,6)</w:t>
      </w:r>
      <w:r w:rsidR="001D7281" w:rsidRPr="002A1F13">
        <w:t xml:space="preserve"> miljoner euro och består av bostadslån</w:t>
      </w:r>
      <w:r w:rsidR="005762E4" w:rsidRPr="002A1F13">
        <w:t xml:space="preserve"> </w:t>
      </w:r>
      <w:r w:rsidR="002A1F13">
        <w:t>37,1 (</w:t>
      </w:r>
      <w:r w:rsidR="005762E4" w:rsidRPr="002A1F13">
        <w:t>38,6</w:t>
      </w:r>
      <w:r w:rsidR="001D7281" w:rsidRPr="002A1F13">
        <w:t xml:space="preserve"> m€), lån ur PAF-medel </w:t>
      </w:r>
      <w:r w:rsidR="002A1F13">
        <w:t>3,6 (</w:t>
      </w:r>
      <w:r w:rsidR="005762E4" w:rsidRPr="002A1F13">
        <w:t>3,6</w:t>
      </w:r>
      <w:r w:rsidR="001D7281" w:rsidRPr="002A1F13">
        <w:t xml:space="preserve"> m€)</w:t>
      </w:r>
      <w:r w:rsidR="005762E4" w:rsidRPr="002A1F13">
        <w:t>,</w:t>
      </w:r>
      <w:r w:rsidR="001D7281" w:rsidRPr="002A1F13">
        <w:t xml:space="preserve"> övriga lån</w:t>
      </w:r>
      <w:r w:rsidR="005762E4" w:rsidRPr="002A1F13">
        <w:t xml:space="preserve"> </w:t>
      </w:r>
      <w:r w:rsidR="002A1F13">
        <w:t>2,1 (</w:t>
      </w:r>
      <w:r w:rsidR="005762E4" w:rsidRPr="002A1F13">
        <w:t>2,1</w:t>
      </w:r>
      <w:r w:rsidR="001D7281" w:rsidRPr="002A1F13">
        <w:t xml:space="preserve"> m€)</w:t>
      </w:r>
      <w:r w:rsidR="005762E4" w:rsidRPr="002A1F13">
        <w:t xml:space="preserve"> och 1,7 (1,7) miljoner euro i nedskrivna/osäkra fordringar. </w:t>
      </w:r>
      <w:r w:rsidR="00F67409">
        <w:t xml:space="preserve">Bostadslånen och de övriga lånen innehåller enbart återbetalningar, inga nya lån </w:t>
      </w:r>
      <w:r w:rsidR="002B119B">
        <w:t>har beviljats på flera år</w:t>
      </w:r>
      <w:r w:rsidR="00F67409">
        <w:t>. Beträffande PAF-lånen beviljas nya lån och amorteras på gamla lån.</w:t>
      </w:r>
    </w:p>
    <w:p w14:paraId="69946BC1" w14:textId="2E535FA0" w:rsidR="00C26D0C" w:rsidRPr="00F67409" w:rsidRDefault="00733F66" w:rsidP="00A867C0">
      <w:pPr>
        <w:pStyle w:val="ANormal"/>
      </w:pPr>
      <w:r w:rsidRPr="00102387">
        <w:rPr>
          <w:color w:val="FF0000"/>
        </w:rPr>
        <w:tab/>
      </w:r>
      <w:r w:rsidRPr="00F67409">
        <w:t>Under posten ”fond</w:t>
      </w:r>
      <w:r w:rsidR="00BF6B46" w:rsidRPr="00F67409">
        <w:t xml:space="preserve">ernas </w:t>
      </w:r>
      <w:r w:rsidRPr="00F67409">
        <w:t xml:space="preserve">kapital” finns </w:t>
      </w:r>
      <w:r w:rsidR="00F67409">
        <w:t>84,7 (</w:t>
      </w:r>
      <w:r w:rsidR="005762E4" w:rsidRPr="00F67409">
        <w:t>6</w:t>
      </w:r>
      <w:r w:rsidR="00BF6B46" w:rsidRPr="00F67409">
        <w:t>6</w:t>
      </w:r>
      <w:r w:rsidR="005762E4" w:rsidRPr="00F67409">
        <w:t>,</w:t>
      </w:r>
      <w:r w:rsidR="00BF6B46" w:rsidRPr="00F67409">
        <w:t>1</w:t>
      </w:r>
      <w:r w:rsidR="005762E4" w:rsidRPr="00F67409">
        <w:t>)</w:t>
      </w:r>
      <w:r w:rsidRPr="00F67409">
        <w:t xml:space="preserve"> miljoner euro upptaget (not 1</w:t>
      </w:r>
      <w:r w:rsidR="005762E4" w:rsidRPr="00F67409">
        <w:t>7</w:t>
      </w:r>
      <w:r w:rsidRPr="00F67409">
        <w:t xml:space="preserve">). Av dessa medel </w:t>
      </w:r>
      <w:r w:rsidR="00BF6B46" w:rsidRPr="00F67409">
        <w:t>utgörs</w:t>
      </w:r>
      <w:r w:rsidRPr="00F67409">
        <w:t xml:space="preserve"> </w:t>
      </w:r>
      <w:r w:rsidR="00BF6B46" w:rsidRPr="00F67409">
        <w:t>1,7 (</w:t>
      </w:r>
      <w:r w:rsidR="00C26D0C" w:rsidRPr="00F67409">
        <w:t>1,</w:t>
      </w:r>
      <w:r w:rsidR="00F67409">
        <w:t>7</w:t>
      </w:r>
      <w:r w:rsidR="00BF6B46" w:rsidRPr="00F67409">
        <w:t>)</w:t>
      </w:r>
      <w:r w:rsidR="00C26D0C" w:rsidRPr="00F67409">
        <w:t xml:space="preserve"> miljoner euro </w:t>
      </w:r>
      <w:r w:rsidR="00BF6B46" w:rsidRPr="00F67409">
        <w:t>av</w:t>
      </w:r>
      <w:r w:rsidR="00C26D0C" w:rsidRPr="00F67409">
        <w:t xml:space="preserve"> </w:t>
      </w:r>
      <w:r w:rsidR="00BF6B46" w:rsidRPr="00F67409">
        <w:t>stipendie</w:t>
      </w:r>
      <w:r w:rsidR="00C26D0C" w:rsidRPr="00F67409">
        <w:t>fonder</w:t>
      </w:r>
      <w:r w:rsidR="00BF6B46" w:rsidRPr="00F67409">
        <w:t xml:space="preserve"> och donationskapital</w:t>
      </w:r>
      <w:r w:rsidR="00C26D0C" w:rsidRPr="00F67409">
        <w:t xml:space="preserve">. Dessa medel är placerade på egna konton och </w:t>
      </w:r>
      <w:r w:rsidR="00CC73A3" w:rsidRPr="00F67409">
        <w:t xml:space="preserve">kan inte betraktas som en </w:t>
      </w:r>
      <w:r w:rsidR="007223A9" w:rsidRPr="00F67409">
        <w:t xml:space="preserve">tillgänglig </w:t>
      </w:r>
      <w:r w:rsidR="00CC73A3" w:rsidRPr="00F67409">
        <w:t xml:space="preserve">del av </w:t>
      </w:r>
      <w:r w:rsidR="00C26D0C" w:rsidRPr="00F67409">
        <w:t>landskapets likviditet.</w:t>
      </w:r>
    </w:p>
    <w:p w14:paraId="19867EF5" w14:textId="603E5FD9" w:rsidR="00A53453" w:rsidRDefault="00C26D0C" w:rsidP="00A867C0">
      <w:pPr>
        <w:pStyle w:val="ANormal"/>
      </w:pPr>
      <w:r w:rsidRPr="00F67409">
        <w:tab/>
        <w:t xml:space="preserve">Återstoden om </w:t>
      </w:r>
      <w:r w:rsidR="00F67409">
        <w:t>83,0 (</w:t>
      </w:r>
      <w:r w:rsidR="00BF6B46" w:rsidRPr="00F67409">
        <w:t>64,4)</w:t>
      </w:r>
      <w:r w:rsidRPr="00F67409">
        <w:t xml:space="preserve"> miljoner euro </w:t>
      </w:r>
      <w:r w:rsidR="00637C11" w:rsidRPr="00F67409">
        <w:t>består av en reservation av</w:t>
      </w:r>
      <w:r w:rsidRPr="00F67409">
        <w:t xml:space="preserve"> PAF-</w:t>
      </w:r>
      <w:r w:rsidR="003E4D86" w:rsidRPr="00F67409">
        <w:t>medel</w:t>
      </w:r>
      <w:r w:rsidR="00CC73A3" w:rsidRPr="00F67409">
        <w:t xml:space="preserve">. </w:t>
      </w:r>
      <w:r w:rsidR="00EB30C3" w:rsidRPr="00F67409">
        <w:t xml:space="preserve">Medlen </w:t>
      </w:r>
      <w:r w:rsidR="003E4D86" w:rsidRPr="00F67409">
        <w:t>består av</w:t>
      </w:r>
      <w:r w:rsidR="00EB30C3" w:rsidRPr="00F67409">
        <w:t xml:space="preserve"> </w:t>
      </w:r>
      <w:proofErr w:type="spellStart"/>
      <w:r w:rsidR="00EB30C3" w:rsidRPr="00F67409">
        <w:t>återbokningar</w:t>
      </w:r>
      <w:proofErr w:type="spellEnd"/>
      <w:r w:rsidR="00EB30C3" w:rsidRPr="00F67409">
        <w:t xml:space="preserve"> av outnyttjade PAF-medel</w:t>
      </w:r>
      <w:r w:rsidR="00F67409">
        <w:t>,</w:t>
      </w:r>
      <w:r w:rsidR="00EB30C3" w:rsidRPr="00F67409">
        <w:t xml:space="preserve"> amorteringarna</w:t>
      </w:r>
      <w:r w:rsidR="003E4D86" w:rsidRPr="00F67409">
        <w:t xml:space="preserve"> på</w:t>
      </w:r>
      <w:r w:rsidR="00EB30C3" w:rsidRPr="00F67409">
        <w:t xml:space="preserve"> återbetalade PAF-lån</w:t>
      </w:r>
      <w:r w:rsidR="00F67409">
        <w:t xml:space="preserve"> samt reserveringar som ingått i budgeten de senaste åren bla</w:t>
      </w:r>
      <w:r w:rsidR="006575F9">
        <w:t>nd annat</w:t>
      </w:r>
      <w:r w:rsidR="00F67409">
        <w:t xml:space="preserve"> för finansiering av vattenvårdsprojekt och </w:t>
      </w:r>
      <w:r w:rsidR="00A53453">
        <w:t xml:space="preserve">avsättningar </w:t>
      </w:r>
      <w:r w:rsidR="00F67409">
        <w:t>för att garantera den tredje sektorns framtida finansiering</w:t>
      </w:r>
      <w:r w:rsidR="00EB30C3" w:rsidRPr="00F67409">
        <w:t xml:space="preserve">. </w:t>
      </w:r>
      <w:r w:rsidR="002B119B">
        <w:t>Större delen</w:t>
      </w:r>
      <w:r w:rsidR="00F67409">
        <w:t xml:space="preserve"> av d</w:t>
      </w:r>
      <w:r w:rsidR="00CC73A3" w:rsidRPr="00F67409">
        <w:t xml:space="preserve">essa medel motsvaras inte av en egen likviditet, utan </w:t>
      </w:r>
      <w:r w:rsidR="00733A19" w:rsidRPr="00F67409">
        <w:t>medlen</w:t>
      </w:r>
      <w:r w:rsidR="00CC73A3" w:rsidRPr="00F67409">
        <w:t xml:space="preserve"> ingår </w:t>
      </w:r>
      <w:r w:rsidR="0036724F" w:rsidRPr="00F67409">
        <w:t>i landskapets allmänna likviditet.</w:t>
      </w:r>
      <w:r w:rsidR="00733F66" w:rsidRPr="00F67409">
        <w:t xml:space="preserve"> </w:t>
      </w:r>
    </w:p>
    <w:p w14:paraId="289C990B" w14:textId="1C802626" w:rsidR="00B9031E" w:rsidRPr="00F67409" w:rsidRDefault="00A53453" w:rsidP="00A867C0">
      <w:pPr>
        <w:pStyle w:val="ANormal"/>
      </w:pPr>
      <w:r>
        <w:tab/>
      </w:r>
      <w:r w:rsidR="00BF6B46" w:rsidRPr="00F67409">
        <w:t xml:space="preserve">Utskottet </w:t>
      </w:r>
      <w:r w:rsidR="00816C6F">
        <w:t>har i sina betänkanden över årsredovisningen för åren 202</w:t>
      </w:r>
      <w:r w:rsidR="001B5BB0">
        <w:t xml:space="preserve">1 och </w:t>
      </w:r>
      <w:r w:rsidR="00816C6F">
        <w:t xml:space="preserve">2022 </w:t>
      </w:r>
      <w:r w:rsidR="002D1915" w:rsidRPr="00F67409">
        <w:t>(FNU 22/</w:t>
      </w:r>
      <w:proofErr w:type="gramStart"/>
      <w:r w:rsidR="002D1915" w:rsidRPr="00F67409">
        <w:t>2021-2022</w:t>
      </w:r>
      <w:proofErr w:type="gramEnd"/>
      <w:r w:rsidR="00816C6F">
        <w:t xml:space="preserve"> och FNU 24/2022-2023</w:t>
      </w:r>
      <w:r w:rsidR="002D1915" w:rsidRPr="00F67409">
        <w:t>)</w:t>
      </w:r>
      <w:r w:rsidR="00BF6B46" w:rsidRPr="00F67409">
        <w:t xml:space="preserve"> </w:t>
      </w:r>
      <w:r w:rsidR="00816C6F">
        <w:t xml:space="preserve">samt i </w:t>
      </w:r>
      <w:r w:rsidR="002D1915" w:rsidRPr="00F67409">
        <w:t xml:space="preserve">betänkandet över </w:t>
      </w:r>
      <w:r w:rsidR="00BF6B46" w:rsidRPr="00F67409">
        <w:t>landskapsrevisionens rapport gällande användningen och redovisningen av PAF-medel</w:t>
      </w:r>
      <w:r w:rsidR="002D1915" w:rsidRPr="00F67409">
        <w:t xml:space="preserve"> (FNU 23/2021-2022)</w:t>
      </w:r>
      <w:r w:rsidR="00816C6F">
        <w:t xml:space="preserve"> lyft frågan om tydligare regler </w:t>
      </w:r>
      <w:r w:rsidR="002B119B">
        <w:t xml:space="preserve">för </w:t>
      </w:r>
      <w:r w:rsidR="00816C6F">
        <w:t>de reserverade PAF-medlen, samt även hela lagstiftningen kring penningautomatföreningens verksamhet</w:t>
      </w:r>
      <w:r w:rsidR="00BF6B46" w:rsidRPr="00F67409">
        <w:t xml:space="preserve">. </w:t>
      </w:r>
      <w:r w:rsidR="001B5BB0">
        <w:t>Utskottet hänvisar till sina tidigare betänkanden för närmare argumentation i frågan.</w:t>
      </w:r>
    </w:p>
    <w:p w14:paraId="2D848D4A" w14:textId="6532DAD2" w:rsidR="00E44F5F" w:rsidRPr="00F67409" w:rsidRDefault="00E44F5F" w:rsidP="00A867C0">
      <w:pPr>
        <w:pStyle w:val="ANormal"/>
      </w:pPr>
      <w:r w:rsidRPr="00F67409">
        <w:tab/>
      </w:r>
    </w:p>
    <w:p w14:paraId="3212678A" w14:textId="43F0445A" w:rsidR="00102387" w:rsidRDefault="00102387" w:rsidP="00102387">
      <w:pPr>
        <w:pStyle w:val="RubrikC"/>
      </w:pPr>
      <w:bookmarkStart w:id="17" w:name="_Toc178066496"/>
      <w:r w:rsidRPr="00102387">
        <w:lastRenderedPageBreak/>
        <w:t>Landskapets pensionsfond</w:t>
      </w:r>
      <w:bookmarkEnd w:id="17"/>
    </w:p>
    <w:p w14:paraId="6E024827" w14:textId="77777777" w:rsidR="00102387" w:rsidRDefault="00102387" w:rsidP="00102387">
      <w:pPr>
        <w:pStyle w:val="Rubrikmellanrum"/>
      </w:pPr>
    </w:p>
    <w:p w14:paraId="7F13A670" w14:textId="6FC88CF3" w:rsidR="00102387" w:rsidRDefault="00102387" w:rsidP="00102387">
      <w:pPr>
        <w:pStyle w:val="ANormal"/>
      </w:pPr>
      <w:r w:rsidRPr="00C34291">
        <w:t>Landskapets pensionsfond</w:t>
      </w:r>
      <w:r w:rsidR="00BF6E9C">
        <w:t xml:space="preserve"> är en</w:t>
      </w:r>
      <w:r w:rsidR="00BF6E9C" w:rsidRPr="00C34291">
        <w:t xml:space="preserve"> avsevärd finansiell tillgång</w:t>
      </w:r>
      <w:r w:rsidRPr="00C34291">
        <w:t>.</w:t>
      </w:r>
      <w:r w:rsidR="003B4113">
        <w:t xml:space="preserve"> </w:t>
      </w:r>
      <w:r w:rsidR="00BE13EF" w:rsidRPr="00FD6F71">
        <w:t>V</w:t>
      </w:r>
      <w:r w:rsidRPr="00FD6F71">
        <w:t>ärdet på pensionsfondens</w:t>
      </w:r>
      <w:r w:rsidR="00FD6F71" w:rsidRPr="00FD6F71">
        <w:t xml:space="preserve"> totala </w:t>
      </w:r>
      <w:r w:rsidRPr="00FD6F71">
        <w:t xml:space="preserve">tillgångar räknat till marknadsvärde </w:t>
      </w:r>
      <w:r w:rsidR="00BE13EF" w:rsidRPr="00FD6F71">
        <w:t xml:space="preserve">anges </w:t>
      </w:r>
      <w:r w:rsidRPr="00FD6F71">
        <w:t xml:space="preserve">till </w:t>
      </w:r>
      <w:r w:rsidR="00BE13EF" w:rsidRPr="00FD6F71">
        <w:t>5</w:t>
      </w:r>
      <w:r w:rsidR="00FD6F71" w:rsidRPr="00FD6F71">
        <w:t>24,2</w:t>
      </w:r>
      <w:r w:rsidR="00BE13EF" w:rsidRPr="00FD6F71">
        <w:t xml:space="preserve"> (</w:t>
      </w:r>
      <w:r w:rsidRPr="00FD6F71">
        <w:t>494,5) miljoner euro per den 31.12.202</w:t>
      </w:r>
      <w:r w:rsidR="00FD6F71" w:rsidRPr="00FD6F71">
        <w:t>3</w:t>
      </w:r>
      <w:r w:rsidRPr="00FD6F71">
        <w:t>, vilket ger en fonderingsgrad om</w:t>
      </w:r>
      <w:r w:rsidR="00FD6F71" w:rsidRPr="00FD6F71">
        <w:t xml:space="preserve"> 61</w:t>
      </w:r>
      <w:r w:rsidRPr="00FD6F71">
        <w:t xml:space="preserve"> </w:t>
      </w:r>
      <w:r w:rsidR="00FD6F71" w:rsidRPr="00FD6F71">
        <w:t>(</w:t>
      </w:r>
      <w:r w:rsidRPr="00FD6F71">
        <w:t xml:space="preserve">60) procent. Fonderingsgraden </w:t>
      </w:r>
      <w:r w:rsidR="003B4113">
        <w:t xml:space="preserve">anger hur stor andel medel som finns fonderade för att täcka det pensionsansvar som finns för stunden. </w:t>
      </w:r>
      <w:r w:rsidR="00B50CFD">
        <w:t>Även om en direkt jämförelse inte är möjlig kan utskottet konstatera att l</w:t>
      </w:r>
      <w:r w:rsidR="003B4113" w:rsidRPr="00B50CFD">
        <w:t xml:space="preserve">andskapets fonderingsgrad </w:t>
      </w:r>
      <w:r w:rsidRPr="00B50CFD">
        <w:t xml:space="preserve">är hög i </w:t>
      </w:r>
      <w:r w:rsidR="003B4113" w:rsidRPr="00B50CFD">
        <w:t>jämförelse med</w:t>
      </w:r>
      <w:r w:rsidRPr="00B50CFD">
        <w:t xml:space="preserve"> statens pensionsfond, som i lag är begränsad till en fonderingsgrad om </w:t>
      </w:r>
      <w:r w:rsidR="009B200C" w:rsidRPr="00B50CFD">
        <w:t xml:space="preserve">högst </w:t>
      </w:r>
      <w:r w:rsidRPr="00B50CFD">
        <w:t>25 procent.</w:t>
      </w:r>
    </w:p>
    <w:p w14:paraId="6DB9E5B6" w14:textId="3069032B" w:rsidR="003B4113" w:rsidRPr="00FD6F71" w:rsidRDefault="009B200C" w:rsidP="00102387">
      <w:pPr>
        <w:pStyle w:val="ANormal"/>
      </w:pPr>
      <w:r>
        <w:tab/>
      </w:r>
      <w:r w:rsidR="003B4113" w:rsidRPr="00C34291">
        <w:t xml:space="preserve">Landskapets uppskattade pensionsansvar per 31.12.2023 uppgick till 857,6 (823,4) miljoner euro. Beräkningen är en uppskrivning av </w:t>
      </w:r>
      <w:r>
        <w:t xml:space="preserve">den </w:t>
      </w:r>
      <w:r w:rsidR="003B4113" w:rsidRPr="00C34291">
        <w:t>senast</w:t>
      </w:r>
      <w:r>
        <w:t>e</w:t>
      </w:r>
      <w:r w:rsidR="003B4113" w:rsidRPr="00C34291">
        <w:t xml:space="preserve"> grundliga beräkningen som utfördes 2021. </w:t>
      </w:r>
    </w:p>
    <w:p w14:paraId="4960AFF2" w14:textId="0F0FD056" w:rsidR="00102387" w:rsidRDefault="0027263A" w:rsidP="00102387">
      <w:pPr>
        <w:pStyle w:val="ANormal"/>
      </w:pPr>
      <w:r>
        <w:tab/>
      </w:r>
      <w:r w:rsidR="00102387">
        <w:t>I bokslutet för fonden framgår ur textdelen att pensionsfonden har bildat och äger bolaget Landskapet</w:t>
      </w:r>
      <w:r w:rsidR="006A146D">
        <w:t xml:space="preserve"> Ålands </w:t>
      </w:r>
      <w:proofErr w:type="spellStart"/>
      <w:r w:rsidR="006A146D">
        <w:t>pensionfond</w:t>
      </w:r>
      <w:proofErr w:type="spellEnd"/>
      <w:r w:rsidR="006A146D">
        <w:t xml:space="preserve"> Fastighetsförvaltning Ab, vars syfte är att sköta förvaltningen av kvarteret </w:t>
      </w:r>
      <w:proofErr w:type="spellStart"/>
      <w:r w:rsidR="006A146D">
        <w:t>iTiden</w:t>
      </w:r>
      <w:proofErr w:type="spellEnd"/>
      <w:r w:rsidR="006A146D">
        <w:t xml:space="preserve"> (Västra Klinten </w:t>
      </w:r>
      <w:proofErr w:type="gramStart"/>
      <w:r w:rsidR="006A146D">
        <w:t>16-3</w:t>
      </w:r>
      <w:proofErr w:type="gramEnd"/>
      <w:r w:rsidR="006A146D">
        <w:t>).</w:t>
      </w:r>
      <w:r>
        <w:t xml:space="preserve"> Bolaget har två anställda. </w:t>
      </w:r>
      <w:r w:rsidR="006A146D">
        <w:t>Bolagets årsredovisning har inte konsoliderats i pensionsfondens årsbokslut, men borde trots det förtecknas i listan över tillgångar.</w:t>
      </w:r>
    </w:p>
    <w:p w14:paraId="4206DE33" w14:textId="01F2C31A" w:rsidR="009E21A3" w:rsidRDefault="009E21A3" w:rsidP="00102387">
      <w:pPr>
        <w:pStyle w:val="ANormal"/>
      </w:pPr>
      <w:r>
        <w:tab/>
        <w:t>Pensionsfonden äger också byggnaden och tomten Böndernas Hus på Torggatan i Mariehamn (</w:t>
      </w:r>
      <w:proofErr w:type="spellStart"/>
      <w:r>
        <w:t>Storängen</w:t>
      </w:r>
      <w:proofErr w:type="spellEnd"/>
      <w:r>
        <w:t xml:space="preserve"> </w:t>
      </w:r>
      <w:proofErr w:type="gramStart"/>
      <w:r>
        <w:t>9-14</w:t>
      </w:r>
      <w:proofErr w:type="gramEnd"/>
      <w:r>
        <w:t xml:space="preserve">) som hyrs ut till Mariehamns stad för Medborgarinstitutets verksamhet. Utskottet har noterat att staden söker nya lokaler för Medborgarinstitutets verksamhet, vilket rimligen </w:t>
      </w:r>
      <w:r w:rsidR="0027263A">
        <w:t xml:space="preserve">kan </w:t>
      </w:r>
      <w:r>
        <w:t>få konsekvenser för fonden.</w:t>
      </w:r>
    </w:p>
    <w:p w14:paraId="6F7202BF" w14:textId="3BD0F9F1" w:rsidR="006A146D" w:rsidRDefault="006A146D" w:rsidP="00102387">
      <w:pPr>
        <w:pStyle w:val="ANormal"/>
      </w:pPr>
      <w:r>
        <w:tab/>
        <w:t xml:space="preserve">Pensionsfonden bildade år 2019 ett holdingbolag i Sverige, </w:t>
      </w:r>
      <w:proofErr w:type="spellStart"/>
      <w:r>
        <w:t>Brightnala</w:t>
      </w:r>
      <w:proofErr w:type="spellEnd"/>
      <w:r>
        <w:t xml:space="preserve"> Holding Ab, som vid bokslutstillfället förvaltar fyra svenska fonder (</w:t>
      </w:r>
      <w:proofErr w:type="spellStart"/>
      <w:r>
        <w:t>Brightly</w:t>
      </w:r>
      <w:proofErr w:type="spellEnd"/>
      <w:r>
        <w:t xml:space="preserve"> </w:t>
      </w:r>
      <w:proofErr w:type="spellStart"/>
      <w:r>
        <w:t>Ventures</w:t>
      </w:r>
      <w:proofErr w:type="spellEnd"/>
      <w:r>
        <w:t xml:space="preserve"> I, </w:t>
      </w:r>
      <w:proofErr w:type="spellStart"/>
      <w:r>
        <w:t>Slättö</w:t>
      </w:r>
      <w:proofErr w:type="spellEnd"/>
      <w:r>
        <w:t xml:space="preserve"> </w:t>
      </w:r>
      <w:proofErr w:type="spellStart"/>
      <w:r>
        <w:t>Core</w:t>
      </w:r>
      <w:proofErr w:type="spellEnd"/>
      <w:r>
        <w:t xml:space="preserve"> Plus, </w:t>
      </w:r>
      <w:proofErr w:type="spellStart"/>
      <w:r>
        <w:t>Slättö</w:t>
      </w:r>
      <w:proofErr w:type="spellEnd"/>
      <w:r w:rsidR="0072409B">
        <w:t xml:space="preserve"> </w:t>
      </w:r>
      <w:proofErr w:type="spellStart"/>
      <w:r>
        <w:t>Value</w:t>
      </w:r>
      <w:proofErr w:type="spellEnd"/>
      <w:r>
        <w:t xml:space="preserve"> </w:t>
      </w:r>
      <w:proofErr w:type="spellStart"/>
      <w:r>
        <w:t>Add</w:t>
      </w:r>
      <w:proofErr w:type="spellEnd"/>
      <w:r>
        <w:t xml:space="preserve"> II och Svenska Bostadsfonden). </w:t>
      </w:r>
      <w:r w:rsidR="009E21A3">
        <w:t xml:space="preserve">De fyra fonderna </w:t>
      </w:r>
      <w:r w:rsidR="009B200C">
        <w:t>förtecknas i pensionsfondens bokslut</w:t>
      </w:r>
      <w:r w:rsidR="009E21A3">
        <w:t xml:space="preserve"> </w:t>
      </w:r>
      <w:r w:rsidR="009B200C">
        <w:t>med</w:t>
      </w:r>
      <w:r w:rsidR="009E21A3">
        <w:t xml:space="preserve"> sina anskaffnings- och marknadsvärden i fondens tillgångsförteckning</w:t>
      </w:r>
      <w:r w:rsidR="009B200C">
        <w:t>, 19,1 respektive 19,3</w:t>
      </w:r>
      <w:r w:rsidR="009E21A3">
        <w:t xml:space="preserve"> miljoner euro, medan holdingbolagets värde enbart tas upp till cirka 4 500 euro</w:t>
      </w:r>
      <w:r w:rsidR="009B200C">
        <w:t>, det vill säga bolagets eget aktiekapital (50 000 SEK)</w:t>
      </w:r>
      <w:r w:rsidR="009E21A3">
        <w:t xml:space="preserve">. Detta blir inte helt korrekt eftersom holdingbolaget </w:t>
      </w:r>
      <w:proofErr w:type="spellStart"/>
      <w:r w:rsidR="009E21A3">
        <w:t>Brightnala</w:t>
      </w:r>
      <w:proofErr w:type="spellEnd"/>
      <w:r w:rsidR="009E21A3">
        <w:t xml:space="preserve"> är den egentliga ägaren till dessa fondandelar och även har dem upptagna i sin balansräkning.</w:t>
      </w:r>
      <w:r w:rsidR="00FD3A92">
        <w:t xml:space="preserve"> </w:t>
      </w:r>
    </w:p>
    <w:p w14:paraId="4954790C" w14:textId="0E335AF4" w:rsidR="00FD3A92" w:rsidRDefault="00FD3A92" w:rsidP="00102387">
      <w:pPr>
        <w:pStyle w:val="ANormal"/>
      </w:pPr>
      <w:r>
        <w:tab/>
        <w:t xml:space="preserve">Enligt pensionsfondens innehavsförteckning har de fyra fonderna i </w:t>
      </w:r>
      <w:proofErr w:type="spellStart"/>
      <w:r>
        <w:t>Brightnala</w:t>
      </w:r>
      <w:proofErr w:type="spellEnd"/>
      <w:r>
        <w:t xml:space="preserve"> Holding Ab ett </w:t>
      </w:r>
      <w:r w:rsidR="00374D02">
        <w:t>marknads</w:t>
      </w:r>
      <w:r>
        <w:t xml:space="preserve">värde </w:t>
      </w:r>
      <w:r w:rsidR="00A44021">
        <w:t>om</w:t>
      </w:r>
      <w:r>
        <w:t xml:space="preserve"> 19,</w:t>
      </w:r>
      <w:r w:rsidR="00374D02">
        <w:t>3</w:t>
      </w:r>
      <w:r>
        <w:t xml:space="preserve"> miljoner euro</w:t>
      </w:r>
      <w:r w:rsidR="00FC4350">
        <w:t xml:space="preserve"> medan det i</w:t>
      </w:r>
      <w:r w:rsidR="00A44021">
        <w:t xml:space="preserve"> </w:t>
      </w:r>
      <w:proofErr w:type="spellStart"/>
      <w:r w:rsidR="00A44021">
        <w:t>Brightnala</w:t>
      </w:r>
      <w:proofErr w:type="spellEnd"/>
      <w:r w:rsidR="00A44021">
        <w:t xml:space="preserve"> </w:t>
      </w:r>
      <w:proofErr w:type="spellStart"/>
      <w:r w:rsidR="00A44021">
        <w:t>Holdings</w:t>
      </w:r>
      <w:proofErr w:type="spellEnd"/>
      <w:r w:rsidR="00A44021">
        <w:t xml:space="preserve"> Ab eget bokslut framgår att fondtillgångarna är upptagna till 14,9 miljoner euro, vilket </w:t>
      </w:r>
      <w:r w:rsidR="00E51EFC">
        <w:t>antyder</w:t>
      </w:r>
      <w:r w:rsidR="00A44021">
        <w:t xml:space="preserve"> </w:t>
      </w:r>
      <w:r w:rsidR="00F75E00">
        <w:t>att</w:t>
      </w:r>
      <w:r w:rsidR="00A44021">
        <w:t xml:space="preserve"> </w:t>
      </w:r>
      <w:r w:rsidR="00374D02">
        <w:t>marknads</w:t>
      </w:r>
      <w:r w:rsidR="00A44021">
        <w:t>värden</w:t>
      </w:r>
      <w:r w:rsidR="00374D02">
        <w:t>a</w:t>
      </w:r>
      <w:r w:rsidR="00F75E00">
        <w:t xml:space="preserve"> i pensionsfondens bokslut </w:t>
      </w:r>
      <w:r w:rsidR="00E51EFC">
        <w:t>kan vara</w:t>
      </w:r>
      <w:r w:rsidR="00F75E00">
        <w:t xml:space="preserve"> övervärderade med 4,</w:t>
      </w:r>
      <w:r w:rsidR="00374D02">
        <w:t>4</w:t>
      </w:r>
      <w:r w:rsidR="00F75E00">
        <w:t xml:space="preserve"> miljoner euro</w:t>
      </w:r>
      <w:r w:rsidR="00A44021">
        <w:t>.</w:t>
      </w:r>
      <w:r w:rsidR="00FC4350">
        <w:t xml:space="preserve"> </w:t>
      </w:r>
      <w:r w:rsidR="00A44021">
        <w:t xml:space="preserve">Utskottet har erfarit att bokslutet i </w:t>
      </w:r>
      <w:proofErr w:type="spellStart"/>
      <w:r w:rsidR="00A44021">
        <w:t>Brightnala</w:t>
      </w:r>
      <w:proofErr w:type="spellEnd"/>
      <w:r w:rsidR="00A44021">
        <w:t xml:space="preserve"> inte uppgjorts på ett korrekt sätt, trots att det genomgått revision</w:t>
      </w:r>
      <w:r w:rsidR="00FC4350">
        <w:t xml:space="preserve"> och att avsikten är att upprätta ett nytt bokslut</w:t>
      </w:r>
      <w:r w:rsidR="00A44021">
        <w:t>.</w:t>
      </w:r>
    </w:p>
    <w:p w14:paraId="3B4FDDD0" w14:textId="047CD33E" w:rsidR="00D32E65" w:rsidRDefault="00A44021" w:rsidP="00102387">
      <w:pPr>
        <w:pStyle w:val="ANormal"/>
      </w:pPr>
      <w:r>
        <w:tab/>
        <w:t>Utskottet konstaterar</w:t>
      </w:r>
      <w:r w:rsidR="00E37088">
        <w:t xml:space="preserve"> att</w:t>
      </w:r>
      <w:r>
        <w:t xml:space="preserve"> </w:t>
      </w:r>
      <w:r w:rsidR="00D32E65">
        <w:t xml:space="preserve">trots att det rör sig om </w:t>
      </w:r>
      <w:r w:rsidR="00FC4350">
        <w:t>mindre än en procent av fondens totalvärde så handlar det ändå om relativt betydande belopp i absoluta termer varför</w:t>
      </w:r>
      <w:r w:rsidR="00D32E65">
        <w:t xml:space="preserve"> siffror som kan härledas ur fakta</w:t>
      </w:r>
      <w:r w:rsidR="00FC4350">
        <w:t xml:space="preserve"> måste</w:t>
      </w:r>
      <w:r w:rsidR="00D32E65">
        <w:t xml:space="preserve"> återges på ett riktigt sätt i bokslutet.</w:t>
      </w:r>
    </w:p>
    <w:p w14:paraId="4AADB93D" w14:textId="13B7BBFD" w:rsidR="00D32E65" w:rsidRDefault="00D32E65" w:rsidP="00102387">
      <w:pPr>
        <w:pStyle w:val="ANormal"/>
      </w:pPr>
      <w:r>
        <w:tab/>
        <w:t xml:space="preserve">Utskottet noterar att de fyra fonder som ingår i </w:t>
      </w:r>
      <w:proofErr w:type="spellStart"/>
      <w:r>
        <w:t>Brightnala</w:t>
      </w:r>
      <w:proofErr w:type="spellEnd"/>
      <w:r>
        <w:t xml:space="preserve"> är av typen ”private </w:t>
      </w:r>
      <w:proofErr w:type="spellStart"/>
      <w:r>
        <w:t>equity</w:t>
      </w:r>
      <w:proofErr w:type="spellEnd"/>
      <w:r>
        <w:t xml:space="preserve">”, vilket i dagligt tal kan översättas till ”riskkapital”. Gemensamt för fonder inom private </w:t>
      </w:r>
      <w:proofErr w:type="spellStart"/>
      <w:r>
        <w:t>equity</w:t>
      </w:r>
      <w:proofErr w:type="spellEnd"/>
      <w:r>
        <w:t xml:space="preserve">-sfären är att de inte noteras på en marknadsplats, utan marknadsvärdena bestäms på basen av de </w:t>
      </w:r>
      <w:r w:rsidR="00E37088">
        <w:t>års</w:t>
      </w:r>
      <w:r>
        <w:t xml:space="preserve">redovisningar </w:t>
      </w:r>
      <w:r w:rsidR="00E37088">
        <w:t>som görs upp av de företag som ingår i fondens ägo</w:t>
      </w:r>
      <w:r>
        <w:t xml:space="preserve">. Det är således relativt svårt att bilda sig en uppfattning om riskerna med fondens private </w:t>
      </w:r>
      <w:proofErr w:type="spellStart"/>
      <w:r>
        <w:t>equity</w:t>
      </w:r>
      <w:proofErr w:type="spellEnd"/>
      <w:r>
        <w:t xml:space="preserve">-placeringar. </w:t>
      </w:r>
    </w:p>
    <w:p w14:paraId="2F10BE0C" w14:textId="21E65F27" w:rsidR="00A44021" w:rsidRDefault="00D32E65" w:rsidP="00102387">
      <w:pPr>
        <w:pStyle w:val="ANormal"/>
      </w:pPr>
      <w:r>
        <w:tab/>
        <w:t xml:space="preserve">Utskottet noterar att på 10 år har </w:t>
      </w:r>
      <w:r w:rsidR="00F75E00">
        <w:t xml:space="preserve">anskaffningsvärdet för </w:t>
      </w:r>
      <w:r>
        <w:t>private-</w:t>
      </w:r>
      <w:proofErr w:type="spellStart"/>
      <w:r>
        <w:t>equity</w:t>
      </w:r>
      <w:proofErr w:type="spellEnd"/>
      <w:r>
        <w:t xml:space="preserve">-placeringarna i </w:t>
      </w:r>
      <w:r w:rsidR="00E37088">
        <w:t>pensions</w:t>
      </w:r>
      <w:r>
        <w:t>fonden ökat från 10 miljoner euro till 88 miljoner euro</w:t>
      </w:r>
      <w:r w:rsidR="00F75E00">
        <w:t xml:space="preserve"> och således tagit upp en allt större andel av fondens placeringar.</w:t>
      </w:r>
    </w:p>
    <w:p w14:paraId="3D55FD4B" w14:textId="5F733DFD" w:rsidR="00D32E65" w:rsidRDefault="00D32E65" w:rsidP="00102387">
      <w:pPr>
        <w:pStyle w:val="ANormal"/>
      </w:pPr>
      <w:r>
        <w:tab/>
        <w:t xml:space="preserve">Pensionsfonden har </w:t>
      </w:r>
      <w:r w:rsidR="005B274D">
        <w:t xml:space="preserve">inom ramen för sitt mandat </w:t>
      </w:r>
      <w:r w:rsidR="003B1E8B">
        <w:t>möjligg</w:t>
      </w:r>
      <w:r w:rsidR="005B274D">
        <w:t>jort</w:t>
      </w:r>
      <w:r w:rsidR="003B1E8B">
        <w:t xml:space="preserve"> de</w:t>
      </w:r>
      <w:r w:rsidR="00E37088">
        <w:t xml:space="preserve">ssa placeringar </w:t>
      </w:r>
      <w:r w:rsidR="005B274D">
        <w:t xml:space="preserve">genom att </w:t>
      </w:r>
      <w:r>
        <w:t xml:space="preserve">öka fullmakten </w:t>
      </w:r>
      <w:r w:rsidR="003B1E8B">
        <w:t xml:space="preserve">för </w:t>
      </w:r>
      <w:r w:rsidR="00E37088">
        <w:t>tillgångs</w:t>
      </w:r>
      <w:r w:rsidR="003B1E8B">
        <w:t xml:space="preserve">kategorin ”övriga placeringar” från intervallet </w:t>
      </w:r>
      <w:proofErr w:type="gramStart"/>
      <w:r w:rsidR="003B1E8B">
        <w:t>0-15</w:t>
      </w:r>
      <w:proofErr w:type="gramEnd"/>
      <w:r w:rsidR="003B1E8B">
        <w:t xml:space="preserve"> % år 2014 till 0-35 %</w:t>
      </w:r>
      <w:r w:rsidR="00E37088">
        <w:t xml:space="preserve"> som andel av hela fondens värde</w:t>
      </w:r>
      <w:r w:rsidR="003B1E8B">
        <w:t xml:space="preserve">. </w:t>
      </w:r>
    </w:p>
    <w:p w14:paraId="01039A96" w14:textId="49284DF4" w:rsidR="00E82CC1" w:rsidRDefault="00E82CC1" w:rsidP="00102387">
      <w:pPr>
        <w:pStyle w:val="ANormal"/>
      </w:pPr>
      <w:r>
        <w:lastRenderedPageBreak/>
        <w:tab/>
        <w:t>Placeringsverksamheten i pensionsfonden regleras av landskapsförordningen (1996:45) om placering av de medel som landskapets Ålands pensionsfond förvaltar</w:t>
      </w:r>
      <w:r w:rsidR="004B7724">
        <w:t xml:space="preserve">. Senaste ändring i förordningen gjordes 2010. </w:t>
      </w:r>
    </w:p>
    <w:p w14:paraId="285B8DBC" w14:textId="7110F4CA" w:rsidR="004B7724" w:rsidRDefault="004B7724" w:rsidP="00102387">
      <w:pPr>
        <w:pStyle w:val="ANormal"/>
      </w:pPr>
      <w:r>
        <w:tab/>
        <w:t xml:space="preserve">Utskottet föreslår att landskapsregeringen ser över förordningen så att den överensstämmer med dagens placeringsverksamhet. Som ett exempel kan nämnas att det är föga troligt att fonden efterlever förordningens 13 § om begränsning av valutarisken så att endast 20 procent av tillgångarna får vara i annan valuta än euro eller annars ha fullständigt skydd mot valutakursförändringar. Fondens </w:t>
      </w:r>
      <w:r w:rsidR="00F75E00">
        <w:t>verksamhets</w:t>
      </w:r>
      <w:r>
        <w:t xml:space="preserve">berättelse </w:t>
      </w:r>
      <w:r w:rsidR="00F75E00">
        <w:t xml:space="preserve">har ingen </w:t>
      </w:r>
      <w:r>
        <w:t>ege</w:t>
      </w:r>
      <w:r w:rsidR="00F75E00">
        <w:t>n redovisning över valuta</w:t>
      </w:r>
      <w:r w:rsidR="0068721B">
        <w:t xml:space="preserve">- eller andra </w:t>
      </w:r>
      <w:r w:rsidR="00F75E00">
        <w:t>risker.</w:t>
      </w:r>
    </w:p>
    <w:p w14:paraId="08E78E39" w14:textId="21841174" w:rsidR="006C6D7E" w:rsidRDefault="006C6D7E" w:rsidP="00102387">
      <w:pPr>
        <w:pStyle w:val="ANormal"/>
      </w:pPr>
      <w:r>
        <w:tab/>
        <w:t xml:space="preserve">Utskottet </w:t>
      </w:r>
      <w:r w:rsidR="0068721B">
        <w:t xml:space="preserve">anser att pensionsfondens årsredovisning bör stramas upp till nästa redovisningstillfälle och göras tydligare och enhetligare. Förutom de saker som noteras ovan kan även nämnas att de bokslutsnoter som finns saknar motsvarande numrering i resultat- och balansräkningen. </w:t>
      </w:r>
    </w:p>
    <w:p w14:paraId="0AEA95DC" w14:textId="77777777" w:rsidR="003F142F" w:rsidRDefault="003F142F" w:rsidP="00102387">
      <w:pPr>
        <w:pStyle w:val="ANormal"/>
      </w:pPr>
    </w:p>
    <w:p w14:paraId="557D1E6A" w14:textId="26137DAC" w:rsidR="003F142F" w:rsidRDefault="003F142F" w:rsidP="003F142F">
      <w:pPr>
        <w:pStyle w:val="RubrikC"/>
      </w:pPr>
      <w:bookmarkStart w:id="18" w:name="_Toc178066497"/>
      <w:r>
        <w:t>Landskapets fastighetsverk</w:t>
      </w:r>
      <w:bookmarkEnd w:id="18"/>
    </w:p>
    <w:p w14:paraId="191C7A5F" w14:textId="77777777" w:rsidR="003F142F" w:rsidRPr="003F142F" w:rsidRDefault="003F142F" w:rsidP="003F142F">
      <w:pPr>
        <w:pStyle w:val="Rubrikmellanrum"/>
      </w:pPr>
    </w:p>
    <w:p w14:paraId="33180D5B" w14:textId="77777777" w:rsidR="006647BA" w:rsidRDefault="003F142F" w:rsidP="003F142F">
      <w:pPr>
        <w:pStyle w:val="ANormal"/>
      </w:pPr>
      <w:r>
        <w:tab/>
        <w:t>Landskapets fastighetsverk uppvisar ett resultat om 6,4 miljoner euro, vilket är en resultatökning om 0,5 miljoner euro, något som i sin helhet kan förklaras med ränteintäkter på den stora kassa som ligger i fastighetsverket.</w:t>
      </w:r>
    </w:p>
    <w:p w14:paraId="6FE0AF5F" w14:textId="727583F6" w:rsidR="00EC2B67" w:rsidRDefault="006647BA" w:rsidP="003F142F">
      <w:pPr>
        <w:pStyle w:val="ANormal"/>
      </w:pPr>
      <w:r>
        <w:tab/>
      </w:r>
      <w:r w:rsidR="003F142F">
        <w:t>Den återstående delen av resultatet om 5,9 miljoner euro motsvarar ungefär det belopp som är inbyggt i kalkylen för internhyressystemet och som ska återbetalas till landskapsregeringen.</w:t>
      </w:r>
      <w:r w:rsidR="005209A5">
        <w:t xml:space="preserve"> </w:t>
      </w:r>
      <w:r w:rsidR="00EC2B67">
        <w:t xml:space="preserve">För år 2023 var dock endast 4,5 miljoner euro budgeterat som överföring i landskapsbudgeten. </w:t>
      </w:r>
      <w:r w:rsidR="007B3BDA">
        <w:t>I balansräkningen kvarstår därmed 2,5 miljoner euro i fritt eget kapital, i praktiken outnyttjade överskott från tidigare år.</w:t>
      </w:r>
    </w:p>
    <w:p w14:paraId="75AF4309" w14:textId="280E6721" w:rsidR="003F142F" w:rsidRDefault="00EC2B67" w:rsidP="003F142F">
      <w:pPr>
        <w:pStyle w:val="ANormal"/>
      </w:pPr>
      <w:r>
        <w:tab/>
      </w:r>
      <w:r w:rsidR="005209A5">
        <w:t xml:space="preserve">Noteras kan att den budgeterade återbetalningssumman </w:t>
      </w:r>
      <w:r>
        <w:t>i landskapets budget för 2024 är 5,0 miljoner euro.</w:t>
      </w:r>
    </w:p>
    <w:p w14:paraId="5FABA335" w14:textId="51FC81E1" w:rsidR="003F142F" w:rsidRDefault="003F142F" w:rsidP="003F142F">
      <w:pPr>
        <w:pStyle w:val="ANormal"/>
      </w:pPr>
      <w:r>
        <w:tab/>
        <w:t>Utskottet har noterat att de externa kundfordringarna har ökat successivt från år till år. De senaste årens stora belopp beror på naturliga orsaker, som att fakturering skett just inför årsskiftet och att man bedrivit relativt stora ombyggnadsprojekt där kostnaderna ska delas med övriga parter. Det fanns dock vid årsskiftet ett relativt stort antal kundfordringar vars upprinnelse låg långt bak i tiden</w:t>
      </w:r>
      <w:r w:rsidR="00463790">
        <w:t>.</w:t>
      </w:r>
      <w:r>
        <w:t xml:space="preserve"> </w:t>
      </w:r>
    </w:p>
    <w:p w14:paraId="56A11AAB" w14:textId="77777777" w:rsidR="003F142F" w:rsidRDefault="003F142F" w:rsidP="003F142F">
      <w:pPr>
        <w:pStyle w:val="ANormal"/>
      </w:pPr>
      <w:r>
        <w:tab/>
        <w:t>Utskottet har erfarit att fastighetsverket under 2024 har tecknat avtal med en inkassobyrå varför utskottet drar slutsatsen att hanteringen av kundfordringarna kommer att utföras på ett aktivare sätt än tidigare.</w:t>
      </w:r>
    </w:p>
    <w:p w14:paraId="3697AB69" w14:textId="7397AEC3" w:rsidR="00F75E00" w:rsidRDefault="00F75E00" w:rsidP="00102387">
      <w:pPr>
        <w:pStyle w:val="ANormal"/>
      </w:pPr>
      <w:r>
        <w:tab/>
      </w:r>
    </w:p>
    <w:p w14:paraId="47901682" w14:textId="748F3C5D" w:rsidR="00AB792E" w:rsidRDefault="0034641B" w:rsidP="00AB792E">
      <w:pPr>
        <w:pStyle w:val="RubrikC"/>
      </w:pPr>
      <w:bookmarkStart w:id="19" w:name="_Toc178066498"/>
      <w:r w:rsidRPr="00AB792E">
        <w:t>Landskapets bolag</w:t>
      </w:r>
      <w:bookmarkEnd w:id="19"/>
    </w:p>
    <w:p w14:paraId="31AE4DAA" w14:textId="77777777" w:rsidR="00AB792E" w:rsidRDefault="00AB792E" w:rsidP="00AB792E">
      <w:pPr>
        <w:pStyle w:val="Rubrikmellanrum"/>
      </w:pPr>
    </w:p>
    <w:p w14:paraId="2B5A92DC" w14:textId="1E8513BE" w:rsidR="00AB792E" w:rsidRDefault="00AB792E" w:rsidP="00AB792E">
      <w:pPr>
        <w:pStyle w:val="ANormal"/>
      </w:pPr>
      <w:r>
        <w:t xml:space="preserve">I sitt betänkande över årsredovisningen för 2022 gjorde utskottet en genomgång av landskapets bolag och </w:t>
      </w:r>
      <w:r w:rsidR="00B1381D">
        <w:t xml:space="preserve">förde en diskussion över </w:t>
      </w:r>
      <w:r>
        <w:t>bolagsstyrningen. Utskottet vill framhålla att detta betänkande hade en långsiktig inriktning och att tankarna i betänkandet inte bör glömmas bort.</w:t>
      </w:r>
    </w:p>
    <w:p w14:paraId="11B23BC1" w14:textId="27142B69" w:rsidR="00E3799A" w:rsidRDefault="00AB792E" w:rsidP="00AB792E">
      <w:pPr>
        <w:pStyle w:val="ANormal"/>
      </w:pPr>
      <w:r>
        <w:tab/>
        <w:t xml:space="preserve"> Utskottet noterar att landskapsregeringen </w:t>
      </w:r>
      <w:r w:rsidR="00424EAB">
        <w:t xml:space="preserve">på ett förtjänstfullt sätt </w:t>
      </w:r>
      <w:r>
        <w:t>har ökat genomlysningen av bolagsstrukturen genom att i förteckningen över landskapets aktier (not 10) gjort en indelning i dotterbolag, intressebolag och övriga bolag. Utskottet noterar dock att vissa av bolagen borde sorteras in under kategorin ”finansiella värdepapper”, vilka upptecknas under not 14.</w:t>
      </w:r>
    </w:p>
    <w:p w14:paraId="2AB8A38F" w14:textId="306126FF" w:rsidR="00E3799A" w:rsidRDefault="00B1381D" w:rsidP="00AB792E">
      <w:pPr>
        <w:pStyle w:val="ANormal"/>
      </w:pPr>
      <w:r>
        <w:tab/>
        <w:t xml:space="preserve">Utskottet konstaterar att landskapsregeringen genom åren har utlokaliserat delar av sina verksamheter i fristående myndigheter, affärsverk och bolag. När detta skrivs pågår </w:t>
      </w:r>
      <w:r w:rsidR="00C97BF1">
        <w:t xml:space="preserve">ytterligare </w:t>
      </w:r>
      <w:r>
        <w:t xml:space="preserve">en </w:t>
      </w:r>
      <w:r w:rsidR="00C97BF1">
        <w:t>bolagsbildning</w:t>
      </w:r>
      <w:r>
        <w:t xml:space="preserve"> där landskapet </w:t>
      </w:r>
      <w:r w:rsidR="00C97BF1">
        <w:t xml:space="preserve">kan </w:t>
      </w:r>
      <w:r>
        <w:t>komm</w:t>
      </w:r>
      <w:r w:rsidR="00C97BF1">
        <w:t>a</w:t>
      </w:r>
      <w:r>
        <w:t xml:space="preserve"> att bli en betydande ägare. </w:t>
      </w:r>
    </w:p>
    <w:p w14:paraId="2889AA53" w14:textId="6F7CA01D" w:rsidR="00B1381D" w:rsidRDefault="00B1381D" w:rsidP="00AB792E">
      <w:pPr>
        <w:pStyle w:val="ANormal"/>
      </w:pPr>
      <w:r>
        <w:tab/>
        <w:t xml:space="preserve">De fristående myndigheterna </w:t>
      </w:r>
      <w:r w:rsidR="009D602D">
        <w:t xml:space="preserve">och affärsverken </w:t>
      </w:r>
      <w:r>
        <w:t>kan revideras av Landskapsrevisionen</w:t>
      </w:r>
      <w:r w:rsidR="009D602D">
        <w:t xml:space="preserve">, medan bolagen </w:t>
      </w:r>
      <w:r w:rsidR="00424EAB">
        <w:t xml:space="preserve">i allmänhet </w:t>
      </w:r>
      <w:r w:rsidR="009D602D">
        <w:t xml:space="preserve">endast revideras </w:t>
      </w:r>
      <w:r w:rsidR="00424EAB">
        <w:t>av fristående revisorer.</w:t>
      </w:r>
    </w:p>
    <w:p w14:paraId="29D87D8D" w14:textId="46C0FDCE" w:rsidR="009D602D" w:rsidRDefault="009D602D" w:rsidP="00AB792E">
      <w:pPr>
        <w:pStyle w:val="ANormal"/>
      </w:pPr>
      <w:r>
        <w:lastRenderedPageBreak/>
        <w:tab/>
        <w:t xml:space="preserve">Utskottet </w:t>
      </w:r>
      <w:r w:rsidR="00EB3D39">
        <w:t xml:space="preserve">anser </w:t>
      </w:r>
      <w:r>
        <w:t>att landskapets helägda bolag också borde kunna genomgå en grundligare effektivitetsrevision i likhet med de myndighetsutövande organen, eftersom den normala revisionen som bolagen genomgår till största delen granskar siffror och laglighetsefterlevnad och att revisionsutlåtandet inte innehåller någon substanstext</w:t>
      </w:r>
      <w:r w:rsidR="00EB3D39">
        <w:t xml:space="preserve"> </w:t>
      </w:r>
      <w:r w:rsidR="00424EAB">
        <w:t>som skulle kunna ge information till de ägande organen, landskapsregeringen och lagtinget.</w:t>
      </w:r>
    </w:p>
    <w:p w14:paraId="774339F2" w14:textId="22997F87" w:rsidR="008769D9" w:rsidRPr="00E17BB4" w:rsidRDefault="008769D9" w:rsidP="00E17BB4">
      <w:pPr>
        <w:pStyle w:val="ANormal"/>
      </w:pPr>
    </w:p>
    <w:p w14:paraId="5ADCDE10" w14:textId="359604BF" w:rsidR="005F3BF2" w:rsidRPr="00CA1E7C" w:rsidRDefault="005F3BF2" w:rsidP="005F3BF2">
      <w:pPr>
        <w:pStyle w:val="RubrikC"/>
      </w:pPr>
      <w:bookmarkStart w:id="20" w:name="_Toc178066499"/>
      <w:r w:rsidRPr="00CA1E7C">
        <w:t>Pågående rättegångar</w:t>
      </w:r>
      <w:bookmarkEnd w:id="20"/>
    </w:p>
    <w:p w14:paraId="5740DD6A" w14:textId="6E7B1707" w:rsidR="005F3BF2" w:rsidRPr="00CA1E7C" w:rsidRDefault="005F3BF2" w:rsidP="005F3BF2">
      <w:pPr>
        <w:pStyle w:val="Rubrikmellanrum"/>
      </w:pPr>
    </w:p>
    <w:p w14:paraId="292E4A9F" w14:textId="0492A18C" w:rsidR="00CA1E7C" w:rsidRDefault="00CA1E7C" w:rsidP="0055331D">
      <w:pPr>
        <w:pStyle w:val="ANormal"/>
      </w:pPr>
      <w:r>
        <w:t>I samband med bokslutet för 2022 noterad</w:t>
      </w:r>
      <w:r w:rsidR="003B4113">
        <w:t>e</w:t>
      </w:r>
      <w:r>
        <w:t xml:space="preserve"> utskottet att två betydande rättsprocesser pågick</w:t>
      </w:r>
      <w:r w:rsidR="003B4113">
        <w:t xml:space="preserve"> </w:t>
      </w:r>
      <w:r>
        <w:t xml:space="preserve">som båda var </w:t>
      </w:r>
      <w:r w:rsidR="005F3BF2" w:rsidRPr="00CA1E7C">
        <w:t xml:space="preserve">kopplade till upphandlingar. I den första </w:t>
      </w:r>
      <w:r w:rsidR="008E2B9C" w:rsidRPr="00CA1E7C">
        <w:t xml:space="preserve">rättegången </w:t>
      </w:r>
      <w:r w:rsidR="006647BA">
        <w:t xml:space="preserve">som </w:t>
      </w:r>
      <w:r w:rsidR="005F3BF2" w:rsidRPr="00CA1E7C">
        <w:t xml:space="preserve">gällde upphandling av personaladministrativa system </w:t>
      </w:r>
      <w:r w:rsidR="008E2B9C" w:rsidRPr="00CA1E7C">
        <w:t xml:space="preserve">har </w:t>
      </w:r>
      <w:r w:rsidR="005F3BF2" w:rsidRPr="00CA1E7C">
        <w:t>käromålet mot landskapsregeringen förkastats, men domen är överklagad och ha</w:t>
      </w:r>
      <w:r w:rsidR="000A091D">
        <w:t>de</w:t>
      </w:r>
      <w:r w:rsidR="005F3BF2" w:rsidRPr="00CA1E7C">
        <w:t xml:space="preserve"> således inte vunnit laga kraft. </w:t>
      </w:r>
      <w:r>
        <w:t xml:space="preserve">I den processen har hovrätten givit dom </w:t>
      </w:r>
      <w:r w:rsidR="006647BA">
        <w:t xml:space="preserve">den </w:t>
      </w:r>
      <w:r>
        <w:t>4</w:t>
      </w:r>
      <w:r w:rsidR="006647BA">
        <w:t xml:space="preserve"> december </w:t>
      </w:r>
      <w:r>
        <w:t>2023 varvid tingsrättens dom lämnas oförändrad.</w:t>
      </w:r>
    </w:p>
    <w:p w14:paraId="57805301" w14:textId="77777777" w:rsidR="000A091D" w:rsidRDefault="00CA1E7C" w:rsidP="0055331D">
      <w:pPr>
        <w:pStyle w:val="ANormal"/>
      </w:pPr>
      <w:r>
        <w:tab/>
      </w:r>
      <w:r w:rsidR="005F3BF2" w:rsidRPr="00CA1E7C">
        <w:t>I den andra rättegången gällande färj</w:t>
      </w:r>
      <w:r w:rsidR="00B17906" w:rsidRPr="00CA1E7C">
        <w:t>e</w:t>
      </w:r>
      <w:r w:rsidR="005F3BF2" w:rsidRPr="00CA1E7C">
        <w:t xml:space="preserve">trafik till Föglö har tingsrätten dömt landskapsregeringen </w:t>
      </w:r>
      <w:r w:rsidR="00B17906" w:rsidRPr="00CA1E7C">
        <w:t xml:space="preserve">att erlägga motparten </w:t>
      </w:r>
      <w:r w:rsidR="003B4113">
        <w:t>(konsortiet Ansgar Ab och Finlands färjetrafik Ab)</w:t>
      </w:r>
      <w:r w:rsidR="000A091D">
        <w:t xml:space="preserve"> </w:t>
      </w:r>
      <w:r w:rsidR="005F3BF2" w:rsidRPr="00CA1E7C">
        <w:t>ett skadestånd om drygt 10 miljoner euro</w:t>
      </w:r>
      <w:r w:rsidR="00C27378" w:rsidRPr="00CA1E7C">
        <w:t xml:space="preserve"> plus räntor</w:t>
      </w:r>
      <w:r w:rsidR="005F3BF2" w:rsidRPr="00CA1E7C">
        <w:t>.</w:t>
      </w:r>
    </w:p>
    <w:p w14:paraId="539917DB" w14:textId="1D78417D" w:rsidR="0055331D" w:rsidRDefault="000A091D" w:rsidP="0055331D">
      <w:pPr>
        <w:pStyle w:val="ANormal"/>
      </w:pPr>
      <w:r>
        <w:tab/>
      </w:r>
      <w:r w:rsidR="005F3BF2" w:rsidRPr="00CA1E7C">
        <w:t>Domen överklagad</w:t>
      </w:r>
      <w:r w:rsidR="00CA1E7C">
        <w:t>es</w:t>
      </w:r>
      <w:r w:rsidR="005F3BF2" w:rsidRPr="00CA1E7C">
        <w:t xml:space="preserve"> till hovrätten</w:t>
      </w:r>
      <w:r w:rsidR="00CA1E7C">
        <w:t xml:space="preserve"> som </w:t>
      </w:r>
      <w:r w:rsidR="006647BA">
        <w:t>av</w:t>
      </w:r>
      <w:r w:rsidR="00CA1E7C">
        <w:t>gav</w:t>
      </w:r>
      <w:r w:rsidR="006647BA">
        <w:t xml:space="preserve"> en</w:t>
      </w:r>
      <w:r w:rsidR="00CA1E7C">
        <w:t xml:space="preserve"> dom 24</w:t>
      </w:r>
      <w:r w:rsidR="006647BA">
        <w:t xml:space="preserve"> januari </w:t>
      </w:r>
      <w:r w:rsidR="00CA1E7C">
        <w:t>2024 enligt vilken landskapet blev ersättningsskyldigt. Beloppet om cirka 13,2 miljoner euro budgeterades i ändringsbudget</w:t>
      </w:r>
      <w:r w:rsidR="00C97BF1">
        <w:t>en</w:t>
      </w:r>
      <w:r w:rsidR="00CA1E7C">
        <w:t xml:space="preserve"> 3/2023 och finns också upptaget som en e</w:t>
      </w:r>
      <w:r w:rsidR="003B4113">
        <w:t>xtraordinär kostnadspost i landskapets resultaträkning för 2023.</w:t>
      </w:r>
    </w:p>
    <w:p w14:paraId="01AE640F" w14:textId="14408620" w:rsidR="003B4113" w:rsidRPr="00CA1E7C" w:rsidRDefault="003B4113" w:rsidP="0055331D">
      <w:pPr>
        <w:pStyle w:val="ANormal"/>
      </w:pPr>
      <w:r>
        <w:tab/>
        <w:t>Landskapsregeringen beslutade efter hovrättsdomen att besvära sig över domslutet till den del det gällde sättet att räkna ut skadeståndets storlek. Skadeståndet deponerades i sin helhet hos Statens ämbetsverk i väntan på Högsta domstolens dom. Den 19</w:t>
      </w:r>
      <w:r w:rsidR="006647BA">
        <w:t xml:space="preserve"> april</w:t>
      </w:r>
      <w:r>
        <w:t xml:space="preserve"> 2024 kom </w:t>
      </w:r>
      <w:r w:rsidR="000A091D">
        <w:t xml:space="preserve">dock </w:t>
      </w:r>
      <w:r>
        <w:t xml:space="preserve">parterna överens om en förlikning, vilket innebär att landskapet ersätter konsortiet med 11,9 miljoner euro. Mellanskillnaden om nästan 1,3 miljoner euro kommer </w:t>
      </w:r>
      <w:r w:rsidR="00C97BF1">
        <w:t xml:space="preserve">att ingå i årsredovisningen </w:t>
      </w:r>
      <w:r>
        <w:t>för 2024.</w:t>
      </w:r>
    </w:p>
    <w:p w14:paraId="4D985DD8" w14:textId="77777777" w:rsidR="000F4682" w:rsidRPr="00102387" w:rsidRDefault="000F4682" w:rsidP="00C46A55">
      <w:pPr>
        <w:pStyle w:val="ANormal"/>
        <w:rPr>
          <w:color w:val="FF0000"/>
        </w:rPr>
      </w:pPr>
    </w:p>
    <w:p w14:paraId="0D5F85CC" w14:textId="77777777" w:rsidR="002401D0" w:rsidRPr="00794DFC" w:rsidRDefault="002401D0">
      <w:pPr>
        <w:pStyle w:val="RubrikA"/>
      </w:pPr>
      <w:bookmarkStart w:id="21" w:name="_Toc529800936"/>
      <w:bookmarkStart w:id="22" w:name="_Toc178066500"/>
      <w:r w:rsidRPr="00794DFC">
        <w:t>Ärendets behandling</w:t>
      </w:r>
      <w:bookmarkEnd w:id="21"/>
      <w:bookmarkEnd w:id="22"/>
    </w:p>
    <w:p w14:paraId="249CAB31" w14:textId="77777777" w:rsidR="002401D0" w:rsidRPr="00794DFC" w:rsidRDefault="002401D0">
      <w:pPr>
        <w:pStyle w:val="Rubrikmellanrum"/>
      </w:pPr>
    </w:p>
    <w:p w14:paraId="2960469A" w14:textId="142C751A" w:rsidR="0028660F" w:rsidRPr="003B4113" w:rsidRDefault="0028660F" w:rsidP="0028660F">
      <w:pPr>
        <w:pStyle w:val="ANormal"/>
        <w:rPr>
          <w:szCs w:val="22"/>
        </w:rPr>
      </w:pPr>
      <w:r w:rsidRPr="003B4113">
        <w:rPr>
          <w:szCs w:val="22"/>
        </w:rPr>
        <w:t xml:space="preserve">Lagtinget har den </w:t>
      </w:r>
      <w:r w:rsidR="00442692" w:rsidRPr="003B4113">
        <w:rPr>
          <w:szCs w:val="22"/>
        </w:rPr>
        <w:t>5</w:t>
      </w:r>
      <w:r w:rsidR="00C0663E" w:rsidRPr="003B4113">
        <w:rPr>
          <w:szCs w:val="22"/>
        </w:rPr>
        <w:t xml:space="preserve"> </w:t>
      </w:r>
      <w:r w:rsidR="008B0417" w:rsidRPr="003B4113">
        <w:rPr>
          <w:szCs w:val="22"/>
        </w:rPr>
        <w:t>juni</w:t>
      </w:r>
      <w:r w:rsidR="009D0715" w:rsidRPr="003B4113">
        <w:rPr>
          <w:szCs w:val="22"/>
        </w:rPr>
        <w:t xml:space="preserve"> 20</w:t>
      </w:r>
      <w:r w:rsidR="00794DFC" w:rsidRPr="003B4113">
        <w:rPr>
          <w:szCs w:val="22"/>
        </w:rPr>
        <w:t>2</w:t>
      </w:r>
      <w:r w:rsidR="008B0417" w:rsidRPr="003B4113">
        <w:rPr>
          <w:szCs w:val="22"/>
        </w:rPr>
        <w:t>3</w:t>
      </w:r>
      <w:r w:rsidRPr="003B4113">
        <w:rPr>
          <w:szCs w:val="22"/>
        </w:rPr>
        <w:t xml:space="preserve"> </w:t>
      </w:r>
      <w:proofErr w:type="spellStart"/>
      <w:r w:rsidRPr="003B4113">
        <w:rPr>
          <w:szCs w:val="22"/>
        </w:rPr>
        <w:t>inbegärt</w:t>
      </w:r>
      <w:proofErr w:type="spellEnd"/>
      <w:r w:rsidRPr="003B4113">
        <w:rPr>
          <w:szCs w:val="22"/>
        </w:rPr>
        <w:t xml:space="preserve"> finans- och näringsutskottets yttrande </w:t>
      </w:r>
      <w:r w:rsidR="00794DFC" w:rsidRPr="003B4113">
        <w:rPr>
          <w:szCs w:val="22"/>
        </w:rPr>
        <w:t xml:space="preserve">över årsredovisningen </w:t>
      </w:r>
      <w:r w:rsidR="00794DFC" w:rsidRPr="003B4113">
        <w:t xml:space="preserve">jämte landskapsrevisionens </w:t>
      </w:r>
      <w:r w:rsidR="00442692" w:rsidRPr="003B4113">
        <w:t>granskning av densamma.</w:t>
      </w:r>
      <w:r w:rsidR="00794DFC" w:rsidRPr="003B4113">
        <w:t xml:space="preserve"> </w:t>
      </w:r>
    </w:p>
    <w:p w14:paraId="208B53D4" w14:textId="4F87A473" w:rsidR="00794DFC" w:rsidRPr="007C3A9C" w:rsidRDefault="0028660F" w:rsidP="0028660F">
      <w:pPr>
        <w:pStyle w:val="ANormal"/>
      </w:pPr>
      <w:r w:rsidRPr="007C3A9C">
        <w:tab/>
        <w:t>Utskottet har i ärendet hört</w:t>
      </w:r>
      <w:r w:rsidR="00C772BB" w:rsidRPr="007C3A9C">
        <w:t xml:space="preserve"> </w:t>
      </w:r>
      <w:r w:rsidR="00794DFC" w:rsidRPr="007C3A9C">
        <w:t xml:space="preserve">ministern </w:t>
      </w:r>
      <w:r w:rsidR="007C3A9C" w:rsidRPr="007C3A9C">
        <w:t>Mats Perämaa</w:t>
      </w:r>
      <w:r w:rsidR="00442692" w:rsidRPr="007C3A9C">
        <w:t xml:space="preserve">, </w:t>
      </w:r>
      <w:r w:rsidR="00C27378" w:rsidRPr="007C3A9C">
        <w:t>byrå</w:t>
      </w:r>
      <w:r w:rsidR="00442692" w:rsidRPr="007C3A9C">
        <w:t>chefen Conny Nyholm</w:t>
      </w:r>
      <w:r w:rsidR="007C3A9C">
        <w:t>, redovisningschefen Boel Josefsson</w:t>
      </w:r>
      <w:r w:rsidR="00442692" w:rsidRPr="007C3A9C">
        <w:t xml:space="preserve"> och</w:t>
      </w:r>
      <w:r w:rsidR="00794DFC" w:rsidRPr="007C3A9C">
        <w:t xml:space="preserve"> </w:t>
      </w:r>
      <w:r w:rsidR="007C3A9C">
        <w:t>fondchefen Johan Budd</w:t>
      </w:r>
      <w:r w:rsidR="00E17BB4">
        <w:t xml:space="preserve"> från</w:t>
      </w:r>
      <w:r w:rsidR="00794DFC" w:rsidRPr="007C3A9C">
        <w:t xml:space="preserve"> finansavdelningen</w:t>
      </w:r>
      <w:r w:rsidR="00B04FCD" w:rsidRPr="007C3A9C">
        <w:t>, förvaltningschefen John Eriksson</w:t>
      </w:r>
      <w:r w:rsidR="0089765E">
        <w:t xml:space="preserve"> </w:t>
      </w:r>
      <w:r w:rsidR="006647BA">
        <w:t>samt</w:t>
      </w:r>
      <w:r w:rsidR="007C3A9C">
        <w:t xml:space="preserve"> verkställande direktören Stefan Rumander från Landskapets fastighetsverk</w:t>
      </w:r>
      <w:r w:rsidR="0089765E">
        <w:t>.</w:t>
      </w:r>
    </w:p>
    <w:p w14:paraId="137D844B" w14:textId="055EF7C5" w:rsidR="0028660F" w:rsidRPr="007C3A9C" w:rsidRDefault="0028660F" w:rsidP="0028660F">
      <w:pPr>
        <w:pStyle w:val="ANormal"/>
      </w:pPr>
      <w:r w:rsidRPr="007C3A9C">
        <w:tab/>
        <w:t>I ärendets avgörande behandling deltog</w:t>
      </w:r>
      <w:r w:rsidR="002B1EAA" w:rsidRPr="007C3A9C">
        <w:t xml:space="preserve"> </w:t>
      </w:r>
      <w:r w:rsidRPr="007C3A9C">
        <w:t>ordförande</w:t>
      </w:r>
      <w:r w:rsidR="002B1EAA" w:rsidRPr="007C3A9C">
        <w:t>n</w:t>
      </w:r>
      <w:r w:rsidRPr="007C3A9C">
        <w:t xml:space="preserve"> </w:t>
      </w:r>
      <w:r w:rsidR="00794DFC" w:rsidRPr="007C3A9C">
        <w:t>J</w:t>
      </w:r>
      <w:r w:rsidR="007C3A9C">
        <w:t>ohn Holmberg</w:t>
      </w:r>
      <w:r w:rsidR="00794DFC" w:rsidRPr="007C3A9C">
        <w:t xml:space="preserve">, viceordföranden </w:t>
      </w:r>
      <w:r w:rsidR="007C3A9C" w:rsidRPr="007C3A9C">
        <w:t xml:space="preserve">Nina Fellman </w:t>
      </w:r>
      <w:r w:rsidR="00794DFC" w:rsidRPr="007C3A9C">
        <w:t>samt ledamöterna</w:t>
      </w:r>
      <w:r w:rsidR="006B1169" w:rsidRPr="007C3A9C">
        <w:t xml:space="preserve"> </w:t>
      </w:r>
      <w:r w:rsidR="007C3A9C">
        <w:t>Anders Ekström, Jörgen Gusta</w:t>
      </w:r>
      <w:r w:rsidR="000A5A8F">
        <w:t>f</w:t>
      </w:r>
      <w:r w:rsidR="007C3A9C">
        <w:t>sson, Roger Höglund, Andreas Kanborg och Wille Valve</w:t>
      </w:r>
      <w:r w:rsidR="00692FC2" w:rsidRPr="007C3A9C">
        <w:t>.</w:t>
      </w:r>
    </w:p>
    <w:p w14:paraId="4F74EAED" w14:textId="77777777" w:rsidR="00692FC2" w:rsidRPr="00102387" w:rsidRDefault="00692FC2" w:rsidP="0028660F">
      <w:pPr>
        <w:pStyle w:val="ANormal"/>
        <w:rPr>
          <w:color w:val="FF0000"/>
        </w:rPr>
      </w:pPr>
    </w:p>
    <w:p w14:paraId="62F67142" w14:textId="77777777" w:rsidR="002401D0" w:rsidRPr="00794DFC" w:rsidRDefault="002401D0">
      <w:pPr>
        <w:pStyle w:val="RubrikA"/>
      </w:pPr>
      <w:bookmarkStart w:id="23" w:name="_Toc529800937"/>
      <w:bookmarkStart w:id="24" w:name="_Toc178066501"/>
      <w:r w:rsidRPr="00794DFC">
        <w:t>Utskottets förslag</w:t>
      </w:r>
      <w:bookmarkEnd w:id="23"/>
      <w:bookmarkEnd w:id="24"/>
    </w:p>
    <w:p w14:paraId="2363E3D8" w14:textId="77777777" w:rsidR="002401D0" w:rsidRPr="00794DFC" w:rsidRDefault="002401D0">
      <w:pPr>
        <w:pStyle w:val="Rubrikmellanrum"/>
      </w:pPr>
    </w:p>
    <w:p w14:paraId="4A289A67" w14:textId="77777777" w:rsidR="002401D0" w:rsidRPr="00794DFC" w:rsidRDefault="002401D0">
      <w:pPr>
        <w:pStyle w:val="ANormal"/>
      </w:pPr>
      <w:r w:rsidRPr="00794DFC">
        <w:t>Med hänvisning till det anförda föreslår utskottet</w:t>
      </w:r>
    </w:p>
    <w:p w14:paraId="12B83F75" w14:textId="77777777" w:rsidR="002401D0" w:rsidRPr="00794DFC" w:rsidRDefault="002401D0">
      <w:pPr>
        <w:pStyle w:val="ANormal"/>
      </w:pPr>
    </w:p>
    <w:p w14:paraId="41671D68" w14:textId="027E8390" w:rsidR="007730AE" w:rsidRPr="00794DFC" w:rsidRDefault="002401D0" w:rsidP="0028660F">
      <w:pPr>
        <w:pStyle w:val="Klam"/>
      </w:pPr>
      <w:r w:rsidRPr="00794DFC">
        <w:t>att lagtinget</w:t>
      </w:r>
      <w:r w:rsidR="0028660F" w:rsidRPr="00794DFC">
        <w:rPr>
          <w:szCs w:val="22"/>
        </w:rPr>
        <w:t xml:space="preserve"> </w:t>
      </w:r>
      <w:r w:rsidR="0028660F" w:rsidRPr="00794DFC">
        <w:t>antecknar sig landskapsregeringens redogörelse över årsredovisningen per den 31.12.20</w:t>
      </w:r>
      <w:r w:rsidR="000B1DB9">
        <w:t>2</w:t>
      </w:r>
      <w:r w:rsidR="00102387">
        <w:t>3</w:t>
      </w:r>
      <w:r w:rsidR="0028660F" w:rsidRPr="00794DFC">
        <w:t xml:space="preserve"> jämte landskapsrevisionens berättelse för kännedom samt </w:t>
      </w:r>
    </w:p>
    <w:p w14:paraId="2BDFF793" w14:textId="77777777" w:rsidR="004F27E9" w:rsidRPr="00794DFC" w:rsidRDefault="004F27E9" w:rsidP="004F27E9">
      <w:pPr>
        <w:pStyle w:val="ANormal"/>
      </w:pPr>
    </w:p>
    <w:p w14:paraId="4A297F3E" w14:textId="77777777" w:rsidR="0028660F" w:rsidRPr="00794DFC" w:rsidRDefault="0028660F" w:rsidP="0028660F">
      <w:pPr>
        <w:pStyle w:val="Klam"/>
      </w:pPr>
      <w:r w:rsidRPr="00794DFC">
        <w:t>att utskottets betänkande bringas till landskapsregeringens kännedom.</w:t>
      </w:r>
    </w:p>
    <w:p w14:paraId="5CA9EBDE" w14:textId="77777777" w:rsidR="002401D0" w:rsidRPr="00A2392D" w:rsidRDefault="007537BE">
      <w:pPr>
        <w:pStyle w:val="ANormal"/>
        <w:jc w:val="center"/>
        <w:rPr>
          <w:color w:val="000000" w:themeColor="text1"/>
        </w:rPr>
      </w:pPr>
      <w:hyperlink w:anchor="_top" w:tooltip="Klicka för att gå till toppen av dokumentet" w:history="1">
        <w:r w:rsidR="002401D0" w:rsidRPr="00A2392D">
          <w:rPr>
            <w:rStyle w:val="Hyperlnk"/>
            <w:color w:val="000000" w:themeColor="text1"/>
          </w:rPr>
          <w:t>__________________</w:t>
        </w:r>
      </w:hyperlink>
    </w:p>
    <w:p w14:paraId="7DCA7A56" w14:textId="77777777" w:rsidR="002401D0" w:rsidRPr="00A2392D" w:rsidRDefault="002401D0">
      <w:pPr>
        <w:pStyle w:val="ANormal"/>
        <w:rPr>
          <w:color w:val="000000" w:themeColor="text1"/>
        </w:rPr>
      </w:pPr>
    </w:p>
    <w:p w14:paraId="5BC43B83"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3CAD2E87" w14:textId="77777777">
        <w:trPr>
          <w:cantSplit/>
        </w:trPr>
        <w:tc>
          <w:tcPr>
            <w:tcW w:w="7931" w:type="dxa"/>
            <w:gridSpan w:val="2"/>
          </w:tcPr>
          <w:p w14:paraId="122BFD9D" w14:textId="5AB5D07A" w:rsidR="002401D0" w:rsidRDefault="002401D0" w:rsidP="00FD3F3C">
            <w:pPr>
              <w:pStyle w:val="ANormal"/>
              <w:keepNext/>
            </w:pPr>
            <w:r>
              <w:lastRenderedPageBreak/>
              <w:t>Mariehamn den</w:t>
            </w:r>
            <w:r w:rsidR="00FD3F3C">
              <w:t xml:space="preserve"> </w:t>
            </w:r>
            <w:r w:rsidR="000A5A8F">
              <w:t>24</w:t>
            </w:r>
            <w:r w:rsidR="006B1169">
              <w:t xml:space="preserve"> </w:t>
            </w:r>
            <w:r w:rsidR="003B4113">
              <w:t>september</w:t>
            </w:r>
            <w:r w:rsidR="0028660F">
              <w:t xml:space="preserve"> 20</w:t>
            </w:r>
            <w:r w:rsidR="004D3D04">
              <w:t>2</w:t>
            </w:r>
            <w:r w:rsidR="00102387">
              <w:t>4</w:t>
            </w:r>
          </w:p>
        </w:tc>
      </w:tr>
      <w:tr w:rsidR="002401D0" w14:paraId="5FC79617" w14:textId="77777777">
        <w:tc>
          <w:tcPr>
            <w:tcW w:w="4454" w:type="dxa"/>
            <w:vAlign w:val="bottom"/>
          </w:tcPr>
          <w:p w14:paraId="5ADEB740" w14:textId="77777777" w:rsidR="002401D0" w:rsidRDefault="002401D0">
            <w:pPr>
              <w:pStyle w:val="ANormal"/>
              <w:keepNext/>
            </w:pPr>
          </w:p>
          <w:p w14:paraId="2D28F3A9" w14:textId="77777777" w:rsidR="008B2E9B" w:rsidRDefault="008B2E9B">
            <w:pPr>
              <w:pStyle w:val="ANormal"/>
              <w:keepNext/>
            </w:pPr>
          </w:p>
          <w:p w14:paraId="171852F8" w14:textId="77777777" w:rsidR="002401D0" w:rsidRDefault="002401D0">
            <w:pPr>
              <w:pStyle w:val="ANormal"/>
              <w:keepNext/>
            </w:pPr>
          </w:p>
          <w:p w14:paraId="1B33ACE4" w14:textId="77777777" w:rsidR="002401D0" w:rsidRDefault="002401D0">
            <w:pPr>
              <w:pStyle w:val="ANormal"/>
              <w:keepNext/>
            </w:pPr>
            <w:r>
              <w:t>Ordförande</w:t>
            </w:r>
          </w:p>
        </w:tc>
        <w:tc>
          <w:tcPr>
            <w:tcW w:w="3477" w:type="dxa"/>
            <w:vAlign w:val="bottom"/>
          </w:tcPr>
          <w:p w14:paraId="287C7488" w14:textId="77777777" w:rsidR="002401D0" w:rsidRDefault="002401D0">
            <w:pPr>
              <w:pStyle w:val="ANormal"/>
              <w:keepNext/>
            </w:pPr>
          </w:p>
          <w:p w14:paraId="498F46BE" w14:textId="77777777" w:rsidR="002401D0" w:rsidRDefault="002401D0">
            <w:pPr>
              <w:pStyle w:val="ANormal"/>
              <w:keepNext/>
            </w:pPr>
          </w:p>
          <w:p w14:paraId="1899CFDA" w14:textId="097DF3EC" w:rsidR="002401D0" w:rsidRDefault="00102387">
            <w:pPr>
              <w:pStyle w:val="ANormal"/>
              <w:keepNext/>
            </w:pPr>
            <w:r>
              <w:t>John Holmberg</w:t>
            </w:r>
          </w:p>
        </w:tc>
      </w:tr>
      <w:tr w:rsidR="002401D0" w14:paraId="7D528759" w14:textId="77777777">
        <w:tc>
          <w:tcPr>
            <w:tcW w:w="4454" w:type="dxa"/>
            <w:vAlign w:val="bottom"/>
          </w:tcPr>
          <w:p w14:paraId="06D5DD88" w14:textId="677FFF5A" w:rsidR="002401D0" w:rsidRDefault="002401D0">
            <w:pPr>
              <w:pStyle w:val="ANormal"/>
              <w:keepNext/>
            </w:pPr>
          </w:p>
          <w:p w14:paraId="34740167" w14:textId="77777777" w:rsidR="00FD3F3C" w:rsidRDefault="00FD3F3C">
            <w:pPr>
              <w:pStyle w:val="ANormal"/>
              <w:keepNext/>
            </w:pPr>
          </w:p>
          <w:p w14:paraId="55A05078" w14:textId="77777777" w:rsidR="002401D0" w:rsidRDefault="002401D0">
            <w:pPr>
              <w:pStyle w:val="ANormal"/>
              <w:keepNext/>
            </w:pPr>
          </w:p>
          <w:p w14:paraId="023BEFED" w14:textId="77777777" w:rsidR="002401D0" w:rsidRDefault="002401D0">
            <w:pPr>
              <w:pStyle w:val="ANormal"/>
              <w:keepNext/>
            </w:pPr>
            <w:r>
              <w:t>Sekreterare</w:t>
            </w:r>
          </w:p>
        </w:tc>
        <w:tc>
          <w:tcPr>
            <w:tcW w:w="3477" w:type="dxa"/>
            <w:vAlign w:val="bottom"/>
          </w:tcPr>
          <w:p w14:paraId="507012E4" w14:textId="77777777" w:rsidR="002401D0" w:rsidRDefault="002401D0">
            <w:pPr>
              <w:pStyle w:val="ANormal"/>
              <w:keepNext/>
            </w:pPr>
          </w:p>
          <w:p w14:paraId="76918CB8" w14:textId="77777777" w:rsidR="002401D0" w:rsidRDefault="002401D0">
            <w:pPr>
              <w:pStyle w:val="ANormal"/>
              <w:keepNext/>
            </w:pPr>
          </w:p>
          <w:p w14:paraId="48D06228" w14:textId="377C87A2" w:rsidR="002401D0" w:rsidRDefault="00E2185B">
            <w:pPr>
              <w:pStyle w:val="ANormal"/>
              <w:keepNext/>
            </w:pPr>
            <w:r>
              <w:t>Sten Eriksson</w:t>
            </w:r>
          </w:p>
        </w:tc>
      </w:tr>
    </w:tbl>
    <w:p w14:paraId="621F53F8" w14:textId="7C44FE24"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37B0A" w14:textId="77777777" w:rsidR="00122EA4" w:rsidRDefault="00122EA4">
      <w:r>
        <w:separator/>
      </w:r>
    </w:p>
  </w:endnote>
  <w:endnote w:type="continuationSeparator" w:id="0">
    <w:p w14:paraId="4B9C89BA" w14:textId="77777777" w:rsidR="00122EA4" w:rsidRDefault="0012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62F64" w14:textId="77777777" w:rsidR="00B97AC9" w:rsidRDefault="00B97AC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87BB" w14:textId="6564B19A" w:rsidR="00B97AC9" w:rsidRDefault="00B97AC9">
    <w:pPr>
      <w:pStyle w:val="Sidfot"/>
      <w:rPr>
        <w:lang w:val="fi-FI"/>
      </w:rPr>
    </w:pPr>
    <w:r w:rsidRPr="003B645F">
      <w:fldChar w:fldCharType="begin"/>
    </w:r>
    <w:r w:rsidRPr="003B645F">
      <w:rPr>
        <w:lang w:val="fi-FI"/>
      </w:rPr>
      <w:instrText xml:space="preserve"> FILENAME  \* MERGEFORMAT </w:instrText>
    </w:r>
    <w:r w:rsidRPr="003B645F">
      <w:fldChar w:fldCharType="separate"/>
    </w:r>
    <w:r w:rsidR="009A3B43">
      <w:rPr>
        <w:noProof/>
        <w:lang w:val="fi-FI"/>
      </w:rPr>
      <w:t>FNU1420232024.docx</w:t>
    </w:r>
    <w:r w:rsidRPr="003B645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7C94" w14:textId="77777777" w:rsidR="00B97AC9" w:rsidRDefault="00B97A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090C4" w14:textId="77777777" w:rsidR="00122EA4" w:rsidRDefault="00122EA4">
      <w:r>
        <w:separator/>
      </w:r>
    </w:p>
  </w:footnote>
  <w:footnote w:type="continuationSeparator" w:id="0">
    <w:p w14:paraId="12A4B519" w14:textId="77777777" w:rsidR="00122EA4" w:rsidRDefault="00122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2BE0" w14:textId="4980734D" w:rsidR="00B97AC9" w:rsidRDefault="00B97AC9">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FD3F3C">
      <w:rPr>
        <w:rStyle w:val="Sidnummer"/>
        <w:noProof/>
      </w:rPr>
      <w:t>4</w:t>
    </w:r>
    <w:r>
      <w:rPr>
        <w:rStyle w:val="Sidnummer"/>
      </w:rPr>
      <w:fldChar w:fldCharType="end"/>
    </w:r>
  </w:p>
  <w:p w14:paraId="26ACF95B" w14:textId="77777777" w:rsidR="00B97AC9" w:rsidRDefault="00B97AC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21BA9" w14:textId="75CC3A3E" w:rsidR="00B97AC9" w:rsidRDefault="00B97AC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FD3F3C">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639FD"/>
    <w:multiLevelType w:val="hybridMultilevel"/>
    <w:tmpl w:val="87289DEA"/>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C6BD8"/>
    <w:multiLevelType w:val="hybridMultilevel"/>
    <w:tmpl w:val="0A247A1C"/>
    <w:lvl w:ilvl="0" w:tplc="7BDE54FE">
      <w:start w:val="3"/>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463112473">
    <w:abstractNumId w:val="6"/>
  </w:num>
  <w:num w:numId="2" w16cid:durableId="633412735">
    <w:abstractNumId w:val="3"/>
  </w:num>
  <w:num w:numId="3" w16cid:durableId="870606378">
    <w:abstractNumId w:val="2"/>
  </w:num>
  <w:num w:numId="4" w16cid:durableId="987243958">
    <w:abstractNumId w:val="1"/>
  </w:num>
  <w:num w:numId="5" w16cid:durableId="1490714233">
    <w:abstractNumId w:val="0"/>
  </w:num>
  <w:num w:numId="6" w16cid:durableId="1484732458">
    <w:abstractNumId w:val="7"/>
  </w:num>
  <w:num w:numId="7" w16cid:durableId="30083697">
    <w:abstractNumId w:val="5"/>
  </w:num>
  <w:num w:numId="8" w16cid:durableId="1639648846">
    <w:abstractNumId w:val="4"/>
  </w:num>
  <w:num w:numId="9" w16cid:durableId="1815641099">
    <w:abstractNumId w:val="11"/>
  </w:num>
  <w:num w:numId="10" w16cid:durableId="2007586321">
    <w:abstractNumId w:val="14"/>
  </w:num>
  <w:num w:numId="11" w16cid:durableId="372997827">
    <w:abstractNumId w:val="13"/>
  </w:num>
  <w:num w:numId="12" w16cid:durableId="281689276">
    <w:abstractNumId w:val="17"/>
  </w:num>
  <w:num w:numId="13" w16cid:durableId="994069191">
    <w:abstractNumId w:val="12"/>
  </w:num>
  <w:num w:numId="14" w16cid:durableId="1365210152">
    <w:abstractNumId w:val="16"/>
  </w:num>
  <w:num w:numId="15" w16cid:durableId="1991857939">
    <w:abstractNumId w:val="10"/>
  </w:num>
  <w:num w:numId="16" w16cid:durableId="948856903">
    <w:abstractNumId w:val="22"/>
  </w:num>
  <w:num w:numId="17" w16cid:durableId="756290074">
    <w:abstractNumId w:val="8"/>
  </w:num>
  <w:num w:numId="18" w16cid:durableId="1517385280">
    <w:abstractNumId w:val="18"/>
  </w:num>
  <w:num w:numId="19" w16cid:durableId="1140004145">
    <w:abstractNumId w:val="21"/>
  </w:num>
  <w:num w:numId="20" w16cid:durableId="1017538532">
    <w:abstractNumId w:val="24"/>
  </w:num>
  <w:num w:numId="21" w16cid:durableId="1381513153">
    <w:abstractNumId w:val="23"/>
  </w:num>
  <w:num w:numId="22" w16cid:durableId="879050078">
    <w:abstractNumId w:val="15"/>
  </w:num>
  <w:num w:numId="23" w16cid:durableId="1942493518">
    <w:abstractNumId w:val="19"/>
  </w:num>
  <w:num w:numId="24" w16cid:durableId="1547058826">
    <w:abstractNumId w:val="19"/>
  </w:num>
  <w:num w:numId="25" w16cid:durableId="305940179">
    <w:abstractNumId w:val="20"/>
  </w:num>
  <w:num w:numId="26" w16cid:durableId="1066614100">
    <w:abstractNumId w:val="15"/>
  </w:num>
  <w:num w:numId="27" w16cid:durableId="1864440656">
    <w:abstractNumId w:val="15"/>
  </w:num>
  <w:num w:numId="28" w16cid:durableId="1370957443">
    <w:abstractNumId w:val="15"/>
  </w:num>
  <w:num w:numId="29" w16cid:durableId="468211086">
    <w:abstractNumId w:val="15"/>
  </w:num>
  <w:num w:numId="30" w16cid:durableId="22289071">
    <w:abstractNumId w:val="15"/>
  </w:num>
  <w:num w:numId="31" w16cid:durableId="1210610807">
    <w:abstractNumId w:val="15"/>
  </w:num>
  <w:num w:numId="32" w16cid:durableId="421144393">
    <w:abstractNumId w:val="15"/>
  </w:num>
  <w:num w:numId="33" w16cid:durableId="1652129120">
    <w:abstractNumId w:val="15"/>
  </w:num>
  <w:num w:numId="34" w16cid:durableId="1466703526">
    <w:abstractNumId w:val="15"/>
  </w:num>
  <w:num w:numId="35" w16cid:durableId="676150749">
    <w:abstractNumId w:val="19"/>
  </w:num>
  <w:num w:numId="36" w16cid:durableId="2074770433">
    <w:abstractNumId w:val="20"/>
  </w:num>
  <w:num w:numId="37" w16cid:durableId="957644032">
    <w:abstractNumId w:val="15"/>
  </w:num>
  <w:num w:numId="38" w16cid:durableId="5325594">
    <w:abstractNumId w:val="15"/>
  </w:num>
  <w:num w:numId="39" w16cid:durableId="367030453">
    <w:abstractNumId w:val="15"/>
  </w:num>
  <w:num w:numId="40" w16cid:durableId="2073847725">
    <w:abstractNumId w:val="15"/>
  </w:num>
  <w:num w:numId="41" w16cid:durableId="1447575894">
    <w:abstractNumId w:val="15"/>
  </w:num>
  <w:num w:numId="42" w16cid:durableId="1066607222">
    <w:abstractNumId w:val="15"/>
  </w:num>
  <w:num w:numId="43" w16cid:durableId="1790003597">
    <w:abstractNumId w:val="15"/>
  </w:num>
  <w:num w:numId="44" w16cid:durableId="1101989640">
    <w:abstractNumId w:val="15"/>
  </w:num>
  <w:num w:numId="45" w16cid:durableId="1076824956">
    <w:abstractNumId w:val="15"/>
  </w:num>
  <w:num w:numId="46" w16cid:durableId="77869098">
    <w:abstractNumId w:val="9"/>
  </w:num>
  <w:num w:numId="47" w16cid:durableId="16001359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85"/>
    <w:rsid w:val="000001AB"/>
    <w:rsid w:val="0000076A"/>
    <w:rsid w:val="0000155F"/>
    <w:rsid w:val="00003789"/>
    <w:rsid w:val="00003871"/>
    <w:rsid w:val="0000525D"/>
    <w:rsid w:val="00015AEF"/>
    <w:rsid w:val="00015E9C"/>
    <w:rsid w:val="00017F68"/>
    <w:rsid w:val="00021809"/>
    <w:rsid w:val="000230D5"/>
    <w:rsid w:val="00023409"/>
    <w:rsid w:val="0002582A"/>
    <w:rsid w:val="00035949"/>
    <w:rsid w:val="00047AF9"/>
    <w:rsid w:val="0005073A"/>
    <w:rsid w:val="00051556"/>
    <w:rsid w:val="000519F0"/>
    <w:rsid w:val="000545CE"/>
    <w:rsid w:val="000677AA"/>
    <w:rsid w:val="0007018A"/>
    <w:rsid w:val="00074652"/>
    <w:rsid w:val="00077752"/>
    <w:rsid w:val="00080809"/>
    <w:rsid w:val="00084AE1"/>
    <w:rsid w:val="00085531"/>
    <w:rsid w:val="00093C35"/>
    <w:rsid w:val="00097A7E"/>
    <w:rsid w:val="000A091D"/>
    <w:rsid w:val="000A17FF"/>
    <w:rsid w:val="000A3626"/>
    <w:rsid w:val="000A3B5C"/>
    <w:rsid w:val="000A5A8F"/>
    <w:rsid w:val="000A6DAB"/>
    <w:rsid w:val="000B1DB9"/>
    <w:rsid w:val="000B2DC9"/>
    <w:rsid w:val="000B53AE"/>
    <w:rsid w:val="000B734B"/>
    <w:rsid w:val="000C1885"/>
    <w:rsid w:val="000C5E78"/>
    <w:rsid w:val="000D07A7"/>
    <w:rsid w:val="000D2773"/>
    <w:rsid w:val="000D2B3C"/>
    <w:rsid w:val="000D567E"/>
    <w:rsid w:val="000E74D9"/>
    <w:rsid w:val="000F1A34"/>
    <w:rsid w:val="000F32A0"/>
    <w:rsid w:val="000F4682"/>
    <w:rsid w:val="000F7417"/>
    <w:rsid w:val="00102387"/>
    <w:rsid w:val="00103629"/>
    <w:rsid w:val="00104E9F"/>
    <w:rsid w:val="00105474"/>
    <w:rsid w:val="00107DB4"/>
    <w:rsid w:val="00110090"/>
    <w:rsid w:val="0012136A"/>
    <w:rsid w:val="00122EA4"/>
    <w:rsid w:val="001344E8"/>
    <w:rsid w:val="00140161"/>
    <w:rsid w:val="00140BAE"/>
    <w:rsid w:val="00147A66"/>
    <w:rsid w:val="00151B71"/>
    <w:rsid w:val="0015337C"/>
    <w:rsid w:val="0015618B"/>
    <w:rsid w:val="00157C9A"/>
    <w:rsid w:val="00161E67"/>
    <w:rsid w:val="001620C4"/>
    <w:rsid w:val="00164BD9"/>
    <w:rsid w:val="00167CB6"/>
    <w:rsid w:val="001709AE"/>
    <w:rsid w:val="00172A39"/>
    <w:rsid w:val="00176D83"/>
    <w:rsid w:val="0019240D"/>
    <w:rsid w:val="00195A8B"/>
    <w:rsid w:val="00195FF1"/>
    <w:rsid w:val="00197DF5"/>
    <w:rsid w:val="001A0448"/>
    <w:rsid w:val="001B131E"/>
    <w:rsid w:val="001B5BB0"/>
    <w:rsid w:val="001C5EC3"/>
    <w:rsid w:val="001D24DD"/>
    <w:rsid w:val="001D2A05"/>
    <w:rsid w:val="001D3D91"/>
    <w:rsid w:val="001D683B"/>
    <w:rsid w:val="001D7281"/>
    <w:rsid w:val="001D7F15"/>
    <w:rsid w:val="001E0424"/>
    <w:rsid w:val="001E1B17"/>
    <w:rsid w:val="00203BD9"/>
    <w:rsid w:val="00214AEC"/>
    <w:rsid w:val="002151FD"/>
    <w:rsid w:val="00215926"/>
    <w:rsid w:val="00224726"/>
    <w:rsid w:val="002302B2"/>
    <w:rsid w:val="002358E0"/>
    <w:rsid w:val="002401D0"/>
    <w:rsid w:val="002460A5"/>
    <w:rsid w:val="00250D54"/>
    <w:rsid w:val="002542D0"/>
    <w:rsid w:val="002555BF"/>
    <w:rsid w:val="00256B7F"/>
    <w:rsid w:val="00261E9E"/>
    <w:rsid w:val="0027263A"/>
    <w:rsid w:val="00274393"/>
    <w:rsid w:val="00276D4F"/>
    <w:rsid w:val="00280319"/>
    <w:rsid w:val="00282388"/>
    <w:rsid w:val="002827E4"/>
    <w:rsid w:val="00284BA5"/>
    <w:rsid w:val="00285510"/>
    <w:rsid w:val="0028660F"/>
    <w:rsid w:val="00287AE0"/>
    <w:rsid w:val="002A1F13"/>
    <w:rsid w:val="002A2CF6"/>
    <w:rsid w:val="002B0A4C"/>
    <w:rsid w:val="002B0EE8"/>
    <w:rsid w:val="002B119B"/>
    <w:rsid w:val="002B1B9A"/>
    <w:rsid w:val="002B1EAA"/>
    <w:rsid w:val="002B26FD"/>
    <w:rsid w:val="002B4BC9"/>
    <w:rsid w:val="002B7E94"/>
    <w:rsid w:val="002C1AC9"/>
    <w:rsid w:val="002C3371"/>
    <w:rsid w:val="002C5C9A"/>
    <w:rsid w:val="002D1915"/>
    <w:rsid w:val="002D6491"/>
    <w:rsid w:val="002E5952"/>
    <w:rsid w:val="002F0F3D"/>
    <w:rsid w:val="002F654E"/>
    <w:rsid w:val="00306A3F"/>
    <w:rsid w:val="0031113B"/>
    <w:rsid w:val="00311ED4"/>
    <w:rsid w:val="00313E09"/>
    <w:rsid w:val="003145DC"/>
    <w:rsid w:val="003446BB"/>
    <w:rsid w:val="0034641B"/>
    <w:rsid w:val="003469BF"/>
    <w:rsid w:val="003618BC"/>
    <w:rsid w:val="003633BA"/>
    <w:rsid w:val="0036359C"/>
    <w:rsid w:val="00366A7E"/>
    <w:rsid w:val="0036724F"/>
    <w:rsid w:val="00372727"/>
    <w:rsid w:val="00374D02"/>
    <w:rsid w:val="00380074"/>
    <w:rsid w:val="00384C67"/>
    <w:rsid w:val="00390A57"/>
    <w:rsid w:val="00396C85"/>
    <w:rsid w:val="00397857"/>
    <w:rsid w:val="003A410F"/>
    <w:rsid w:val="003B1E8B"/>
    <w:rsid w:val="003B4113"/>
    <w:rsid w:val="003B645F"/>
    <w:rsid w:val="003B7559"/>
    <w:rsid w:val="003C2FDC"/>
    <w:rsid w:val="003C4CFC"/>
    <w:rsid w:val="003C7A70"/>
    <w:rsid w:val="003D1556"/>
    <w:rsid w:val="003D2CBF"/>
    <w:rsid w:val="003D4464"/>
    <w:rsid w:val="003D6F3C"/>
    <w:rsid w:val="003D726A"/>
    <w:rsid w:val="003E1373"/>
    <w:rsid w:val="003E1E3E"/>
    <w:rsid w:val="003E4D86"/>
    <w:rsid w:val="003E511D"/>
    <w:rsid w:val="003F0471"/>
    <w:rsid w:val="003F142F"/>
    <w:rsid w:val="003F218D"/>
    <w:rsid w:val="003F3A5C"/>
    <w:rsid w:val="003F4905"/>
    <w:rsid w:val="00412AD2"/>
    <w:rsid w:val="00414E83"/>
    <w:rsid w:val="00420216"/>
    <w:rsid w:val="00421C50"/>
    <w:rsid w:val="004226F9"/>
    <w:rsid w:val="00424EAB"/>
    <w:rsid w:val="00431AF5"/>
    <w:rsid w:val="00431F72"/>
    <w:rsid w:val="00433E76"/>
    <w:rsid w:val="0043499A"/>
    <w:rsid w:val="00441C2B"/>
    <w:rsid w:val="00442692"/>
    <w:rsid w:val="004568BA"/>
    <w:rsid w:val="00463790"/>
    <w:rsid w:val="004652E7"/>
    <w:rsid w:val="00472B1E"/>
    <w:rsid w:val="004942D5"/>
    <w:rsid w:val="004A03FE"/>
    <w:rsid w:val="004A0E23"/>
    <w:rsid w:val="004A43C6"/>
    <w:rsid w:val="004B7724"/>
    <w:rsid w:val="004C08EE"/>
    <w:rsid w:val="004D3D04"/>
    <w:rsid w:val="004E08C4"/>
    <w:rsid w:val="004E493E"/>
    <w:rsid w:val="004F1700"/>
    <w:rsid w:val="004F27E9"/>
    <w:rsid w:val="004F5A98"/>
    <w:rsid w:val="00506820"/>
    <w:rsid w:val="00506CE3"/>
    <w:rsid w:val="005173FD"/>
    <w:rsid w:val="005209A5"/>
    <w:rsid w:val="0052146E"/>
    <w:rsid w:val="00521853"/>
    <w:rsid w:val="00525C29"/>
    <w:rsid w:val="0053343B"/>
    <w:rsid w:val="00535645"/>
    <w:rsid w:val="0053660C"/>
    <w:rsid w:val="00543AFA"/>
    <w:rsid w:val="00544483"/>
    <w:rsid w:val="00551A73"/>
    <w:rsid w:val="00552063"/>
    <w:rsid w:val="00552D70"/>
    <w:rsid w:val="0055331D"/>
    <w:rsid w:val="0055767C"/>
    <w:rsid w:val="005632DA"/>
    <w:rsid w:val="0057039B"/>
    <w:rsid w:val="005762E4"/>
    <w:rsid w:val="00576A16"/>
    <w:rsid w:val="00577410"/>
    <w:rsid w:val="00577FBB"/>
    <w:rsid w:val="00581D4A"/>
    <w:rsid w:val="00586D81"/>
    <w:rsid w:val="005870DA"/>
    <w:rsid w:val="005A07B0"/>
    <w:rsid w:val="005B184E"/>
    <w:rsid w:val="005B1A95"/>
    <w:rsid w:val="005B274D"/>
    <w:rsid w:val="005B3A95"/>
    <w:rsid w:val="005B6DA1"/>
    <w:rsid w:val="005B6F65"/>
    <w:rsid w:val="005C7DA8"/>
    <w:rsid w:val="005D48B7"/>
    <w:rsid w:val="005D78B1"/>
    <w:rsid w:val="005E3E28"/>
    <w:rsid w:val="005E5074"/>
    <w:rsid w:val="005F10D9"/>
    <w:rsid w:val="005F3BF2"/>
    <w:rsid w:val="006031E1"/>
    <w:rsid w:val="006113A6"/>
    <w:rsid w:val="00615822"/>
    <w:rsid w:val="006178FB"/>
    <w:rsid w:val="006213CE"/>
    <w:rsid w:val="006219B7"/>
    <w:rsid w:val="0063064B"/>
    <w:rsid w:val="0063082B"/>
    <w:rsid w:val="00637C11"/>
    <w:rsid w:val="0064004C"/>
    <w:rsid w:val="00640E2A"/>
    <w:rsid w:val="006440AE"/>
    <w:rsid w:val="0065138E"/>
    <w:rsid w:val="00652495"/>
    <w:rsid w:val="006575F9"/>
    <w:rsid w:val="006647BA"/>
    <w:rsid w:val="0066595E"/>
    <w:rsid w:val="00666876"/>
    <w:rsid w:val="00677227"/>
    <w:rsid w:val="0068721B"/>
    <w:rsid w:val="0069237F"/>
    <w:rsid w:val="00692FC2"/>
    <w:rsid w:val="006A146D"/>
    <w:rsid w:val="006A65AC"/>
    <w:rsid w:val="006A70A6"/>
    <w:rsid w:val="006B1169"/>
    <w:rsid w:val="006B2E9E"/>
    <w:rsid w:val="006B444B"/>
    <w:rsid w:val="006B57AC"/>
    <w:rsid w:val="006C6D7E"/>
    <w:rsid w:val="006D548C"/>
    <w:rsid w:val="006D5EA2"/>
    <w:rsid w:val="006E31D2"/>
    <w:rsid w:val="006E6EB7"/>
    <w:rsid w:val="006F5146"/>
    <w:rsid w:val="00702060"/>
    <w:rsid w:val="007115B4"/>
    <w:rsid w:val="007223A9"/>
    <w:rsid w:val="00723B93"/>
    <w:rsid w:val="0072409B"/>
    <w:rsid w:val="00731B30"/>
    <w:rsid w:val="00733A19"/>
    <w:rsid w:val="00733F66"/>
    <w:rsid w:val="00735E34"/>
    <w:rsid w:val="007476D2"/>
    <w:rsid w:val="00752D7B"/>
    <w:rsid w:val="007537BE"/>
    <w:rsid w:val="00770E5E"/>
    <w:rsid w:val="007730AE"/>
    <w:rsid w:val="00773766"/>
    <w:rsid w:val="00773C68"/>
    <w:rsid w:val="007857F4"/>
    <w:rsid w:val="007913B2"/>
    <w:rsid w:val="00794DFC"/>
    <w:rsid w:val="007A1C77"/>
    <w:rsid w:val="007A37E8"/>
    <w:rsid w:val="007B3BDA"/>
    <w:rsid w:val="007B41A0"/>
    <w:rsid w:val="007B4B30"/>
    <w:rsid w:val="007B6DFA"/>
    <w:rsid w:val="007C1486"/>
    <w:rsid w:val="007C198F"/>
    <w:rsid w:val="007C3A9C"/>
    <w:rsid w:val="007D3050"/>
    <w:rsid w:val="007D7E4E"/>
    <w:rsid w:val="007F7EF6"/>
    <w:rsid w:val="008040FD"/>
    <w:rsid w:val="0080623B"/>
    <w:rsid w:val="00810074"/>
    <w:rsid w:val="00811D50"/>
    <w:rsid w:val="008141E5"/>
    <w:rsid w:val="00816C6F"/>
    <w:rsid w:val="00817B04"/>
    <w:rsid w:val="00830A55"/>
    <w:rsid w:val="00831E23"/>
    <w:rsid w:val="00835020"/>
    <w:rsid w:val="00837646"/>
    <w:rsid w:val="008522F4"/>
    <w:rsid w:val="00857757"/>
    <w:rsid w:val="008625F2"/>
    <w:rsid w:val="008660B8"/>
    <w:rsid w:val="0086750F"/>
    <w:rsid w:val="00867DBF"/>
    <w:rsid w:val="00875FFA"/>
    <w:rsid w:val="00876059"/>
    <w:rsid w:val="008769D9"/>
    <w:rsid w:val="008779C3"/>
    <w:rsid w:val="008907E3"/>
    <w:rsid w:val="0089765E"/>
    <w:rsid w:val="008A12D8"/>
    <w:rsid w:val="008A4892"/>
    <w:rsid w:val="008B0417"/>
    <w:rsid w:val="008B2644"/>
    <w:rsid w:val="008B267F"/>
    <w:rsid w:val="008B2E9B"/>
    <w:rsid w:val="008B3E10"/>
    <w:rsid w:val="008B5CC6"/>
    <w:rsid w:val="008C010E"/>
    <w:rsid w:val="008C12A6"/>
    <w:rsid w:val="008C4867"/>
    <w:rsid w:val="008C54D7"/>
    <w:rsid w:val="008D070E"/>
    <w:rsid w:val="008E2B9C"/>
    <w:rsid w:val="008E490D"/>
    <w:rsid w:val="008E6281"/>
    <w:rsid w:val="008E7A17"/>
    <w:rsid w:val="008F07CF"/>
    <w:rsid w:val="008F1105"/>
    <w:rsid w:val="008F11A4"/>
    <w:rsid w:val="008F4736"/>
    <w:rsid w:val="00901C71"/>
    <w:rsid w:val="00903E19"/>
    <w:rsid w:val="00903ED3"/>
    <w:rsid w:val="0091166C"/>
    <w:rsid w:val="009203F6"/>
    <w:rsid w:val="009204CC"/>
    <w:rsid w:val="009234F8"/>
    <w:rsid w:val="00923E3D"/>
    <w:rsid w:val="00925232"/>
    <w:rsid w:val="00926D1C"/>
    <w:rsid w:val="00930631"/>
    <w:rsid w:val="0093302F"/>
    <w:rsid w:val="009335E1"/>
    <w:rsid w:val="00935080"/>
    <w:rsid w:val="00937102"/>
    <w:rsid w:val="009427FA"/>
    <w:rsid w:val="009450DE"/>
    <w:rsid w:val="00954F67"/>
    <w:rsid w:val="00957C36"/>
    <w:rsid w:val="00962EEE"/>
    <w:rsid w:val="009632DD"/>
    <w:rsid w:val="00963E35"/>
    <w:rsid w:val="00970A64"/>
    <w:rsid w:val="00981519"/>
    <w:rsid w:val="00982306"/>
    <w:rsid w:val="00984B19"/>
    <w:rsid w:val="00994C1E"/>
    <w:rsid w:val="009A3632"/>
    <w:rsid w:val="009A3B43"/>
    <w:rsid w:val="009B200C"/>
    <w:rsid w:val="009B2ED2"/>
    <w:rsid w:val="009B418F"/>
    <w:rsid w:val="009B61FC"/>
    <w:rsid w:val="009C0360"/>
    <w:rsid w:val="009C3ECD"/>
    <w:rsid w:val="009C69B2"/>
    <w:rsid w:val="009D0715"/>
    <w:rsid w:val="009D34F4"/>
    <w:rsid w:val="009D602D"/>
    <w:rsid w:val="009D73B2"/>
    <w:rsid w:val="009D7F15"/>
    <w:rsid w:val="009E038E"/>
    <w:rsid w:val="009E21A3"/>
    <w:rsid w:val="009E7149"/>
    <w:rsid w:val="009E7FCC"/>
    <w:rsid w:val="009F06C0"/>
    <w:rsid w:val="009F0ADE"/>
    <w:rsid w:val="009F2816"/>
    <w:rsid w:val="009F2E86"/>
    <w:rsid w:val="009F715D"/>
    <w:rsid w:val="009F7CE2"/>
    <w:rsid w:val="00A00441"/>
    <w:rsid w:val="00A00CA6"/>
    <w:rsid w:val="00A04B63"/>
    <w:rsid w:val="00A177E8"/>
    <w:rsid w:val="00A17906"/>
    <w:rsid w:val="00A234A9"/>
    <w:rsid w:val="00A2392D"/>
    <w:rsid w:val="00A40860"/>
    <w:rsid w:val="00A41FD2"/>
    <w:rsid w:val="00A44021"/>
    <w:rsid w:val="00A465B8"/>
    <w:rsid w:val="00A53453"/>
    <w:rsid w:val="00A569BB"/>
    <w:rsid w:val="00A629BF"/>
    <w:rsid w:val="00A6670A"/>
    <w:rsid w:val="00A7667D"/>
    <w:rsid w:val="00A80B1D"/>
    <w:rsid w:val="00A81289"/>
    <w:rsid w:val="00A855FB"/>
    <w:rsid w:val="00A85FEE"/>
    <w:rsid w:val="00A867C0"/>
    <w:rsid w:val="00A906FF"/>
    <w:rsid w:val="00A91C50"/>
    <w:rsid w:val="00A959EE"/>
    <w:rsid w:val="00AA1C2B"/>
    <w:rsid w:val="00AA37D1"/>
    <w:rsid w:val="00AA38B4"/>
    <w:rsid w:val="00AA579A"/>
    <w:rsid w:val="00AA58A0"/>
    <w:rsid w:val="00AA789B"/>
    <w:rsid w:val="00AB6B1C"/>
    <w:rsid w:val="00AB792E"/>
    <w:rsid w:val="00AC2DD5"/>
    <w:rsid w:val="00AE1714"/>
    <w:rsid w:val="00AE62A8"/>
    <w:rsid w:val="00AF4A8E"/>
    <w:rsid w:val="00AF6B8C"/>
    <w:rsid w:val="00B01CE8"/>
    <w:rsid w:val="00B03D6C"/>
    <w:rsid w:val="00B04FCD"/>
    <w:rsid w:val="00B11C58"/>
    <w:rsid w:val="00B1381D"/>
    <w:rsid w:val="00B15A6E"/>
    <w:rsid w:val="00B17906"/>
    <w:rsid w:val="00B20CED"/>
    <w:rsid w:val="00B244AF"/>
    <w:rsid w:val="00B24EE4"/>
    <w:rsid w:val="00B2631C"/>
    <w:rsid w:val="00B266EA"/>
    <w:rsid w:val="00B30F84"/>
    <w:rsid w:val="00B32E91"/>
    <w:rsid w:val="00B36A8F"/>
    <w:rsid w:val="00B42924"/>
    <w:rsid w:val="00B45252"/>
    <w:rsid w:val="00B50CFD"/>
    <w:rsid w:val="00B569FE"/>
    <w:rsid w:val="00B70932"/>
    <w:rsid w:val="00B71A96"/>
    <w:rsid w:val="00B74B1D"/>
    <w:rsid w:val="00B765AF"/>
    <w:rsid w:val="00B83952"/>
    <w:rsid w:val="00B85135"/>
    <w:rsid w:val="00B9031E"/>
    <w:rsid w:val="00B90DEC"/>
    <w:rsid w:val="00B94285"/>
    <w:rsid w:val="00B94710"/>
    <w:rsid w:val="00B9497B"/>
    <w:rsid w:val="00B96D48"/>
    <w:rsid w:val="00B97AC9"/>
    <w:rsid w:val="00BB2619"/>
    <w:rsid w:val="00BB290D"/>
    <w:rsid w:val="00BC2A42"/>
    <w:rsid w:val="00BC2BEF"/>
    <w:rsid w:val="00BC52CC"/>
    <w:rsid w:val="00BD2F1D"/>
    <w:rsid w:val="00BD32B1"/>
    <w:rsid w:val="00BE13EF"/>
    <w:rsid w:val="00BE1563"/>
    <w:rsid w:val="00BE55DA"/>
    <w:rsid w:val="00BE72BC"/>
    <w:rsid w:val="00BF6B46"/>
    <w:rsid w:val="00BF6E9C"/>
    <w:rsid w:val="00C0237C"/>
    <w:rsid w:val="00C0663E"/>
    <w:rsid w:val="00C1722F"/>
    <w:rsid w:val="00C20998"/>
    <w:rsid w:val="00C20B82"/>
    <w:rsid w:val="00C23DD0"/>
    <w:rsid w:val="00C25CBC"/>
    <w:rsid w:val="00C26D0C"/>
    <w:rsid w:val="00C27378"/>
    <w:rsid w:val="00C324A1"/>
    <w:rsid w:val="00C34291"/>
    <w:rsid w:val="00C352B6"/>
    <w:rsid w:val="00C43A02"/>
    <w:rsid w:val="00C44361"/>
    <w:rsid w:val="00C46A55"/>
    <w:rsid w:val="00C56047"/>
    <w:rsid w:val="00C57B50"/>
    <w:rsid w:val="00C615C6"/>
    <w:rsid w:val="00C6183B"/>
    <w:rsid w:val="00C6568C"/>
    <w:rsid w:val="00C6611C"/>
    <w:rsid w:val="00C772BB"/>
    <w:rsid w:val="00C81F01"/>
    <w:rsid w:val="00C841CA"/>
    <w:rsid w:val="00C901DA"/>
    <w:rsid w:val="00C97BF1"/>
    <w:rsid w:val="00CA0384"/>
    <w:rsid w:val="00CA1E7C"/>
    <w:rsid w:val="00CB087E"/>
    <w:rsid w:val="00CB6092"/>
    <w:rsid w:val="00CC5482"/>
    <w:rsid w:val="00CC73A3"/>
    <w:rsid w:val="00CD704E"/>
    <w:rsid w:val="00CE4E30"/>
    <w:rsid w:val="00CE5256"/>
    <w:rsid w:val="00CF4FA7"/>
    <w:rsid w:val="00CF569E"/>
    <w:rsid w:val="00CF700E"/>
    <w:rsid w:val="00D00810"/>
    <w:rsid w:val="00D10359"/>
    <w:rsid w:val="00D11A6D"/>
    <w:rsid w:val="00D13619"/>
    <w:rsid w:val="00D14C02"/>
    <w:rsid w:val="00D16403"/>
    <w:rsid w:val="00D17DFB"/>
    <w:rsid w:val="00D255C3"/>
    <w:rsid w:val="00D26588"/>
    <w:rsid w:val="00D32E65"/>
    <w:rsid w:val="00D41D6E"/>
    <w:rsid w:val="00D55443"/>
    <w:rsid w:val="00D558FA"/>
    <w:rsid w:val="00D93512"/>
    <w:rsid w:val="00D97E84"/>
    <w:rsid w:val="00DA4B23"/>
    <w:rsid w:val="00DB1184"/>
    <w:rsid w:val="00DB79BE"/>
    <w:rsid w:val="00DC153D"/>
    <w:rsid w:val="00DC2DD2"/>
    <w:rsid w:val="00DC45B2"/>
    <w:rsid w:val="00DC7A0C"/>
    <w:rsid w:val="00DD200A"/>
    <w:rsid w:val="00DD4511"/>
    <w:rsid w:val="00DE0F61"/>
    <w:rsid w:val="00DE5A9B"/>
    <w:rsid w:val="00DF74C6"/>
    <w:rsid w:val="00E00BC1"/>
    <w:rsid w:val="00E01F65"/>
    <w:rsid w:val="00E0709F"/>
    <w:rsid w:val="00E17BB4"/>
    <w:rsid w:val="00E2185B"/>
    <w:rsid w:val="00E34A24"/>
    <w:rsid w:val="00E37088"/>
    <w:rsid w:val="00E3799A"/>
    <w:rsid w:val="00E41D07"/>
    <w:rsid w:val="00E42523"/>
    <w:rsid w:val="00E44F5F"/>
    <w:rsid w:val="00E45CFC"/>
    <w:rsid w:val="00E472E0"/>
    <w:rsid w:val="00E5016A"/>
    <w:rsid w:val="00E51EFC"/>
    <w:rsid w:val="00E56129"/>
    <w:rsid w:val="00E7038D"/>
    <w:rsid w:val="00E751B4"/>
    <w:rsid w:val="00E802AE"/>
    <w:rsid w:val="00E82CC1"/>
    <w:rsid w:val="00E86072"/>
    <w:rsid w:val="00E87224"/>
    <w:rsid w:val="00E95EF2"/>
    <w:rsid w:val="00EA6800"/>
    <w:rsid w:val="00EB30C3"/>
    <w:rsid w:val="00EB3D39"/>
    <w:rsid w:val="00EB43DB"/>
    <w:rsid w:val="00EB757C"/>
    <w:rsid w:val="00EB7914"/>
    <w:rsid w:val="00EC018C"/>
    <w:rsid w:val="00EC2B67"/>
    <w:rsid w:val="00EC53AA"/>
    <w:rsid w:val="00EC68F1"/>
    <w:rsid w:val="00ED1D0D"/>
    <w:rsid w:val="00ED5D4C"/>
    <w:rsid w:val="00EE4B0E"/>
    <w:rsid w:val="00EF2CB7"/>
    <w:rsid w:val="00EF2D73"/>
    <w:rsid w:val="00EF3F86"/>
    <w:rsid w:val="00F06C86"/>
    <w:rsid w:val="00F170DD"/>
    <w:rsid w:val="00F17926"/>
    <w:rsid w:val="00F21901"/>
    <w:rsid w:val="00F23C7C"/>
    <w:rsid w:val="00F25730"/>
    <w:rsid w:val="00F318FD"/>
    <w:rsid w:val="00F329AB"/>
    <w:rsid w:val="00F3591F"/>
    <w:rsid w:val="00F566D8"/>
    <w:rsid w:val="00F651A5"/>
    <w:rsid w:val="00F67409"/>
    <w:rsid w:val="00F75E00"/>
    <w:rsid w:val="00F77544"/>
    <w:rsid w:val="00F82CEB"/>
    <w:rsid w:val="00F8578B"/>
    <w:rsid w:val="00F90A79"/>
    <w:rsid w:val="00F95D06"/>
    <w:rsid w:val="00F96115"/>
    <w:rsid w:val="00FA0917"/>
    <w:rsid w:val="00FA27A8"/>
    <w:rsid w:val="00FB00DF"/>
    <w:rsid w:val="00FB177A"/>
    <w:rsid w:val="00FB6B85"/>
    <w:rsid w:val="00FC4350"/>
    <w:rsid w:val="00FC493E"/>
    <w:rsid w:val="00FC7612"/>
    <w:rsid w:val="00FD1F54"/>
    <w:rsid w:val="00FD3A92"/>
    <w:rsid w:val="00FD3F3C"/>
    <w:rsid w:val="00FD51C8"/>
    <w:rsid w:val="00FD6F71"/>
    <w:rsid w:val="00FE7431"/>
    <w:rsid w:val="00FE756F"/>
    <w:rsid w:val="00FF77F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5A082"/>
  <w15:docId w15:val="{CA6F5244-1C2F-458F-AD6D-CB4D8024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28660F"/>
    <w:rPr>
      <w:sz w:val="22"/>
      <w:lang w:val="sv-SE" w:eastAsia="sv-SE"/>
    </w:rPr>
  </w:style>
  <w:style w:type="paragraph" w:styleId="Ballongtext">
    <w:name w:val="Balloon Text"/>
    <w:basedOn w:val="Normal"/>
    <w:link w:val="BallongtextChar"/>
    <w:rsid w:val="00B266EA"/>
    <w:rPr>
      <w:rFonts w:ascii="Tahoma" w:hAnsi="Tahoma" w:cs="Tahoma"/>
      <w:sz w:val="16"/>
      <w:szCs w:val="16"/>
    </w:rPr>
  </w:style>
  <w:style w:type="character" w:customStyle="1" w:styleId="BallongtextChar">
    <w:name w:val="Ballongtext Char"/>
    <w:basedOn w:val="Standardstycketeckensnitt"/>
    <w:link w:val="Ballongtext"/>
    <w:rsid w:val="00B266EA"/>
    <w:rPr>
      <w:rFonts w:ascii="Tahoma" w:hAnsi="Tahoma" w:cs="Tahoma"/>
      <w:sz w:val="16"/>
      <w:szCs w:val="16"/>
      <w:lang w:val="sv-SE" w:eastAsia="sv-SE"/>
    </w:rPr>
  </w:style>
  <w:style w:type="paragraph" w:customStyle="1" w:styleId="anormal0">
    <w:name w:val="anormal"/>
    <w:basedOn w:val="Normal"/>
    <w:rsid w:val="00AA1C2B"/>
    <w:pPr>
      <w:spacing w:before="100" w:beforeAutospacing="1" w:after="100" w:afterAutospacing="1"/>
    </w:pPr>
    <w:rPr>
      <w:lang w:val="sv-FI" w:eastAsia="sv-FI"/>
    </w:rPr>
  </w:style>
  <w:style w:type="paragraph" w:customStyle="1" w:styleId="lagparagraf0">
    <w:name w:val="lagparagraf"/>
    <w:basedOn w:val="Normal"/>
    <w:rsid w:val="00AA1C2B"/>
    <w:pPr>
      <w:spacing w:before="100" w:beforeAutospacing="1" w:after="100" w:afterAutospacing="1"/>
    </w:pPr>
    <w:rPr>
      <w:lang w:val="sv-FI" w:eastAsia="sv-FI"/>
    </w:rPr>
  </w:style>
  <w:style w:type="paragraph" w:customStyle="1" w:styleId="lagpararubrik0">
    <w:name w:val="lagpararubrik"/>
    <w:basedOn w:val="Normal"/>
    <w:rsid w:val="00AA1C2B"/>
    <w:pPr>
      <w:spacing w:before="100" w:beforeAutospacing="1" w:after="100" w:afterAutospacing="1"/>
    </w:pPr>
    <w:rPr>
      <w:lang w:val="sv-FI" w:eastAsia="sv-FI"/>
    </w:rPr>
  </w:style>
  <w:style w:type="paragraph" w:styleId="Liststycke">
    <w:name w:val="List Paragraph"/>
    <w:basedOn w:val="Normal"/>
    <w:uiPriority w:val="34"/>
    <w:qFormat/>
    <w:rsid w:val="0031113B"/>
    <w:pPr>
      <w:ind w:left="720"/>
      <w:contextualSpacing/>
    </w:pPr>
  </w:style>
  <w:style w:type="paragraph" w:styleId="Fotnotstext">
    <w:name w:val="footnote text"/>
    <w:basedOn w:val="Normal"/>
    <w:link w:val="FotnotstextChar"/>
    <w:semiHidden/>
    <w:unhideWhenUsed/>
    <w:rsid w:val="00C0237C"/>
    <w:rPr>
      <w:sz w:val="20"/>
      <w:szCs w:val="20"/>
    </w:rPr>
  </w:style>
  <w:style w:type="character" w:customStyle="1" w:styleId="FotnotstextChar">
    <w:name w:val="Fotnotstext Char"/>
    <w:basedOn w:val="Standardstycketeckensnitt"/>
    <w:link w:val="Fotnotstext"/>
    <w:semiHidden/>
    <w:rsid w:val="00C0237C"/>
    <w:rPr>
      <w:lang w:val="sv-SE" w:eastAsia="sv-SE"/>
    </w:rPr>
  </w:style>
  <w:style w:type="character" w:styleId="Fotnotsreferens">
    <w:name w:val="footnote reference"/>
    <w:basedOn w:val="Standardstycketeckensnitt"/>
    <w:semiHidden/>
    <w:unhideWhenUsed/>
    <w:rsid w:val="00C0237C"/>
    <w:rPr>
      <w:vertAlign w:val="superscript"/>
    </w:rPr>
  </w:style>
  <w:style w:type="paragraph" w:styleId="Oformateradtext">
    <w:name w:val="Plain Text"/>
    <w:basedOn w:val="Normal"/>
    <w:link w:val="OformateradtextChar"/>
    <w:uiPriority w:val="99"/>
    <w:semiHidden/>
    <w:unhideWhenUsed/>
    <w:rsid w:val="000A17FF"/>
    <w:rPr>
      <w:rFonts w:ascii="Calibri" w:eastAsiaTheme="minorHAnsi" w:hAnsi="Calibri" w:cstheme="minorBidi"/>
      <w:sz w:val="22"/>
      <w:szCs w:val="21"/>
      <w:lang w:val="sv-FI" w:eastAsia="en-US"/>
    </w:rPr>
  </w:style>
  <w:style w:type="character" w:customStyle="1" w:styleId="OformateradtextChar">
    <w:name w:val="Oformaterad text Char"/>
    <w:basedOn w:val="Standardstycketeckensnitt"/>
    <w:link w:val="Oformateradtext"/>
    <w:uiPriority w:val="99"/>
    <w:semiHidden/>
    <w:rsid w:val="000A17FF"/>
    <w:rPr>
      <w:rFonts w:ascii="Calibri" w:eastAsiaTheme="minorHAnsi" w:hAnsi="Calibri" w:cstheme="minorBidi"/>
      <w:sz w:val="22"/>
      <w:szCs w:val="21"/>
      <w:lang w:eastAsia="en-US"/>
    </w:rPr>
  </w:style>
  <w:style w:type="table" w:styleId="Tabellrutnt">
    <w:name w:val="Table Grid"/>
    <w:basedOn w:val="Normaltabell"/>
    <w:rsid w:val="00BD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3580">
      <w:bodyDiv w:val="1"/>
      <w:marLeft w:val="0"/>
      <w:marRight w:val="0"/>
      <w:marTop w:val="0"/>
      <w:marBottom w:val="0"/>
      <w:divBdr>
        <w:top w:val="none" w:sz="0" w:space="0" w:color="auto"/>
        <w:left w:val="none" w:sz="0" w:space="0" w:color="auto"/>
        <w:bottom w:val="none" w:sz="0" w:space="0" w:color="auto"/>
        <w:right w:val="none" w:sz="0" w:space="0" w:color="auto"/>
      </w:divBdr>
    </w:div>
    <w:div w:id="255789182">
      <w:bodyDiv w:val="1"/>
      <w:marLeft w:val="0"/>
      <w:marRight w:val="0"/>
      <w:marTop w:val="0"/>
      <w:marBottom w:val="0"/>
      <w:divBdr>
        <w:top w:val="none" w:sz="0" w:space="0" w:color="auto"/>
        <w:left w:val="none" w:sz="0" w:space="0" w:color="auto"/>
        <w:bottom w:val="none" w:sz="0" w:space="0" w:color="auto"/>
        <w:right w:val="none" w:sz="0" w:space="0" w:color="auto"/>
      </w:divBdr>
    </w:div>
    <w:div w:id="339935351">
      <w:bodyDiv w:val="1"/>
      <w:marLeft w:val="0"/>
      <w:marRight w:val="0"/>
      <w:marTop w:val="0"/>
      <w:marBottom w:val="0"/>
      <w:divBdr>
        <w:top w:val="none" w:sz="0" w:space="0" w:color="auto"/>
        <w:left w:val="none" w:sz="0" w:space="0" w:color="auto"/>
        <w:bottom w:val="none" w:sz="0" w:space="0" w:color="auto"/>
        <w:right w:val="none" w:sz="0" w:space="0" w:color="auto"/>
      </w:divBdr>
    </w:div>
    <w:div w:id="502403221">
      <w:bodyDiv w:val="1"/>
      <w:marLeft w:val="0"/>
      <w:marRight w:val="0"/>
      <w:marTop w:val="0"/>
      <w:marBottom w:val="0"/>
      <w:divBdr>
        <w:top w:val="none" w:sz="0" w:space="0" w:color="auto"/>
        <w:left w:val="none" w:sz="0" w:space="0" w:color="auto"/>
        <w:bottom w:val="none" w:sz="0" w:space="0" w:color="auto"/>
        <w:right w:val="none" w:sz="0" w:space="0" w:color="auto"/>
      </w:divBdr>
    </w:div>
    <w:div w:id="516504247">
      <w:bodyDiv w:val="1"/>
      <w:marLeft w:val="0"/>
      <w:marRight w:val="0"/>
      <w:marTop w:val="0"/>
      <w:marBottom w:val="0"/>
      <w:divBdr>
        <w:top w:val="none" w:sz="0" w:space="0" w:color="auto"/>
        <w:left w:val="none" w:sz="0" w:space="0" w:color="auto"/>
        <w:bottom w:val="none" w:sz="0" w:space="0" w:color="auto"/>
        <w:right w:val="none" w:sz="0" w:space="0" w:color="auto"/>
      </w:divBdr>
    </w:div>
    <w:div w:id="1280263328">
      <w:bodyDiv w:val="1"/>
      <w:marLeft w:val="0"/>
      <w:marRight w:val="0"/>
      <w:marTop w:val="0"/>
      <w:marBottom w:val="0"/>
      <w:divBdr>
        <w:top w:val="none" w:sz="0" w:space="0" w:color="auto"/>
        <w:left w:val="none" w:sz="0" w:space="0" w:color="auto"/>
        <w:bottom w:val="none" w:sz="0" w:space="0" w:color="auto"/>
        <w:right w:val="none" w:sz="0" w:space="0" w:color="auto"/>
      </w:divBdr>
    </w:div>
    <w:div w:id="207619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3433</Words>
  <Characters>23188</Characters>
  <Application>Microsoft Office Word</Application>
  <DocSecurity>0</DocSecurity>
  <Lines>193</Lines>
  <Paragraphs>53</Paragraphs>
  <ScaleCrop>false</ScaleCrop>
  <HeadingPairs>
    <vt:vector size="2" baseType="variant">
      <vt:variant>
        <vt:lpstr>Rubrik</vt:lpstr>
      </vt:variant>
      <vt:variant>
        <vt:i4>1</vt:i4>
      </vt:variant>
    </vt:vector>
  </HeadingPairs>
  <TitlesOfParts>
    <vt:vector size="1" baseType="lpstr">
      <vt:lpstr>Finans- och näringsutskottets betänkande nr 25/2018-2019</vt:lpstr>
    </vt:vector>
  </TitlesOfParts>
  <Company>Ålands lagting</Company>
  <LinksUpToDate>false</LinksUpToDate>
  <CharactersWithSpaces>26568</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och näringsutskottets betänkande nr 25/2018-2019</dc:title>
  <dc:creator>Jessica Laaksonen</dc:creator>
  <cp:lastModifiedBy>Jessica Laaksonen</cp:lastModifiedBy>
  <cp:revision>3</cp:revision>
  <cp:lastPrinted>2024-09-24T07:34:00Z</cp:lastPrinted>
  <dcterms:created xsi:type="dcterms:W3CDTF">2024-09-24T09:55:00Z</dcterms:created>
  <dcterms:modified xsi:type="dcterms:W3CDTF">2024-09-24T10:14:00Z</dcterms:modified>
</cp:coreProperties>
</file>