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6742CE47" w14:textId="77777777">
        <w:trPr>
          <w:cantSplit/>
          <w:trHeight w:val="20"/>
        </w:trPr>
        <w:tc>
          <w:tcPr>
            <w:tcW w:w="861" w:type="dxa"/>
            <w:vMerge w:val="restart"/>
          </w:tcPr>
          <w:p w14:paraId="3D5D24EA" w14:textId="77777777" w:rsidR="000B3F00" w:rsidRDefault="009134D7">
            <w:pPr>
              <w:pStyle w:val="xLedtext"/>
              <w:rPr>
                <w:noProof/>
              </w:rPr>
            </w:pPr>
            <w:bookmarkStart w:id="0" w:name="_top"/>
            <w:bookmarkEnd w:id="0"/>
            <w:r>
              <w:rPr>
                <w:noProof/>
                <w:lang w:val="sv-FI" w:eastAsia="sv-FI"/>
              </w:rPr>
              <w:drawing>
                <wp:inline distT="0" distB="0" distL="0" distR="0" wp14:anchorId="5F5CE192" wp14:editId="09469A6C">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395E0717" w14:textId="77777777" w:rsidR="000B3F00" w:rsidRDefault="009134D7">
            <w:pPr>
              <w:pStyle w:val="xMellanrum"/>
            </w:pPr>
            <w:r>
              <w:rPr>
                <w:noProof/>
                <w:lang w:val="sv-FI" w:eastAsia="sv-FI"/>
              </w:rPr>
              <w:drawing>
                <wp:inline distT="0" distB="0" distL="0" distR="0" wp14:anchorId="749EE8CA" wp14:editId="0F557922">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6CF6FF9B" w14:textId="77777777">
        <w:trPr>
          <w:cantSplit/>
          <w:trHeight w:val="299"/>
        </w:trPr>
        <w:tc>
          <w:tcPr>
            <w:tcW w:w="861" w:type="dxa"/>
            <w:vMerge/>
          </w:tcPr>
          <w:p w14:paraId="08F05A3B" w14:textId="77777777" w:rsidR="000B3F00" w:rsidRDefault="000B3F00">
            <w:pPr>
              <w:pStyle w:val="xLedtext"/>
            </w:pPr>
          </w:p>
        </w:tc>
        <w:tc>
          <w:tcPr>
            <w:tcW w:w="4448" w:type="dxa"/>
            <w:vAlign w:val="bottom"/>
          </w:tcPr>
          <w:p w14:paraId="07C23425" w14:textId="77777777" w:rsidR="000B3F00" w:rsidRDefault="000B3F00">
            <w:pPr>
              <w:pStyle w:val="xAvsandare1"/>
            </w:pPr>
            <w:r>
              <w:t>Ålands lagting</w:t>
            </w:r>
          </w:p>
        </w:tc>
        <w:tc>
          <w:tcPr>
            <w:tcW w:w="4288" w:type="dxa"/>
            <w:gridSpan w:val="2"/>
            <w:vAlign w:val="bottom"/>
          </w:tcPr>
          <w:p w14:paraId="40573773" w14:textId="24834E8F" w:rsidR="000B3F00" w:rsidRDefault="00377141" w:rsidP="009134D7">
            <w:pPr>
              <w:pStyle w:val="xDokTypNr"/>
            </w:pPr>
            <w:r>
              <w:t>ÅTGÄRDS</w:t>
            </w:r>
            <w:r w:rsidR="00AC6820">
              <w:t xml:space="preserve">MOTION nr </w:t>
            </w:r>
            <w:r w:rsidR="009C4DBF">
              <w:t>2</w:t>
            </w:r>
            <w:r w:rsidR="00935A18">
              <w:t>/20</w:t>
            </w:r>
            <w:r w:rsidR="006A2007">
              <w:t>2</w:t>
            </w:r>
            <w:r w:rsidR="0049519D">
              <w:t>3</w:t>
            </w:r>
            <w:r w:rsidR="00935A18">
              <w:t>-20</w:t>
            </w:r>
            <w:r w:rsidR="009134D7">
              <w:t>2</w:t>
            </w:r>
            <w:r w:rsidR="0049519D">
              <w:t>4</w:t>
            </w:r>
          </w:p>
        </w:tc>
      </w:tr>
      <w:tr w:rsidR="000B3F00" w14:paraId="68531B75" w14:textId="77777777">
        <w:trPr>
          <w:cantSplit/>
          <w:trHeight w:val="238"/>
        </w:trPr>
        <w:tc>
          <w:tcPr>
            <w:tcW w:w="861" w:type="dxa"/>
            <w:vMerge/>
          </w:tcPr>
          <w:p w14:paraId="5AB8CC6D" w14:textId="77777777" w:rsidR="000B3F00" w:rsidRDefault="000B3F00">
            <w:pPr>
              <w:pStyle w:val="xLedtext"/>
            </w:pPr>
          </w:p>
        </w:tc>
        <w:tc>
          <w:tcPr>
            <w:tcW w:w="4448" w:type="dxa"/>
            <w:vAlign w:val="bottom"/>
          </w:tcPr>
          <w:p w14:paraId="7E8759D2" w14:textId="77777777" w:rsidR="000B3F00" w:rsidRDefault="000B3F00">
            <w:pPr>
              <w:pStyle w:val="xLedtext"/>
            </w:pPr>
            <w:r>
              <w:t xml:space="preserve">Lagtingsledamot </w:t>
            </w:r>
          </w:p>
        </w:tc>
        <w:tc>
          <w:tcPr>
            <w:tcW w:w="1725" w:type="dxa"/>
            <w:vAlign w:val="bottom"/>
          </w:tcPr>
          <w:p w14:paraId="298DC088" w14:textId="77777777" w:rsidR="000B3F00" w:rsidRDefault="000B3F00">
            <w:pPr>
              <w:pStyle w:val="xLedtext"/>
            </w:pPr>
            <w:r>
              <w:t>Datum</w:t>
            </w:r>
          </w:p>
        </w:tc>
        <w:tc>
          <w:tcPr>
            <w:tcW w:w="2563" w:type="dxa"/>
            <w:vAlign w:val="bottom"/>
          </w:tcPr>
          <w:p w14:paraId="3E1FE2F8" w14:textId="77777777" w:rsidR="000B3F00" w:rsidRDefault="000B3F00">
            <w:pPr>
              <w:pStyle w:val="xLedtext"/>
            </w:pPr>
          </w:p>
        </w:tc>
      </w:tr>
      <w:tr w:rsidR="000B3F00" w14:paraId="2E8D8F5B" w14:textId="77777777">
        <w:trPr>
          <w:cantSplit/>
          <w:trHeight w:val="238"/>
        </w:trPr>
        <w:tc>
          <w:tcPr>
            <w:tcW w:w="861" w:type="dxa"/>
            <w:vMerge/>
          </w:tcPr>
          <w:p w14:paraId="57514FC3" w14:textId="77777777" w:rsidR="000B3F00" w:rsidRDefault="000B3F00">
            <w:pPr>
              <w:pStyle w:val="xAvsandare2"/>
            </w:pPr>
          </w:p>
        </w:tc>
        <w:tc>
          <w:tcPr>
            <w:tcW w:w="4448" w:type="dxa"/>
            <w:vAlign w:val="center"/>
          </w:tcPr>
          <w:p w14:paraId="656DDA22" w14:textId="77777777" w:rsidR="000B3F00" w:rsidRDefault="0035024E" w:rsidP="00377141">
            <w:pPr>
              <w:pStyle w:val="xAvsandare2"/>
            </w:pPr>
            <w:r w:rsidRPr="001F13E2">
              <w:t>Wille Valve</w:t>
            </w:r>
          </w:p>
        </w:tc>
        <w:tc>
          <w:tcPr>
            <w:tcW w:w="1725" w:type="dxa"/>
            <w:vAlign w:val="center"/>
          </w:tcPr>
          <w:p w14:paraId="42563294" w14:textId="77777777" w:rsidR="000B3F00" w:rsidRDefault="0035024E" w:rsidP="0012085E">
            <w:pPr>
              <w:pStyle w:val="xDatum1"/>
            </w:pPr>
            <w:r w:rsidRPr="00962677">
              <w:t>2024-03-11</w:t>
            </w:r>
          </w:p>
        </w:tc>
        <w:tc>
          <w:tcPr>
            <w:tcW w:w="2563" w:type="dxa"/>
            <w:vAlign w:val="center"/>
          </w:tcPr>
          <w:p w14:paraId="7FDF24A3" w14:textId="77777777" w:rsidR="000B3F00" w:rsidRDefault="000B3F00">
            <w:pPr>
              <w:pStyle w:val="xBeteckning1"/>
            </w:pPr>
          </w:p>
        </w:tc>
      </w:tr>
      <w:tr w:rsidR="000B3F00" w14:paraId="240ECD08" w14:textId="77777777">
        <w:trPr>
          <w:cantSplit/>
          <w:trHeight w:val="238"/>
        </w:trPr>
        <w:tc>
          <w:tcPr>
            <w:tcW w:w="861" w:type="dxa"/>
            <w:vMerge/>
          </w:tcPr>
          <w:p w14:paraId="07C15F91" w14:textId="77777777" w:rsidR="000B3F00" w:rsidRDefault="000B3F00">
            <w:pPr>
              <w:pStyle w:val="xLedtext"/>
            </w:pPr>
          </w:p>
        </w:tc>
        <w:tc>
          <w:tcPr>
            <w:tcW w:w="4448" w:type="dxa"/>
            <w:vAlign w:val="bottom"/>
          </w:tcPr>
          <w:p w14:paraId="207BF86C" w14:textId="77777777" w:rsidR="000B3F00" w:rsidRDefault="000B3F00">
            <w:pPr>
              <w:pStyle w:val="xLedtext"/>
            </w:pPr>
          </w:p>
        </w:tc>
        <w:tc>
          <w:tcPr>
            <w:tcW w:w="1725" w:type="dxa"/>
            <w:vAlign w:val="bottom"/>
          </w:tcPr>
          <w:p w14:paraId="4EF60A4B" w14:textId="77777777" w:rsidR="000B3F00" w:rsidRDefault="000B3F00">
            <w:pPr>
              <w:pStyle w:val="xLedtext"/>
            </w:pPr>
          </w:p>
        </w:tc>
        <w:tc>
          <w:tcPr>
            <w:tcW w:w="2563" w:type="dxa"/>
            <w:vAlign w:val="bottom"/>
          </w:tcPr>
          <w:p w14:paraId="4FF5CEE3" w14:textId="77777777" w:rsidR="000B3F00" w:rsidRDefault="000B3F00">
            <w:pPr>
              <w:pStyle w:val="xLedtext"/>
            </w:pPr>
          </w:p>
        </w:tc>
      </w:tr>
      <w:tr w:rsidR="000B3F00" w14:paraId="3A386857" w14:textId="77777777">
        <w:trPr>
          <w:cantSplit/>
          <w:trHeight w:val="238"/>
        </w:trPr>
        <w:tc>
          <w:tcPr>
            <w:tcW w:w="861" w:type="dxa"/>
            <w:vMerge/>
            <w:tcBorders>
              <w:bottom w:val="single" w:sz="4" w:space="0" w:color="auto"/>
            </w:tcBorders>
          </w:tcPr>
          <w:p w14:paraId="66DC7B54" w14:textId="77777777" w:rsidR="000B3F00" w:rsidRDefault="000B3F00">
            <w:pPr>
              <w:pStyle w:val="xAvsandare3"/>
            </w:pPr>
          </w:p>
        </w:tc>
        <w:tc>
          <w:tcPr>
            <w:tcW w:w="4448" w:type="dxa"/>
            <w:tcBorders>
              <w:bottom w:val="single" w:sz="4" w:space="0" w:color="auto"/>
            </w:tcBorders>
            <w:vAlign w:val="center"/>
          </w:tcPr>
          <w:p w14:paraId="33743409" w14:textId="77777777" w:rsidR="000B3F00" w:rsidRDefault="000B3F00">
            <w:pPr>
              <w:pStyle w:val="xAvsandare3"/>
            </w:pPr>
          </w:p>
        </w:tc>
        <w:tc>
          <w:tcPr>
            <w:tcW w:w="1725" w:type="dxa"/>
            <w:tcBorders>
              <w:bottom w:val="single" w:sz="4" w:space="0" w:color="auto"/>
            </w:tcBorders>
            <w:vAlign w:val="center"/>
          </w:tcPr>
          <w:p w14:paraId="0BFD140A" w14:textId="77777777" w:rsidR="000B3F00" w:rsidRDefault="000B3F00">
            <w:pPr>
              <w:pStyle w:val="xDatum2"/>
            </w:pPr>
          </w:p>
        </w:tc>
        <w:tc>
          <w:tcPr>
            <w:tcW w:w="2563" w:type="dxa"/>
            <w:tcBorders>
              <w:bottom w:val="single" w:sz="4" w:space="0" w:color="auto"/>
            </w:tcBorders>
            <w:vAlign w:val="center"/>
          </w:tcPr>
          <w:p w14:paraId="06F68426" w14:textId="77777777" w:rsidR="000B3F00" w:rsidRDefault="000B3F00">
            <w:pPr>
              <w:pStyle w:val="xBeteckning2"/>
            </w:pPr>
          </w:p>
        </w:tc>
      </w:tr>
      <w:tr w:rsidR="000B3F00" w14:paraId="158A43A6" w14:textId="77777777">
        <w:trPr>
          <w:cantSplit/>
          <w:trHeight w:val="238"/>
        </w:trPr>
        <w:tc>
          <w:tcPr>
            <w:tcW w:w="861" w:type="dxa"/>
            <w:tcBorders>
              <w:top w:val="single" w:sz="4" w:space="0" w:color="auto"/>
            </w:tcBorders>
            <w:vAlign w:val="bottom"/>
          </w:tcPr>
          <w:p w14:paraId="2107B6D6" w14:textId="77777777" w:rsidR="000B3F00" w:rsidRDefault="000B3F00">
            <w:pPr>
              <w:pStyle w:val="xLedtext"/>
            </w:pPr>
          </w:p>
        </w:tc>
        <w:tc>
          <w:tcPr>
            <w:tcW w:w="4448" w:type="dxa"/>
            <w:tcBorders>
              <w:top w:val="single" w:sz="4" w:space="0" w:color="auto"/>
            </w:tcBorders>
            <w:vAlign w:val="bottom"/>
          </w:tcPr>
          <w:p w14:paraId="3FFDF26E" w14:textId="77777777" w:rsidR="000B3F00" w:rsidRDefault="000B3F00">
            <w:pPr>
              <w:pStyle w:val="xLedtext"/>
            </w:pPr>
          </w:p>
        </w:tc>
        <w:tc>
          <w:tcPr>
            <w:tcW w:w="4288" w:type="dxa"/>
            <w:gridSpan w:val="2"/>
            <w:tcBorders>
              <w:top w:val="single" w:sz="4" w:space="0" w:color="auto"/>
            </w:tcBorders>
            <w:vAlign w:val="bottom"/>
          </w:tcPr>
          <w:p w14:paraId="0C4A32C4" w14:textId="77777777" w:rsidR="000B3F00" w:rsidRDefault="000B3F00">
            <w:pPr>
              <w:pStyle w:val="xLedtext"/>
            </w:pPr>
          </w:p>
        </w:tc>
      </w:tr>
      <w:tr w:rsidR="000B3F00" w14:paraId="79CDD7CF" w14:textId="77777777">
        <w:trPr>
          <w:cantSplit/>
          <w:trHeight w:val="238"/>
        </w:trPr>
        <w:tc>
          <w:tcPr>
            <w:tcW w:w="861" w:type="dxa"/>
          </w:tcPr>
          <w:p w14:paraId="745204DA" w14:textId="77777777" w:rsidR="000B3F00" w:rsidRDefault="000B3F00">
            <w:pPr>
              <w:pStyle w:val="xCelltext"/>
            </w:pPr>
          </w:p>
        </w:tc>
        <w:tc>
          <w:tcPr>
            <w:tcW w:w="4448" w:type="dxa"/>
            <w:vMerge w:val="restart"/>
          </w:tcPr>
          <w:p w14:paraId="09911F54" w14:textId="77777777" w:rsidR="000B3F00" w:rsidRDefault="000B3F00">
            <w:pPr>
              <w:pStyle w:val="xMottagare1"/>
            </w:pPr>
            <w:r>
              <w:t>Till Ålands lagting</w:t>
            </w:r>
          </w:p>
        </w:tc>
        <w:tc>
          <w:tcPr>
            <w:tcW w:w="4288" w:type="dxa"/>
            <w:gridSpan w:val="2"/>
            <w:vMerge w:val="restart"/>
          </w:tcPr>
          <w:p w14:paraId="1F6B7E02" w14:textId="77777777" w:rsidR="000B3F00" w:rsidRDefault="000B3F00">
            <w:pPr>
              <w:pStyle w:val="xMottagare1"/>
              <w:tabs>
                <w:tab w:val="left" w:pos="2349"/>
              </w:tabs>
            </w:pPr>
          </w:p>
        </w:tc>
      </w:tr>
      <w:tr w:rsidR="000B3F00" w14:paraId="207E28C3" w14:textId="77777777">
        <w:trPr>
          <w:cantSplit/>
          <w:trHeight w:val="238"/>
        </w:trPr>
        <w:tc>
          <w:tcPr>
            <w:tcW w:w="861" w:type="dxa"/>
          </w:tcPr>
          <w:p w14:paraId="68DD0C2B" w14:textId="77777777" w:rsidR="000B3F00" w:rsidRDefault="000B3F00">
            <w:pPr>
              <w:pStyle w:val="xCelltext"/>
            </w:pPr>
          </w:p>
        </w:tc>
        <w:tc>
          <w:tcPr>
            <w:tcW w:w="4448" w:type="dxa"/>
            <w:vMerge/>
            <w:vAlign w:val="center"/>
          </w:tcPr>
          <w:p w14:paraId="0328C416" w14:textId="77777777" w:rsidR="000B3F00" w:rsidRDefault="000B3F00">
            <w:pPr>
              <w:pStyle w:val="xCelltext"/>
            </w:pPr>
          </w:p>
        </w:tc>
        <w:tc>
          <w:tcPr>
            <w:tcW w:w="4288" w:type="dxa"/>
            <w:gridSpan w:val="2"/>
            <w:vMerge/>
            <w:vAlign w:val="center"/>
          </w:tcPr>
          <w:p w14:paraId="4DF73A23" w14:textId="77777777" w:rsidR="000B3F00" w:rsidRDefault="000B3F00">
            <w:pPr>
              <w:pStyle w:val="xCelltext"/>
            </w:pPr>
          </w:p>
        </w:tc>
      </w:tr>
      <w:tr w:rsidR="000B3F00" w14:paraId="28A42C06" w14:textId="77777777">
        <w:trPr>
          <w:cantSplit/>
          <w:trHeight w:val="238"/>
        </w:trPr>
        <w:tc>
          <w:tcPr>
            <w:tcW w:w="861" w:type="dxa"/>
          </w:tcPr>
          <w:p w14:paraId="22EE755E" w14:textId="77777777" w:rsidR="000B3F00" w:rsidRDefault="000B3F00">
            <w:pPr>
              <w:pStyle w:val="xCelltext"/>
            </w:pPr>
          </w:p>
        </w:tc>
        <w:tc>
          <w:tcPr>
            <w:tcW w:w="4448" w:type="dxa"/>
            <w:vMerge/>
            <w:vAlign w:val="center"/>
          </w:tcPr>
          <w:p w14:paraId="3119574A" w14:textId="77777777" w:rsidR="000B3F00" w:rsidRDefault="000B3F00">
            <w:pPr>
              <w:pStyle w:val="xCelltext"/>
            </w:pPr>
          </w:p>
        </w:tc>
        <w:tc>
          <w:tcPr>
            <w:tcW w:w="4288" w:type="dxa"/>
            <w:gridSpan w:val="2"/>
            <w:vMerge/>
            <w:vAlign w:val="center"/>
          </w:tcPr>
          <w:p w14:paraId="343677F1" w14:textId="77777777" w:rsidR="000B3F00" w:rsidRDefault="000B3F00">
            <w:pPr>
              <w:pStyle w:val="xCelltext"/>
            </w:pPr>
          </w:p>
        </w:tc>
      </w:tr>
      <w:tr w:rsidR="000B3F00" w14:paraId="09C02BFA" w14:textId="77777777">
        <w:trPr>
          <w:cantSplit/>
          <w:trHeight w:val="238"/>
        </w:trPr>
        <w:tc>
          <w:tcPr>
            <w:tcW w:w="861" w:type="dxa"/>
          </w:tcPr>
          <w:p w14:paraId="3D39A2FE" w14:textId="77777777" w:rsidR="000B3F00" w:rsidRDefault="000B3F00">
            <w:pPr>
              <w:pStyle w:val="xCelltext"/>
            </w:pPr>
          </w:p>
        </w:tc>
        <w:tc>
          <w:tcPr>
            <w:tcW w:w="4448" w:type="dxa"/>
            <w:vMerge/>
            <w:vAlign w:val="center"/>
          </w:tcPr>
          <w:p w14:paraId="672EC8AE" w14:textId="77777777" w:rsidR="000B3F00" w:rsidRDefault="000B3F00">
            <w:pPr>
              <w:pStyle w:val="xCelltext"/>
            </w:pPr>
          </w:p>
        </w:tc>
        <w:tc>
          <w:tcPr>
            <w:tcW w:w="4288" w:type="dxa"/>
            <w:gridSpan w:val="2"/>
            <w:vMerge/>
            <w:vAlign w:val="center"/>
          </w:tcPr>
          <w:p w14:paraId="08D5B652" w14:textId="77777777" w:rsidR="000B3F00" w:rsidRDefault="000B3F00">
            <w:pPr>
              <w:pStyle w:val="xCelltext"/>
            </w:pPr>
          </w:p>
        </w:tc>
      </w:tr>
      <w:tr w:rsidR="000B3F00" w14:paraId="11BE8881" w14:textId="77777777">
        <w:trPr>
          <w:cantSplit/>
          <w:trHeight w:val="238"/>
        </w:trPr>
        <w:tc>
          <w:tcPr>
            <w:tcW w:w="861" w:type="dxa"/>
          </w:tcPr>
          <w:p w14:paraId="2C63D489" w14:textId="77777777" w:rsidR="000B3F00" w:rsidRDefault="000B3F00">
            <w:pPr>
              <w:pStyle w:val="xCelltext"/>
            </w:pPr>
          </w:p>
        </w:tc>
        <w:tc>
          <w:tcPr>
            <w:tcW w:w="4448" w:type="dxa"/>
            <w:vMerge/>
            <w:vAlign w:val="center"/>
          </w:tcPr>
          <w:p w14:paraId="0CDD66E3" w14:textId="77777777" w:rsidR="000B3F00" w:rsidRDefault="000B3F00">
            <w:pPr>
              <w:pStyle w:val="xCelltext"/>
            </w:pPr>
          </w:p>
        </w:tc>
        <w:tc>
          <w:tcPr>
            <w:tcW w:w="4288" w:type="dxa"/>
            <w:gridSpan w:val="2"/>
            <w:vMerge/>
            <w:vAlign w:val="center"/>
          </w:tcPr>
          <w:p w14:paraId="24C0C126" w14:textId="77777777" w:rsidR="000B3F00" w:rsidRDefault="000B3F00">
            <w:pPr>
              <w:pStyle w:val="xCelltext"/>
            </w:pPr>
          </w:p>
        </w:tc>
      </w:tr>
    </w:tbl>
    <w:p w14:paraId="55876B18"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7245454" w14:textId="77777777" w:rsidR="00AC6820" w:rsidRDefault="0035024E" w:rsidP="00AC6820">
      <w:pPr>
        <w:pStyle w:val="ArendeRubrik"/>
      </w:pPr>
      <w:r>
        <w:t>Kartläggning av det åländska skatteundantagets samhällsekonomiska betydelse</w:t>
      </w:r>
    </w:p>
    <w:p w14:paraId="57C407D6" w14:textId="77777777" w:rsidR="000B3F00" w:rsidRDefault="000B3F00">
      <w:pPr>
        <w:pStyle w:val="ANormal"/>
      </w:pPr>
    </w:p>
    <w:p w14:paraId="166D771C" w14:textId="77777777" w:rsidR="000B3F00" w:rsidRDefault="000B3F00">
      <w:pPr>
        <w:pStyle w:val="ANormal"/>
      </w:pPr>
    </w:p>
    <w:p w14:paraId="4EA8738F" w14:textId="7106A9E5" w:rsidR="002D750D" w:rsidRDefault="00FB74D7">
      <w:pPr>
        <w:pStyle w:val="ANormal"/>
      </w:pPr>
      <w:r>
        <w:t>Motivering</w:t>
      </w:r>
    </w:p>
    <w:p w14:paraId="286A8E19" w14:textId="77777777" w:rsidR="0035024E" w:rsidRDefault="0035024E" w:rsidP="0035024E">
      <w:pPr>
        <w:pStyle w:val="ANormal"/>
      </w:pPr>
      <w:r>
        <w:t>För 20 år sedan gjorde ÅSUB rapporten ”Det åländska skatteundantagets samhällsekonomiska betydelse – i dag och i framtiden” (Rapport 2004:5) I rapporten analyserades de samhällsekonomiska för- och nackdelarna med skattegränsen, specifikt effekterna av slopad skattefri ombordförsäljning. I rapportens slutsatser konstaterades då att skatteundantaget medför administrativa kostnader och logistiska problem i handel mellan Åland och omvärlden, men att det stod klart att kostnadseffekten av skattegränsens olägenheter ”på intet sätt väger upp de ekonomiska fördelar för den åländska ekonomin som helhet som denna genom möjligheten till skattefri ombordförsäljning ger” (s. 56). Enligt den år 2004 gjorda undersökningen och dataunderlag samt de modellkalkyler som gjordes i samband med undersökningen, bedömdes de direkta merkostnaderna för skattegränsadministrationen då utgöra en ”förhållandevis blygsam” andel av de totala transportkostnaderna (under 10 procent). Det finns anledning att befara att denna ekvation ser annorlunda ut 20 år senare.  T.ex. har sjöfarten aktivt gått in för att lindra en del av det landbaserade näringslivets utmaningar, kortruttstrafiken Mariehamn-Kapellskär har upphört och företagens administrativa börda ökar gentemot Sverige. En förnyad kartläggning av skatteundantagets konsekvenser torde också stödja det finländska regeringsprogrammets kartläggning av skatteundantagets konsekvenser för försändelser mellan fastlandet och Åland.</w:t>
      </w:r>
    </w:p>
    <w:p w14:paraId="1ADA25EF" w14:textId="77777777" w:rsidR="0090486C" w:rsidRDefault="0090486C">
      <w:pPr>
        <w:pStyle w:val="ANormal"/>
      </w:pPr>
    </w:p>
    <w:p w14:paraId="3DEE006D" w14:textId="77777777" w:rsidR="00AC6820" w:rsidRDefault="00AC6820">
      <w:pPr>
        <w:pStyle w:val="ANormal"/>
      </w:pPr>
    </w:p>
    <w:p w14:paraId="6E933970" w14:textId="77777777" w:rsidR="000B3F00" w:rsidRDefault="000B3F00">
      <w:pPr>
        <w:pStyle w:val="ANormal"/>
      </w:pPr>
    </w:p>
    <w:p w14:paraId="210F6C22" w14:textId="77777777" w:rsidR="00FB74D7" w:rsidRDefault="00FB74D7" w:rsidP="00377141">
      <w:pPr>
        <w:pStyle w:val="ANormal"/>
        <w:outlineLvl w:val="0"/>
      </w:pPr>
    </w:p>
    <w:p w14:paraId="67B4244C" w14:textId="77777777" w:rsidR="00FB74D7" w:rsidRDefault="00FB74D7" w:rsidP="00377141">
      <w:pPr>
        <w:pStyle w:val="ANormal"/>
        <w:outlineLvl w:val="0"/>
      </w:pPr>
    </w:p>
    <w:p w14:paraId="04E1708C" w14:textId="7418A88A" w:rsidR="00377141" w:rsidRDefault="00377141" w:rsidP="00377141">
      <w:pPr>
        <w:pStyle w:val="ANormal"/>
        <w:outlineLvl w:val="0"/>
      </w:pPr>
      <w:r>
        <w:t xml:space="preserve">Med anledning </w:t>
      </w:r>
      <w:r w:rsidR="00AC6820">
        <w:t xml:space="preserve">av det ovanstående föreslår </w:t>
      </w:r>
      <w:r w:rsidR="0035024E">
        <w:t>jag</w:t>
      </w:r>
    </w:p>
    <w:p w14:paraId="57A764C7" w14:textId="77777777" w:rsidR="00377141" w:rsidRDefault="00377141" w:rsidP="00377141">
      <w:pPr>
        <w:pStyle w:val="ANormal"/>
      </w:pPr>
    </w:p>
    <w:p w14:paraId="4BD20FCB" w14:textId="77777777" w:rsidR="00AC6820" w:rsidRPr="00694620" w:rsidRDefault="00AC6820" w:rsidP="00AC6820">
      <w:pPr>
        <w:pStyle w:val="Klam"/>
      </w:pPr>
      <w:r w:rsidRPr="00694620">
        <w:t xml:space="preserve">att </w:t>
      </w:r>
      <w:r w:rsidR="0035024E">
        <w:t>lagtinget uppmanar landskapsregeringen att kartlägga skatteundantagets samhällsekonomiska betydelse</w:t>
      </w:r>
    </w:p>
    <w:p w14:paraId="54B4AEFE"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1B77ABEE" w14:textId="77777777" w:rsidTr="00474225">
        <w:trPr>
          <w:cantSplit/>
        </w:trPr>
        <w:tc>
          <w:tcPr>
            <w:tcW w:w="7931" w:type="dxa"/>
          </w:tcPr>
          <w:p w14:paraId="32AA34B8" w14:textId="77777777" w:rsidR="0035024E" w:rsidRDefault="0035024E" w:rsidP="00474225">
            <w:pPr>
              <w:pStyle w:val="ANormal"/>
              <w:keepNext/>
            </w:pPr>
          </w:p>
          <w:p w14:paraId="46B546A4" w14:textId="77777777" w:rsidR="0035024E" w:rsidRDefault="0035024E" w:rsidP="00474225">
            <w:pPr>
              <w:pStyle w:val="ANormal"/>
              <w:keepNext/>
            </w:pPr>
          </w:p>
          <w:p w14:paraId="3363EC94" w14:textId="77777777" w:rsidR="0035024E" w:rsidRDefault="0035024E" w:rsidP="00474225">
            <w:pPr>
              <w:pStyle w:val="ANormal"/>
              <w:keepNext/>
            </w:pPr>
            <w:r>
              <w:t>Mariehamn den 11 mars 2024</w:t>
            </w:r>
          </w:p>
        </w:tc>
      </w:tr>
    </w:tbl>
    <w:p w14:paraId="590B8BD9" w14:textId="77777777" w:rsidR="00FB74D7" w:rsidRDefault="00FB74D7">
      <w:pPr>
        <w:pStyle w:val="ANormal"/>
      </w:pPr>
    </w:p>
    <w:p w14:paraId="2B00DB20" w14:textId="77777777" w:rsidR="000B3F00" w:rsidRDefault="000B3F00">
      <w:pPr>
        <w:pStyle w:val="ANormal"/>
      </w:pPr>
    </w:p>
    <w:p w14:paraId="5AE3258D" w14:textId="77777777" w:rsidR="0035024E" w:rsidRDefault="0035024E" w:rsidP="0035024E">
      <w:pPr>
        <w:pStyle w:val="ANormal"/>
      </w:pPr>
      <w:r w:rsidRPr="001F13E2">
        <w:t>Wille Valve</w:t>
      </w:r>
    </w:p>
    <w:p w14:paraId="572484A3" w14:textId="77777777" w:rsidR="0035024E" w:rsidRDefault="0035024E" w:rsidP="0035024E">
      <w:pPr>
        <w:pStyle w:val="ANormal"/>
      </w:pPr>
    </w:p>
    <w:p w14:paraId="2F014911"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93B1" w14:textId="77777777" w:rsidR="00280920" w:rsidRDefault="00280920">
      <w:r>
        <w:separator/>
      </w:r>
    </w:p>
  </w:endnote>
  <w:endnote w:type="continuationSeparator" w:id="0">
    <w:p w14:paraId="7AC5C1EC" w14:textId="77777777" w:rsidR="00280920" w:rsidRDefault="0028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600D"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F392"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F2092F">
      <w:rPr>
        <w:noProof/>
        <w:lang w:val="fi-FI"/>
      </w:rPr>
      <w:t>MOT0120172018.docx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EB0B"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D784"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493E" w14:textId="77777777" w:rsidR="00280920" w:rsidRDefault="00280920">
      <w:r>
        <w:separator/>
      </w:r>
    </w:p>
  </w:footnote>
  <w:footnote w:type="continuationSeparator" w:id="0">
    <w:p w14:paraId="13F734D5" w14:textId="77777777" w:rsidR="00280920" w:rsidRDefault="0028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1BD7"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3E94"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7ED7"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A76A"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8DE8A44"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07AC"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10447958">
    <w:abstractNumId w:val="6"/>
  </w:num>
  <w:num w:numId="2" w16cid:durableId="100732670">
    <w:abstractNumId w:val="3"/>
  </w:num>
  <w:num w:numId="3" w16cid:durableId="1638798766">
    <w:abstractNumId w:val="2"/>
  </w:num>
  <w:num w:numId="4" w16cid:durableId="614363813">
    <w:abstractNumId w:val="1"/>
  </w:num>
  <w:num w:numId="5" w16cid:durableId="1608268098">
    <w:abstractNumId w:val="0"/>
  </w:num>
  <w:num w:numId="6" w16cid:durableId="727385784">
    <w:abstractNumId w:val="7"/>
  </w:num>
  <w:num w:numId="7" w16cid:durableId="1249000931">
    <w:abstractNumId w:val="5"/>
  </w:num>
  <w:num w:numId="8" w16cid:durableId="1860847112">
    <w:abstractNumId w:val="4"/>
  </w:num>
  <w:num w:numId="9" w16cid:durableId="912663122">
    <w:abstractNumId w:val="11"/>
  </w:num>
  <w:num w:numId="10" w16cid:durableId="586771093">
    <w:abstractNumId w:val="14"/>
  </w:num>
  <w:num w:numId="11" w16cid:durableId="2052420590">
    <w:abstractNumId w:val="13"/>
  </w:num>
  <w:num w:numId="12" w16cid:durableId="1714034445">
    <w:abstractNumId w:val="17"/>
  </w:num>
  <w:num w:numId="13" w16cid:durableId="1013069403">
    <w:abstractNumId w:val="12"/>
  </w:num>
  <w:num w:numId="14" w16cid:durableId="956913007">
    <w:abstractNumId w:val="16"/>
  </w:num>
  <w:num w:numId="15" w16cid:durableId="599802528">
    <w:abstractNumId w:val="10"/>
  </w:num>
  <w:num w:numId="16" w16cid:durableId="274287309">
    <w:abstractNumId w:val="22"/>
  </w:num>
  <w:num w:numId="17" w16cid:durableId="1588610005">
    <w:abstractNumId w:val="9"/>
  </w:num>
  <w:num w:numId="18" w16cid:durableId="995307107">
    <w:abstractNumId w:val="18"/>
  </w:num>
  <w:num w:numId="19" w16cid:durableId="83690200">
    <w:abstractNumId w:val="21"/>
  </w:num>
  <w:num w:numId="20" w16cid:durableId="2070424329">
    <w:abstractNumId w:val="24"/>
  </w:num>
  <w:num w:numId="21" w16cid:durableId="1110203657">
    <w:abstractNumId w:val="23"/>
  </w:num>
  <w:num w:numId="22" w16cid:durableId="719861843">
    <w:abstractNumId w:val="15"/>
  </w:num>
  <w:num w:numId="23" w16cid:durableId="1143615344">
    <w:abstractNumId w:val="19"/>
  </w:num>
  <w:num w:numId="24" w16cid:durableId="2007516499">
    <w:abstractNumId w:val="19"/>
  </w:num>
  <w:num w:numId="25" w16cid:durableId="1078402623">
    <w:abstractNumId w:val="20"/>
  </w:num>
  <w:num w:numId="26" w16cid:durableId="286007312">
    <w:abstractNumId w:val="15"/>
  </w:num>
  <w:num w:numId="27" w16cid:durableId="375933340">
    <w:abstractNumId w:val="15"/>
  </w:num>
  <w:num w:numId="28" w16cid:durableId="581305672">
    <w:abstractNumId w:val="15"/>
  </w:num>
  <w:num w:numId="29" w16cid:durableId="1142190604">
    <w:abstractNumId w:val="15"/>
  </w:num>
  <w:num w:numId="30" w16cid:durableId="757020400">
    <w:abstractNumId w:val="15"/>
  </w:num>
  <w:num w:numId="31" w16cid:durableId="1716346543">
    <w:abstractNumId w:val="15"/>
  </w:num>
  <w:num w:numId="32" w16cid:durableId="786966644">
    <w:abstractNumId w:val="15"/>
  </w:num>
  <w:num w:numId="33" w16cid:durableId="957221704">
    <w:abstractNumId w:val="15"/>
  </w:num>
  <w:num w:numId="34" w16cid:durableId="708725867">
    <w:abstractNumId w:val="15"/>
  </w:num>
  <w:num w:numId="35" w16cid:durableId="1949583623">
    <w:abstractNumId w:val="19"/>
  </w:num>
  <w:num w:numId="36" w16cid:durableId="872570016">
    <w:abstractNumId w:val="20"/>
  </w:num>
  <w:num w:numId="37" w16cid:durableId="1712420876">
    <w:abstractNumId w:val="15"/>
  </w:num>
  <w:num w:numId="38" w16cid:durableId="1884750850">
    <w:abstractNumId w:val="15"/>
  </w:num>
  <w:num w:numId="39" w16cid:durableId="1168442768">
    <w:abstractNumId w:val="15"/>
  </w:num>
  <w:num w:numId="40" w16cid:durableId="360478957">
    <w:abstractNumId w:val="15"/>
  </w:num>
  <w:num w:numId="41" w16cid:durableId="740446650">
    <w:abstractNumId w:val="15"/>
  </w:num>
  <w:num w:numId="42" w16cid:durableId="1342515346">
    <w:abstractNumId w:val="15"/>
  </w:num>
  <w:num w:numId="43" w16cid:durableId="832600088">
    <w:abstractNumId w:val="15"/>
  </w:num>
  <w:num w:numId="44" w16cid:durableId="1778678778">
    <w:abstractNumId w:val="15"/>
  </w:num>
  <w:num w:numId="45" w16cid:durableId="1444690485">
    <w:abstractNumId w:val="15"/>
  </w:num>
  <w:num w:numId="46" w16cid:durableId="117992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969FE"/>
    <w:rsid w:val="001D30C9"/>
    <w:rsid w:val="00280920"/>
    <w:rsid w:val="002D750D"/>
    <w:rsid w:val="002F50E4"/>
    <w:rsid w:val="003011C1"/>
    <w:rsid w:val="0035024E"/>
    <w:rsid w:val="00377141"/>
    <w:rsid w:val="0038300C"/>
    <w:rsid w:val="0049519D"/>
    <w:rsid w:val="005B4DE1"/>
    <w:rsid w:val="006175A4"/>
    <w:rsid w:val="00663FC5"/>
    <w:rsid w:val="006A2007"/>
    <w:rsid w:val="0084359B"/>
    <w:rsid w:val="009044DF"/>
    <w:rsid w:val="0090486C"/>
    <w:rsid w:val="009134D7"/>
    <w:rsid w:val="0092036D"/>
    <w:rsid w:val="00935A18"/>
    <w:rsid w:val="009C4DBF"/>
    <w:rsid w:val="009D01AC"/>
    <w:rsid w:val="00A16986"/>
    <w:rsid w:val="00A716AD"/>
    <w:rsid w:val="00AB47CC"/>
    <w:rsid w:val="00AB7037"/>
    <w:rsid w:val="00AC6820"/>
    <w:rsid w:val="00AF314A"/>
    <w:rsid w:val="00B7613E"/>
    <w:rsid w:val="00B866AB"/>
    <w:rsid w:val="00BA74E7"/>
    <w:rsid w:val="00C57836"/>
    <w:rsid w:val="00CF7731"/>
    <w:rsid w:val="00D10E5F"/>
    <w:rsid w:val="00D3286C"/>
    <w:rsid w:val="00D8412A"/>
    <w:rsid w:val="00E100E9"/>
    <w:rsid w:val="00E131E0"/>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63641"/>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1684</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2/2023-2024</dc:title>
  <dc:creator>Jessica Laaksonen</dc:creator>
  <cp:lastModifiedBy>Jessica Laaksonen</cp:lastModifiedBy>
  <cp:revision>2</cp:revision>
  <cp:lastPrinted>2018-01-08T12:44:00Z</cp:lastPrinted>
  <dcterms:created xsi:type="dcterms:W3CDTF">2024-03-11T13:24:00Z</dcterms:created>
  <dcterms:modified xsi:type="dcterms:W3CDTF">2024-03-11T13:24:00Z</dcterms:modified>
</cp:coreProperties>
</file>