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"/>
        <w:gridCol w:w="3095"/>
        <w:gridCol w:w="1204"/>
        <w:gridCol w:w="1786"/>
      </w:tblGrid>
      <w:tr w:rsidR="00ED6915" w:rsidRPr="00ED6915" w14:paraId="3B35A8BD" w14:textId="77777777" w:rsidTr="00BA32A8">
        <w:trPr>
          <w:cantSplit/>
          <w:trHeight w:val="20"/>
        </w:trPr>
        <w:tc>
          <w:tcPr>
            <w:tcW w:w="605" w:type="dxa"/>
            <w:vMerge w:val="restart"/>
          </w:tcPr>
          <w:p w14:paraId="79D0B5B7" w14:textId="2AB82B56" w:rsidR="000B3F00" w:rsidRPr="00ED6915" w:rsidRDefault="003D1AF5">
            <w:pPr>
              <w:pStyle w:val="xLedtext"/>
              <w:rPr>
                <w:noProof/>
              </w:rPr>
            </w:pPr>
            <w:bookmarkStart w:id="0" w:name="_top"/>
            <w:bookmarkEnd w:id="0"/>
            <w:r w:rsidRPr="00ED6915">
              <w:rPr>
                <w:noProof/>
                <w:lang w:val="sv-FI" w:eastAsia="sv-FI"/>
              </w:rPr>
              <w:drawing>
                <wp:inline distT="0" distB="0" distL="0" distR="0" wp14:anchorId="48BDA0A7" wp14:editId="640C0370">
                  <wp:extent cx="386080" cy="677334"/>
                  <wp:effectExtent l="0" t="0" r="0" b="8890"/>
                  <wp:docPr id="2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906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5" w:type="dxa"/>
            <w:gridSpan w:val="3"/>
            <w:vAlign w:val="bottom"/>
          </w:tcPr>
          <w:p w14:paraId="56D818A0" w14:textId="171440C6" w:rsidR="000B3F00" w:rsidRPr="00ED6915" w:rsidRDefault="003D1AF5">
            <w:pPr>
              <w:pStyle w:val="xMellanrum"/>
            </w:pPr>
            <w:r w:rsidRPr="00ED6915">
              <w:rPr>
                <w:noProof/>
                <w:lang w:val="sv-FI" w:eastAsia="sv-FI"/>
              </w:rPr>
              <w:drawing>
                <wp:inline distT="0" distB="0" distL="0" distR="0" wp14:anchorId="2DC8FC3D" wp14:editId="6086310A">
                  <wp:extent cx="50800" cy="50800"/>
                  <wp:effectExtent l="0" t="0" r="0" b="0"/>
                  <wp:docPr id="1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915" w:rsidRPr="00ED6915" w14:paraId="15FF020C" w14:textId="77777777" w:rsidTr="00BA32A8">
        <w:trPr>
          <w:cantSplit/>
          <w:trHeight w:val="299"/>
        </w:trPr>
        <w:tc>
          <w:tcPr>
            <w:tcW w:w="605" w:type="dxa"/>
            <w:vMerge/>
          </w:tcPr>
          <w:p w14:paraId="149722BF" w14:textId="77777777" w:rsidR="000B3F00" w:rsidRPr="00ED6915" w:rsidRDefault="000B3F00">
            <w:pPr>
              <w:pStyle w:val="xLedtext"/>
            </w:pPr>
          </w:p>
        </w:tc>
        <w:tc>
          <w:tcPr>
            <w:tcW w:w="3095" w:type="dxa"/>
            <w:vAlign w:val="bottom"/>
          </w:tcPr>
          <w:p w14:paraId="051CA2D3" w14:textId="77777777" w:rsidR="000B3F00" w:rsidRPr="00ED6915" w:rsidRDefault="000B3F00">
            <w:pPr>
              <w:pStyle w:val="xAvsandare1"/>
            </w:pPr>
            <w:r w:rsidRPr="00ED6915">
              <w:t>Ålands lagting</w:t>
            </w:r>
          </w:p>
        </w:tc>
        <w:tc>
          <w:tcPr>
            <w:tcW w:w="2990" w:type="dxa"/>
            <w:gridSpan w:val="2"/>
            <w:vAlign w:val="bottom"/>
          </w:tcPr>
          <w:p w14:paraId="369F3D4A" w14:textId="7B23BDAB" w:rsidR="000B3F00" w:rsidRPr="00ED6915" w:rsidRDefault="00D826EF" w:rsidP="00377141">
            <w:pPr>
              <w:pStyle w:val="xDokTypNr"/>
            </w:pPr>
            <w:r w:rsidRPr="00ED6915">
              <w:t>LAGMOTION</w:t>
            </w:r>
            <w:r w:rsidR="00E47F97" w:rsidRPr="00ED6915">
              <w:t xml:space="preserve"> nr </w:t>
            </w:r>
            <w:r w:rsidR="00E75258">
              <w:t>3</w:t>
            </w:r>
            <w:r w:rsidR="00935A18" w:rsidRPr="00ED6915">
              <w:t>/</w:t>
            </w:r>
            <w:proofErr w:type="gramStart"/>
            <w:r w:rsidR="00DA1855" w:rsidRPr="00ED6915">
              <w:t>202</w:t>
            </w:r>
            <w:r w:rsidR="00010380" w:rsidRPr="00ED6915">
              <w:t>3</w:t>
            </w:r>
            <w:r w:rsidR="00DA1855" w:rsidRPr="00ED6915">
              <w:t>-202</w:t>
            </w:r>
            <w:r w:rsidR="00010380" w:rsidRPr="00ED6915">
              <w:t>4</w:t>
            </w:r>
            <w:proofErr w:type="gramEnd"/>
          </w:p>
        </w:tc>
      </w:tr>
      <w:tr w:rsidR="00ED6915" w:rsidRPr="00ED6915" w14:paraId="163474BC" w14:textId="77777777" w:rsidTr="00BA32A8">
        <w:trPr>
          <w:cantSplit/>
          <w:trHeight w:val="238"/>
        </w:trPr>
        <w:tc>
          <w:tcPr>
            <w:tcW w:w="605" w:type="dxa"/>
            <w:vMerge/>
          </w:tcPr>
          <w:p w14:paraId="72FE48BE" w14:textId="77777777" w:rsidR="000B3F00" w:rsidRPr="00ED6915" w:rsidRDefault="000B3F00">
            <w:pPr>
              <w:pStyle w:val="xLedtext"/>
            </w:pPr>
          </w:p>
        </w:tc>
        <w:tc>
          <w:tcPr>
            <w:tcW w:w="3095" w:type="dxa"/>
            <w:vAlign w:val="bottom"/>
          </w:tcPr>
          <w:p w14:paraId="20399EAE" w14:textId="77777777" w:rsidR="000B3F00" w:rsidRPr="00ED6915" w:rsidRDefault="000B3F00">
            <w:pPr>
              <w:pStyle w:val="xLedtext"/>
            </w:pPr>
            <w:r w:rsidRPr="00ED6915"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5D894436" w14:textId="77777777" w:rsidR="000B3F00" w:rsidRPr="00ED6915" w:rsidRDefault="000B3F00">
            <w:pPr>
              <w:pStyle w:val="xLedtext"/>
            </w:pPr>
            <w:r w:rsidRPr="00ED6915">
              <w:t>Datum</w:t>
            </w:r>
          </w:p>
        </w:tc>
        <w:tc>
          <w:tcPr>
            <w:tcW w:w="1786" w:type="dxa"/>
            <w:vAlign w:val="bottom"/>
          </w:tcPr>
          <w:p w14:paraId="760AC4FF" w14:textId="77777777" w:rsidR="000B3F00" w:rsidRPr="00ED6915" w:rsidRDefault="000B3F00">
            <w:pPr>
              <w:pStyle w:val="xLedtext"/>
            </w:pPr>
          </w:p>
        </w:tc>
      </w:tr>
      <w:tr w:rsidR="00ED6915" w:rsidRPr="00ED6915" w14:paraId="5762ECFF" w14:textId="77777777" w:rsidTr="00BA32A8">
        <w:trPr>
          <w:cantSplit/>
          <w:trHeight w:val="238"/>
        </w:trPr>
        <w:tc>
          <w:tcPr>
            <w:tcW w:w="605" w:type="dxa"/>
            <w:vMerge/>
          </w:tcPr>
          <w:p w14:paraId="756EFAC7" w14:textId="77777777" w:rsidR="000B3F00" w:rsidRPr="00ED6915" w:rsidRDefault="000B3F00">
            <w:pPr>
              <w:pStyle w:val="xAvsandare2"/>
            </w:pPr>
          </w:p>
        </w:tc>
        <w:tc>
          <w:tcPr>
            <w:tcW w:w="3095" w:type="dxa"/>
            <w:vAlign w:val="center"/>
          </w:tcPr>
          <w:p w14:paraId="3D97A41F" w14:textId="68909D11" w:rsidR="000B3F00" w:rsidRPr="00ED6915" w:rsidRDefault="00AD1F5D" w:rsidP="00377141">
            <w:pPr>
              <w:pStyle w:val="xAvsandare2"/>
            </w:pPr>
            <w:r w:rsidRPr="00ED6915">
              <w:t xml:space="preserve"> </w:t>
            </w:r>
            <w:r w:rsidR="00E75258">
              <w:t>Mika Nordberg</w:t>
            </w:r>
          </w:p>
        </w:tc>
        <w:tc>
          <w:tcPr>
            <w:tcW w:w="1204" w:type="dxa"/>
            <w:vAlign w:val="center"/>
          </w:tcPr>
          <w:p w14:paraId="7D800E9A" w14:textId="66F1D7ED" w:rsidR="000B3F00" w:rsidRPr="00ED6915" w:rsidRDefault="0012085E" w:rsidP="0012085E">
            <w:pPr>
              <w:pStyle w:val="xDatum1"/>
            </w:pPr>
            <w:r w:rsidRPr="00ED6915">
              <w:t>20</w:t>
            </w:r>
            <w:r w:rsidR="00DA1855" w:rsidRPr="00ED6915">
              <w:t>24-</w:t>
            </w:r>
            <w:r w:rsidR="00E75258">
              <w:t>03-19</w:t>
            </w:r>
          </w:p>
        </w:tc>
        <w:tc>
          <w:tcPr>
            <w:tcW w:w="1786" w:type="dxa"/>
            <w:vAlign w:val="center"/>
          </w:tcPr>
          <w:p w14:paraId="34BD25E1" w14:textId="77777777" w:rsidR="000B3F00" w:rsidRPr="00ED6915" w:rsidRDefault="000B3F00">
            <w:pPr>
              <w:pStyle w:val="xBeteckning1"/>
            </w:pPr>
          </w:p>
        </w:tc>
      </w:tr>
      <w:tr w:rsidR="00ED6915" w:rsidRPr="00ED6915" w14:paraId="5B76C2F7" w14:textId="77777777" w:rsidTr="00BA32A8">
        <w:trPr>
          <w:cantSplit/>
          <w:trHeight w:val="238"/>
        </w:trPr>
        <w:tc>
          <w:tcPr>
            <w:tcW w:w="605" w:type="dxa"/>
            <w:vMerge/>
          </w:tcPr>
          <w:p w14:paraId="092ADEB0" w14:textId="77777777" w:rsidR="000B3F00" w:rsidRPr="00ED6915" w:rsidRDefault="000B3F00">
            <w:pPr>
              <w:pStyle w:val="xLedtext"/>
            </w:pPr>
          </w:p>
        </w:tc>
        <w:tc>
          <w:tcPr>
            <w:tcW w:w="3095" w:type="dxa"/>
            <w:vAlign w:val="bottom"/>
          </w:tcPr>
          <w:p w14:paraId="4CADB691" w14:textId="77777777" w:rsidR="000B3F00" w:rsidRPr="00ED6915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3F41AE18" w14:textId="77777777" w:rsidR="000B3F00" w:rsidRPr="00ED6915" w:rsidRDefault="000B3F00">
            <w:pPr>
              <w:pStyle w:val="xLedtext"/>
            </w:pPr>
          </w:p>
        </w:tc>
        <w:tc>
          <w:tcPr>
            <w:tcW w:w="1786" w:type="dxa"/>
            <w:vAlign w:val="bottom"/>
          </w:tcPr>
          <w:p w14:paraId="55C0AB41" w14:textId="77777777" w:rsidR="000B3F00" w:rsidRPr="00ED6915" w:rsidRDefault="000B3F00">
            <w:pPr>
              <w:pStyle w:val="xLedtext"/>
            </w:pPr>
          </w:p>
        </w:tc>
      </w:tr>
      <w:tr w:rsidR="00ED6915" w:rsidRPr="00ED6915" w14:paraId="69CDB3C5" w14:textId="77777777" w:rsidTr="00BA32A8">
        <w:trPr>
          <w:cantSplit/>
          <w:trHeight w:val="238"/>
        </w:trPr>
        <w:tc>
          <w:tcPr>
            <w:tcW w:w="605" w:type="dxa"/>
            <w:vMerge/>
            <w:tcBorders>
              <w:bottom w:val="single" w:sz="4" w:space="0" w:color="auto"/>
            </w:tcBorders>
          </w:tcPr>
          <w:p w14:paraId="76225C36" w14:textId="77777777" w:rsidR="000B3F00" w:rsidRPr="00ED6915" w:rsidRDefault="000B3F00">
            <w:pPr>
              <w:pStyle w:val="xAvsandare3"/>
            </w:pPr>
          </w:p>
        </w:tc>
        <w:tc>
          <w:tcPr>
            <w:tcW w:w="3095" w:type="dxa"/>
            <w:tcBorders>
              <w:bottom w:val="single" w:sz="4" w:space="0" w:color="auto"/>
            </w:tcBorders>
            <w:vAlign w:val="center"/>
          </w:tcPr>
          <w:p w14:paraId="1F3885B2" w14:textId="77777777" w:rsidR="000B3F00" w:rsidRPr="00ED6915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566DBDBA" w14:textId="77777777" w:rsidR="000B3F00" w:rsidRPr="00ED6915" w:rsidRDefault="000B3F00">
            <w:pPr>
              <w:pStyle w:val="xDatum2"/>
            </w:pPr>
          </w:p>
        </w:tc>
        <w:tc>
          <w:tcPr>
            <w:tcW w:w="1786" w:type="dxa"/>
            <w:tcBorders>
              <w:bottom w:val="single" w:sz="4" w:space="0" w:color="auto"/>
            </w:tcBorders>
            <w:vAlign w:val="center"/>
          </w:tcPr>
          <w:p w14:paraId="4B146E06" w14:textId="77777777" w:rsidR="000B3F00" w:rsidRPr="00ED6915" w:rsidRDefault="000B3F00">
            <w:pPr>
              <w:pStyle w:val="xBeteckning2"/>
            </w:pPr>
          </w:p>
        </w:tc>
      </w:tr>
      <w:tr w:rsidR="00ED6915" w:rsidRPr="00ED6915" w14:paraId="39C8AEB6" w14:textId="77777777" w:rsidTr="00BA32A8">
        <w:trPr>
          <w:cantSplit/>
          <w:trHeight w:val="238"/>
        </w:trPr>
        <w:tc>
          <w:tcPr>
            <w:tcW w:w="605" w:type="dxa"/>
            <w:tcBorders>
              <w:top w:val="single" w:sz="4" w:space="0" w:color="auto"/>
            </w:tcBorders>
            <w:vAlign w:val="bottom"/>
          </w:tcPr>
          <w:p w14:paraId="1376735F" w14:textId="77777777" w:rsidR="000B3F00" w:rsidRPr="00ED6915" w:rsidRDefault="000B3F00">
            <w:pPr>
              <w:pStyle w:val="xLedtext"/>
            </w:pPr>
          </w:p>
        </w:tc>
        <w:tc>
          <w:tcPr>
            <w:tcW w:w="3095" w:type="dxa"/>
            <w:tcBorders>
              <w:top w:val="single" w:sz="4" w:space="0" w:color="auto"/>
            </w:tcBorders>
            <w:vAlign w:val="bottom"/>
          </w:tcPr>
          <w:p w14:paraId="4234BF14" w14:textId="77777777" w:rsidR="000B3F00" w:rsidRPr="00ED6915" w:rsidRDefault="000B3F00">
            <w:pPr>
              <w:pStyle w:val="xLedtext"/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</w:tcBorders>
            <w:vAlign w:val="bottom"/>
          </w:tcPr>
          <w:p w14:paraId="7C934B9D" w14:textId="77777777" w:rsidR="000B3F00" w:rsidRPr="00ED6915" w:rsidRDefault="000B3F00">
            <w:pPr>
              <w:pStyle w:val="xLedtext"/>
            </w:pPr>
          </w:p>
        </w:tc>
      </w:tr>
      <w:tr w:rsidR="00ED6915" w:rsidRPr="00ED6915" w14:paraId="1524D7D7" w14:textId="77777777" w:rsidTr="00BA32A8">
        <w:trPr>
          <w:cantSplit/>
          <w:trHeight w:val="238"/>
        </w:trPr>
        <w:tc>
          <w:tcPr>
            <w:tcW w:w="605" w:type="dxa"/>
          </w:tcPr>
          <w:p w14:paraId="62E34C83" w14:textId="77777777" w:rsidR="000B3F00" w:rsidRPr="00ED6915" w:rsidRDefault="000B3F00">
            <w:pPr>
              <w:pStyle w:val="xCelltext"/>
            </w:pPr>
          </w:p>
        </w:tc>
        <w:tc>
          <w:tcPr>
            <w:tcW w:w="3095" w:type="dxa"/>
            <w:vMerge w:val="restart"/>
          </w:tcPr>
          <w:p w14:paraId="44FB39F9" w14:textId="71D3408B" w:rsidR="000B3F00" w:rsidRPr="00ED6915" w:rsidRDefault="000B3F00">
            <w:pPr>
              <w:pStyle w:val="xMottagare1"/>
            </w:pPr>
            <w:r w:rsidRPr="00ED6915">
              <w:t>Till Ålands lagting</w:t>
            </w:r>
          </w:p>
        </w:tc>
        <w:tc>
          <w:tcPr>
            <w:tcW w:w="2990" w:type="dxa"/>
            <w:gridSpan w:val="2"/>
            <w:vMerge w:val="restart"/>
          </w:tcPr>
          <w:p w14:paraId="74EBCD03" w14:textId="77777777" w:rsidR="000B3F00" w:rsidRPr="00ED6915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ED6915" w:rsidRPr="00ED6915" w14:paraId="6A7E5999" w14:textId="77777777" w:rsidTr="00BA32A8">
        <w:trPr>
          <w:cantSplit/>
          <w:trHeight w:val="238"/>
        </w:trPr>
        <w:tc>
          <w:tcPr>
            <w:tcW w:w="605" w:type="dxa"/>
          </w:tcPr>
          <w:p w14:paraId="41790E60" w14:textId="77777777" w:rsidR="000B3F00" w:rsidRPr="00ED6915" w:rsidRDefault="000B3F00">
            <w:pPr>
              <w:pStyle w:val="xCelltext"/>
            </w:pPr>
          </w:p>
        </w:tc>
        <w:tc>
          <w:tcPr>
            <w:tcW w:w="3095" w:type="dxa"/>
            <w:vMerge/>
            <w:vAlign w:val="center"/>
          </w:tcPr>
          <w:p w14:paraId="5C294659" w14:textId="77777777" w:rsidR="000B3F00" w:rsidRPr="00ED6915" w:rsidRDefault="000B3F00">
            <w:pPr>
              <w:pStyle w:val="xCelltext"/>
            </w:pPr>
          </w:p>
        </w:tc>
        <w:tc>
          <w:tcPr>
            <w:tcW w:w="2990" w:type="dxa"/>
            <w:gridSpan w:val="2"/>
            <w:vMerge/>
            <w:vAlign w:val="center"/>
          </w:tcPr>
          <w:p w14:paraId="367CBD7E" w14:textId="77777777" w:rsidR="000B3F00" w:rsidRPr="00ED6915" w:rsidRDefault="000B3F00">
            <w:pPr>
              <w:pStyle w:val="xCelltext"/>
            </w:pPr>
          </w:p>
        </w:tc>
      </w:tr>
      <w:tr w:rsidR="00ED6915" w:rsidRPr="00ED6915" w14:paraId="37C3F2A2" w14:textId="77777777" w:rsidTr="00BA32A8">
        <w:trPr>
          <w:cantSplit/>
          <w:trHeight w:val="238"/>
        </w:trPr>
        <w:tc>
          <w:tcPr>
            <w:tcW w:w="605" w:type="dxa"/>
          </w:tcPr>
          <w:p w14:paraId="0C401FB9" w14:textId="77777777" w:rsidR="000B3F00" w:rsidRPr="00ED6915" w:rsidRDefault="000B3F00">
            <w:pPr>
              <w:pStyle w:val="xCelltext"/>
            </w:pPr>
          </w:p>
        </w:tc>
        <w:tc>
          <w:tcPr>
            <w:tcW w:w="3095" w:type="dxa"/>
            <w:vMerge/>
            <w:vAlign w:val="center"/>
          </w:tcPr>
          <w:p w14:paraId="130DA738" w14:textId="77777777" w:rsidR="000B3F00" w:rsidRPr="00ED6915" w:rsidRDefault="000B3F00">
            <w:pPr>
              <w:pStyle w:val="xCelltext"/>
            </w:pPr>
          </w:p>
        </w:tc>
        <w:tc>
          <w:tcPr>
            <w:tcW w:w="2990" w:type="dxa"/>
            <w:gridSpan w:val="2"/>
            <w:vMerge/>
            <w:vAlign w:val="center"/>
          </w:tcPr>
          <w:p w14:paraId="0DD4CCDD" w14:textId="77777777" w:rsidR="000B3F00" w:rsidRPr="00ED6915" w:rsidRDefault="000B3F00">
            <w:pPr>
              <w:pStyle w:val="xCelltext"/>
            </w:pPr>
          </w:p>
        </w:tc>
      </w:tr>
      <w:tr w:rsidR="00ED6915" w:rsidRPr="00ED6915" w14:paraId="0CAF4EB4" w14:textId="77777777" w:rsidTr="00BA32A8">
        <w:trPr>
          <w:cantSplit/>
          <w:trHeight w:val="238"/>
        </w:trPr>
        <w:tc>
          <w:tcPr>
            <w:tcW w:w="605" w:type="dxa"/>
          </w:tcPr>
          <w:p w14:paraId="733FFB1A" w14:textId="77777777" w:rsidR="000B3F00" w:rsidRPr="00ED6915" w:rsidRDefault="000B3F00">
            <w:pPr>
              <w:pStyle w:val="xCelltext"/>
            </w:pPr>
          </w:p>
        </w:tc>
        <w:tc>
          <w:tcPr>
            <w:tcW w:w="3095" w:type="dxa"/>
            <w:vMerge/>
            <w:vAlign w:val="center"/>
          </w:tcPr>
          <w:p w14:paraId="789114DF" w14:textId="77777777" w:rsidR="000B3F00" w:rsidRPr="00ED6915" w:rsidRDefault="000B3F00">
            <w:pPr>
              <w:pStyle w:val="xCelltext"/>
            </w:pPr>
          </w:p>
        </w:tc>
        <w:tc>
          <w:tcPr>
            <w:tcW w:w="2990" w:type="dxa"/>
            <w:gridSpan w:val="2"/>
            <w:vMerge/>
            <w:vAlign w:val="center"/>
          </w:tcPr>
          <w:p w14:paraId="70DA95BC" w14:textId="77777777" w:rsidR="000B3F00" w:rsidRPr="00ED6915" w:rsidRDefault="000B3F00">
            <w:pPr>
              <w:pStyle w:val="xCelltext"/>
            </w:pPr>
          </w:p>
        </w:tc>
      </w:tr>
      <w:tr w:rsidR="00ED6915" w:rsidRPr="00ED6915" w14:paraId="60FADA61" w14:textId="77777777" w:rsidTr="00BA32A8">
        <w:trPr>
          <w:cantSplit/>
          <w:trHeight w:val="238"/>
        </w:trPr>
        <w:tc>
          <w:tcPr>
            <w:tcW w:w="605" w:type="dxa"/>
          </w:tcPr>
          <w:p w14:paraId="3C6AF72E" w14:textId="77777777" w:rsidR="000B3F00" w:rsidRPr="00ED6915" w:rsidRDefault="000B3F00">
            <w:pPr>
              <w:pStyle w:val="xCelltext"/>
            </w:pPr>
          </w:p>
        </w:tc>
        <w:tc>
          <w:tcPr>
            <w:tcW w:w="3095" w:type="dxa"/>
            <w:vMerge/>
            <w:vAlign w:val="center"/>
          </w:tcPr>
          <w:p w14:paraId="6E99647E" w14:textId="77777777" w:rsidR="000B3F00" w:rsidRPr="00ED6915" w:rsidRDefault="000B3F00">
            <w:pPr>
              <w:pStyle w:val="xCelltext"/>
            </w:pPr>
          </w:p>
        </w:tc>
        <w:tc>
          <w:tcPr>
            <w:tcW w:w="2990" w:type="dxa"/>
            <w:gridSpan w:val="2"/>
            <w:vMerge/>
            <w:vAlign w:val="center"/>
          </w:tcPr>
          <w:p w14:paraId="0DB12C3D" w14:textId="77777777" w:rsidR="000B3F00" w:rsidRPr="00ED6915" w:rsidRDefault="000B3F00">
            <w:pPr>
              <w:pStyle w:val="xCelltext"/>
            </w:pPr>
          </w:p>
        </w:tc>
      </w:tr>
    </w:tbl>
    <w:p w14:paraId="3D9FD6A0" w14:textId="34619E46" w:rsidR="00BA32A8" w:rsidRPr="00ED6915" w:rsidRDefault="000867BA" w:rsidP="00BA32A8">
      <w:pPr>
        <w:rPr>
          <w:b/>
          <w:bCs/>
          <w:lang w:eastAsia="en-US"/>
        </w:rPr>
      </w:pPr>
      <w:r w:rsidRPr="00ED6915">
        <w:rPr>
          <w:b/>
          <w:bCs/>
          <w:lang w:eastAsia="en-US"/>
        </w:rPr>
        <w:t>Ändring av lagtingsordningen för Åland</w:t>
      </w:r>
    </w:p>
    <w:p w14:paraId="7C3A2395" w14:textId="77777777" w:rsidR="000867BA" w:rsidRPr="00ED6915" w:rsidRDefault="000867BA" w:rsidP="00BA32A8">
      <w:pPr>
        <w:rPr>
          <w:b/>
          <w:bCs/>
          <w:lang w:eastAsia="en-US"/>
        </w:rPr>
      </w:pPr>
    </w:p>
    <w:p w14:paraId="13676D34" w14:textId="2C51B210" w:rsidR="008875D4" w:rsidRPr="00ED6915" w:rsidRDefault="008875D4" w:rsidP="008875D4">
      <w:pPr>
        <w:pStyle w:val="anormal0"/>
        <w:shd w:val="clear" w:color="auto" w:fill="FFFFFF"/>
        <w:rPr>
          <w:i/>
          <w:iCs/>
        </w:rPr>
      </w:pPr>
      <w:r w:rsidRPr="00ED6915">
        <w:rPr>
          <w:i/>
          <w:iCs/>
          <w:lang w:val="sv-SE"/>
        </w:rPr>
        <w:t>Huvudsakligt innehåll</w:t>
      </w:r>
    </w:p>
    <w:p w14:paraId="303D3D0F" w14:textId="19A344A7" w:rsidR="008875D4" w:rsidRPr="00ED6915" w:rsidRDefault="008875D4" w:rsidP="008C09F7">
      <w:pPr>
        <w:pStyle w:val="anormal0"/>
        <w:shd w:val="clear" w:color="auto" w:fill="FFFFFF"/>
        <w:rPr>
          <w:lang w:val="sv-SE"/>
        </w:rPr>
      </w:pPr>
      <w:r w:rsidRPr="00ED6915">
        <w:rPr>
          <w:lang w:val="sv-SE"/>
        </w:rPr>
        <w:t xml:space="preserve">I denna lagmotion föreslås att </w:t>
      </w:r>
      <w:r w:rsidR="00BB6EFF" w:rsidRPr="00ED6915">
        <w:rPr>
          <w:lang w:val="sv-SE"/>
        </w:rPr>
        <w:t>ett nytt moment införs i</w:t>
      </w:r>
      <w:r w:rsidRPr="00ED6915">
        <w:rPr>
          <w:lang w:val="sv-SE"/>
        </w:rPr>
        <w:t xml:space="preserve"> </w:t>
      </w:r>
      <w:r w:rsidR="0064359F" w:rsidRPr="00ED6915">
        <w:rPr>
          <w:lang w:val="sv-SE"/>
        </w:rPr>
        <w:t xml:space="preserve">54 § </w:t>
      </w:r>
      <w:r w:rsidRPr="00ED6915">
        <w:rPr>
          <w:lang w:val="sv-SE"/>
        </w:rPr>
        <w:t xml:space="preserve">lagtingsordningen (2011:97) för Åland </w:t>
      </w:r>
      <w:r w:rsidR="0064359F" w:rsidRPr="00ED6915">
        <w:rPr>
          <w:lang w:val="sv-SE"/>
        </w:rPr>
        <w:t xml:space="preserve">så </w:t>
      </w:r>
      <w:r w:rsidR="00696D77" w:rsidRPr="00ED6915">
        <w:rPr>
          <w:lang w:val="sv-SE"/>
        </w:rPr>
        <w:t xml:space="preserve">att </w:t>
      </w:r>
      <w:r w:rsidR="00C2630E" w:rsidRPr="00ED6915">
        <w:rPr>
          <w:lang w:val="sv-SE"/>
        </w:rPr>
        <w:t xml:space="preserve">antagandet av infrastrukturanslag </w:t>
      </w:r>
      <w:r w:rsidR="00B02F8A" w:rsidRPr="00ED6915">
        <w:rPr>
          <w:lang w:val="sv-SE"/>
        </w:rPr>
        <w:t>med ett värde som överstiger 10 miljoner euro förutsätter kvalificerad majoritet enligt 35 § i lagtingsordningen</w:t>
      </w:r>
      <w:r w:rsidR="008C09F7" w:rsidRPr="00ED6915">
        <w:rPr>
          <w:lang w:val="sv-SE"/>
        </w:rPr>
        <w:t xml:space="preserve">. </w:t>
      </w:r>
    </w:p>
    <w:p w14:paraId="37F98F6B" w14:textId="77777777" w:rsidR="00BA32A8" w:rsidRPr="00ED6915" w:rsidRDefault="00BA32A8" w:rsidP="00BA32A8">
      <w:pPr>
        <w:rPr>
          <w:lang w:eastAsia="en-US"/>
        </w:rPr>
      </w:pPr>
    </w:p>
    <w:p w14:paraId="7BFFC6CC" w14:textId="2A86C938" w:rsidR="00BA32A8" w:rsidRPr="00ED6915" w:rsidRDefault="00BA32A8" w:rsidP="00BA32A8">
      <w:pPr>
        <w:rPr>
          <w:i/>
          <w:iCs/>
          <w:lang w:eastAsia="en-US"/>
        </w:rPr>
      </w:pPr>
      <w:r w:rsidRPr="00ED6915">
        <w:rPr>
          <w:i/>
          <w:iCs/>
          <w:lang w:eastAsia="en-US"/>
        </w:rPr>
        <w:t>Allmän motivering</w:t>
      </w:r>
    </w:p>
    <w:p w14:paraId="5842586A" w14:textId="77777777" w:rsidR="00BA32A8" w:rsidRPr="00ED6915" w:rsidRDefault="00BA32A8" w:rsidP="00BA32A8">
      <w:pPr>
        <w:rPr>
          <w:lang w:eastAsia="en-US"/>
        </w:rPr>
      </w:pPr>
    </w:p>
    <w:p w14:paraId="1E7A7287" w14:textId="7FBB10C6" w:rsidR="00BA32A8" w:rsidRPr="00ED6915" w:rsidRDefault="00BA32A8" w:rsidP="00BA32A8">
      <w:pPr>
        <w:rPr>
          <w:lang w:eastAsia="en-US"/>
        </w:rPr>
      </w:pPr>
      <w:r w:rsidRPr="00ED6915">
        <w:rPr>
          <w:lang w:eastAsia="en-US"/>
        </w:rPr>
        <w:t xml:space="preserve">Hävningen av avtalet för den s.k. </w:t>
      </w:r>
      <w:proofErr w:type="spellStart"/>
      <w:r w:rsidRPr="00ED6915">
        <w:rPr>
          <w:lang w:eastAsia="en-US"/>
        </w:rPr>
        <w:t>laddhybriden</w:t>
      </w:r>
      <w:proofErr w:type="spellEnd"/>
      <w:r w:rsidRPr="00ED6915">
        <w:rPr>
          <w:lang w:eastAsia="en-US"/>
        </w:rPr>
        <w:t xml:space="preserve"> ledde den 24 januari 2024 till att hovrätten dömde Ålands landskapsregering för avtalsbrott att betala 10,5 miljoner euro i skadestånd till </w:t>
      </w:r>
      <w:proofErr w:type="spellStart"/>
      <w:r w:rsidRPr="00ED6915">
        <w:rPr>
          <w:lang w:eastAsia="en-US"/>
        </w:rPr>
        <w:t>Finferries</w:t>
      </w:r>
      <w:proofErr w:type="spellEnd"/>
      <w:r w:rsidRPr="00ED6915">
        <w:rPr>
          <w:lang w:eastAsia="en-US"/>
        </w:rPr>
        <w:t xml:space="preserve"> och Ansgar. Laddhybridsdomen visar enligt vår mening att dagens EU-upphandlingsregler inte går att förena med </w:t>
      </w:r>
      <w:r w:rsidR="009B00FE" w:rsidRPr="00ED6915">
        <w:rPr>
          <w:lang w:eastAsia="en-US"/>
        </w:rPr>
        <w:t xml:space="preserve">plötsliga </w:t>
      </w:r>
      <w:r w:rsidR="00ED087F" w:rsidRPr="00ED6915">
        <w:rPr>
          <w:lang w:eastAsia="en-US"/>
        </w:rPr>
        <w:t xml:space="preserve">politiska </w:t>
      </w:r>
      <w:r w:rsidR="009B00FE" w:rsidRPr="00ED6915">
        <w:rPr>
          <w:lang w:eastAsia="en-US"/>
        </w:rPr>
        <w:t>kursförändringar</w:t>
      </w:r>
      <w:r w:rsidRPr="00ED6915">
        <w:rPr>
          <w:lang w:eastAsia="en-US"/>
        </w:rPr>
        <w:t xml:space="preserve">. Det bör finnas en tröskel både för att starta stora infrastrukturprojekt och för att avsluta dem. </w:t>
      </w:r>
    </w:p>
    <w:p w14:paraId="5A88669B" w14:textId="77777777" w:rsidR="00BA32A8" w:rsidRPr="00ED6915" w:rsidRDefault="00BA32A8" w:rsidP="00BA32A8">
      <w:pPr>
        <w:rPr>
          <w:lang w:eastAsia="en-US"/>
        </w:rPr>
      </w:pPr>
    </w:p>
    <w:p w14:paraId="3DD51FAD" w14:textId="39D3BE25" w:rsidR="00BA32A8" w:rsidRPr="00ED6915" w:rsidRDefault="00BA32A8" w:rsidP="00BA32A8">
      <w:pPr>
        <w:rPr>
          <w:lang w:eastAsia="en-US"/>
        </w:rPr>
      </w:pPr>
      <w:r w:rsidRPr="00ED6915">
        <w:rPr>
          <w:lang w:eastAsia="en-US"/>
        </w:rPr>
        <w:t>Plötsliga kursändringar ger också en annan sorts skada: Förlust av förtroende för Ålands landskapsregering som seriös avtalspart. Att landskapsregeringen åtnjuter förtroende som avtalspart är avgörande för samhällsutvecklingen</w:t>
      </w:r>
      <w:r w:rsidR="009F3186" w:rsidRPr="00ED6915">
        <w:rPr>
          <w:lang w:eastAsia="en-US"/>
        </w:rPr>
        <w:t xml:space="preserve"> där </w:t>
      </w:r>
      <w:r w:rsidRPr="00ED6915">
        <w:rPr>
          <w:lang w:eastAsia="en-US"/>
        </w:rPr>
        <w:t xml:space="preserve">allt mera offentlig verksamhet bedrivs genom olika typer av upphandlingar. </w:t>
      </w:r>
    </w:p>
    <w:p w14:paraId="342D01BF" w14:textId="77777777" w:rsidR="00BA32A8" w:rsidRPr="00ED6915" w:rsidRDefault="00BA32A8" w:rsidP="00BA32A8">
      <w:pPr>
        <w:rPr>
          <w:lang w:eastAsia="en-US"/>
        </w:rPr>
      </w:pPr>
    </w:p>
    <w:p w14:paraId="3DA8C451" w14:textId="77472249" w:rsidR="00BA32A8" w:rsidRPr="00ED6915" w:rsidRDefault="00BA32A8" w:rsidP="00BA32A8">
      <w:pPr>
        <w:rPr>
          <w:strike/>
        </w:rPr>
      </w:pPr>
      <w:r w:rsidRPr="00ED6915">
        <w:rPr>
          <w:lang w:eastAsia="en-US"/>
        </w:rPr>
        <w:t>I regeringsprogrammet Sjögren II</w:t>
      </w:r>
      <w:r w:rsidRPr="00ED6915">
        <w:rPr>
          <w:i/>
          <w:iCs/>
          <w:lang w:eastAsia="en-US"/>
        </w:rPr>
        <w:t>, </w:t>
      </w:r>
      <w:r w:rsidRPr="00ED6915">
        <w:rPr>
          <w:i/>
          <w:iCs/>
        </w:rPr>
        <w:t xml:space="preserve">Ett tryggt, öppet och </w:t>
      </w:r>
      <w:proofErr w:type="spellStart"/>
      <w:r w:rsidRPr="00ED6915">
        <w:rPr>
          <w:i/>
          <w:iCs/>
        </w:rPr>
        <w:t>framtidssäkrat</w:t>
      </w:r>
      <w:proofErr w:type="spellEnd"/>
      <w:r w:rsidRPr="00ED6915">
        <w:rPr>
          <w:i/>
          <w:iCs/>
        </w:rPr>
        <w:t xml:space="preserve"> Åland</w:t>
      </w:r>
      <w:r w:rsidRPr="00ED6915">
        <w:t xml:space="preserve"> lyser större infrastruktursatsningar med sin frånvaro. Däremot framgår tydligt att fem nya frigående fartyg införskaffas samt åtta linfärjor/mindre frigående färjor. Färjfästena ska standardiseras och elektrifieras för elhybridfartyg. Det är mycket viktigt att</w:t>
      </w:r>
      <w:r w:rsidR="00A60759" w:rsidRPr="00ED6915">
        <w:t xml:space="preserve"> </w:t>
      </w:r>
      <w:r w:rsidR="002A3695" w:rsidRPr="00ED6915">
        <w:t xml:space="preserve">kommande landskapsregeringar har modet att förverkliga </w:t>
      </w:r>
      <w:r w:rsidR="00A60759" w:rsidRPr="00ED6915">
        <w:t xml:space="preserve">infrastruktursatsningar </w:t>
      </w:r>
      <w:r w:rsidR="002A3695" w:rsidRPr="00ED6915">
        <w:t>och att dessa kan förverkligas</w:t>
      </w:r>
      <w:r w:rsidR="000A4B21" w:rsidRPr="00ED6915">
        <w:t xml:space="preserve"> på ett långsiktigt och </w:t>
      </w:r>
      <w:proofErr w:type="spellStart"/>
      <w:r w:rsidR="000A4B21" w:rsidRPr="00ED6915">
        <w:t>förtroendingivande</w:t>
      </w:r>
      <w:proofErr w:type="spellEnd"/>
      <w:r w:rsidR="006F2406" w:rsidRPr="00ED6915">
        <w:t xml:space="preserve"> </w:t>
      </w:r>
      <w:r w:rsidR="002A3695" w:rsidRPr="00ED6915">
        <w:t xml:space="preserve">sätt. </w:t>
      </w:r>
    </w:p>
    <w:p w14:paraId="0E803FA8" w14:textId="77777777" w:rsidR="00BA32A8" w:rsidRPr="00ED6915" w:rsidRDefault="00BA32A8" w:rsidP="00BA32A8">
      <w:pPr>
        <w:rPr>
          <w:lang w:eastAsia="sv-FI"/>
        </w:rPr>
      </w:pPr>
    </w:p>
    <w:p w14:paraId="6916B68B" w14:textId="77777777" w:rsidR="00BA32A8" w:rsidRPr="00ED6915" w:rsidRDefault="00BA32A8" w:rsidP="00BA32A8">
      <w:r w:rsidRPr="00ED6915">
        <w:t xml:space="preserve">Vi föreslår därför att en tröskel (kvalificerad majoritet) införs för stora infrastruktursatsningar och brytande av dem. </w:t>
      </w:r>
    </w:p>
    <w:p w14:paraId="2765DA46" w14:textId="77777777" w:rsidR="00BA32A8" w:rsidRPr="00ED6915" w:rsidRDefault="00BA32A8" w:rsidP="00BA32A8"/>
    <w:p w14:paraId="097378DD" w14:textId="77777777" w:rsidR="00BA32A8" w:rsidRPr="00ED6915" w:rsidRDefault="00BA32A8" w:rsidP="00BA32A8">
      <w:pPr>
        <w:rPr>
          <w:i/>
          <w:iCs/>
        </w:rPr>
      </w:pPr>
      <w:r w:rsidRPr="00ED6915">
        <w:rPr>
          <w:i/>
          <w:iCs/>
        </w:rPr>
        <w:t xml:space="preserve">Detaljmotivering: </w:t>
      </w:r>
    </w:p>
    <w:p w14:paraId="2EE075EF" w14:textId="77777777" w:rsidR="00257C33" w:rsidRPr="00ED6915" w:rsidRDefault="00257C33" w:rsidP="00257C33">
      <w:pPr>
        <w:pStyle w:val="anormal0"/>
        <w:shd w:val="clear" w:color="auto" w:fill="FFFFFF"/>
      </w:pPr>
      <w:r w:rsidRPr="00ED6915">
        <w:rPr>
          <w:u w:val="single"/>
          <w:lang w:val="sv-SE"/>
        </w:rPr>
        <w:t>Lagtingsordningen (2011:97) för Åland</w:t>
      </w:r>
    </w:p>
    <w:p w14:paraId="52DEAF08" w14:textId="77777777" w:rsidR="00D57023" w:rsidRPr="00ED6915" w:rsidRDefault="00D57023" w:rsidP="00D57023">
      <w:pPr>
        <w:pStyle w:val="anormal0"/>
        <w:shd w:val="clear" w:color="auto" w:fill="FFFFFF"/>
        <w:rPr>
          <w:i/>
          <w:iCs/>
          <w:lang w:val="sv-SE"/>
        </w:rPr>
      </w:pPr>
      <w:r w:rsidRPr="00ED6915">
        <w:rPr>
          <w:i/>
          <w:iCs/>
          <w:lang w:val="sv-SE"/>
        </w:rPr>
        <w:lastRenderedPageBreak/>
        <w:t>54</w:t>
      </w:r>
      <w:r w:rsidR="00257C33" w:rsidRPr="00ED6915">
        <w:rPr>
          <w:i/>
          <w:iCs/>
          <w:lang w:val="sv-SE"/>
        </w:rPr>
        <w:t xml:space="preserve"> §. </w:t>
      </w:r>
      <w:r w:rsidRPr="00ED6915">
        <w:rPr>
          <w:i/>
          <w:iCs/>
          <w:lang w:val="sv-SE"/>
        </w:rPr>
        <w:t>Anslag i budgeten</w:t>
      </w:r>
    </w:p>
    <w:p w14:paraId="5643358A" w14:textId="2AC4ABC8" w:rsidR="00BA32A8" w:rsidRPr="00ED6915" w:rsidRDefault="00BA32A8" w:rsidP="00035174">
      <w:pPr>
        <w:pStyle w:val="anormal0"/>
        <w:shd w:val="clear" w:color="auto" w:fill="FFFFFF"/>
      </w:pPr>
      <w:r w:rsidRPr="00ED6915">
        <w:rPr>
          <w:lang w:eastAsia="en-US"/>
        </w:rPr>
        <w:t xml:space="preserve">Med införandet av ett nytt 4 mom. i 54 § förtydligas reglerna för infrastrukturanslag vars värde överstiger 10 miljoner euro. Gränsen på 10 miljoner euro gör att en enkel majoritet fortsättningsvis kan verkställa </w:t>
      </w:r>
      <w:proofErr w:type="gramStart"/>
      <w:r w:rsidRPr="00ED6915">
        <w:rPr>
          <w:lang w:eastAsia="en-US"/>
        </w:rPr>
        <w:t>t.ex.</w:t>
      </w:r>
      <w:proofErr w:type="gramEnd"/>
      <w:r w:rsidRPr="00ED6915">
        <w:rPr>
          <w:lang w:eastAsia="en-US"/>
        </w:rPr>
        <w:t xml:space="preserve"> upphandling av nya färjfästen och broar under 10 miljoner. </w:t>
      </w:r>
    </w:p>
    <w:p w14:paraId="6BC95642" w14:textId="77777777" w:rsidR="00BA32A8" w:rsidRPr="00ED6915" w:rsidRDefault="00BA32A8" w:rsidP="00BA32A8">
      <w:pPr>
        <w:rPr>
          <w:lang w:eastAsia="en-US"/>
        </w:rPr>
      </w:pPr>
    </w:p>
    <w:p w14:paraId="5EA21554" w14:textId="77777777" w:rsidR="00BA32A8" w:rsidRPr="00ED6915" w:rsidRDefault="00BA32A8" w:rsidP="00BA32A8">
      <w:pPr>
        <w:pStyle w:val="RubrikB"/>
      </w:pPr>
      <w:r w:rsidRPr="00ED6915">
        <w:t>Förslag</w:t>
      </w:r>
    </w:p>
    <w:p w14:paraId="4AE2A3C5" w14:textId="77777777" w:rsidR="00253905" w:rsidRPr="00ED6915" w:rsidRDefault="00253905" w:rsidP="00253905">
      <w:pPr>
        <w:pStyle w:val="Rubrikmellanrum"/>
      </w:pPr>
    </w:p>
    <w:p w14:paraId="7CBEDE27" w14:textId="77777777" w:rsidR="00253905" w:rsidRPr="00ED6915" w:rsidRDefault="00253905" w:rsidP="00253905">
      <w:pPr>
        <w:pStyle w:val="ANormal"/>
      </w:pPr>
    </w:p>
    <w:p w14:paraId="5CAB04BD" w14:textId="77777777" w:rsidR="003B30BA" w:rsidRDefault="003B30BA" w:rsidP="00253905">
      <w:pPr>
        <w:pStyle w:val="anormal0"/>
        <w:shd w:val="clear" w:color="auto" w:fill="FFFFFF"/>
        <w:rPr>
          <w:lang w:val="sv-SE"/>
        </w:rPr>
      </w:pPr>
    </w:p>
    <w:p w14:paraId="3F422E6A" w14:textId="7414060D" w:rsidR="00253905" w:rsidRPr="00ED6915" w:rsidRDefault="00253905" w:rsidP="003F208B">
      <w:pPr>
        <w:pStyle w:val="anormal0"/>
        <w:shd w:val="clear" w:color="auto" w:fill="FFFFFF"/>
        <w:ind w:left="1304"/>
      </w:pPr>
      <w:r w:rsidRPr="00ED6915">
        <w:rPr>
          <w:lang w:val="sv-SE"/>
        </w:rPr>
        <w:t>Med hänvisning till det ovanstående föreslår vi</w:t>
      </w:r>
      <w:r w:rsidR="00887EFF">
        <w:t xml:space="preserve"> </w:t>
      </w:r>
      <w:r w:rsidRPr="00ED6915">
        <w:rPr>
          <w:lang w:val="sv-SE"/>
        </w:rPr>
        <w:t>att lagtinget antar följande lagförslag:</w:t>
      </w:r>
    </w:p>
    <w:p w14:paraId="68FB60A9" w14:textId="77777777" w:rsidR="00253905" w:rsidRPr="00ED6915" w:rsidRDefault="00253905" w:rsidP="00253905">
      <w:pPr>
        <w:pStyle w:val="anormal0"/>
        <w:shd w:val="clear" w:color="auto" w:fill="FFFFFF"/>
      </w:pPr>
      <w:r w:rsidRPr="00ED6915">
        <w:rPr>
          <w:lang w:val="sv-SE"/>
        </w:rPr>
        <w:t> </w:t>
      </w:r>
    </w:p>
    <w:p w14:paraId="0EB83087" w14:textId="64944329" w:rsidR="00253905" w:rsidRPr="00ED6915" w:rsidRDefault="00253905" w:rsidP="00253905">
      <w:pPr>
        <w:pStyle w:val="klam0"/>
        <w:shd w:val="clear" w:color="auto" w:fill="FFFFFF"/>
      </w:pPr>
    </w:p>
    <w:p w14:paraId="4B2A6B8E" w14:textId="77777777" w:rsidR="00253905" w:rsidRPr="00ED6915" w:rsidRDefault="00253905" w:rsidP="00253905">
      <w:pPr>
        <w:pStyle w:val="laghuvrubr0"/>
        <w:shd w:val="clear" w:color="auto" w:fill="FFFFFF"/>
        <w:jc w:val="center"/>
        <w:rPr>
          <w:b/>
          <w:bCs/>
        </w:rPr>
      </w:pPr>
      <w:r w:rsidRPr="00ED6915">
        <w:rPr>
          <w:b/>
          <w:bCs/>
          <w:lang w:val="sv-SE"/>
        </w:rPr>
        <w:t>LANDSKAPSLAG</w:t>
      </w:r>
    </w:p>
    <w:p w14:paraId="356D0F7D" w14:textId="3BE2A55B" w:rsidR="00253905" w:rsidRPr="00ED6915" w:rsidRDefault="00253905" w:rsidP="00253905">
      <w:pPr>
        <w:pStyle w:val="laghuvrubr0"/>
        <w:shd w:val="clear" w:color="auto" w:fill="FFFFFF"/>
        <w:jc w:val="center"/>
        <w:rPr>
          <w:b/>
          <w:bCs/>
        </w:rPr>
      </w:pPr>
      <w:r w:rsidRPr="00ED6915">
        <w:rPr>
          <w:b/>
          <w:bCs/>
          <w:lang w:val="sv-SE"/>
        </w:rPr>
        <w:t> om ändring av 54 § lagtingsordningen för Åland</w:t>
      </w:r>
    </w:p>
    <w:p w14:paraId="33F7ED47" w14:textId="77777777" w:rsidR="00253905" w:rsidRPr="00ED6915" w:rsidRDefault="00253905" w:rsidP="00253905">
      <w:pPr>
        <w:pStyle w:val="laghuvrubr0"/>
        <w:shd w:val="clear" w:color="auto" w:fill="FFFFFF"/>
        <w:jc w:val="center"/>
        <w:rPr>
          <w:b/>
          <w:bCs/>
        </w:rPr>
      </w:pPr>
      <w:r w:rsidRPr="00ED6915">
        <w:rPr>
          <w:b/>
          <w:bCs/>
          <w:lang w:val="sv-SE"/>
        </w:rPr>
        <w:t> </w:t>
      </w:r>
    </w:p>
    <w:p w14:paraId="49567F7B" w14:textId="10C03304" w:rsidR="00253905" w:rsidRPr="00ED6915" w:rsidRDefault="00253905" w:rsidP="00253905">
      <w:pPr>
        <w:pStyle w:val="anormal0"/>
        <w:shd w:val="clear" w:color="auto" w:fill="FFFFFF"/>
      </w:pPr>
      <w:r w:rsidRPr="00ED6915">
        <w:rPr>
          <w:lang w:val="sv-SE"/>
        </w:rPr>
        <w:t>I enlighet med lagtingets beslut </w:t>
      </w:r>
      <w:r w:rsidR="008329A8" w:rsidRPr="00ED6915">
        <w:rPr>
          <w:b/>
          <w:bCs/>
          <w:lang w:val="sv-SE"/>
        </w:rPr>
        <w:t xml:space="preserve">fogas </w:t>
      </w:r>
      <w:r w:rsidR="008329A8" w:rsidRPr="00ED6915">
        <w:rPr>
          <w:lang w:val="sv-SE"/>
        </w:rPr>
        <w:t xml:space="preserve">ett nytt 4 </w:t>
      </w:r>
      <w:proofErr w:type="spellStart"/>
      <w:r w:rsidR="008329A8" w:rsidRPr="00ED6915">
        <w:rPr>
          <w:lang w:val="sv-SE"/>
        </w:rPr>
        <w:t>mom</w:t>
      </w:r>
      <w:proofErr w:type="spellEnd"/>
      <w:r w:rsidR="008329A8" w:rsidRPr="00ED6915">
        <w:rPr>
          <w:lang w:val="sv-SE"/>
        </w:rPr>
        <w:t xml:space="preserve"> till 54</w:t>
      </w:r>
      <w:r w:rsidRPr="00ED6915">
        <w:rPr>
          <w:lang w:val="sv-SE"/>
        </w:rPr>
        <w:t> § lagtingsordningen (2011:97) för landskapet Åland, som följer:</w:t>
      </w:r>
    </w:p>
    <w:p w14:paraId="16655E7D" w14:textId="77777777" w:rsidR="00253905" w:rsidRPr="00ED6915" w:rsidRDefault="00253905" w:rsidP="00253905">
      <w:pPr>
        <w:pStyle w:val="anormal0"/>
        <w:shd w:val="clear" w:color="auto" w:fill="FFFFFF"/>
      </w:pPr>
      <w:r w:rsidRPr="00ED6915">
        <w:rPr>
          <w:lang w:val="sv-SE"/>
        </w:rPr>
        <w:t> </w:t>
      </w:r>
    </w:p>
    <w:p w14:paraId="61621AE7" w14:textId="77777777" w:rsidR="000E091E" w:rsidRDefault="00D36E3F" w:rsidP="000E091E">
      <w:pPr>
        <w:pStyle w:val="lagpararubrik0"/>
        <w:shd w:val="clear" w:color="auto" w:fill="FFFFFF"/>
        <w:jc w:val="center"/>
        <w:rPr>
          <w:i/>
          <w:iCs/>
          <w:lang w:val="sv-SE"/>
        </w:rPr>
      </w:pPr>
      <w:r>
        <w:rPr>
          <w:i/>
          <w:iCs/>
        </w:rPr>
        <w:t xml:space="preserve"> </w:t>
      </w:r>
      <w:r w:rsidRPr="00ED6915">
        <w:rPr>
          <w:i/>
          <w:iCs/>
          <w:lang w:val="sv-SE"/>
        </w:rPr>
        <w:t xml:space="preserve">54 </w:t>
      </w:r>
      <w:r w:rsidR="00815777">
        <w:rPr>
          <w:i/>
          <w:iCs/>
          <w:lang w:val="sv-SE"/>
        </w:rPr>
        <w:t>§</w:t>
      </w:r>
      <w:r w:rsidR="002350BD">
        <w:rPr>
          <w:i/>
          <w:iCs/>
          <w:lang w:val="sv-SE"/>
        </w:rPr>
        <w:t xml:space="preserve"> </w:t>
      </w:r>
    </w:p>
    <w:p w14:paraId="18BB555F" w14:textId="01096B32" w:rsidR="00D36E3F" w:rsidRDefault="002350BD" w:rsidP="000E091E">
      <w:pPr>
        <w:pStyle w:val="lagpararubrik0"/>
        <w:shd w:val="clear" w:color="auto" w:fill="FFFFFF"/>
        <w:jc w:val="center"/>
        <w:rPr>
          <w:i/>
          <w:iCs/>
          <w:lang w:val="sv-SE"/>
        </w:rPr>
      </w:pPr>
      <w:r>
        <w:rPr>
          <w:i/>
          <w:iCs/>
          <w:lang w:val="sv-SE"/>
        </w:rPr>
        <w:t>Anslag i budgeten</w:t>
      </w:r>
    </w:p>
    <w:p w14:paraId="12AB2495" w14:textId="6D94046D" w:rsidR="002350BD" w:rsidRPr="00ED6915" w:rsidRDefault="002350BD" w:rsidP="00D36E3F">
      <w:pPr>
        <w:pStyle w:val="lagpararubrik0"/>
        <w:shd w:val="clear" w:color="auto" w:fill="FFFFFF"/>
        <w:jc w:val="center"/>
        <w:rPr>
          <w:i/>
          <w:iCs/>
        </w:rPr>
      </w:pPr>
      <w:r>
        <w:rPr>
          <w:i/>
          <w:iCs/>
          <w:lang w:val="sv-SE"/>
        </w:rPr>
        <w:t>-----------------------------------------------------------------------------</w:t>
      </w:r>
      <w:r w:rsidR="00F82DAD">
        <w:rPr>
          <w:i/>
          <w:iCs/>
          <w:lang w:val="sv-SE"/>
        </w:rPr>
        <w:t>------</w:t>
      </w:r>
    </w:p>
    <w:p w14:paraId="1B88BD1E" w14:textId="010457CB" w:rsidR="003C0C78" w:rsidRPr="002350BD" w:rsidRDefault="002350BD" w:rsidP="002350BD">
      <w:r>
        <w:rPr>
          <w:i/>
          <w:iCs/>
        </w:rPr>
        <w:t>E</w:t>
      </w:r>
      <w:r w:rsidRPr="00ED6915">
        <w:rPr>
          <w:i/>
          <w:iCs/>
        </w:rPr>
        <w:t xml:space="preserve">nskilda infrastrukturanslag vars värde överstiger 10 miljoner euro antas med kvalificerad majoritet enligt vad som stadgas i lagtingsordningen § 35. För att avbryta infrastruktursatsningar som antagits med kvalificerad majoritet fordras kvalificerad majoritet. </w:t>
      </w:r>
    </w:p>
    <w:p w14:paraId="30C8D0DB" w14:textId="13BDE462" w:rsidR="00253905" w:rsidRPr="00ED6915" w:rsidRDefault="00253905" w:rsidP="00253905">
      <w:pPr>
        <w:pStyle w:val="anormal0"/>
        <w:shd w:val="clear" w:color="auto" w:fill="FFFFFF"/>
        <w:jc w:val="center"/>
      </w:pPr>
      <w:r w:rsidRPr="00ED6915">
        <w:t>______________</w:t>
      </w:r>
      <w:r w:rsidR="00F10435">
        <w:t>_</w:t>
      </w:r>
    </w:p>
    <w:p w14:paraId="230122C0" w14:textId="77777777" w:rsidR="00253905" w:rsidRPr="00ED6915" w:rsidRDefault="00253905" w:rsidP="00253905">
      <w:pPr>
        <w:pStyle w:val="anormal0"/>
        <w:shd w:val="clear" w:color="auto" w:fill="FFFFFF"/>
      </w:pPr>
      <w:r w:rsidRPr="00ED6915">
        <w:t> </w:t>
      </w:r>
    </w:p>
    <w:p w14:paraId="7D9ED445" w14:textId="4A63D302" w:rsidR="00253905" w:rsidRPr="00ED6915" w:rsidRDefault="00253905" w:rsidP="00253905">
      <w:pPr>
        <w:pStyle w:val="anormal0"/>
        <w:shd w:val="clear" w:color="auto" w:fill="FFFFFF"/>
      </w:pPr>
      <w:r w:rsidRPr="00ED6915">
        <w:rPr>
          <w:lang w:val="sv-SE"/>
        </w:rPr>
        <w:t xml:space="preserve">Denna lag träder i kraft den 1 </w:t>
      </w:r>
      <w:r w:rsidR="00A94166" w:rsidRPr="00ED6915">
        <w:rPr>
          <w:lang w:val="sv-SE"/>
        </w:rPr>
        <w:t>juli</w:t>
      </w:r>
      <w:r w:rsidRPr="00ED6915">
        <w:rPr>
          <w:lang w:val="sv-SE"/>
        </w:rPr>
        <w:t xml:space="preserve"> 20</w:t>
      </w:r>
      <w:r w:rsidR="00A94166" w:rsidRPr="00ED6915">
        <w:rPr>
          <w:lang w:val="sv-SE"/>
        </w:rPr>
        <w:t>24</w:t>
      </w:r>
      <w:r w:rsidRPr="00ED6915">
        <w:rPr>
          <w:lang w:val="sv-SE"/>
        </w:rPr>
        <w:t>.</w:t>
      </w:r>
    </w:p>
    <w:p w14:paraId="3E4398E2" w14:textId="0BE4ADC3" w:rsidR="00253905" w:rsidRPr="00ED6915" w:rsidRDefault="00253905" w:rsidP="00253905">
      <w:pPr>
        <w:pStyle w:val="anormal0"/>
        <w:shd w:val="clear" w:color="auto" w:fill="FFFFFF"/>
      </w:pPr>
      <w:r w:rsidRPr="00ED6915">
        <w:rPr>
          <w:lang w:val="sv-SE"/>
        </w:rPr>
        <w:t>  </w:t>
      </w:r>
    </w:p>
    <w:tbl>
      <w:tblPr>
        <w:tblW w:w="79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4"/>
        <w:gridCol w:w="3477"/>
      </w:tblGrid>
      <w:tr w:rsidR="00ED6915" w:rsidRPr="00ED6915" w14:paraId="1C8F62DF" w14:textId="77777777" w:rsidTr="00253905">
        <w:tc>
          <w:tcPr>
            <w:tcW w:w="7931" w:type="dxa"/>
            <w:gridSpan w:val="2"/>
            <w:shd w:val="clear" w:color="auto" w:fill="FFFFFF"/>
            <w:hideMark/>
          </w:tcPr>
          <w:p w14:paraId="424CEF91" w14:textId="7CD62933" w:rsidR="00253905" w:rsidRPr="00ED6915" w:rsidRDefault="00253905">
            <w:pPr>
              <w:pStyle w:val="anormal0"/>
            </w:pPr>
            <w:r w:rsidRPr="00ED6915">
              <w:rPr>
                <w:lang w:val="sv-SE"/>
              </w:rPr>
              <w:lastRenderedPageBreak/>
              <w:t xml:space="preserve">Mariehamn den </w:t>
            </w:r>
            <w:r w:rsidR="00582CB4">
              <w:rPr>
                <w:lang w:val="sv-SE"/>
              </w:rPr>
              <w:t>20</w:t>
            </w:r>
            <w:r w:rsidRPr="00ED6915">
              <w:rPr>
                <w:lang w:val="sv-SE"/>
              </w:rPr>
              <w:t xml:space="preserve"> </w:t>
            </w:r>
            <w:r w:rsidR="00A94166" w:rsidRPr="00ED6915">
              <w:rPr>
                <w:lang w:val="sv-SE"/>
              </w:rPr>
              <w:t>mars</w:t>
            </w:r>
            <w:r w:rsidRPr="00ED6915">
              <w:rPr>
                <w:lang w:val="sv-SE"/>
              </w:rPr>
              <w:t xml:space="preserve"> 20</w:t>
            </w:r>
            <w:r w:rsidR="00A94166" w:rsidRPr="00ED6915">
              <w:rPr>
                <w:lang w:val="sv-SE"/>
              </w:rPr>
              <w:t>24</w:t>
            </w:r>
          </w:p>
        </w:tc>
      </w:tr>
      <w:tr w:rsidR="00ED6915" w:rsidRPr="00ED6915" w14:paraId="2AD98614" w14:textId="77777777" w:rsidTr="00253905">
        <w:tc>
          <w:tcPr>
            <w:tcW w:w="4454" w:type="dxa"/>
            <w:shd w:val="clear" w:color="auto" w:fill="FFFFFF"/>
            <w:vAlign w:val="bottom"/>
            <w:hideMark/>
          </w:tcPr>
          <w:p w14:paraId="43D0CCA5" w14:textId="77777777" w:rsidR="00253905" w:rsidRPr="00ED6915" w:rsidRDefault="00253905">
            <w:pPr>
              <w:pStyle w:val="anormal0"/>
            </w:pPr>
            <w:r w:rsidRPr="00ED6915">
              <w:rPr>
                <w:lang w:val="sv-SE"/>
              </w:rPr>
              <w:t> </w:t>
            </w:r>
          </w:p>
          <w:p w14:paraId="3C47A24B" w14:textId="77777777" w:rsidR="00253905" w:rsidRPr="00ED6915" w:rsidRDefault="00253905">
            <w:pPr>
              <w:pStyle w:val="anormal0"/>
            </w:pPr>
            <w:r w:rsidRPr="00ED6915">
              <w:rPr>
                <w:lang w:val="sv-SE"/>
              </w:rPr>
              <w:t> </w:t>
            </w:r>
          </w:p>
          <w:p w14:paraId="2329F49C" w14:textId="29E197D4" w:rsidR="00253905" w:rsidRPr="00ED6915" w:rsidRDefault="00A94166">
            <w:pPr>
              <w:pStyle w:val="anormal0"/>
            </w:pPr>
            <w:r w:rsidRPr="00ED6915">
              <w:t>Mika Nordberg</w:t>
            </w:r>
          </w:p>
        </w:tc>
        <w:tc>
          <w:tcPr>
            <w:tcW w:w="3477" w:type="dxa"/>
            <w:shd w:val="clear" w:color="auto" w:fill="FFFFFF"/>
            <w:vAlign w:val="bottom"/>
            <w:hideMark/>
          </w:tcPr>
          <w:p w14:paraId="1B99C497" w14:textId="77777777" w:rsidR="00253905" w:rsidRPr="00ED6915" w:rsidRDefault="00253905">
            <w:pPr>
              <w:pStyle w:val="anormal0"/>
            </w:pPr>
            <w:r w:rsidRPr="00ED6915">
              <w:rPr>
                <w:lang w:val="sv-SE"/>
              </w:rPr>
              <w:t> </w:t>
            </w:r>
          </w:p>
          <w:p w14:paraId="75178601" w14:textId="77777777" w:rsidR="00253905" w:rsidRPr="00ED6915" w:rsidRDefault="00253905">
            <w:pPr>
              <w:pStyle w:val="anormal0"/>
            </w:pPr>
            <w:r w:rsidRPr="00ED6915">
              <w:rPr>
                <w:lang w:val="sv-SE"/>
              </w:rPr>
              <w:t> </w:t>
            </w:r>
          </w:p>
          <w:p w14:paraId="227CDA90" w14:textId="17C339D3" w:rsidR="00253905" w:rsidRPr="00ED6915" w:rsidRDefault="00A94166">
            <w:pPr>
              <w:pStyle w:val="anormal0"/>
            </w:pPr>
            <w:r w:rsidRPr="00ED6915">
              <w:t>Wille Valve</w:t>
            </w:r>
          </w:p>
        </w:tc>
      </w:tr>
      <w:tr w:rsidR="00ED6915" w:rsidRPr="00ED6915" w14:paraId="59546FF0" w14:textId="77777777" w:rsidTr="00253905">
        <w:tc>
          <w:tcPr>
            <w:tcW w:w="4454" w:type="dxa"/>
            <w:shd w:val="clear" w:color="auto" w:fill="FFFFFF"/>
            <w:vAlign w:val="bottom"/>
            <w:hideMark/>
          </w:tcPr>
          <w:p w14:paraId="75F976D8" w14:textId="77777777" w:rsidR="00253905" w:rsidRPr="00ED6915" w:rsidRDefault="00253905">
            <w:pPr>
              <w:pStyle w:val="anormal0"/>
            </w:pPr>
            <w:r w:rsidRPr="00ED6915">
              <w:rPr>
                <w:lang w:val="sv-SE"/>
              </w:rPr>
              <w:t> </w:t>
            </w:r>
          </w:p>
          <w:p w14:paraId="7E51248A" w14:textId="77777777" w:rsidR="00253905" w:rsidRPr="00ED6915" w:rsidRDefault="00253905">
            <w:pPr>
              <w:pStyle w:val="anormal0"/>
            </w:pPr>
            <w:r w:rsidRPr="00ED6915">
              <w:rPr>
                <w:lang w:val="sv-SE"/>
              </w:rPr>
              <w:t> </w:t>
            </w:r>
          </w:p>
          <w:p w14:paraId="09F3CDE1" w14:textId="696D608B" w:rsidR="00253905" w:rsidRPr="00ED6915" w:rsidRDefault="00A94166">
            <w:pPr>
              <w:pStyle w:val="anormal0"/>
            </w:pPr>
            <w:r w:rsidRPr="00ED6915">
              <w:t>Annette Holmberg-Jansson</w:t>
            </w:r>
          </w:p>
        </w:tc>
        <w:tc>
          <w:tcPr>
            <w:tcW w:w="3477" w:type="dxa"/>
            <w:shd w:val="clear" w:color="auto" w:fill="FFFFFF"/>
            <w:vAlign w:val="bottom"/>
            <w:hideMark/>
          </w:tcPr>
          <w:p w14:paraId="692DDB12" w14:textId="77777777" w:rsidR="00253905" w:rsidRPr="00ED6915" w:rsidRDefault="00253905">
            <w:pPr>
              <w:pStyle w:val="anormal0"/>
            </w:pPr>
            <w:r w:rsidRPr="00ED6915">
              <w:rPr>
                <w:lang w:val="sv-SE"/>
              </w:rPr>
              <w:t> </w:t>
            </w:r>
          </w:p>
          <w:p w14:paraId="1F3A336F" w14:textId="77777777" w:rsidR="00253905" w:rsidRPr="00ED6915" w:rsidRDefault="00253905">
            <w:pPr>
              <w:pStyle w:val="anormal0"/>
            </w:pPr>
            <w:r w:rsidRPr="00ED6915">
              <w:rPr>
                <w:lang w:val="sv-SE"/>
              </w:rPr>
              <w:t> </w:t>
            </w:r>
          </w:p>
          <w:p w14:paraId="16D3E066" w14:textId="05A5C980" w:rsidR="00253905" w:rsidRPr="00ED6915" w:rsidRDefault="00A94166">
            <w:pPr>
              <w:pStyle w:val="anormal0"/>
            </w:pPr>
            <w:r w:rsidRPr="00ED6915">
              <w:rPr>
                <w:lang w:val="sv-SE"/>
              </w:rPr>
              <w:t>Anders Holmberg</w:t>
            </w:r>
            <w:r w:rsidR="00253905" w:rsidRPr="00ED6915">
              <w:rPr>
                <w:lang w:val="sv-SE"/>
              </w:rPr>
              <w:t> </w:t>
            </w:r>
          </w:p>
        </w:tc>
      </w:tr>
    </w:tbl>
    <w:p w14:paraId="37F174D9" w14:textId="77777777" w:rsidR="00253905" w:rsidRPr="00ED6915" w:rsidRDefault="00253905" w:rsidP="00253905">
      <w:pPr>
        <w:pStyle w:val="ANormal"/>
      </w:pPr>
    </w:p>
    <w:p w14:paraId="732F623F" w14:textId="77777777" w:rsidR="00253905" w:rsidRPr="00ED6915" w:rsidRDefault="00253905" w:rsidP="00253905">
      <w:pPr>
        <w:pStyle w:val="ANormal"/>
      </w:pPr>
    </w:p>
    <w:p w14:paraId="4F40B1E6" w14:textId="77777777" w:rsidR="00253905" w:rsidRPr="00ED6915" w:rsidRDefault="00253905" w:rsidP="00253905">
      <w:pPr>
        <w:pStyle w:val="ANormal"/>
      </w:pPr>
    </w:p>
    <w:p w14:paraId="0EC4439B" w14:textId="77777777" w:rsidR="00253905" w:rsidRPr="00ED6915" w:rsidRDefault="00253905" w:rsidP="00253905">
      <w:pPr>
        <w:pStyle w:val="ANormal"/>
      </w:pPr>
    </w:p>
    <w:p w14:paraId="0B1912B5" w14:textId="77777777" w:rsidR="00BA32A8" w:rsidRPr="00ED6915" w:rsidRDefault="00BA32A8" w:rsidP="00BA32A8">
      <w:pPr>
        <w:pStyle w:val="Rubrikmellanrum"/>
      </w:pPr>
    </w:p>
    <w:p w14:paraId="5BEF5F67" w14:textId="77777777" w:rsidR="00BA32A8" w:rsidRPr="00ED6915" w:rsidRDefault="00BA32A8" w:rsidP="00BA32A8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ED6915" w:rsidRPr="00ED6915" w14:paraId="4B87C24F" w14:textId="77777777" w:rsidTr="00AD1F5D">
        <w:trPr>
          <w:trHeight w:val="802"/>
        </w:trPr>
        <w:tc>
          <w:tcPr>
            <w:tcW w:w="4454" w:type="dxa"/>
            <w:vAlign w:val="bottom"/>
          </w:tcPr>
          <w:p w14:paraId="5CABA1C0" w14:textId="77777777" w:rsidR="00452866" w:rsidRPr="00ED6915" w:rsidRDefault="00452866" w:rsidP="00DE558A">
            <w:pPr>
              <w:pStyle w:val="ANormal"/>
            </w:pPr>
          </w:p>
          <w:p w14:paraId="3F693817" w14:textId="77777777" w:rsidR="00452866" w:rsidRPr="00ED6915" w:rsidRDefault="00452866" w:rsidP="00DE558A">
            <w:pPr>
              <w:pStyle w:val="ANormal"/>
            </w:pPr>
          </w:p>
          <w:p w14:paraId="42999D73" w14:textId="2A9A6E55" w:rsidR="00452866" w:rsidRPr="00ED6915" w:rsidRDefault="00452866" w:rsidP="00DE558A">
            <w:pPr>
              <w:pStyle w:val="ANormal"/>
            </w:pPr>
          </w:p>
        </w:tc>
        <w:tc>
          <w:tcPr>
            <w:tcW w:w="3477" w:type="dxa"/>
            <w:vAlign w:val="bottom"/>
          </w:tcPr>
          <w:p w14:paraId="1A3A2F7A" w14:textId="77777777" w:rsidR="00452866" w:rsidRPr="00ED6915" w:rsidRDefault="00452866" w:rsidP="00DE558A">
            <w:pPr>
              <w:pStyle w:val="ANormal"/>
            </w:pPr>
          </w:p>
          <w:p w14:paraId="453C27F9" w14:textId="77777777" w:rsidR="00452866" w:rsidRPr="00ED6915" w:rsidRDefault="00452866" w:rsidP="00DE558A">
            <w:pPr>
              <w:pStyle w:val="ANormal"/>
            </w:pPr>
          </w:p>
          <w:p w14:paraId="2FD64E54" w14:textId="6AE787DD" w:rsidR="00452866" w:rsidRPr="00ED6915" w:rsidRDefault="00452866" w:rsidP="00DE558A">
            <w:pPr>
              <w:pStyle w:val="ANormal"/>
            </w:pPr>
          </w:p>
        </w:tc>
      </w:tr>
      <w:tr w:rsidR="00ED6915" w:rsidRPr="00ED6915" w14:paraId="6D37086E" w14:textId="77777777" w:rsidTr="009B1CA0">
        <w:tc>
          <w:tcPr>
            <w:tcW w:w="4454" w:type="dxa"/>
            <w:vAlign w:val="bottom"/>
          </w:tcPr>
          <w:p w14:paraId="480A4491" w14:textId="77777777" w:rsidR="009B1CA0" w:rsidRPr="00ED6915" w:rsidRDefault="009B1CA0" w:rsidP="00CF41DA">
            <w:pPr>
              <w:pStyle w:val="ANormal"/>
            </w:pPr>
          </w:p>
          <w:p w14:paraId="004E7358" w14:textId="77777777" w:rsidR="00452866" w:rsidRPr="00ED6915" w:rsidRDefault="00452866" w:rsidP="00CF41DA">
            <w:pPr>
              <w:pStyle w:val="ANormal"/>
            </w:pPr>
          </w:p>
          <w:p w14:paraId="4CF54751" w14:textId="7D78C3C0" w:rsidR="009B1CA0" w:rsidRPr="00ED6915" w:rsidRDefault="009B1CA0" w:rsidP="00CF41DA">
            <w:pPr>
              <w:pStyle w:val="ANormal"/>
            </w:pPr>
          </w:p>
        </w:tc>
        <w:tc>
          <w:tcPr>
            <w:tcW w:w="3477" w:type="dxa"/>
            <w:vAlign w:val="bottom"/>
          </w:tcPr>
          <w:p w14:paraId="78BDC3B1" w14:textId="77777777" w:rsidR="009B1CA0" w:rsidRPr="00ED6915" w:rsidRDefault="009B1CA0" w:rsidP="00CF41DA">
            <w:pPr>
              <w:pStyle w:val="ANormal"/>
            </w:pPr>
          </w:p>
          <w:p w14:paraId="23095244" w14:textId="77777777" w:rsidR="009B1CA0" w:rsidRPr="00ED6915" w:rsidRDefault="009B1CA0" w:rsidP="00CF41DA">
            <w:pPr>
              <w:pStyle w:val="ANormal"/>
            </w:pPr>
          </w:p>
          <w:p w14:paraId="37A5C302" w14:textId="4F54145B" w:rsidR="009B1CA0" w:rsidRPr="00ED6915" w:rsidRDefault="009B1CA0" w:rsidP="00CF41DA">
            <w:pPr>
              <w:pStyle w:val="ANormal"/>
            </w:pPr>
          </w:p>
        </w:tc>
      </w:tr>
      <w:tr w:rsidR="00ED6915" w:rsidRPr="00ED6915" w14:paraId="5577A32E" w14:textId="77777777" w:rsidTr="009B1CA0">
        <w:tc>
          <w:tcPr>
            <w:tcW w:w="4454" w:type="dxa"/>
            <w:vAlign w:val="bottom"/>
          </w:tcPr>
          <w:p w14:paraId="44361815" w14:textId="77777777" w:rsidR="009B1CA0" w:rsidRPr="00ED6915" w:rsidRDefault="009B1CA0" w:rsidP="00CF41DA">
            <w:pPr>
              <w:pStyle w:val="ANormal"/>
            </w:pPr>
          </w:p>
          <w:p w14:paraId="3729FA8F" w14:textId="2D3FA3B9" w:rsidR="009B1CA0" w:rsidRPr="00ED6915" w:rsidRDefault="009B1CA0" w:rsidP="00CF41DA">
            <w:pPr>
              <w:pStyle w:val="ANormal"/>
            </w:pPr>
          </w:p>
        </w:tc>
        <w:tc>
          <w:tcPr>
            <w:tcW w:w="3477" w:type="dxa"/>
            <w:vAlign w:val="bottom"/>
          </w:tcPr>
          <w:p w14:paraId="607E0A80" w14:textId="77777777" w:rsidR="009B1CA0" w:rsidRPr="00ED6915" w:rsidRDefault="009B1CA0" w:rsidP="00CF41DA">
            <w:pPr>
              <w:pStyle w:val="ANormal"/>
            </w:pPr>
          </w:p>
          <w:p w14:paraId="5E65C670" w14:textId="77777777" w:rsidR="009B1CA0" w:rsidRPr="00ED6915" w:rsidRDefault="009B1CA0" w:rsidP="00CF41DA">
            <w:pPr>
              <w:pStyle w:val="ANormal"/>
            </w:pPr>
          </w:p>
          <w:p w14:paraId="017A8CC9" w14:textId="679DD6A0" w:rsidR="009B1CA0" w:rsidRPr="00ED6915" w:rsidRDefault="009B1CA0" w:rsidP="00CF41DA">
            <w:pPr>
              <w:pStyle w:val="ANormal"/>
            </w:pPr>
          </w:p>
        </w:tc>
      </w:tr>
    </w:tbl>
    <w:p w14:paraId="1DB6E2BC" w14:textId="0C24FAFA" w:rsidR="00AA6C4F" w:rsidRDefault="00AA6C4F">
      <w:pPr>
        <w:pStyle w:val="ANormal"/>
      </w:pPr>
    </w:p>
    <w:sectPr w:rsidR="00AA6C4F">
      <w:headerReference w:type="even" r:id="rId10"/>
      <w:headerReference w:type="default" r:id="rId11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93F49" w14:textId="77777777" w:rsidR="00A17BBA" w:rsidRDefault="00A17BBA">
      <w:r>
        <w:separator/>
      </w:r>
    </w:p>
  </w:endnote>
  <w:endnote w:type="continuationSeparator" w:id="0">
    <w:p w14:paraId="00FCA19F" w14:textId="77777777" w:rsidR="00A17BBA" w:rsidRDefault="00A1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EEDBA" w14:textId="77777777" w:rsidR="00A17BBA" w:rsidRDefault="00A17BBA">
      <w:r>
        <w:separator/>
      </w:r>
    </w:p>
  </w:footnote>
  <w:footnote w:type="continuationSeparator" w:id="0">
    <w:p w14:paraId="53DF43A4" w14:textId="77777777" w:rsidR="00A17BBA" w:rsidRDefault="00A17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8018F" w14:textId="77777777"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AB4600">
      <w:rPr>
        <w:rStyle w:val="Sidnummer"/>
        <w:noProof/>
      </w:rPr>
      <w:t>2</w:t>
    </w:r>
    <w:r>
      <w:rPr>
        <w:rStyle w:val="Sidnummer"/>
      </w:rPr>
      <w:fldChar w:fldCharType="end"/>
    </w:r>
  </w:p>
  <w:p w14:paraId="2D50A40A" w14:textId="77777777" w:rsidR="003011C1" w:rsidRDefault="003011C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EE93" w14:textId="77777777"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B1CA0"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A46A2"/>
    <w:multiLevelType w:val="multilevel"/>
    <w:tmpl w:val="D63E8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68227872">
    <w:abstractNumId w:val="6"/>
  </w:num>
  <w:num w:numId="2" w16cid:durableId="1398819716">
    <w:abstractNumId w:val="3"/>
  </w:num>
  <w:num w:numId="3" w16cid:durableId="935599556">
    <w:abstractNumId w:val="2"/>
  </w:num>
  <w:num w:numId="4" w16cid:durableId="976372721">
    <w:abstractNumId w:val="1"/>
  </w:num>
  <w:num w:numId="5" w16cid:durableId="332999974">
    <w:abstractNumId w:val="0"/>
  </w:num>
  <w:num w:numId="6" w16cid:durableId="1485122660">
    <w:abstractNumId w:val="7"/>
  </w:num>
  <w:num w:numId="7" w16cid:durableId="780151555">
    <w:abstractNumId w:val="5"/>
  </w:num>
  <w:num w:numId="8" w16cid:durableId="1857649658">
    <w:abstractNumId w:val="4"/>
  </w:num>
  <w:num w:numId="9" w16cid:durableId="941424999">
    <w:abstractNumId w:val="11"/>
  </w:num>
  <w:num w:numId="10" w16cid:durableId="978262548">
    <w:abstractNumId w:val="15"/>
  </w:num>
  <w:num w:numId="11" w16cid:durableId="489448273">
    <w:abstractNumId w:val="14"/>
  </w:num>
  <w:num w:numId="12" w16cid:durableId="1755974937">
    <w:abstractNumId w:val="18"/>
  </w:num>
  <w:num w:numId="13" w16cid:durableId="1603993836">
    <w:abstractNumId w:val="13"/>
  </w:num>
  <w:num w:numId="14" w16cid:durableId="522324719">
    <w:abstractNumId w:val="17"/>
  </w:num>
  <w:num w:numId="15" w16cid:durableId="1792892745">
    <w:abstractNumId w:val="10"/>
  </w:num>
  <w:num w:numId="16" w16cid:durableId="23944388">
    <w:abstractNumId w:val="23"/>
  </w:num>
  <w:num w:numId="17" w16cid:durableId="1742675494">
    <w:abstractNumId w:val="9"/>
  </w:num>
  <w:num w:numId="18" w16cid:durableId="1699233451">
    <w:abstractNumId w:val="19"/>
  </w:num>
  <w:num w:numId="19" w16cid:durableId="774180253">
    <w:abstractNumId w:val="22"/>
  </w:num>
  <w:num w:numId="20" w16cid:durableId="1928339626">
    <w:abstractNumId w:val="25"/>
  </w:num>
  <w:num w:numId="21" w16cid:durableId="440758994">
    <w:abstractNumId w:val="24"/>
  </w:num>
  <w:num w:numId="22" w16cid:durableId="1821381042">
    <w:abstractNumId w:val="16"/>
  </w:num>
  <w:num w:numId="23" w16cid:durableId="149519618">
    <w:abstractNumId w:val="20"/>
  </w:num>
  <w:num w:numId="24" w16cid:durableId="901520578">
    <w:abstractNumId w:val="20"/>
  </w:num>
  <w:num w:numId="25" w16cid:durableId="770660108">
    <w:abstractNumId w:val="21"/>
  </w:num>
  <w:num w:numId="26" w16cid:durableId="2042852632">
    <w:abstractNumId w:val="16"/>
  </w:num>
  <w:num w:numId="27" w16cid:durableId="2044161325">
    <w:abstractNumId w:val="16"/>
  </w:num>
  <w:num w:numId="28" w16cid:durableId="1492679117">
    <w:abstractNumId w:val="16"/>
  </w:num>
  <w:num w:numId="29" w16cid:durableId="52120125">
    <w:abstractNumId w:val="16"/>
  </w:num>
  <w:num w:numId="30" w16cid:durableId="226569572">
    <w:abstractNumId w:val="16"/>
  </w:num>
  <w:num w:numId="31" w16cid:durableId="383063351">
    <w:abstractNumId w:val="16"/>
  </w:num>
  <w:num w:numId="32" w16cid:durableId="1033919842">
    <w:abstractNumId w:val="16"/>
  </w:num>
  <w:num w:numId="33" w16cid:durableId="599218063">
    <w:abstractNumId w:val="16"/>
  </w:num>
  <w:num w:numId="34" w16cid:durableId="981230994">
    <w:abstractNumId w:val="16"/>
  </w:num>
  <w:num w:numId="35" w16cid:durableId="963387684">
    <w:abstractNumId w:val="20"/>
  </w:num>
  <w:num w:numId="36" w16cid:durableId="1858620109">
    <w:abstractNumId w:val="21"/>
  </w:num>
  <w:num w:numId="37" w16cid:durableId="145318962">
    <w:abstractNumId w:val="16"/>
  </w:num>
  <w:num w:numId="38" w16cid:durableId="1568104968">
    <w:abstractNumId w:val="16"/>
  </w:num>
  <w:num w:numId="39" w16cid:durableId="279383760">
    <w:abstractNumId w:val="16"/>
  </w:num>
  <w:num w:numId="40" w16cid:durableId="930704844">
    <w:abstractNumId w:val="16"/>
  </w:num>
  <w:num w:numId="41" w16cid:durableId="1141968701">
    <w:abstractNumId w:val="16"/>
  </w:num>
  <w:num w:numId="42" w16cid:durableId="1617829755">
    <w:abstractNumId w:val="16"/>
  </w:num>
  <w:num w:numId="43" w16cid:durableId="1726876366">
    <w:abstractNumId w:val="16"/>
  </w:num>
  <w:num w:numId="44" w16cid:durableId="55664832">
    <w:abstractNumId w:val="16"/>
  </w:num>
  <w:num w:numId="45" w16cid:durableId="1550921975">
    <w:abstractNumId w:val="16"/>
  </w:num>
  <w:num w:numId="46" w16cid:durableId="285240862">
    <w:abstractNumId w:val="8"/>
  </w:num>
  <w:num w:numId="47" w16cid:durableId="15781319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AF0"/>
    <w:rsid w:val="00010380"/>
    <w:rsid w:val="000267A0"/>
    <w:rsid w:val="00030472"/>
    <w:rsid w:val="0003509A"/>
    <w:rsid w:val="00035174"/>
    <w:rsid w:val="00042593"/>
    <w:rsid w:val="00045708"/>
    <w:rsid w:val="00046A9E"/>
    <w:rsid w:val="00061CFF"/>
    <w:rsid w:val="000867BA"/>
    <w:rsid w:val="00092194"/>
    <w:rsid w:val="00093B46"/>
    <w:rsid w:val="00096918"/>
    <w:rsid w:val="000A4B21"/>
    <w:rsid w:val="000B11AE"/>
    <w:rsid w:val="000B3F00"/>
    <w:rsid w:val="000C3E3A"/>
    <w:rsid w:val="000D3061"/>
    <w:rsid w:val="000E091E"/>
    <w:rsid w:val="000E5069"/>
    <w:rsid w:val="000E75B2"/>
    <w:rsid w:val="000F4204"/>
    <w:rsid w:val="000F54AD"/>
    <w:rsid w:val="0010413C"/>
    <w:rsid w:val="001120C3"/>
    <w:rsid w:val="001162C7"/>
    <w:rsid w:val="0012085E"/>
    <w:rsid w:val="001217CC"/>
    <w:rsid w:val="00162148"/>
    <w:rsid w:val="0016288E"/>
    <w:rsid w:val="00182483"/>
    <w:rsid w:val="001A1CD9"/>
    <w:rsid w:val="001E309C"/>
    <w:rsid w:val="001E6400"/>
    <w:rsid w:val="001F00B8"/>
    <w:rsid w:val="001F450C"/>
    <w:rsid w:val="0022472A"/>
    <w:rsid w:val="002350BD"/>
    <w:rsid w:val="002352A3"/>
    <w:rsid w:val="00253905"/>
    <w:rsid w:val="00257C33"/>
    <w:rsid w:val="00265D82"/>
    <w:rsid w:val="00273983"/>
    <w:rsid w:val="002A163B"/>
    <w:rsid w:val="002A3695"/>
    <w:rsid w:val="002A7C53"/>
    <w:rsid w:val="002A7DCE"/>
    <w:rsid w:val="002C792D"/>
    <w:rsid w:val="002E1060"/>
    <w:rsid w:val="002F2207"/>
    <w:rsid w:val="002F50E4"/>
    <w:rsid w:val="003011C1"/>
    <w:rsid w:val="0030500C"/>
    <w:rsid w:val="00317929"/>
    <w:rsid w:val="003202AD"/>
    <w:rsid w:val="00336093"/>
    <w:rsid w:val="00340B41"/>
    <w:rsid w:val="00351742"/>
    <w:rsid w:val="00356B5F"/>
    <w:rsid w:val="00372AC0"/>
    <w:rsid w:val="00372C6E"/>
    <w:rsid w:val="003732CB"/>
    <w:rsid w:val="00377141"/>
    <w:rsid w:val="0038300C"/>
    <w:rsid w:val="003849C3"/>
    <w:rsid w:val="003855F1"/>
    <w:rsid w:val="003927D4"/>
    <w:rsid w:val="003A425E"/>
    <w:rsid w:val="003B04B5"/>
    <w:rsid w:val="003B30BA"/>
    <w:rsid w:val="003C0C78"/>
    <w:rsid w:val="003D1AF5"/>
    <w:rsid w:val="003D7E76"/>
    <w:rsid w:val="003E4B75"/>
    <w:rsid w:val="003F208B"/>
    <w:rsid w:val="003F2EAB"/>
    <w:rsid w:val="003F5B79"/>
    <w:rsid w:val="00405B18"/>
    <w:rsid w:val="004163D9"/>
    <w:rsid w:val="00430E02"/>
    <w:rsid w:val="00440B74"/>
    <w:rsid w:val="00452866"/>
    <w:rsid w:val="004629D0"/>
    <w:rsid w:val="00463D83"/>
    <w:rsid w:val="004809B5"/>
    <w:rsid w:val="00480B28"/>
    <w:rsid w:val="004839B2"/>
    <w:rsid w:val="00497D45"/>
    <w:rsid w:val="004A36D6"/>
    <w:rsid w:val="004A7444"/>
    <w:rsid w:val="004B7089"/>
    <w:rsid w:val="004C04DC"/>
    <w:rsid w:val="004C0748"/>
    <w:rsid w:val="004C46C2"/>
    <w:rsid w:val="004D1869"/>
    <w:rsid w:val="004F6115"/>
    <w:rsid w:val="00501429"/>
    <w:rsid w:val="00521642"/>
    <w:rsid w:val="00582CB4"/>
    <w:rsid w:val="00583442"/>
    <w:rsid w:val="005919D8"/>
    <w:rsid w:val="005A4B26"/>
    <w:rsid w:val="005B1485"/>
    <w:rsid w:val="005C079A"/>
    <w:rsid w:val="005D1416"/>
    <w:rsid w:val="005D7C10"/>
    <w:rsid w:val="005F37C7"/>
    <w:rsid w:val="006073D8"/>
    <w:rsid w:val="00614B4E"/>
    <w:rsid w:val="006169A2"/>
    <w:rsid w:val="0063722F"/>
    <w:rsid w:val="0064359F"/>
    <w:rsid w:val="00651824"/>
    <w:rsid w:val="006631A2"/>
    <w:rsid w:val="00663FC5"/>
    <w:rsid w:val="00675397"/>
    <w:rsid w:val="00676A9A"/>
    <w:rsid w:val="00685061"/>
    <w:rsid w:val="00694577"/>
    <w:rsid w:val="00696D77"/>
    <w:rsid w:val="006A537B"/>
    <w:rsid w:val="006B0206"/>
    <w:rsid w:val="006B6914"/>
    <w:rsid w:val="006C4C22"/>
    <w:rsid w:val="006C6995"/>
    <w:rsid w:val="006E4CCB"/>
    <w:rsid w:val="006E6CDE"/>
    <w:rsid w:val="006F2406"/>
    <w:rsid w:val="006F3CE6"/>
    <w:rsid w:val="00701347"/>
    <w:rsid w:val="0073331E"/>
    <w:rsid w:val="007368B7"/>
    <w:rsid w:val="007411D4"/>
    <w:rsid w:val="0076008A"/>
    <w:rsid w:val="007779AA"/>
    <w:rsid w:val="007A3E94"/>
    <w:rsid w:val="007B7277"/>
    <w:rsid w:val="007C18EE"/>
    <w:rsid w:val="007C204A"/>
    <w:rsid w:val="007C3B60"/>
    <w:rsid w:val="007D0F59"/>
    <w:rsid w:val="007D562F"/>
    <w:rsid w:val="007E6637"/>
    <w:rsid w:val="007F3CD2"/>
    <w:rsid w:val="00815777"/>
    <w:rsid w:val="008329A8"/>
    <w:rsid w:val="00840C8A"/>
    <w:rsid w:val="0084359B"/>
    <w:rsid w:val="008875D4"/>
    <w:rsid w:val="00887EFF"/>
    <w:rsid w:val="008B4C50"/>
    <w:rsid w:val="008C09F7"/>
    <w:rsid w:val="008C17E0"/>
    <w:rsid w:val="008C3666"/>
    <w:rsid w:val="008D4CEF"/>
    <w:rsid w:val="008E13C6"/>
    <w:rsid w:val="008F039E"/>
    <w:rsid w:val="008F1183"/>
    <w:rsid w:val="009044DF"/>
    <w:rsid w:val="00924D6C"/>
    <w:rsid w:val="00934E4D"/>
    <w:rsid w:val="00935A18"/>
    <w:rsid w:val="0093757D"/>
    <w:rsid w:val="00952F80"/>
    <w:rsid w:val="0095430D"/>
    <w:rsid w:val="009619B8"/>
    <w:rsid w:val="00963658"/>
    <w:rsid w:val="00975584"/>
    <w:rsid w:val="00992DC1"/>
    <w:rsid w:val="009A03AF"/>
    <w:rsid w:val="009A3A81"/>
    <w:rsid w:val="009A5F5B"/>
    <w:rsid w:val="009B00FE"/>
    <w:rsid w:val="009B1252"/>
    <w:rsid w:val="009B1CA0"/>
    <w:rsid w:val="009B5EF8"/>
    <w:rsid w:val="009D01AC"/>
    <w:rsid w:val="009D53D5"/>
    <w:rsid w:val="009F3186"/>
    <w:rsid w:val="00A000FB"/>
    <w:rsid w:val="00A023BA"/>
    <w:rsid w:val="00A16986"/>
    <w:rsid w:val="00A17BBA"/>
    <w:rsid w:val="00A60759"/>
    <w:rsid w:val="00A6716A"/>
    <w:rsid w:val="00A716AD"/>
    <w:rsid w:val="00A7699C"/>
    <w:rsid w:val="00A94166"/>
    <w:rsid w:val="00AA6C4F"/>
    <w:rsid w:val="00AA73B8"/>
    <w:rsid w:val="00AB2188"/>
    <w:rsid w:val="00AB4600"/>
    <w:rsid w:val="00AB47CC"/>
    <w:rsid w:val="00AB7037"/>
    <w:rsid w:val="00AD1F5D"/>
    <w:rsid w:val="00AD254D"/>
    <w:rsid w:val="00AD5919"/>
    <w:rsid w:val="00AF314A"/>
    <w:rsid w:val="00AF361B"/>
    <w:rsid w:val="00B02AE2"/>
    <w:rsid w:val="00B02F8A"/>
    <w:rsid w:val="00B04E28"/>
    <w:rsid w:val="00B0630F"/>
    <w:rsid w:val="00B1202F"/>
    <w:rsid w:val="00B12AB0"/>
    <w:rsid w:val="00B54C06"/>
    <w:rsid w:val="00B55CD5"/>
    <w:rsid w:val="00B70A91"/>
    <w:rsid w:val="00B866AB"/>
    <w:rsid w:val="00B92279"/>
    <w:rsid w:val="00B95BB5"/>
    <w:rsid w:val="00BA32A8"/>
    <w:rsid w:val="00BA74E7"/>
    <w:rsid w:val="00BB1968"/>
    <w:rsid w:val="00BB6EFF"/>
    <w:rsid w:val="00BD7A84"/>
    <w:rsid w:val="00C125BF"/>
    <w:rsid w:val="00C2630E"/>
    <w:rsid w:val="00C35674"/>
    <w:rsid w:val="00C51929"/>
    <w:rsid w:val="00C531A6"/>
    <w:rsid w:val="00C609BF"/>
    <w:rsid w:val="00C966E4"/>
    <w:rsid w:val="00CA1C81"/>
    <w:rsid w:val="00CE1614"/>
    <w:rsid w:val="00CE71F2"/>
    <w:rsid w:val="00CF507E"/>
    <w:rsid w:val="00CF6E5B"/>
    <w:rsid w:val="00D10E5F"/>
    <w:rsid w:val="00D3286C"/>
    <w:rsid w:val="00D36E3F"/>
    <w:rsid w:val="00D40224"/>
    <w:rsid w:val="00D40EB8"/>
    <w:rsid w:val="00D549BA"/>
    <w:rsid w:val="00D57023"/>
    <w:rsid w:val="00D6093B"/>
    <w:rsid w:val="00D64D38"/>
    <w:rsid w:val="00D66527"/>
    <w:rsid w:val="00D7271E"/>
    <w:rsid w:val="00D81CDC"/>
    <w:rsid w:val="00D826EF"/>
    <w:rsid w:val="00DA1855"/>
    <w:rsid w:val="00DA3AC3"/>
    <w:rsid w:val="00DE3557"/>
    <w:rsid w:val="00DF3FFD"/>
    <w:rsid w:val="00E100E9"/>
    <w:rsid w:val="00E131E0"/>
    <w:rsid w:val="00E165DB"/>
    <w:rsid w:val="00E27647"/>
    <w:rsid w:val="00E44A95"/>
    <w:rsid w:val="00E47F97"/>
    <w:rsid w:val="00E568E6"/>
    <w:rsid w:val="00E70D7B"/>
    <w:rsid w:val="00E75258"/>
    <w:rsid w:val="00E75E95"/>
    <w:rsid w:val="00E836B3"/>
    <w:rsid w:val="00E915F3"/>
    <w:rsid w:val="00EA13E0"/>
    <w:rsid w:val="00EB27EE"/>
    <w:rsid w:val="00EB5F02"/>
    <w:rsid w:val="00EB6329"/>
    <w:rsid w:val="00ED087F"/>
    <w:rsid w:val="00ED260D"/>
    <w:rsid w:val="00ED6915"/>
    <w:rsid w:val="00EE6160"/>
    <w:rsid w:val="00F10435"/>
    <w:rsid w:val="00F14FE8"/>
    <w:rsid w:val="00F16294"/>
    <w:rsid w:val="00F1684D"/>
    <w:rsid w:val="00F20084"/>
    <w:rsid w:val="00F246D7"/>
    <w:rsid w:val="00F5748B"/>
    <w:rsid w:val="00F60060"/>
    <w:rsid w:val="00F62742"/>
    <w:rsid w:val="00F6680A"/>
    <w:rsid w:val="00F70C43"/>
    <w:rsid w:val="00F82DAD"/>
    <w:rsid w:val="00F85BCA"/>
    <w:rsid w:val="00F94AF0"/>
    <w:rsid w:val="00FA1CFA"/>
    <w:rsid w:val="00FA28FA"/>
    <w:rsid w:val="00FB098D"/>
    <w:rsid w:val="00FE2125"/>
    <w:rsid w:val="00FE5208"/>
    <w:rsid w:val="00F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188A2A"/>
  <w15:docId w15:val="{77FA82CB-5524-4784-BC41-E8EDE40A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Strong" w:semiHidden="1" w:uiPriority="22" w:qFormat="1"/>
    <w:lsdException w:name="Emphasis" w:semiHidden="1" w:uiPriority="20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6294"/>
    <w:rPr>
      <w:sz w:val="24"/>
      <w:szCs w:val="24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8D4CEF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CE1614"/>
    <w:rPr>
      <w:b/>
      <w:bCs/>
    </w:rPr>
  </w:style>
  <w:style w:type="character" w:styleId="Betoning">
    <w:name w:val="Emphasis"/>
    <w:basedOn w:val="Standardstycketeckensnitt"/>
    <w:uiPriority w:val="20"/>
    <w:qFormat/>
    <w:rsid w:val="00CE1614"/>
    <w:rPr>
      <w:i/>
      <w:iCs/>
    </w:rPr>
  </w:style>
  <w:style w:type="paragraph" w:customStyle="1" w:styleId="anormal0">
    <w:name w:val="anormal"/>
    <w:basedOn w:val="Normal"/>
    <w:rsid w:val="00952F80"/>
    <w:pPr>
      <w:spacing w:before="100" w:beforeAutospacing="1" w:after="100" w:afterAutospacing="1"/>
    </w:pPr>
    <w:rPr>
      <w:lang w:val="sv-FI" w:eastAsia="sv-FI"/>
    </w:rPr>
  </w:style>
  <w:style w:type="paragraph" w:customStyle="1" w:styleId="klam0">
    <w:name w:val="klam"/>
    <w:basedOn w:val="Normal"/>
    <w:rsid w:val="00253905"/>
    <w:pPr>
      <w:spacing w:before="100" w:beforeAutospacing="1" w:after="100" w:afterAutospacing="1"/>
    </w:pPr>
    <w:rPr>
      <w:lang w:val="sv-FI" w:eastAsia="sv-FI"/>
    </w:rPr>
  </w:style>
  <w:style w:type="paragraph" w:customStyle="1" w:styleId="laghuvrubr0">
    <w:name w:val="laghuvrubr"/>
    <w:basedOn w:val="Normal"/>
    <w:rsid w:val="00253905"/>
    <w:pPr>
      <w:spacing w:before="100" w:beforeAutospacing="1" w:after="100" w:afterAutospacing="1"/>
    </w:pPr>
    <w:rPr>
      <w:lang w:val="sv-FI" w:eastAsia="sv-FI"/>
    </w:rPr>
  </w:style>
  <w:style w:type="paragraph" w:customStyle="1" w:styleId="lagpararubrik0">
    <w:name w:val="lagpararubrik"/>
    <w:basedOn w:val="Normal"/>
    <w:rsid w:val="00253905"/>
    <w:pPr>
      <w:spacing w:before="100" w:beforeAutospacing="1" w:after="100" w:afterAutospacing="1"/>
    </w:pPr>
    <w:rPr>
      <w:lang w:val="sv-FI" w:eastAsia="sv-FI"/>
    </w:rPr>
  </w:style>
  <w:style w:type="paragraph" w:customStyle="1" w:styleId="lagparagraf0">
    <w:name w:val="lagparagraf"/>
    <w:basedOn w:val="Normal"/>
    <w:rsid w:val="00253905"/>
    <w:pPr>
      <w:spacing w:before="100" w:beforeAutospacing="1" w:after="100" w:afterAutospacing="1"/>
    </w:pPr>
    <w:rPr>
      <w:lang w:val="sv-FI" w:eastAsia="sv-FI"/>
    </w:rPr>
  </w:style>
  <w:style w:type="paragraph" w:styleId="Liststycke">
    <w:name w:val="List Paragraph"/>
    <w:basedOn w:val="Normal"/>
    <w:uiPriority w:val="34"/>
    <w:qFormat/>
    <w:rsid w:val="00253905"/>
    <w:pPr>
      <w:spacing w:before="100" w:beforeAutospacing="1" w:after="100" w:afterAutospacing="1"/>
    </w:pPr>
    <w:rPr>
      <w:lang w:val="sv-FI" w:eastAsia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2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8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3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3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3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2CC9C-F65A-461C-8165-463A19B75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392</Words>
  <Characters>2706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Lagmotion nr 3/2018-2019</vt:lpstr>
      <vt:lpstr>Åtgärdsmotion nr x/2011-2012</vt:lpstr>
    </vt:vector>
  </TitlesOfParts>
  <Company>ÅDA AB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Lagmotion nr 3/2023-2024</dc:title>
  <dc:creator>Microsoft Office-användare</dc:creator>
  <cp:lastModifiedBy>Jessica Laaksonen</cp:lastModifiedBy>
  <cp:revision>2</cp:revision>
  <cp:lastPrinted>2024-01-15T12:09:00Z</cp:lastPrinted>
  <dcterms:created xsi:type="dcterms:W3CDTF">2024-03-25T10:32:00Z</dcterms:created>
  <dcterms:modified xsi:type="dcterms:W3CDTF">2024-03-25T10:32:00Z</dcterms:modified>
</cp:coreProperties>
</file>