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7A266102" w14:textId="77777777">
        <w:trPr>
          <w:cantSplit/>
          <w:trHeight w:val="20"/>
        </w:trPr>
        <w:tc>
          <w:tcPr>
            <w:tcW w:w="861" w:type="dxa"/>
            <w:vMerge w:val="restart"/>
          </w:tcPr>
          <w:p w14:paraId="69671268" w14:textId="61186D2A" w:rsidR="00337A19" w:rsidRDefault="000B3A5B">
            <w:pPr>
              <w:pStyle w:val="xLedtext"/>
              <w:rPr>
                <w:noProof/>
              </w:rPr>
            </w:pPr>
            <w:bookmarkStart w:id="0" w:name="_top"/>
            <w:bookmarkEnd w:id="0"/>
            <w:r>
              <w:rPr>
                <w:noProof/>
              </w:rPr>
              <w:drawing>
                <wp:inline distT="0" distB="0" distL="0" distR="0" wp14:anchorId="6EE15ECF" wp14:editId="0120C631">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323A1AE4" w14:textId="5B11D7A9" w:rsidR="00337A19" w:rsidRDefault="000B3A5B">
            <w:pPr>
              <w:pStyle w:val="xMellanrum"/>
            </w:pPr>
            <w:r>
              <w:rPr>
                <w:noProof/>
              </w:rPr>
              <w:drawing>
                <wp:inline distT="0" distB="0" distL="0" distR="0" wp14:anchorId="56FF27A7" wp14:editId="24408A99">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337A19" w14:paraId="790D458D" w14:textId="77777777">
        <w:trPr>
          <w:cantSplit/>
          <w:trHeight w:val="299"/>
        </w:trPr>
        <w:tc>
          <w:tcPr>
            <w:tcW w:w="861" w:type="dxa"/>
            <w:vMerge/>
          </w:tcPr>
          <w:p w14:paraId="2D64952B" w14:textId="77777777" w:rsidR="00337A19" w:rsidRDefault="00337A19">
            <w:pPr>
              <w:pStyle w:val="xLedtext"/>
            </w:pPr>
          </w:p>
        </w:tc>
        <w:tc>
          <w:tcPr>
            <w:tcW w:w="4448" w:type="dxa"/>
            <w:vAlign w:val="bottom"/>
          </w:tcPr>
          <w:p w14:paraId="06BB6DD0" w14:textId="77777777" w:rsidR="00337A19" w:rsidRDefault="00337A19">
            <w:pPr>
              <w:pStyle w:val="xAvsandare1"/>
            </w:pPr>
            <w:r>
              <w:t>Ålands lagting</w:t>
            </w:r>
          </w:p>
        </w:tc>
        <w:tc>
          <w:tcPr>
            <w:tcW w:w="4288" w:type="dxa"/>
            <w:gridSpan w:val="2"/>
            <w:vAlign w:val="bottom"/>
          </w:tcPr>
          <w:p w14:paraId="5F707A36" w14:textId="178F9F13" w:rsidR="00337A19" w:rsidRDefault="00337A19" w:rsidP="009F1162">
            <w:pPr>
              <w:pStyle w:val="xDokTypNr"/>
            </w:pPr>
            <w:r>
              <w:t xml:space="preserve">BESLUT LTB </w:t>
            </w:r>
            <w:r w:rsidR="000B3A5B">
              <w:t>36</w:t>
            </w:r>
            <w:r>
              <w:t>/20</w:t>
            </w:r>
            <w:r w:rsidR="000B3A5B">
              <w:t>24</w:t>
            </w:r>
          </w:p>
        </w:tc>
      </w:tr>
      <w:tr w:rsidR="00337A19" w14:paraId="2C7B461C" w14:textId="77777777">
        <w:trPr>
          <w:cantSplit/>
          <w:trHeight w:val="238"/>
        </w:trPr>
        <w:tc>
          <w:tcPr>
            <w:tcW w:w="861" w:type="dxa"/>
            <w:vMerge/>
          </w:tcPr>
          <w:p w14:paraId="0D322D8F" w14:textId="77777777" w:rsidR="00337A19" w:rsidRDefault="00337A19">
            <w:pPr>
              <w:pStyle w:val="xLedtext"/>
            </w:pPr>
          </w:p>
        </w:tc>
        <w:tc>
          <w:tcPr>
            <w:tcW w:w="4448" w:type="dxa"/>
            <w:vAlign w:val="bottom"/>
          </w:tcPr>
          <w:p w14:paraId="590A79D3" w14:textId="77777777" w:rsidR="00337A19" w:rsidRDefault="00337A19">
            <w:pPr>
              <w:pStyle w:val="xLedtext"/>
            </w:pPr>
          </w:p>
        </w:tc>
        <w:tc>
          <w:tcPr>
            <w:tcW w:w="1725" w:type="dxa"/>
            <w:vAlign w:val="bottom"/>
          </w:tcPr>
          <w:p w14:paraId="01F07A4F" w14:textId="77777777" w:rsidR="00337A19" w:rsidRDefault="00337A19">
            <w:pPr>
              <w:pStyle w:val="xLedtext"/>
            </w:pPr>
            <w:r>
              <w:t>Datum</w:t>
            </w:r>
          </w:p>
        </w:tc>
        <w:tc>
          <w:tcPr>
            <w:tcW w:w="2563" w:type="dxa"/>
            <w:vAlign w:val="bottom"/>
          </w:tcPr>
          <w:p w14:paraId="0190D656" w14:textId="77777777" w:rsidR="00337A19" w:rsidRDefault="00337A19">
            <w:pPr>
              <w:pStyle w:val="xLedtext"/>
            </w:pPr>
            <w:r>
              <w:t>Ärende</w:t>
            </w:r>
          </w:p>
        </w:tc>
      </w:tr>
      <w:tr w:rsidR="00337A19" w14:paraId="14835F41" w14:textId="77777777">
        <w:trPr>
          <w:cantSplit/>
          <w:trHeight w:val="238"/>
        </w:trPr>
        <w:tc>
          <w:tcPr>
            <w:tcW w:w="861" w:type="dxa"/>
            <w:vMerge/>
          </w:tcPr>
          <w:p w14:paraId="103D78BC" w14:textId="77777777" w:rsidR="00337A19" w:rsidRDefault="00337A19">
            <w:pPr>
              <w:pStyle w:val="xAvsandare2"/>
            </w:pPr>
          </w:p>
        </w:tc>
        <w:tc>
          <w:tcPr>
            <w:tcW w:w="4448" w:type="dxa"/>
            <w:vAlign w:val="center"/>
          </w:tcPr>
          <w:p w14:paraId="214D7F74" w14:textId="77777777" w:rsidR="00337A19" w:rsidRDefault="00337A19">
            <w:pPr>
              <w:pStyle w:val="xAvsandare2"/>
            </w:pPr>
          </w:p>
        </w:tc>
        <w:tc>
          <w:tcPr>
            <w:tcW w:w="1725" w:type="dxa"/>
            <w:vAlign w:val="center"/>
          </w:tcPr>
          <w:p w14:paraId="351F5B59" w14:textId="605176FC" w:rsidR="00337A19" w:rsidRDefault="00337A19">
            <w:pPr>
              <w:pStyle w:val="xDatum1"/>
            </w:pPr>
            <w:r>
              <w:t>20</w:t>
            </w:r>
            <w:r w:rsidR="000B3A5B">
              <w:t>24-11-06</w:t>
            </w:r>
          </w:p>
        </w:tc>
        <w:tc>
          <w:tcPr>
            <w:tcW w:w="2563" w:type="dxa"/>
            <w:vAlign w:val="center"/>
          </w:tcPr>
          <w:p w14:paraId="0F002B22" w14:textId="70686C46" w:rsidR="00337A19" w:rsidRDefault="000B3A5B">
            <w:pPr>
              <w:pStyle w:val="xBeteckning1"/>
            </w:pPr>
            <w:r>
              <w:t>LF 26/</w:t>
            </w:r>
            <w:proofErr w:type="gramStart"/>
            <w:r>
              <w:t>2023-2024</w:t>
            </w:r>
            <w:proofErr w:type="gramEnd"/>
          </w:p>
        </w:tc>
      </w:tr>
      <w:tr w:rsidR="00337A19" w14:paraId="1BD8BA4B" w14:textId="77777777">
        <w:trPr>
          <w:cantSplit/>
          <w:trHeight w:val="238"/>
        </w:trPr>
        <w:tc>
          <w:tcPr>
            <w:tcW w:w="861" w:type="dxa"/>
            <w:vMerge/>
          </w:tcPr>
          <w:p w14:paraId="0EE9FCAC" w14:textId="77777777" w:rsidR="00337A19" w:rsidRDefault="00337A19">
            <w:pPr>
              <w:pStyle w:val="xLedtext"/>
            </w:pPr>
          </w:p>
        </w:tc>
        <w:tc>
          <w:tcPr>
            <w:tcW w:w="4448" w:type="dxa"/>
            <w:vAlign w:val="bottom"/>
          </w:tcPr>
          <w:p w14:paraId="418F0938" w14:textId="77777777" w:rsidR="00337A19" w:rsidRDefault="00337A19">
            <w:pPr>
              <w:pStyle w:val="xLedtext"/>
            </w:pPr>
          </w:p>
        </w:tc>
        <w:tc>
          <w:tcPr>
            <w:tcW w:w="1725" w:type="dxa"/>
            <w:vAlign w:val="bottom"/>
          </w:tcPr>
          <w:p w14:paraId="27618A6A" w14:textId="77777777" w:rsidR="00337A19" w:rsidRDefault="00337A19">
            <w:pPr>
              <w:pStyle w:val="xLedtext"/>
            </w:pPr>
          </w:p>
        </w:tc>
        <w:tc>
          <w:tcPr>
            <w:tcW w:w="2563" w:type="dxa"/>
            <w:vAlign w:val="bottom"/>
          </w:tcPr>
          <w:p w14:paraId="6407D73A" w14:textId="77777777" w:rsidR="00337A19" w:rsidRDefault="00337A19">
            <w:pPr>
              <w:pStyle w:val="xLedtext"/>
            </w:pPr>
          </w:p>
        </w:tc>
      </w:tr>
      <w:tr w:rsidR="00337A19" w14:paraId="18C9C044" w14:textId="77777777">
        <w:trPr>
          <w:cantSplit/>
          <w:trHeight w:val="238"/>
        </w:trPr>
        <w:tc>
          <w:tcPr>
            <w:tcW w:w="861" w:type="dxa"/>
            <w:vMerge/>
            <w:tcBorders>
              <w:bottom w:val="single" w:sz="4" w:space="0" w:color="auto"/>
            </w:tcBorders>
          </w:tcPr>
          <w:p w14:paraId="646F8A23" w14:textId="77777777" w:rsidR="00337A19" w:rsidRDefault="00337A19">
            <w:pPr>
              <w:pStyle w:val="xAvsandare3"/>
            </w:pPr>
          </w:p>
        </w:tc>
        <w:tc>
          <w:tcPr>
            <w:tcW w:w="4448" w:type="dxa"/>
            <w:tcBorders>
              <w:bottom w:val="single" w:sz="4" w:space="0" w:color="auto"/>
            </w:tcBorders>
            <w:vAlign w:val="center"/>
          </w:tcPr>
          <w:p w14:paraId="26135814" w14:textId="77777777" w:rsidR="00337A19" w:rsidRDefault="00337A19">
            <w:pPr>
              <w:pStyle w:val="xAvsandare3"/>
            </w:pPr>
          </w:p>
        </w:tc>
        <w:tc>
          <w:tcPr>
            <w:tcW w:w="1725" w:type="dxa"/>
            <w:tcBorders>
              <w:bottom w:val="single" w:sz="4" w:space="0" w:color="auto"/>
            </w:tcBorders>
            <w:vAlign w:val="center"/>
          </w:tcPr>
          <w:p w14:paraId="4F26B84E" w14:textId="77777777" w:rsidR="00337A19" w:rsidRDefault="00337A19">
            <w:pPr>
              <w:pStyle w:val="xDatum2"/>
            </w:pPr>
          </w:p>
        </w:tc>
        <w:tc>
          <w:tcPr>
            <w:tcW w:w="2563" w:type="dxa"/>
            <w:tcBorders>
              <w:bottom w:val="single" w:sz="4" w:space="0" w:color="auto"/>
            </w:tcBorders>
            <w:vAlign w:val="center"/>
          </w:tcPr>
          <w:p w14:paraId="1B79554A" w14:textId="77777777" w:rsidR="00337A19" w:rsidRDefault="00337A19">
            <w:pPr>
              <w:pStyle w:val="xBeteckning2"/>
            </w:pPr>
          </w:p>
        </w:tc>
      </w:tr>
      <w:tr w:rsidR="00337A19" w14:paraId="73B5F0C1" w14:textId="77777777">
        <w:trPr>
          <w:cantSplit/>
          <w:trHeight w:val="238"/>
        </w:trPr>
        <w:tc>
          <w:tcPr>
            <w:tcW w:w="861" w:type="dxa"/>
            <w:tcBorders>
              <w:top w:val="single" w:sz="4" w:space="0" w:color="auto"/>
            </w:tcBorders>
            <w:vAlign w:val="bottom"/>
          </w:tcPr>
          <w:p w14:paraId="0EE1B604" w14:textId="77777777" w:rsidR="00337A19" w:rsidRDefault="00337A19">
            <w:pPr>
              <w:pStyle w:val="xLedtext"/>
            </w:pPr>
          </w:p>
        </w:tc>
        <w:tc>
          <w:tcPr>
            <w:tcW w:w="4448" w:type="dxa"/>
            <w:tcBorders>
              <w:top w:val="single" w:sz="4" w:space="0" w:color="auto"/>
            </w:tcBorders>
            <w:vAlign w:val="bottom"/>
          </w:tcPr>
          <w:p w14:paraId="04106B9B" w14:textId="77777777" w:rsidR="00337A19" w:rsidRDefault="00337A19">
            <w:pPr>
              <w:pStyle w:val="xLedtext"/>
            </w:pPr>
          </w:p>
        </w:tc>
        <w:tc>
          <w:tcPr>
            <w:tcW w:w="4288" w:type="dxa"/>
            <w:gridSpan w:val="2"/>
            <w:tcBorders>
              <w:top w:val="single" w:sz="4" w:space="0" w:color="auto"/>
            </w:tcBorders>
            <w:vAlign w:val="bottom"/>
          </w:tcPr>
          <w:p w14:paraId="04FCDCF9" w14:textId="77777777" w:rsidR="00337A19" w:rsidRDefault="00337A19">
            <w:pPr>
              <w:pStyle w:val="xLedtext"/>
            </w:pPr>
          </w:p>
        </w:tc>
      </w:tr>
      <w:tr w:rsidR="00337A19" w14:paraId="5FF604C4" w14:textId="77777777">
        <w:trPr>
          <w:cantSplit/>
          <w:trHeight w:val="238"/>
        </w:trPr>
        <w:tc>
          <w:tcPr>
            <w:tcW w:w="861" w:type="dxa"/>
          </w:tcPr>
          <w:p w14:paraId="25E21413" w14:textId="77777777" w:rsidR="00337A19" w:rsidRDefault="00337A19">
            <w:pPr>
              <w:pStyle w:val="xCelltext"/>
            </w:pPr>
          </w:p>
        </w:tc>
        <w:tc>
          <w:tcPr>
            <w:tcW w:w="4448" w:type="dxa"/>
            <w:vAlign w:val="center"/>
          </w:tcPr>
          <w:p w14:paraId="6D28EF65" w14:textId="77777777" w:rsidR="00337A19" w:rsidRDefault="00337A19">
            <w:pPr>
              <w:pStyle w:val="xCelltext"/>
            </w:pPr>
          </w:p>
        </w:tc>
        <w:tc>
          <w:tcPr>
            <w:tcW w:w="4288" w:type="dxa"/>
            <w:gridSpan w:val="2"/>
            <w:vAlign w:val="center"/>
          </w:tcPr>
          <w:p w14:paraId="5674F55E" w14:textId="77777777" w:rsidR="00337A19" w:rsidRDefault="00337A19">
            <w:pPr>
              <w:pStyle w:val="xCelltext"/>
            </w:pPr>
          </w:p>
        </w:tc>
      </w:tr>
    </w:tbl>
    <w:p w14:paraId="7C21C970"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3739BFA8" w14:textId="77777777" w:rsidR="00337A19" w:rsidRDefault="00337A19">
      <w:pPr>
        <w:pStyle w:val="ArendeOverRubrik"/>
      </w:pPr>
      <w:r>
        <w:t>Ålands lagtings beslut om antagande av</w:t>
      </w:r>
    </w:p>
    <w:p w14:paraId="5FAAB02D" w14:textId="2815DC27" w:rsidR="000B3A5B" w:rsidRPr="000B3A5B" w:rsidRDefault="00337A19" w:rsidP="000B3A5B">
      <w:pPr>
        <w:pStyle w:val="ArendeRubrik"/>
        <w:outlineLvl w:val="0"/>
      </w:pPr>
      <w:bookmarkStart w:id="1" w:name="_Toc65564307"/>
      <w:r>
        <w:t>Landskapslag</w:t>
      </w:r>
      <w:bookmarkEnd w:id="1"/>
      <w:r w:rsidR="000B3A5B">
        <w:t xml:space="preserve"> </w:t>
      </w:r>
      <w:r w:rsidR="000B3A5B" w:rsidRPr="000B3A5B">
        <w:rPr>
          <w:color w:val="000000"/>
          <w:lang w:val="sv-FI"/>
        </w:rPr>
        <w:t>om</w:t>
      </w:r>
      <w:r w:rsidR="000B3A5B" w:rsidRPr="000B3A5B">
        <w:rPr>
          <w:color w:val="000000"/>
        </w:rPr>
        <w:t xml:space="preserve"> tillämpning på Åland av 13 och 14 kap. i lagen om ordnande av arbetskraftsservice</w:t>
      </w:r>
    </w:p>
    <w:p w14:paraId="18A07B66" w14:textId="77777777" w:rsidR="000B3A5B" w:rsidRPr="000B3A5B" w:rsidRDefault="000B3A5B" w:rsidP="000B3A5B">
      <w:pPr>
        <w:pStyle w:val="ArendeUnderRubrik"/>
        <w:numPr>
          <w:ilvl w:val="0"/>
          <w:numId w:val="0"/>
        </w:numPr>
        <w:ind w:left="283" w:hanging="283"/>
      </w:pPr>
    </w:p>
    <w:p w14:paraId="1814D189" w14:textId="77777777" w:rsidR="00337A19" w:rsidRDefault="00337A19">
      <w:pPr>
        <w:pStyle w:val="ANormal"/>
      </w:pPr>
    </w:p>
    <w:p w14:paraId="29FEE16F" w14:textId="77777777" w:rsidR="000B3A5B" w:rsidRPr="000B3A5B" w:rsidRDefault="00337A19" w:rsidP="000B3A5B">
      <w:pPr>
        <w:pStyle w:val="ANormal"/>
        <w:rPr>
          <w:color w:val="000000"/>
        </w:rPr>
      </w:pPr>
      <w:r>
        <w:tab/>
        <w:t xml:space="preserve">I enlighet med lagtingets beslut </w:t>
      </w:r>
      <w:r w:rsidR="000B3A5B" w:rsidRPr="000B3A5B">
        <w:rPr>
          <w:color w:val="000000"/>
        </w:rPr>
        <w:t>föreskrivs:</w:t>
      </w:r>
    </w:p>
    <w:p w14:paraId="321B363E" w14:textId="77777777" w:rsidR="000B3A5B" w:rsidRPr="000B3A5B" w:rsidRDefault="000B3A5B" w:rsidP="000B3A5B">
      <w:pPr>
        <w:pStyle w:val="ANormal"/>
        <w:rPr>
          <w:color w:val="000000"/>
        </w:rPr>
      </w:pPr>
    </w:p>
    <w:p w14:paraId="58FCB6F9" w14:textId="77777777" w:rsidR="000B3A5B" w:rsidRPr="000B3A5B" w:rsidRDefault="000B3A5B" w:rsidP="000B3A5B">
      <w:pPr>
        <w:pStyle w:val="LagParagraf"/>
        <w:rPr>
          <w:color w:val="000000"/>
          <w:lang w:val="sv-FI"/>
        </w:rPr>
      </w:pPr>
      <w:r w:rsidRPr="000B3A5B">
        <w:rPr>
          <w:color w:val="000000"/>
          <w:lang w:val="sv-FI"/>
        </w:rPr>
        <w:t>1 §</w:t>
      </w:r>
    </w:p>
    <w:p w14:paraId="72044F1D" w14:textId="77777777" w:rsidR="000B3A5B" w:rsidRPr="000B3A5B" w:rsidRDefault="000B3A5B" w:rsidP="000B3A5B">
      <w:pPr>
        <w:pStyle w:val="LagPararubrik"/>
        <w:rPr>
          <w:b/>
          <w:bCs/>
          <w:color w:val="000000"/>
          <w:lang w:val="sv-FI"/>
        </w:rPr>
      </w:pPr>
      <w:r w:rsidRPr="000B3A5B">
        <w:rPr>
          <w:color w:val="000000"/>
          <w:lang w:val="sv-FI"/>
        </w:rPr>
        <w:t>Lagens tillämpningsområde</w:t>
      </w:r>
    </w:p>
    <w:p w14:paraId="2A5BF184" w14:textId="77777777" w:rsidR="000B3A5B" w:rsidRPr="000B3A5B" w:rsidRDefault="000B3A5B" w:rsidP="000B3A5B">
      <w:pPr>
        <w:pStyle w:val="ANormal"/>
        <w:rPr>
          <w:color w:val="000000"/>
          <w:lang w:val="sv-FI"/>
        </w:rPr>
      </w:pPr>
      <w:r w:rsidRPr="000B3A5B">
        <w:rPr>
          <w:color w:val="000000"/>
          <w:lang w:val="sv-FI"/>
        </w:rPr>
        <w:tab/>
        <w:t xml:space="preserve">Vid skötseln av de uppgifter Ålands arbetsmarknads- och studieservicemyndighet har enligt landskapslagen (2006:8) om arbetsmarknadspolitisk verksamhet tillämpas 13 och 14 kap. i lagen om ordnande av arbetskraftsservice (FFS 380/2023, </w:t>
      </w:r>
      <w:r w:rsidRPr="000B3A5B">
        <w:rPr>
          <w:i/>
          <w:iCs/>
          <w:color w:val="000000"/>
          <w:lang w:val="sv-FI"/>
        </w:rPr>
        <w:t>arbetskraftsservicelagen</w:t>
      </w:r>
      <w:r w:rsidRPr="000B3A5B">
        <w:rPr>
          <w:color w:val="000000"/>
          <w:lang w:val="sv-FI"/>
        </w:rPr>
        <w:t xml:space="preserve">) då i arbetskraftsservicelagen avsedda uppgifter behandlas och informationssystemtjänster används av myndigheten, </w:t>
      </w:r>
      <w:bookmarkStart w:id="2" w:name="_Hlk93049750"/>
      <w:r w:rsidRPr="000B3A5B">
        <w:rPr>
          <w:color w:val="000000"/>
          <w:lang w:val="sv-FI"/>
        </w:rPr>
        <w:t>om inte annat följer av denna lag.</w:t>
      </w:r>
    </w:p>
    <w:bookmarkEnd w:id="2"/>
    <w:p w14:paraId="244D10AC" w14:textId="77777777" w:rsidR="000B3A5B" w:rsidRPr="000B3A5B" w:rsidRDefault="000B3A5B" w:rsidP="000B3A5B">
      <w:pPr>
        <w:pStyle w:val="ANormal"/>
        <w:rPr>
          <w:color w:val="000000"/>
          <w:lang w:val="sv-FI"/>
        </w:rPr>
      </w:pPr>
      <w:r w:rsidRPr="000B3A5B">
        <w:rPr>
          <w:color w:val="000000"/>
          <w:lang w:val="sv-FI"/>
        </w:rPr>
        <w:tab/>
        <w:t>Vid arbetsmarknads- och studieservicemyndighetens skötsel av de uppgifter som avses i 1 mom. ska även lagen om offentlighet i myndigheternas verksamhet (FFS 621/1999) iakttas i tillämpliga delar. Vid behandlingen av personuppgifter gäller det som föreskrivs i Europaparlamentets och rådets förordning (EU) 2016/679 av den 27 april 2016 om skydd för fysiska personer med avseende på behandling av personuppgifter och om det fria flödet av sådana uppgifter och om upphävande av direktiv 95/46/EG och dataskyddslagen (FFS 1050/2018).</w:t>
      </w:r>
    </w:p>
    <w:p w14:paraId="3B856768" w14:textId="77777777" w:rsidR="000B3A5B" w:rsidRPr="000B3A5B" w:rsidRDefault="000B3A5B" w:rsidP="000B3A5B">
      <w:pPr>
        <w:pStyle w:val="ANormal"/>
        <w:rPr>
          <w:color w:val="000000"/>
          <w:lang w:val="sv-FI"/>
        </w:rPr>
      </w:pPr>
      <w:r w:rsidRPr="000B3A5B">
        <w:rPr>
          <w:color w:val="000000"/>
          <w:lang w:val="sv-FI"/>
        </w:rPr>
        <w:tab/>
        <w:t>Ändringar av 13 och 14 kap. i arbetskraftsservicelagen ska gälla på Åland från tidpunkten för deras ikraftträdande i riket, om inte annat följer av denna lag.</w:t>
      </w:r>
    </w:p>
    <w:p w14:paraId="07DCE138" w14:textId="77777777" w:rsidR="000B3A5B" w:rsidRPr="000B3A5B" w:rsidRDefault="000B3A5B" w:rsidP="000B3A5B">
      <w:pPr>
        <w:pStyle w:val="ANormal"/>
        <w:rPr>
          <w:b/>
          <w:bCs/>
          <w:color w:val="000000"/>
          <w:lang w:val="sv-FI"/>
        </w:rPr>
      </w:pPr>
    </w:p>
    <w:p w14:paraId="3FB8CC0E" w14:textId="77777777" w:rsidR="000B3A5B" w:rsidRPr="000B3A5B" w:rsidRDefault="000B3A5B" w:rsidP="000B3A5B">
      <w:pPr>
        <w:pStyle w:val="LagParagraf"/>
        <w:rPr>
          <w:color w:val="000000"/>
          <w:lang w:val="sv-FI"/>
        </w:rPr>
      </w:pPr>
      <w:bookmarkStart w:id="3" w:name="_Hlk93058807"/>
      <w:r w:rsidRPr="000B3A5B">
        <w:rPr>
          <w:color w:val="000000"/>
          <w:lang w:val="sv-FI"/>
        </w:rPr>
        <w:t>2 §</w:t>
      </w:r>
    </w:p>
    <w:p w14:paraId="2F78FD18" w14:textId="77777777" w:rsidR="000B3A5B" w:rsidRPr="000B3A5B" w:rsidRDefault="000B3A5B" w:rsidP="000B3A5B">
      <w:pPr>
        <w:pStyle w:val="LagPararubrik"/>
        <w:rPr>
          <w:color w:val="000000"/>
          <w:lang w:val="sv-FI"/>
        </w:rPr>
      </w:pPr>
      <w:r w:rsidRPr="000B3A5B">
        <w:rPr>
          <w:color w:val="000000"/>
          <w:lang w:val="sv-FI"/>
        </w:rPr>
        <w:t>Förvaltning</w:t>
      </w:r>
    </w:p>
    <w:p w14:paraId="4F924A8C" w14:textId="77777777" w:rsidR="000B3A5B" w:rsidRPr="000B3A5B" w:rsidRDefault="000B3A5B" w:rsidP="000B3A5B">
      <w:pPr>
        <w:pStyle w:val="ANormal"/>
        <w:rPr>
          <w:color w:val="000000"/>
          <w:lang w:val="sv-FI"/>
        </w:rPr>
      </w:pPr>
      <w:r w:rsidRPr="000B3A5B">
        <w:rPr>
          <w:color w:val="000000"/>
          <w:lang w:val="sv-FI"/>
        </w:rPr>
        <w:tab/>
        <w:t>Arbetsmarknads- och studieservicemyndigheten</w:t>
      </w:r>
    </w:p>
    <w:p w14:paraId="3A42CBFB" w14:textId="77777777" w:rsidR="000B3A5B" w:rsidRPr="000B3A5B" w:rsidRDefault="000B3A5B" w:rsidP="000B3A5B">
      <w:pPr>
        <w:pStyle w:val="ANormal"/>
        <w:rPr>
          <w:color w:val="000000"/>
          <w:lang w:val="sv-FI"/>
        </w:rPr>
      </w:pPr>
      <w:r w:rsidRPr="000B3A5B">
        <w:rPr>
          <w:color w:val="000000"/>
          <w:lang w:val="sv-FI"/>
        </w:rPr>
        <w:tab/>
        <w:t>1) är personuppgiftsansvarig för behandlingen av de uppgifter som avses i 13 kap. 114 § i arbetskraftsservicelagen,</w:t>
      </w:r>
    </w:p>
    <w:p w14:paraId="2F981DF9" w14:textId="77777777" w:rsidR="000B3A5B" w:rsidRPr="000B3A5B" w:rsidRDefault="000B3A5B" w:rsidP="000B3A5B">
      <w:pPr>
        <w:pStyle w:val="ANormal"/>
        <w:rPr>
          <w:color w:val="000000"/>
          <w:lang w:val="sv-FI"/>
        </w:rPr>
      </w:pPr>
      <w:r w:rsidRPr="000B3A5B">
        <w:rPr>
          <w:color w:val="000000"/>
          <w:lang w:val="sv-FI"/>
        </w:rPr>
        <w:tab/>
        <w:t xml:space="preserve">2) </w:t>
      </w:r>
      <w:r w:rsidRPr="000B3A5B">
        <w:rPr>
          <w:color w:val="000000"/>
        </w:rPr>
        <w:t>ansvarar för den registrering</w:t>
      </w:r>
      <w:r w:rsidRPr="000B3A5B">
        <w:rPr>
          <w:color w:val="000000"/>
          <w:lang w:val="sv-FI"/>
        </w:rPr>
        <w:t>, radering och arkivering av uppgifter som avses</w:t>
      </w:r>
      <w:r w:rsidRPr="000B3A5B">
        <w:rPr>
          <w:color w:val="000000"/>
        </w:rPr>
        <w:t xml:space="preserve"> </w:t>
      </w:r>
      <w:r w:rsidRPr="000B3A5B">
        <w:rPr>
          <w:color w:val="000000"/>
          <w:lang w:val="sv-FI"/>
        </w:rPr>
        <w:t>i 13 kap. 121 och 122 §§ i arbetskraftsservicelagen,</w:t>
      </w:r>
    </w:p>
    <w:p w14:paraId="79C29F5D" w14:textId="77777777" w:rsidR="000B3A5B" w:rsidRPr="000B3A5B" w:rsidRDefault="000B3A5B" w:rsidP="000B3A5B">
      <w:pPr>
        <w:pStyle w:val="ANormal"/>
        <w:rPr>
          <w:color w:val="000000"/>
          <w:lang w:val="sv-FI"/>
        </w:rPr>
      </w:pPr>
      <w:r w:rsidRPr="000B3A5B">
        <w:rPr>
          <w:color w:val="000000"/>
          <w:lang w:val="sv-FI"/>
        </w:rPr>
        <w:tab/>
        <w:t>3) använder informationssystemtjänsterna i enlighet med de användarrättigheter myndigheten eller dess tjänstemän beviljas av ansvarig riksmyndighet enligt 13 kap. 124–126 §§ i arbetskraftsservicelagen,</w:t>
      </w:r>
    </w:p>
    <w:p w14:paraId="3A689EAF" w14:textId="77777777" w:rsidR="000B3A5B" w:rsidRPr="000B3A5B" w:rsidRDefault="000B3A5B" w:rsidP="000B3A5B">
      <w:pPr>
        <w:pStyle w:val="ANormal"/>
        <w:rPr>
          <w:color w:val="000000"/>
          <w:lang w:val="sv-FI"/>
        </w:rPr>
      </w:pPr>
      <w:r w:rsidRPr="000B3A5B">
        <w:rPr>
          <w:color w:val="000000"/>
          <w:lang w:val="sv-FI"/>
        </w:rPr>
        <w:tab/>
        <w:t>4) lämnar ut de uppgifter som behövs för att tillsätta en plats på det sätt som föreskrivs i 13 kap. 118 § i arbetskraftsservicelagen, samt</w:t>
      </w:r>
    </w:p>
    <w:p w14:paraId="5A9C68A1" w14:textId="77777777" w:rsidR="000B3A5B" w:rsidRPr="000B3A5B" w:rsidRDefault="000B3A5B" w:rsidP="000B3A5B">
      <w:pPr>
        <w:pStyle w:val="ANormal"/>
        <w:rPr>
          <w:color w:val="000000"/>
          <w:lang w:val="sv-FI"/>
        </w:rPr>
      </w:pPr>
      <w:r w:rsidRPr="000B3A5B">
        <w:rPr>
          <w:color w:val="000000"/>
          <w:lang w:val="sv-FI"/>
        </w:rPr>
        <w:tab/>
        <w:t>5) är personuppgiftsansvarig för informationsresursen och övervakar användningen av serviceplattformen i enlighet med 14 kap. 130 och 131 §§ i arbetskraftsservicelagen.</w:t>
      </w:r>
    </w:p>
    <w:p w14:paraId="3D66C626" w14:textId="77777777" w:rsidR="000B3A5B" w:rsidRPr="000B3A5B" w:rsidRDefault="000B3A5B" w:rsidP="000B3A5B">
      <w:pPr>
        <w:pStyle w:val="ANormal"/>
        <w:rPr>
          <w:color w:val="000000"/>
          <w:lang w:val="sv-FI"/>
        </w:rPr>
      </w:pPr>
      <w:r w:rsidRPr="000B3A5B">
        <w:rPr>
          <w:color w:val="000000"/>
          <w:lang w:val="sv-FI"/>
        </w:rPr>
        <w:tab/>
        <w:t xml:space="preserve">I informationssystemtjänsterna sköter arbetsmarknads- och studieservicemyndigheten också andra än i 1 mom. nämnda förvaltningsuppgifter som myndigheten erhållit rätt att utföra av behörig riksmyndighet </w:t>
      </w:r>
      <w:r w:rsidRPr="000B3A5B">
        <w:rPr>
          <w:color w:val="000000"/>
        </w:rPr>
        <w:t>enligt</w:t>
      </w:r>
      <w:r w:rsidRPr="000B3A5B">
        <w:rPr>
          <w:color w:val="000000"/>
          <w:lang w:val="sv-FI"/>
        </w:rPr>
        <w:t xml:space="preserve"> 13 och 14 kap. i arbetskraftsservicelagen.</w:t>
      </w:r>
    </w:p>
    <w:bookmarkEnd w:id="3"/>
    <w:p w14:paraId="2ACC7B98" w14:textId="77777777" w:rsidR="000B3A5B" w:rsidRPr="002C6817" w:rsidRDefault="000B3A5B" w:rsidP="000B3A5B">
      <w:pPr>
        <w:pStyle w:val="ANormal"/>
      </w:pPr>
    </w:p>
    <w:p w14:paraId="01AE3D41" w14:textId="77777777" w:rsidR="000B3A5B" w:rsidRPr="000B3A5B" w:rsidRDefault="000B3A5B" w:rsidP="000B3A5B">
      <w:pPr>
        <w:pStyle w:val="LagParagraf"/>
        <w:rPr>
          <w:color w:val="000000"/>
          <w:lang w:val="sv-FI"/>
        </w:rPr>
      </w:pPr>
      <w:r w:rsidRPr="000B3A5B">
        <w:rPr>
          <w:color w:val="000000"/>
          <w:lang w:val="sv-FI"/>
        </w:rPr>
        <w:t>3 §</w:t>
      </w:r>
    </w:p>
    <w:p w14:paraId="1470A196" w14:textId="77777777" w:rsidR="000B3A5B" w:rsidRPr="000B3A5B" w:rsidRDefault="000B3A5B" w:rsidP="000B3A5B">
      <w:pPr>
        <w:pStyle w:val="LagPararubrik"/>
        <w:rPr>
          <w:color w:val="000000"/>
          <w:lang w:val="sv-FI"/>
        </w:rPr>
      </w:pPr>
      <w:r w:rsidRPr="000B3A5B">
        <w:rPr>
          <w:color w:val="000000"/>
          <w:lang w:val="sv-FI"/>
        </w:rPr>
        <w:t>Hänvisningar till rikslagstiftning</w:t>
      </w:r>
    </w:p>
    <w:p w14:paraId="3FF3A919" w14:textId="77777777" w:rsidR="000B3A5B" w:rsidRPr="000B3A5B" w:rsidRDefault="000B3A5B" w:rsidP="000B3A5B">
      <w:pPr>
        <w:pStyle w:val="ANormal"/>
        <w:rPr>
          <w:color w:val="000000"/>
          <w:lang w:val="sv-FI"/>
        </w:rPr>
      </w:pPr>
      <w:r w:rsidRPr="000B3A5B">
        <w:rPr>
          <w:color w:val="000000"/>
          <w:lang w:val="sv-FI"/>
        </w:rPr>
        <w:tab/>
        <w:t xml:space="preserve">Hänvisas i 13 och 14 kap. i arbetskraftsservicelagen till bestämmelser i rikslagstiftningen vilka äger motsvarighet i landskapslagstiftningen ska </w:t>
      </w:r>
      <w:r w:rsidRPr="000B3A5B">
        <w:rPr>
          <w:color w:val="000000"/>
          <w:lang w:val="sv-FI"/>
        </w:rPr>
        <w:lastRenderedPageBreak/>
        <w:t>hänvisningarna avse bestämmelserna i landskapslagstiftningen,</w:t>
      </w:r>
      <w:r w:rsidRPr="000B3A5B">
        <w:rPr>
          <w:color w:val="000000"/>
        </w:rPr>
        <w:t xml:space="preserve"> </w:t>
      </w:r>
      <w:r w:rsidRPr="000B3A5B">
        <w:rPr>
          <w:color w:val="000000"/>
          <w:lang w:val="sv-FI"/>
        </w:rPr>
        <w:t>om inte annat följer av denna lag.</w:t>
      </w:r>
    </w:p>
    <w:p w14:paraId="01AAF801" w14:textId="77777777" w:rsidR="000B3A5B" w:rsidRPr="000B3A5B" w:rsidRDefault="000B3A5B" w:rsidP="000B3A5B">
      <w:pPr>
        <w:pStyle w:val="ANormal"/>
        <w:rPr>
          <w:color w:val="000000"/>
          <w:lang w:val="sv-FI"/>
        </w:rPr>
      </w:pPr>
    </w:p>
    <w:p w14:paraId="16F902A0" w14:textId="77777777" w:rsidR="000B3A5B" w:rsidRPr="000B3A5B" w:rsidRDefault="000B3A5B" w:rsidP="000B3A5B">
      <w:pPr>
        <w:pStyle w:val="LagParagraf"/>
        <w:rPr>
          <w:color w:val="000000"/>
          <w:lang w:val="sv-FI"/>
        </w:rPr>
      </w:pPr>
      <w:r w:rsidRPr="000B3A5B">
        <w:rPr>
          <w:color w:val="000000"/>
          <w:lang w:val="sv-FI"/>
        </w:rPr>
        <w:t>4 §</w:t>
      </w:r>
    </w:p>
    <w:p w14:paraId="69E679CF" w14:textId="77777777" w:rsidR="000B3A5B" w:rsidRPr="000B3A5B" w:rsidRDefault="000B3A5B" w:rsidP="000B3A5B">
      <w:pPr>
        <w:pStyle w:val="LagPararubrik"/>
        <w:rPr>
          <w:color w:val="000000"/>
          <w:lang w:val="sv-FI"/>
        </w:rPr>
      </w:pPr>
      <w:r w:rsidRPr="000B3A5B">
        <w:rPr>
          <w:color w:val="000000"/>
          <w:lang w:val="sv-FI"/>
        </w:rPr>
        <w:t>Tillsyn</w:t>
      </w:r>
    </w:p>
    <w:p w14:paraId="49DBE832" w14:textId="77777777" w:rsidR="000B3A5B" w:rsidRPr="000B3A5B" w:rsidRDefault="000B3A5B" w:rsidP="000B3A5B">
      <w:pPr>
        <w:pStyle w:val="ANormal"/>
        <w:rPr>
          <w:color w:val="000000"/>
          <w:lang w:val="sv-FI"/>
        </w:rPr>
      </w:pPr>
      <w:r w:rsidRPr="000B3A5B">
        <w:rPr>
          <w:color w:val="000000"/>
          <w:lang w:val="sv-FI"/>
        </w:rPr>
        <w:tab/>
        <w:t>Tillsynen över tillämpningen av denna lag i fråga om angelägenheter som faller under landskapets behörighet utövas av landskapsregeringen.</w:t>
      </w:r>
    </w:p>
    <w:p w14:paraId="14679285" w14:textId="77777777" w:rsidR="000B3A5B" w:rsidRPr="000B3A5B" w:rsidRDefault="000B3A5B" w:rsidP="000B3A5B">
      <w:pPr>
        <w:pStyle w:val="ANormal"/>
        <w:rPr>
          <w:color w:val="000000"/>
          <w:lang w:val="sv-FI"/>
        </w:rPr>
      </w:pPr>
    </w:p>
    <w:p w14:paraId="646CAF50" w14:textId="77777777" w:rsidR="000B3A5B" w:rsidRPr="000B3A5B" w:rsidRDefault="000B3A5B" w:rsidP="000B3A5B">
      <w:pPr>
        <w:pStyle w:val="LagParagraf"/>
        <w:rPr>
          <w:color w:val="000000"/>
          <w:lang w:val="sv-FI"/>
        </w:rPr>
      </w:pPr>
      <w:r w:rsidRPr="000B3A5B">
        <w:rPr>
          <w:color w:val="000000"/>
          <w:lang w:val="sv-FI"/>
        </w:rPr>
        <w:t>5 §</w:t>
      </w:r>
    </w:p>
    <w:p w14:paraId="388E7657" w14:textId="77777777" w:rsidR="000B3A5B" w:rsidRPr="000B3A5B" w:rsidRDefault="000B3A5B" w:rsidP="000B3A5B">
      <w:pPr>
        <w:pStyle w:val="LagPararubrik"/>
        <w:rPr>
          <w:color w:val="000000"/>
          <w:lang w:val="sv-FI"/>
        </w:rPr>
      </w:pPr>
      <w:r w:rsidRPr="000B3A5B">
        <w:rPr>
          <w:color w:val="000000"/>
          <w:lang w:val="sv-FI"/>
        </w:rPr>
        <w:t>Ikraftträdande</w:t>
      </w:r>
    </w:p>
    <w:p w14:paraId="4C5EBF1F" w14:textId="77777777" w:rsidR="000B3A5B" w:rsidRPr="000B3A5B" w:rsidRDefault="000B3A5B" w:rsidP="000B3A5B">
      <w:pPr>
        <w:pStyle w:val="ANormal"/>
        <w:rPr>
          <w:color w:val="000000"/>
          <w:lang w:val="sv-FI"/>
        </w:rPr>
      </w:pPr>
      <w:r w:rsidRPr="000B3A5B">
        <w:rPr>
          <w:color w:val="000000"/>
          <w:lang w:val="sv-FI"/>
        </w:rPr>
        <w:tab/>
        <w:t>Denna lag träder i kraft den</w:t>
      </w:r>
    </w:p>
    <w:p w14:paraId="69D6E818" w14:textId="77777777" w:rsidR="000B3A5B" w:rsidRPr="000B3A5B" w:rsidRDefault="000B3A5B" w:rsidP="000B3A5B">
      <w:pPr>
        <w:pStyle w:val="ANormal"/>
        <w:rPr>
          <w:color w:val="000000"/>
          <w:lang w:val="sv-FI"/>
        </w:rPr>
      </w:pPr>
      <w:r w:rsidRPr="000B3A5B">
        <w:rPr>
          <w:color w:val="000000"/>
          <w:lang w:val="sv-FI"/>
        </w:rPr>
        <w:tab/>
        <w:t>Genom denna lag upphävs landskapslagen (2022:63) om tillämpning på Åland av 13 och 13 a kap. i lagen om offentlig arbetskrafts- och företagsservice.</w:t>
      </w:r>
    </w:p>
    <w:p w14:paraId="7492C6C5" w14:textId="77777777" w:rsidR="000B3A5B" w:rsidRDefault="001E435E" w:rsidP="000B3A5B">
      <w:pPr>
        <w:pStyle w:val="ANormal"/>
        <w:jc w:val="center"/>
      </w:pPr>
      <w:hyperlink w:anchor="_top" w:tooltip="Klicka för att gå till toppen av dokumentet" w:history="1">
        <w:r w:rsidR="000B3A5B">
          <w:rPr>
            <w:rStyle w:val="Hyperlnk"/>
          </w:rPr>
          <w:t>__________________</w:t>
        </w:r>
      </w:hyperlink>
    </w:p>
    <w:p w14:paraId="3DE05C8B" w14:textId="77777777" w:rsidR="000B3A5B" w:rsidRPr="000B3A5B" w:rsidRDefault="000B3A5B" w:rsidP="000B3A5B">
      <w:pPr>
        <w:pStyle w:val="ANormal"/>
        <w:rPr>
          <w:color w:val="000000"/>
          <w:lang w:val="sv-FI"/>
        </w:rPr>
      </w:pPr>
    </w:p>
    <w:p w14:paraId="71B7446A" w14:textId="634B0667" w:rsidR="00337A19" w:rsidRDefault="00337A19" w:rsidP="005C5E44">
      <w:pPr>
        <w:pStyle w:val="ANormal"/>
        <w:suppressAutoHyphens/>
        <w:outlineLvl w:val="0"/>
      </w:pPr>
    </w:p>
    <w:p w14:paraId="1EC899EF" w14:textId="77777777" w:rsidR="00337A19" w:rsidRDefault="00337A19">
      <w:pPr>
        <w:pStyle w:val="ANormal"/>
      </w:pPr>
      <w:r>
        <w:tab/>
      </w:r>
    </w:p>
    <w:p w14:paraId="10C63062" w14:textId="77777777" w:rsidR="00337A19" w:rsidRDefault="00337A19">
      <w:pPr>
        <w:pStyle w:val="ANormal"/>
      </w:pPr>
    </w:p>
    <w:p w14:paraId="1E3AC8D1"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5C17608E" w14:textId="77777777">
        <w:trPr>
          <w:cantSplit/>
        </w:trPr>
        <w:tc>
          <w:tcPr>
            <w:tcW w:w="6706" w:type="dxa"/>
            <w:gridSpan w:val="2"/>
          </w:tcPr>
          <w:p w14:paraId="5036A9A8" w14:textId="10F10C10" w:rsidR="00337A19" w:rsidRDefault="00337A19">
            <w:pPr>
              <w:pStyle w:val="ANormal"/>
              <w:keepNext/>
            </w:pPr>
            <w:r>
              <w:tab/>
              <w:t xml:space="preserve">Mariehamn den </w:t>
            </w:r>
            <w:r w:rsidR="000B3A5B">
              <w:t>6 november 2024</w:t>
            </w:r>
          </w:p>
        </w:tc>
      </w:tr>
      <w:tr w:rsidR="00337A19" w14:paraId="575F69B3" w14:textId="77777777">
        <w:trPr>
          <w:cantSplit/>
        </w:trPr>
        <w:tc>
          <w:tcPr>
            <w:tcW w:w="6706" w:type="dxa"/>
            <w:gridSpan w:val="2"/>
            <w:vAlign w:val="bottom"/>
          </w:tcPr>
          <w:p w14:paraId="07E00F37" w14:textId="77777777" w:rsidR="00337A19" w:rsidRDefault="00337A19">
            <w:pPr>
              <w:pStyle w:val="ANormal"/>
              <w:keepNext/>
            </w:pPr>
          </w:p>
          <w:p w14:paraId="39B46C79" w14:textId="77777777" w:rsidR="00337A19" w:rsidRDefault="00337A19">
            <w:pPr>
              <w:pStyle w:val="ANormal"/>
              <w:keepNext/>
            </w:pPr>
          </w:p>
          <w:p w14:paraId="59B24056" w14:textId="77777777" w:rsidR="00337A19" w:rsidRDefault="00337A19">
            <w:pPr>
              <w:pStyle w:val="ANormal"/>
              <w:keepNext/>
            </w:pPr>
          </w:p>
          <w:p w14:paraId="265B100A" w14:textId="218A50F3" w:rsidR="00337A19" w:rsidRDefault="000B3A5B">
            <w:pPr>
              <w:pStyle w:val="ANormal"/>
              <w:keepNext/>
              <w:jc w:val="center"/>
            </w:pPr>
            <w:r>
              <w:t>Jörgen Pettersson</w:t>
            </w:r>
            <w:r w:rsidR="00D636DC">
              <w:t xml:space="preserve">  </w:t>
            </w:r>
          </w:p>
          <w:p w14:paraId="0E831F96" w14:textId="77777777" w:rsidR="00337A19" w:rsidRDefault="00337A19">
            <w:pPr>
              <w:pStyle w:val="ANormal"/>
              <w:keepNext/>
              <w:jc w:val="center"/>
            </w:pPr>
            <w:r>
              <w:t>talman</w:t>
            </w:r>
          </w:p>
        </w:tc>
      </w:tr>
      <w:tr w:rsidR="00337A19" w14:paraId="0BCD7FF0" w14:textId="77777777">
        <w:tc>
          <w:tcPr>
            <w:tcW w:w="3353" w:type="dxa"/>
            <w:vAlign w:val="bottom"/>
          </w:tcPr>
          <w:p w14:paraId="0266D850" w14:textId="77777777" w:rsidR="00337A19" w:rsidRDefault="00337A19">
            <w:pPr>
              <w:pStyle w:val="ANormal"/>
              <w:keepNext/>
              <w:jc w:val="center"/>
            </w:pPr>
          </w:p>
          <w:p w14:paraId="3E853833" w14:textId="77777777" w:rsidR="00337A19" w:rsidRDefault="00337A19">
            <w:pPr>
              <w:pStyle w:val="ANormal"/>
              <w:keepNext/>
              <w:jc w:val="center"/>
            </w:pPr>
          </w:p>
          <w:p w14:paraId="17C9CCC8" w14:textId="163688BB" w:rsidR="00337A19" w:rsidRDefault="000B3A5B">
            <w:pPr>
              <w:pStyle w:val="ANormal"/>
              <w:keepNext/>
              <w:jc w:val="center"/>
            </w:pPr>
            <w:r>
              <w:t xml:space="preserve">Marcus </w:t>
            </w:r>
            <w:proofErr w:type="spellStart"/>
            <w:r>
              <w:t>Måtar</w:t>
            </w:r>
            <w:proofErr w:type="spellEnd"/>
            <w:r w:rsidR="00D636DC">
              <w:t xml:space="preserve">  </w:t>
            </w:r>
          </w:p>
          <w:p w14:paraId="33C1CD61" w14:textId="77777777" w:rsidR="00337A19" w:rsidRDefault="00337A19">
            <w:pPr>
              <w:pStyle w:val="ANormal"/>
              <w:keepNext/>
              <w:jc w:val="center"/>
            </w:pPr>
            <w:r>
              <w:t>vicetalman</w:t>
            </w:r>
          </w:p>
        </w:tc>
        <w:tc>
          <w:tcPr>
            <w:tcW w:w="3353" w:type="dxa"/>
            <w:vAlign w:val="bottom"/>
          </w:tcPr>
          <w:p w14:paraId="2CF0C8F9" w14:textId="77777777" w:rsidR="00337A19" w:rsidRDefault="00337A19">
            <w:pPr>
              <w:pStyle w:val="ANormal"/>
              <w:keepNext/>
              <w:jc w:val="center"/>
            </w:pPr>
          </w:p>
          <w:p w14:paraId="2C5ABDEB" w14:textId="77777777" w:rsidR="00337A19" w:rsidRDefault="00337A19">
            <w:pPr>
              <w:pStyle w:val="ANormal"/>
              <w:keepNext/>
              <w:jc w:val="center"/>
            </w:pPr>
          </w:p>
          <w:p w14:paraId="3034A276" w14:textId="06536ED7" w:rsidR="00337A19" w:rsidRDefault="001E435E">
            <w:pPr>
              <w:pStyle w:val="ANormal"/>
              <w:keepNext/>
              <w:jc w:val="center"/>
            </w:pPr>
            <w:r>
              <w:t>Pernilla Söderlund</w:t>
            </w:r>
          </w:p>
          <w:p w14:paraId="6E494448" w14:textId="77777777" w:rsidR="00337A19" w:rsidRDefault="00337A19">
            <w:pPr>
              <w:pStyle w:val="ANormal"/>
              <w:keepNext/>
              <w:jc w:val="center"/>
            </w:pPr>
            <w:r>
              <w:t>vicetalman</w:t>
            </w:r>
          </w:p>
        </w:tc>
      </w:tr>
    </w:tbl>
    <w:p w14:paraId="65B1BE60" w14:textId="77777777" w:rsidR="00337A19" w:rsidRDefault="00337A19">
      <w:pPr>
        <w:pStyle w:val="ANormal"/>
      </w:pPr>
    </w:p>
    <w:sectPr w:rsidR="00337A19" w:rsidSect="005C5E44">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DB07C" w14:textId="77777777" w:rsidR="000B3A5B" w:rsidRDefault="000B3A5B">
      <w:r>
        <w:separator/>
      </w:r>
    </w:p>
  </w:endnote>
  <w:endnote w:type="continuationSeparator" w:id="0">
    <w:p w14:paraId="09DDC33D" w14:textId="77777777" w:rsidR="000B3A5B" w:rsidRDefault="000B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B4741"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77FFE" w14:textId="77777777" w:rsidR="00867707" w:rsidRDefault="00867707">
    <w:pPr>
      <w:pStyle w:val="Sidfot"/>
      <w:rPr>
        <w:lang w:val="fi-FI"/>
      </w:rPr>
    </w:pPr>
    <w:r>
      <w:fldChar w:fldCharType="begin"/>
    </w:r>
    <w:r>
      <w:rPr>
        <w:lang w:val="fi-FI"/>
      </w:rPr>
      <w:instrText xml:space="preserve"> FILENAME  \* MERGEFORMAT </w:instrText>
    </w:r>
    <w:r>
      <w:fldChar w:fldCharType="separate"/>
    </w:r>
    <w:r w:rsidR="000B3A5B">
      <w:rPr>
        <w:noProof/>
        <w:lang w:val="fi-FI"/>
      </w:rPr>
      <w:t>Dokument3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81999"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3DD15" w14:textId="77777777" w:rsidR="000B3A5B" w:rsidRDefault="000B3A5B">
      <w:r>
        <w:separator/>
      </w:r>
    </w:p>
  </w:footnote>
  <w:footnote w:type="continuationSeparator" w:id="0">
    <w:p w14:paraId="515F6E8A" w14:textId="77777777" w:rsidR="000B3A5B" w:rsidRDefault="000B3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93931"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74B3F03A"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CA9CC"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556964189">
    <w:abstractNumId w:val="6"/>
  </w:num>
  <w:num w:numId="2" w16cid:durableId="1458983614">
    <w:abstractNumId w:val="3"/>
  </w:num>
  <w:num w:numId="3" w16cid:durableId="434982700">
    <w:abstractNumId w:val="2"/>
  </w:num>
  <w:num w:numId="4" w16cid:durableId="2004426947">
    <w:abstractNumId w:val="1"/>
  </w:num>
  <w:num w:numId="5" w16cid:durableId="1024096705">
    <w:abstractNumId w:val="0"/>
  </w:num>
  <w:num w:numId="6" w16cid:durableId="1168013091">
    <w:abstractNumId w:val="7"/>
  </w:num>
  <w:num w:numId="7" w16cid:durableId="1082065200">
    <w:abstractNumId w:val="5"/>
  </w:num>
  <w:num w:numId="8" w16cid:durableId="1160736910">
    <w:abstractNumId w:val="4"/>
  </w:num>
  <w:num w:numId="9" w16cid:durableId="156843656">
    <w:abstractNumId w:val="10"/>
  </w:num>
  <w:num w:numId="10" w16cid:durableId="8219363">
    <w:abstractNumId w:val="13"/>
  </w:num>
  <w:num w:numId="11" w16cid:durableId="391467303">
    <w:abstractNumId w:val="12"/>
  </w:num>
  <w:num w:numId="12" w16cid:durableId="83579742">
    <w:abstractNumId w:val="16"/>
  </w:num>
  <w:num w:numId="13" w16cid:durableId="929897534">
    <w:abstractNumId w:val="11"/>
  </w:num>
  <w:num w:numId="14" w16cid:durableId="2068336422">
    <w:abstractNumId w:val="15"/>
  </w:num>
  <w:num w:numId="15" w16cid:durableId="142280985">
    <w:abstractNumId w:val="9"/>
  </w:num>
  <w:num w:numId="16" w16cid:durableId="957302432">
    <w:abstractNumId w:val="21"/>
  </w:num>
  <w:num w:numId="17" w16cid:durableId="942031885">
    <w:abstractNumId w:val="8"/>
  </w:num>
  <w:num w:numId="18" w16cid:durableId="1775008220">
    <w:abstractNumId w:val="17"/>
  </w:num>
  <w:num w:numId="19" w16cid:durableId="1049643808">
    <w:abstractNumId w:val="20"/>
  </w:num>
  <w:num w:numId="20" w16cid:durableId="386687715">
    <w:abstractNumId w:val="23"/>
  </w:num>
  <w:num w:numId="21" w16cid:durableId="232739941">
    <w:abstractNumId w:val="22"/>
  </w:num>
  <w:num w:numId="22" w16cid:durableId="1808546548">
    <w:abstractNumId w:val="14"/>
  </w:num>
  <w:num w:numId="23" w16cid:durableId="2108116164">
    <w:abstractNumId w:val="18"/>
  </w:num>
  <w:num w:numId="24" w16cid:durableId="1486630311">
    <w:abstractNumId w:val="18"/>
  </w:num>
  <w:num w:numId="25" w16cid:durableId="1311326878">
    <w:abstractNumId w:val="19"/>
  </w:num>
  <w:num w:numId="26" w16cid:durableId="641271349">
    <w:abstractNumId w:val="14"/>
  </w:num>
  <w:num w:numId="27" w16cid:durableId="1290209204">
    <w:abstractNumId w:val="14"/>
  </w:num>
  <w:num w:numId="28" w16cid:durableId="271130662">
    <w:abstractNumId w:val="14"/>
  </w:num>
  <w:num w:numId="29" w16cid:durableId="564336368">
    <w:abstractNumId w:val="14"/>
  </w:num>
  <w:num w:numId="30" w16cid:durableId="1409033882">
    <w:abstractNumId w:val="14"/>
  </w:num>
  <w:num w:numId="31" w16cid:durableId="827670147">
    <w:abstractNumId w:val="14"/>
  </w:num>
  <w:num w:numId="32" w16cid:durableId="1080760479">
    <w:abstractNumId w:val="14"/>
  </w:num>
  <w:num w:numId="33" w16cid:durableId="860051402">
    <w:abstractNumId w:val="14"/>
  </w:num>
  <w:num w:numId="34" w16cid:durableId="2008511234">
    <w:abstractNumId w:val="14"/>
  </w:num>
  <w:num w:numId="35" w16cid:durableId="1068725070">
    <w:abstractNumId w:val="18"/>
  </w:num>
  <w:num w:numId="36" w16cid:durableId="66536456">
    <w:abstractNumId w:val="19"/>
  </w:num>
  <w:num w:numId="37" w16cid:durableId="1126699444">
    <w:abstractNumId w:val="14"/>
  </w:num>
  <w:num w:numId="38" w16cid:durableId="919093818">
    <w:abstractNumId w:val="14"/>
  </w:num>
  <w:num w:numId="39" w16cid:durableId="697124667">
    <w:abstractNumId w:val="14"/>
  </w:num>
  <w:num w:numId="40" w16cid:durableId="1490252032">
    <w:abstractNumId w:val="14"/>
  </w:num>
  <w:num w:numId="41" w16cid:durableId="1199508035">
    <w:abstractNumId w:val="14"/>
  </w:num>
  <w:num w:numId="42" w16cid:durableId="1749229130">
    <w:abstractNumId w:val="14"/>
  </w:num>
  <w:num w:numId="43" w16cid:durableId="620839823">
    <w:abstractNumId w:val="14"/>
  </w:num>
  <w:num w:numId="44" w16cid:durableId="474104810">
    <w:abstractNumId w:val="14"/>
  </w:num>
  <w:num w:numId="45" w16cid:durableId="21090823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A5B"/>
    <w:rsid w:val="00004B5B"/>
    <w:rsid w:val="000B3A5B"/>
    <w:rsid w:val="001E435E"/>
    <w:rsid w:val="00284C7A"/>
    <w:rsid w:val="002E1682"/>
    <w:rsid w:val="00337A19"/>
    <w:rsid w:val="0038180C"/>
    <w:rsid w:val="004D7ED5"/>
    <w:rsid w:val="004E7D01"/>
    <w:rsid w:val="004F64FE"/>
    <w:rsid w:val="005C5E44"/>
    <w:rsid w:val="005E1BD9"/>
    <w:rsid w:val="005F6898"/>
    <w:rsid w:val="006538ED"/>
    <w:rsid w:val="00833004"/>
    <w:rsid w:val="008414E5"/>
    <w:rsid w:val="00867707"/>
    <w:rsid w:val="008B5FA2"/>
    <w:rsid w:val="009E1423"/>
    <w:rsid w:val="009F1162"/>
    <w:rsid w:val="00B5110A"/>
    <w:rsid w:val="00BA3751"/>
    <w:rsid w:val="00BD48EF"/>
    <w:rsid w:val="00BE2983"/>
    <w:rsid w:val="00D636DC"/>
    <w:rsid w:val="00DD3988"/>
    <w:rsid w:val="00E6237B"/>
    <w:rsid w:val="00E62B7D"/>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6997FF"/>
  <w15:docId w15:val="{E1D28221-3A30-47DA-88C6-3C5DC103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14</TotalTime>
  <Pages>2</Pages>
  <Words>439</Words>
  <Characters>2925</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36/2024</dc:title>
  <dc:creator>Jessica Laaksonen</dc:creator>
  <cp:lastModifiedBy>Jessica Laaksonen</cp:lastModifiedBy>
  <cp:revision>2</cp:revision>
  <cp:lastPrinted>2005-03-31T06:40:00Z</cp:lastPrinted>
  <dcterms:created xsi:type="dcterms:W3CDTF">2024-10-30T11:47:00Z</dcterms:created>
  <dcterms:modified xsi:type="dcterms:W3CDTF">2024-11-06T09:31:00Z</dcterms:modified>
</cp:coreProperties>
</file>