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AF3004" w14:paraId="6AFAFE97" w14:textId="77777777">
        <w:trPr>
          <w:cantSplit/>
          <w:trHeight w:val="20"/>
        </w:trPr>
        <w:tc>
          <w:tcPr>
            <w:tcW w:w="861" w:type="dxa"/>
            <w:vMerge w:val="restart"/>
          </w:tcPr>
          <w:p w14:paraId="275CC120" w14:textId="7BA9D206" w:rsidR="00AF3004" w:rsidRDefault="002C5BFD">
            <w:pPr>
              <w:pStyle w:val="xLedtext"/>
              <w:keepNext/>
              <w:rPr>
                <w:noProof/>
              </w:rPr>
            </w:pPr>
            <w:r>
              <w:rPr>
                <w:noProof/>
                <w:sz w:val="20"/>
              </w:rPr>
              <w:drawing>
                <wp:anchor distT="0" distB="0" distL="114300" distR="114300" simplePos="0" relativeHeight="251657728" behindDoc="0" locked="0" layoutInCell="1" allowOverlap="1" wp14:anchorId="71F5AB79" wp14:editId="3CEB34BA">
                  <wp:simplePos x="0" y="0"/>
                  <wp:positionH relativeFrom="column">
                    <wp:posOffset>-31115</wp:posOffset>
                  </wp:positionH>
                  <wp:positionV relativeFrom="paragraph">
                    <wp:posOffset>635</wp:posOffset>
                  </wp:positionV>
                  <wp:extent cx="2647950" cy="6858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2C699EBA" w14:textId="6AAC91CD" w:rsidR="00AF3004" w:rsidRDefault="002C5BFD">
            <w:pPr>
              <w:pStyle w:val="xMellanrum"/>
            </w:pPr>
            <w:r>
              <w:rPr>
                <w:noProof/>
              </w:rPr>
              <w:drawing>
                <wp:inline distT="0" distB="0" distL="0" distR="0" wp14:anchorId="78C03ADD" wp14:editId="41B8D412">
                  <wp:extent cx="47625" cy="476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F3004" w14:paraId="236BB6CD" w14:textId="77777777">
        <w:trPr>
          <w:cantSplit/>
          <w:trHeight w:val="299"/>
        </w:trPr>
        <w:tc>
          <w:tcPr>
            <w:tcW w:w="861" w:type="dxa"/>
            <w:vMerge/>
          </w:tcPr>
          <w:p w14:paraId="3A05C976" w14:textId="77777777" w:rsidR="00AF3004" w:rsidRDefault="00AF3004">
            <w:pPr>
              <w:pStyle w:val="xLedtext"/>
            </w:pPr>
          </w:p>
        </w:tc>
        <w:tc>
          <w:tcPr>
            <w:tcW w:w="4448" w:type="dxa"/>
            <w:vAlign w:val="bottom"/>
          </w:tcPr>
          <w:p w14:paraId="0B0E8F35" w14:textId="77777777" w:rsidR="00AF3004" w:rsidRDefault="00AF3004">
            <w:pPr>
              <w:pStyle w:val="xAvsandare1"/>
            </w:pPr>
          </w:p>
        </w:tc>
        <w:tc>
          <w:tcPr>
            <w:tcW w:w="4288" w:type="dxa"/>
            <w:gridSpan w:val="2"/>
            <w:vAlign w:val="bottom"/>
          </w:tcPr>
          <w:p w14:paraId="4898A7D7" w14:textId="6AE97FF3" w:rsidR="00AF3004" w:rsidRDefault="002C5BFD">
            <w:pPr>
              <w:pStyle w:val="xDokTypNr"/>
            </w:pPr>
            <w:r>
              <w:t>LAGFÖRSLAG</w:t>
            </w:r>
            <w:r w:rsidR="00AF3004">
              <w:t xml:space="preserve"> nr </w:t>
            </w:r>
            <w:r w:rsidR="00F31C1E">
              <w:t>24</w:t>
            </w:r>
            <w:r w:rsidR="00AF3004">
              <w:t>/20</w:t>
            </w:r>
            <w:r w:rsidR="00783392">
              <w:t>23</w:t>
            </w:r>
            <w:r>
              <w:t>–</w:t>
            </w:r>
            <w:r w:rsidR="00AF3004">
              <w:t>20</w:t>
            </w:r>
            <w:r w:rsidR="00783392">
              <w:t>24</w:t>
            </w:r>
          </w:p>
        </w:tc>
      </w:tr>
      <w:tr w:rsidR="00AF3004" w14:paraId="62DC949B" w14:textId="77777777">
        <w:trPr>
          <w:cantSplit/>
          <w:trHeight w:val="238"/>
        </w:trPr>
        <w:tc>
          <w:tcPr>
            <w:tcW w:w="861" w:type="dxa"/>
            <w:vMerge/>
          </w:tcPr>
          <w:p w14:paraId="7650AC30" w14:textId="77777777" w:rsidR="00AF3004" w:rsidRDefault="00AF3004">
            <w:pPr>
              <w:pStyle w:val="xLedtext"/>
            </w:pPr>
          </w:p>
        </w:tc>
        <w:tc>
          <w:tcPr>
            <w:tcW w:w="4448" w:type="dxa"/>
            <w:vAlign w:val="bottom"/>
          </w:tcPr>
          <w:p w14:paraId="0FEAA5DA" w14:textId="77777777" w:rsidR="00AF3004" w:rsidRDefault="00AF3004">
            <w:pPr>
              <w:pStyle w:val="xLedtext"/>
            </w:pPr>
          </w:p>
        </w:tc>
        <w:tc>
          <w:tcPr>
            <w:tcW w:w="1725" w:type="dxa"/>
            <w:vAlign w:val="bottom"/>
          </w:tcPr>
          <w:p w14:paraId="37E94BC7" w14:textId="77777777" w:rsidR="00AF3004" w:rsidRDefault="00AF3004">
            <w:pPr>
              <w:pStyle w:val="xLedtext"/>
              <w:rPr>
                <w:lang w:val="de-DE"/>
              </w:rPr>
            </w:pPr>
            <w:r>
              <w:rPr>
                <w:lang w:val="de-DE"/>
              </w:rPr>
              <w:t>Datum</w:t>
            </w:r>
          </w:p>
        </w:tc>
        <w:tc>
          <w:tcPr>
            <w:tcW w:w="2563" w:type="dxa"/>
            <w:vAlign w:val="bottom"/>
          </w:tcPr>
          <w:p w14:paraId="0C0CD1E2" w14:textId="77777777" w:rsidR="00AF3004" w:rsidRDefault="00AF3004">
            <w:pPr>
              <w:pStyle w:val="xLedtext"/>
              <w:rPr>
                <w:lang w:val="de-DE"/>
              </w:rPr>
            </w:pPr>
          </w:p>
        </w:tc>
      </w:tr>
      <w:tr w:rsidR="00AF3004" w14:paraId="127AAA84" w14:textId="77777777">
        <w:trPr>
          <w:cantSplit/>
          <w:trHeight w:val="238"/>
        </w:trPr>
        <w:tc>
          <w:tcPr>
            <w:tcW w:w="861" w:type="dxa"/>
            <w:vMerge/>
          </w:tcPr>
          <w:p w14:paraId="433DDF6A" w14:textId="77777777" w:rsidR="00AF3004" w:rsidRDefault="00AF3004">
            <w:pPr>
              <w:pStyle w:val="xAvsandare2"/>
              <w:rPr>
                <w:lang w:val="de-DE"/>
              </w:rPr>
            </w:pPr>
          </w:p>
        </w:tc>
        <w:tc>
          <w:tcPr>
            <w:tcW w:w="4448" w:type="dxa"/>
            <w:vAlign w:val="center"/>
          </w:tcPr>
          <w:p w14:paraId="37B0CEEF" w14:textId="77777777" w:rsidR="00AF3004" w:rsidRDefault="00AF3004">
            <w:pPr>
              <w:pStyle w:val="xAvsandare2"/>
              <w:rPr>
                <w:lang w:val="de-DE"/>
              </w:rPr>
            </w:pPr>
          </w:p>
        </w:tc>
        <w:tc>
          <w:tcPr>
            <w:tcW w:w="1725" w:type="dxa"/>
            <w:vAlign w:val="center"/>
          </w:tcPr>
          <w:p w14:paraId="14FF701B" w14:textId="67C4676E" w:rsidR="00AF3004" w:rsidRDefault="00AF3004">
            <w:pPr>
              <w:pStyle w:val="xDatum1"/>
              <w:rPr>
                <w:lang w:val="de-DE"/>
              </w:rPr>
            </w:pPr>
            <w:r>
              <w:rPr>
                <w:lang w:val="de-DE"/>
              </w:rPr>
              <w:t>20</w:t>
            </w:r>
            <w:r w:rsidR="00783392">
              <w:rPr>
                <w:lang w:val="de-DE"/>
              </w:rPr>
              <w:t>24</w:t>
            </w:r>
            <w:r>
              <w:rPr>
                <w:lang w:val="de-DE"/>
              </w:rPr>
              <w:t>-</w:t>
            </w:r>
            <w:r w:rsidR="00F31C1E">
              <w:rPr>
                <w:lang w:val="de-DE"/>
              </w:rPr>
              <w:t>09</w:t>
            </w:r>
            <w:r>
              <w:rPr>
                <w:lang w:val="de-DE"/>
              </w:rPr>
              <w:t>-</w:t>
            </w:r>
            <w:r w:rsidR="00F31C1E">
              <w:rPr>
                <w:lang w:val="de-DE"/>
              </w:rPr>
              <w:t>04</w:t>
            </w:r>
          </w:p>
        </w:tc>
        <w:tc>
          <w:tcPr>
            <w:tcW w:w="2563" w:type="dxa"/>
            <w:vAlign w:val="center"/>
          </w:tcPr>
          <w:p w14:paraId="267C8803" w14:textId="77777777" w:rsidR="00AF3004" w:rsidRDefault="00AF3004">
            <w:pPr>
              <w:pStyle w:val="xBeteckning1"/>
              <w:rPr>
                <w:lang w:val="de-DE"/>
              </w:rPr>
            </w:pPr>
          </w:p>
        </w:tc>
      </w:tr>
      <w:tr w:rsidR="00AF3004" w14:paraId="2E11E959" w14:textId="77777777">
        <w:trPr>
          <w:cantSplit/>
          <w:trHeight w:val="238"/>
        </w:trPr>
        <w:tc>
          <w:tcPr>
            <w:tcW w:w="861" w:type="dxa"/>
            <w:vMerge/>
          </w:tcPr>
          <w:p w14:paraId="06EC521D" w14:textId="77777777" w:rsidR="00AF3004" w:rsidRDefault="00AF3004">
            <w:pPr>
              <w:pStyle w:val="xLedtext"/>
              <w:rPr>
                <w:lang w:val="de-DE"/>
              </w:rPr>
            </w:pPr>
          </w:p>
        </w:tc>
        <w:tc>
          <w:tcPr>
            <w:tcW w:w="4448" w:type="dxa"/>
            <w:vAlign w:val="bottom"/>
          </w:tcPr>
          <w:p w14:paraId="3316D2F1" w14:textId="77777777" w:rsidR="00AF3004" w:rsidRDefault="00AF3004">
            <w:pPr>
              <w:pStyle w:val="xLedtext"/>
              <w:rPr>
                <w:lang w:val="de-DE"/>
              </w:rPr>
            </w:pPr>
          </w:p>
        </w:tc>
        <w:tc>
          <w:tcPr>
            <w:tcW w:w="1725" w:type="dxa"/>
            <w:vAlign w:val="bottom"/>
          </w:tcPr>
          <w:p w14:paraId="0DA72811" w14:textId="77777777" w:rsidR="00AF3004" w:rsidRDefault="00AF3004">
            <w:pPr>
              <w:pStyle w:val="xLedtext"/>
              <w:rPr>
                <w:lang w:val="de-DE"/>
              </w:rPr>
            </w:pPr>
          </w:p>
        </w:tc>
        <w:tc>
          <w:tcPr>
            <w:tcW w:w="2563" w:type="dxa"/>
            <w:vAlign w:val="bottom"/>
          </w:tcPr>
          <w:p w14:paraId="60B8D6B6" w14:textId="77777777" w:rsidR="00AF3004" w:rsidRDefault="00AF3004">
            <w:pPr>
              <w:pStyle w:val="xLedtext"/>
              <w:rPr>
                <w:lang w:val="de-DE"/>
              </w:rPr>
            </w:pPr>
          </w:p>
        </w:tc>
      </w:tr>
      <w:tr w:rsidR="00AF3004" w14:paraId="334B45CE" w14:textId="77777777">
        <w:trPr>
          <w:cantSplit/>
          <w:trHeight w:val="238"/>
        </w:trPr>
        <w:tc>
          <w:tcPr>
            <w:tcW w:w="861" w:type="dxa"/>
            <w:vMerge/>
            <w:tcBorders>
              <w:bottom w:val="single" w:sz="4" w:space="0" w:color="auto"/>
            </w:tcBorders>
          </w:tcPr>
          <w:p w14:paraId="0031BE06" w14:textId="77777777" w:rsidR="00AF3004" w:rsidRDefault="00AF3004">
            <w:pPr>
              <w:pStyle w:val="xAvsandare3"/>
              <w:rPr>
                <w:lang w:val="de-DE"/>
              </w:rPr>
            </w:pPr>
          </w:p>
        </w:tc>
        <w:tc>
          <w:tcPr>
            <w:tcW w:w="4448" w:type="dxa"/>
            <w:tcBorders>
              <w:bottom w:val="single" w:sz="4" w:space="0" w:color="auto"/>
            </w:tcBorders>
            <w:vAlign w:val="center"/>
          </w:tcPr>
          <w:p w14:paraId="0F53929F" w14:textId="77777777" w:rsidR="00AF3004" w:rsidRDefault="00AF3004">
            <w:pPr>
              <w:pStyle w:val="xAvsandare3"/>
              <w:rPr>
                <w:lang w:val="de-DE"/>
              </w:rPr>
            </w:pPr>
          </w:p>
        </w:tc>
        <w:tc>
          <w:tcPr>
            <w:tcW w:w="1725" w:type="dxa"/>
            <w:tcBorders>
              <w:bottom w:val="single" w:sz="4" w:space="0" w:color="auto"/>
            </w:tcBorders>
            <w:vAlign w:val="center"/>
          </w:tcPr>
          <w:p w14:paraId="142C9836" w14:textId="77777777" w:rsidR="00AF3004" w:rsidRDefault="00AF3004">
            <w:pPr>
              <w:pStyle w:val="xDatum2"/>
              <w:rPr>
                <w:lang w:val="de-DE"/>
              </w:rPr>
            </w:pPr>
          </w:p>
        </w:tc>
        <w:tc>
          <w:tcPr>
            <w:tcW w:w="2563" w:type="dxa"/>
            <w:tcBorders>
              <w:bottom w:val="single" w:sz="4" w:space="0" w:color="auto"/>
            </w:tcBorders>
            <w:vAlign w:val="center"/>
          </w:tcPr>
          <w:p w14:paraId="0DD8052D" w14:textId="77777777" w:rsidR="00AF3004" w:rsidRDefault="00AF3004">
            <w:pPr>
              <w:pStyle w:val="xBeteckning2"/>
              <w:rPr>
                <w:lang w:val="de-DE"/>
              </w:rPr>
            </w:pPr>
          </w:p>
        </w:tc>
      </w:tr>
      <w:tr w:rsidR="00AF3004" w14:paraId="3793CD5A" w14:textId="77777777">
        <w:trPr>
          <w:cantSplit/>
          <w:trHeight w:val="238"/>
        </w:trPr>
        <w:tc>
          <w:tcPr>
            <w:tcW w:w="861" w:type="dxa"/>
            <w:tcBorders>
              <w:top w:val="single" w:sz="4" w:space="0" w:color="auto"/>
            </w:tcBorders>
            <w:vAlign w:val="bottom"/>
          </w:tcPr>
          <w:p w14:paraId="69C1AD2E" w14:textId="77777777" w:rsidR="00AF3004" w:rsidRDefault="00AF3004">
            <w:pPr>
              <w:pStyle w:val="xLedtext"/>
              <w:rPr>
                <w:lang w:val="de-DE"/>
              </w:rPr>
            </w:pPr>
          </w:p>
        </w:tc>
        <w:tc>
          <w:tcPr>
            <w:tcW w:w="4448" w:type="dxa"/>
            <w:tcBorders>
              <w:top w:val="single" w:sz="4" w:space="0" w:color="auto"/>
            </w:tcBorders>
            <w:vAlign w:val="bottom"/>
          </w:tcPr>
          <w:p w14:paraId="461DBCB7" w14:textId="77777777" w:rsidR="00AF3004" w:rsidRDefault="00AF3004">
            <w:pPr>
              <w:pStyle w:val="xLedtext"/>
              <w:rPr>
                <w:lang w:val="de-DE"/>
              </w:rPr>
            </w:pPr>
          </w:p>
        </w:tc>
        <w:tc>
          <w:tcPr>
            <w:tcW w:w="4288" w:type="dxa"/>
            <w:gridSpan w:val="2"/>
            <w:tcBorders>
              <w:top w:val="single" w:sz="4" w:space="0" w:color="auto"/>
            </w:tcBorders>
            <w:vAlign w:val="bottom"/>
          </w:tcPr>
          <w:p w14:paraId="7DDD8DBF" w14:textId="77777777" w:rsidR="00AF3004" w:rsidRDefault="00AF3004">
            <w:pPr>
              <w:pStyle w:val="xLedtext"/>
              <w:rPr>
                <w:lang w:val="de-DE"/>
              </w:rPr>
            </w:pPr>
          </w:p>
        </w:tc>
      </w:tr>
      <w:tr w:rsidR="00AF3004" w14:paraId="239B01D5" w14:textId="77777777">
        <w:trPr>
          <w:cantSplit/>
          <w:trHeight w:val="238"/>
        </w:trPr>
        <w:tc>
          <w:tcPr>
            <w:tcW w:w="861" w:type="dxa"/>
          </w:tcPr>
          <w:p w14:paraId="3C39BE00" w14:textId="77777777" w:rsidR="00AF3004" w:rsidRDefault="00AF3004">
            <w:pPr>
              <w:pStyle w:val="xCelltext"/>
              <w:rPr>
                <w:lang w:val="de-DE"/>
              </w:rPr>
            </w:pPr>
          </w:p>
        </w:tc>
        <w:tc>
          <w:tcPr>
            <w:tcW w:w="4448" w:type="dxa"/>
            <w:vMerge w:val="restart"/>
          </w:tcPr>
          <w:p w14:paraId="0E3AEAB5" w14:textId="77777777" w:rsidR="00AF3004" w:rsidRDefault="00AF3004">
            <w:pPr>
              <w:pStyle w:val="xMottagare1"/>
            </w:pPr>
            <w:bookmarkStart w:id="0" w:name="_top"/>
            <w:bookmarkEnd w:id="0"/>
            <w:r>
              <w:t>Till Ålands lagting</w:t>
            </w:r>
          </w:p>
        </w:tc>
        <w:tc>
          <w:tcPr>
            <w:tcW w:w="4288" w:type="dxa"/>
            <w:gridSpan w:val="2"/>
            <w:vMerge w:val="restart"/>
          </w:tcPr>
          <w:p w14:paraId="6A18CABD" w14:textId="77777777" w:rsidR="00E6308F" w:rsidRDefault="00E6308F" w:rsidP="00E6308F">
            <w:pPr>
              <w:pStyle w:val="xMottagare2"/>
            </w:pPr>
          </w:p>
          <w:p w14:paraId="054ADA07" w14:textId="4D43E996" w:rsidR="00E6308F" w:rsidRPr="00E6308F" w:rsidRDefault="00E6308F" w:rsidP="00E6308F">
            <w:pPr>
              <w:pStyle w:val="xMottagare3"/>
              <w:jc w:val="center"/>
            </w:pPr>
          </w:p>
        </w:tc>
      </w:tr>
      <w:tr w:rsidR="00AF3004" w14:paraId="3AE56AA3" w14:textId="77777777">
        <w:trPr>
          <w:cantSplit/>
          <w:trHeight w:val="238"/>
        </w:trPr>
        <w:tc>
          <w:tcPr>
            <w:tcW w:w="861" w:type="dxa"/>
          </w:tcPr>
          <w:p w14:paraId="0CA20034" w14:textId="77777777" w:rsidR="00AF3004" w:rsidRDefault="00AF3004">
            <w:pPr>
              <w:pStyle w:val="xCelltext"/>
            </w:pPr>
          </w:p>
        </w:tc>
        <w:tc>
          <w:tcPr>
            <w:tcW w:w="4448" w:type="dxa"/>
            <w:vMerge/>
            <w:vAlign w:val="center"/>
          </w:tcPr>
          <w:p w14:paraId="3DEE8ABB" w14:textId="77777777" w:rsidR="00AF3004" w:rsidRDefault="00AF3004">
            <w:pPr>
              <w:pStyle w:val="xCelltext"/>
            </w:pPr>
          </w:p>
        </w:tc>
        <w:tc>
          <w:tcPr>
            <w:tcW w:w="4288" w:type="dxa"/>
            <w:gridSpan w:val="2"/>
            <w:vMerge/>
            <w:vAlign w:val="center"/>
          </w:tcPr>
          <w:p w14:paraId="034CF87C" w14:textId="77777777" w:rsidR="00AF3004" w:rsidRDefault="00AF3004">
            <w:pPr>
              <w:pStyle w:val="xCelltext"/>
            </w:pPr>
          </w:p>
        </w:tc>
      </w:tr>
      <w:tr w:rsidR="00AF3004" w14:paraId="20709559" w14:textId="77777777">
        <w:trPr>
          <w:cantSplit/>
          <w:trHeight w:val="238"/>
        </w:trPr>
        <w:tc>
          <w:tcPr>
            <w:tcW w:w="861" w:type="dxa"/>
          </w:tcPr>
          <w:p w14:paraId="0E38D4E6" w14:textId="77777777" w:rsidR="00AF3004" w:rsidRDefault="00AF3004">
            <w:pPr>
              <w:pStyle w:val="xCelltext"/>
            </w:pPr>
          </w:p>
        </w:tc>
        <w:tc>
          <w:tcPr>
            <w:tcW w:w="4448" w:type="dxa"/>
            <w:vMerge/>
            <w:vAlign w:val="center"/>
          </w:tcPr>
          <w:p w14:paraId="354C3254" w14:textId="77777777" w:rsidR="00AF3004" w:rsidRDefault="00AF3004">
            <w:pPr>
              <w:pStyle w:val="xCelltext"/>
            </w:pPr>
          </w:p>
        </w:tc>
        <w:tc>
          <w:tcPr>
            <w:tcW w:w="4288" w:type="dxa"/>
            <w:gridSpan w:val="2"/>
            <w:vMerge/>
            <w:vAlign w:val="center"/>
          </w:tcPr>
          <w:p w14:paraId="473391E3" w14:textId="77777777" w:rsidR="00AF3004" w:rsidRDefault="00AF3004">
            <w:pPr>
              <w:pStyle w:val="xCelltext"/>
            </w:pPr>
          </w:p>
        </w:tc>
      </w:tr>
      <w:tr w:rsidR="00AF3004" w14:paraId="3D3326D3" w14:textId="77777777">
        <w:trPr>
          <w:cantSplit/>
          <w:trHeight w:val="238"/>
        </w:trPr>
        <w:tc>
          <w:tcPr>
            <w:tcW w:w="861" w:type="dxa"/>
          </w:tcPr>
          <w:p w14:paraId="1A1E2FAE" w14:textId="77777777" w:rsidR="00AF3004" w:rsidRDefault="00AF3004">
            <w:pPr>
              <w:pStyle w:val="xCelltext"/>
            </w:pPr>
          </w:p>
        </w:tc>
        <w:tc>
          <w:tcPr>
            <w:tcW w:w="4448" w:type="dxa"/>
            <w:vMerge/>
            <w:vAlign w:val="center"/>
          </w:tcPr>
          <w:p w14:paraId="1317F078" w14:textId="77777777" w:rsidR="00AF3004" w:rsidRDefault="00AF3004">
            <w:pPr>
              <w:pStyle w:val="xCelltext"/>
            </w:pPr>
          </w:p>
        </w:tc>
        <w:tc>
          <w:tcPr>
            <w:tcW w:w="4288" w:type="dxa"/>
            <w:gridSpan w:val="2"/>
            <w:vMerge/>
            <w:vAlign w:val="center"/>
          </w:tcPr>
          <w:p w14:paraId="1870DF4C" w14:textId="77777777" w:rsidR="00AF3004" w:rsidRDefault="00AF3004">
            <w:pPr>
              <w:pStyle w:val="xCelltext"/>
            </w:pPr>
          </w:p>
        </w:tc>
      </w:tr>
      <w:tr w:rsidR="00AF3004" w14:paraId="6B1D5942" w14:textId="77777777">
        <w:trPr>
          <w:cantSplit/>
          <w:trHeight w:val="238"/>
        </w:trPr>
        <w:tc>
          <w:tcPr>
            <w:tcW w:w="861" w:type="dxa"/>
          </w:tcPr>
          <w:p w14:paraId="6E6539AD" w14:textId="77777777" w:rsidR="00AF3004" w:rsidRDefault="00AF3004">
            <w:pPr>
              <w:pStyle w:val="xCelltext"/>
            </w:pPr>
          </w:p>
        </w:tc>
        <w:tc>
          <w:tcPr>
            <w:tcW w:w="4448" w:type="dxa"/>
            <w:vMerge/>
            <w:vAlign w:val="center"/>
          </w:tcPr>
          <w:p w14:paraId="3C629790" w14:textId="77777777" w:rsidR="00AF3004" w:rsidRDefault="00AF3004">
            <w:pPr>
              <w:pStyle w:val="xCelltext"/>
            </w:pPr>
          </w:p>
        </w:tc>
        <w:tc>
          <w:tcPr>
            <w:tcW w:w="4288" w:type="dxa"/>
            <w:gridSpan w:val="2"/>
            <w:vMerge/>
            <w:vAlign w:val="center"/>
          </w:tcPr>
          <w:p w14:paraId="2D5D3094" w14:textId="77777777" w:rsidR="00AF3004" w:rsidRDefault="00AF3004">
            <w:pPr>
              <w:pStyle w:val="xCelltext"/>
            </w:pPr>
          </w:p>
        </w:tc>
      </w:tr>
    </w:tbl>
    <w:p w14:paraId="5FF61B5B" w14:textId="77777777" w:rsidR="00AF3004" w:rsidRDefault="00AF3004">
      <w:pPr>
        <w:rPr>
          <w:b/>
          <w:bCs/>
        </w:rPr>
        <w:sectPr w:rsidR="00AF3004" w:rsidSect="002C5BFD">
          <w:footerReference w:type="even" r:id="rId10"/>
          <w:footerReference w:type="default" r:id="rId11"/>
          <w:pgSz w:w="11906" w:h="16838" w:code="9"/>
          <w:pgMar w:top="567" w:right="1134" w:bottom="1134" w:left="1191" w:header="624" w:footer="851" w:gutter="0"/>
          <w:cols w:space="708"/>
          <w:docGrid w:linePitch="360"/>
        </w:sectPr>
      </w:pPr>
    </w:p>
    <w:p w14:paraId="7F845EED" w14:textId="459BA4D4" w:rsidR="00AF3004" w:rsidRDefault="00783392">
      <w:pPr>
        <w:pStyle w:val="ArendeRubrik"/>
      </w:pPr>
      <w:r>
        <w:t>Avskaffa</w:t>
      </w:r>
      <w:r w:rsidR="006212F0">
        <w:t>nde av</w:t>
      </w:r>
      <w:r>
        <w:t xml:space="preserve"> sjukdomskostnadsavdrag</w:t>
      </w:r>
      <w:r w:rsidR="006212F0">
        <w:t>et</w:t>
      </w:r>
    </w:p>
    <w:p w14:paraId="143AA761" w14:textId="77777777" w:rsidR="00AF3004" w:rsidRDefault="00AF3004">
      <w:pPr>
        <w:pStyle w:val="ANormal"/>
      </w:pPr>
    </w:p>
    <w:p w14:paraId="293402B1" w14:textId="77777777" w:rsidR="00AF3004" w:rsidRDefault="00AF3004">
      <w:pPr>
        <w:pStyle w:val="ANormal"/>
      </w:pPr>
    </w:p>
    <w:p w14:paraId="4B57FA98" w14:textId="77777777" w:rsidR="00AF3004" w:rsidRDefault="00AF3004">
      <w:pPr>
        <w:pStyle w:val="RubrikA"/>
      </w:pPr>
      <w:bookmarkStart w:id="1" w:name="_Toc176334201"/>
      <w:r>
        <w:t>Huvudsakligt innehåll</w:t>
      </w:r>
      <w:bookmarkEnd w:id="1"/>
    </w:p>
    <w:p w14:paraId="09357F33" w14:textId="77777777" w:rsidR="00AF3004" w:rsidRDefault="00AF3004">
      <w:pPr>
        <w:pStyle w:val="Rubrikmellanrum"/>
      </w:pPr>
    </w:p>
    <w:p w14:paraId="02C1DA93" w14:textId="7EA26311" w:rsidR="004E07EC" w:rsidRDefault="00AE4C7D" w:rsidP="004E07EC">
      <w:pPr>
        <w:pStyle w:val="ANormal"/>
      </w:pPr>
      <w:r>
        <w:t xml:space="preserve">Landskapsregeringen föreslår att sjukdomskostnadsavdraget vid kommunalbeskattningen avskaffas från och med skatteåret 2025. Samtidigt föreslås att en bestämmelse om avdrag för nedsatt skattebetalningsförmåga som enbart beror på sjukdom införs i kommunalskattelagen. </w:t>
      </w:r>
      <w:r w:rsidR="00533430">
        <w:t>Dessutom</w:t>
      </w:r>
      <w:r>
        <w:t xml:space="preserve"> föreslås också att maxbeloppet för grundavdraget vid kommunalbeskattningen höjs med 100 euro, från 3 600 till 3</w:t>
      </w:r>
      <w:r w:rsidR="00F31C1E">
        <w:t> </w:t>
      </w:r>
      <w:r>
        <w:t>700</w:t>
      </w:r>
      <w:r w:rsidR="00F31C1E">
        <w:t xml:space="preserve"> </w:t>
      </w:r>
      <w:r>
        <w:t>euro.</w:t>
      </w:r>
      <w:r w:rsidR="004E07EC" w:rsidRPr="004E07EC">
        <w:t xml:space="preserve"> </w:t>
      </w:r>
      <w:r w:rsidR="004E07EC">
        <w:t>Höjningen av grundavdraget är avsedd att kompensera för den sänkande effekt på avdraget som avskaffandet av sjukdomskostnadsavdraget har.</w:t>
      </w:r>
    </w:p>
    <w:p w14:paraId="11E6F6E1" w14:textId="73BE3B19" w:rsidR="00533430" w:rsidRDefault="00533430">
      <w:pPr>
        <w:pStyle w:val="ANormal"/>
      </w:pPr>
      <w:r w:rsidRPr="00533430">
        <w:tab/>
      </w:r>
      <w:r w:rsidRPr="0095401C">
        <w:t>Landskapsregeringen utreder för närvarande vilka åtgärder inom socialvården samt hälso- och sjukvården som mest ändamålsenligt skulle uppväga effekterna av att sjukdomskostnadsavdraget avskaffas, och kommer att återkomma med separata lagförslag om kompensatoriska åtgärder.</w:t>
      </w:r>
    </w:p>
    <w:p w14:paraId="133F787B" w14:textId="20914CC4" w:rsidR="00AE4C7D" w:rsidRDefault="00AE4C7D">
      <w:pPr>
        <w:pStyle w:val="ANormal"/>
      </w:pPr>
      <w:r>
        <w:tab/>
        <w:t>För att kunna tillämpas vid beskattningen för skatteåret 2025 bör den föreslagna ändringen</w:t>
      </w:r>
      <w:r w:rsidR="00533430">
        <w:t xml:space="preserve"> av kommunalskattelagen</w:t>
      </w:r>
      <w:r>
        <w:t xml:space="preserve"> träda i kraft senast den 1</w:t>
      </w:r>
      <w:r w:rsidR="005A651F">
        <w:t xml:space="preserve"> </w:t>
      </w:r>
      <w:r>
        <w:t>januari 2025.</w:t>
      </w:r>
    </w:p>
    <w:p w14:paraId="727DF8F0" w14:textId="77777777" w:rsidR="00AF3004" w:rsidRDefault="00AF3004">
      <w:pPr>
        <w:pStyle w:val="ANormal"/>
      </w:pPr>
    </w:p>
    <w:p w14:paraId="65C3F3BD" w14:textId="77777777" w:rsidR="00AF3004" w:rsidRDefault="004F6816">
      <w:pPr>
        <w:pStyle w:val="ANormal"/>
        <w:jc w:val="center"/>
      </w:pPr>
      <w:hyperlink w:anchor="_top" w:tooltip="Klicka för att gå till toppen av dokumentet" w:history="1">
        <w:r w:rsidR="00AF3004">
          <w:rPr>
            <w:rStyle w:val="Hyperlnk"/>
          </w:rPr>
          <w:t>__________________</w:t>
        </w:r>
      </w:hyperlink>
    </w:p>
    <w:p w14:paraId="296A90DF" w14:textId="77777777" w:rsidR="00AF3004" w:rsidRDefault="00AF3004">
      <w:pPr>
        <w:pStyle w:val="ANormal"/>
      </w:pPr>
    </w:p>
    <w:p w14:paraId="78449479" w14:textId="77777777" w:rsidR="00AF3004" w:rsidRDefault="00AF3004">
      <w:pPr>
        <w:pStyle w:val="ANormal"/>
      </w:pPr>
      <w:r>
        <w:br w:type="page"/>
      </w:r>
    </w:p>
    <w:p w14:paraId="7A00E183" w14:textId="77777777" w:rsidR="00AF3004" w:rsidRDefault="00AF3004">
      <w:pPr>
        <w:pStyle w:val="Innehll1"/>
      </w:pPr>
      <w:r>
        <w:lastRenderedPageBreak/>
        <w:t>INNEHÅLL</w:t>
      </w:r>
    </w:p>
    <w:p w14:paraId="2481951A" w14:textId="2925B637" w:rsidR="00F31C1E" w:rsidRDefault="00AF3004">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"1-3" \h \z </w:instrText>
      </w:r>
      <w:r>
        <w:fldChar w:fldCharType="separate"/>
      </w:r>
      <w:hyperlink w:anchor="_Toc176334201" w:history="1">
        <w:r w:rsidR="00F31C1E" w:rsidRPr="00CC12C5">
          <w:rPr>
            <w:rStyle w:val="Hyperlnk"/>
          </w:rPr>
          <w:t>Huvudsakligt innehåll</w:t>
        </w:r>
        <w:r w:rsidR="00F31C1E">
          <w:rPr>
            <w:webHidden/>
          </w:rPr>
          <w:tab/>
        </w:r>
        <w:r w:rsidR="00F31C1E">
          <w:rPr>
            <w:webHidden/>
          </w:rPr>
          <w:fldChar w:fldCharType="begin"/>
        </w:r>
        <w:r w:rsidR="00F31C1E">
          <w:rPr>
            <w:webHidden/>
          </w:rPr>
          <w:instrText xml:space="preserve"> PAGEREF _Toc176334201 \h </w:instrText>
        </w:r>
        <w:r w:rsidR="00F31C1E">
          <w:rPr>
            <w:webHidden/>
          </w:rPr>
        </w:r>
        <w:r w:rsidR="00F31C1E">
          <w:rPr>
            <w:webHidden/>
          </w:rPr>
          <w:fldChar w:fldCharType="separate"/>
        </w:r>
        <w:r w:rsidR="00F31C1E">
          <w:rPr>
            <w:webHidden/>
          </w:rPr>
          <w:t>1</w:t>
        </w:r>
        <w:r w:rsidR="00F31C1E">
          <w:rPr>
            <w:webHidden/>
          </w:rPr>
          <w:fldChar w:fldCharType="end"/>
        </w:r>
      </w:hyperlink>
    </w:p>
    <w:p w14:paraId="1A41C05E" w14:textId="47B50D1E" w:rsidR="00F31C1E" w:rsidRDefault="004F6816">
      <w:pPr>
        <w:pStyle w:val="Innehll1"/>
        <w:rPr>
          <w:rFonts w:asciiTheme="minorHAnsi" w:eastAsiaTheme="minorEastAsia" w:hAnsiTheme="minorHAnsi" w:cstheme="minorBidi"/>
          <w:kern w:val="2"/>
          <w:sz w:val="24"/>
          <w:szCs w:val="24"/>
          <w:lang w:val="sv-FI" w:eastAsia="sv-FI"/>
          <w14:ligatures w14:val="standardContextual"/>
        </w:rPr>
      </w:pPr>
      <w:hyperlink w:anchor="_Toc176334202" w:history="1">
        <w:r w:rsidR="00F31C1E" w:rsidRPr="00CC12C5">
          <w:rPr>
            <w:rStyle w:val="Hyperlnk"/>
          </w:rPr>
          <w:t>Motivering</w:t>
        </w:r>
        <w:r w:rsidR="00F31C1E">
          <w:rPr>
            <w:webHidden/>
          </w:rPr>
          <w:tab/>
        </w:r>
        <w:r w:rsidR="00F31C1E">
          <w:rPr>
            <w:webHidden/>
          </w:rPr>
          <w:fldChar w:fldCharType="begin"/>
        </w:r>
        <w:r w:rsidR="00F31C1E">
          <w:rPr>
            <w:webHidden/>
          </w:rPr>
          <w:instrText xml:space="preserve"> PAGEREF _Toc176334202 \h </w:instrText>
        </w:r>
        <w:r w:rsidR="00F31C1E">
          <w:rPr>
            <w:webHidden/>
          </w:rPr>
        </w:r>
        <w:r w:rsidR="00F31C1E">
          <w:rPr>
            <w:webHidden/>
          </w:rPr>
          <w:fldChar w:fldCharType="separate"/>
        </w:r>
        <w:r w:rsidR="00F31C1E">
          <w:rPr>
            <w:webHidden/>
          </w:rPr>
          <w:t>3</w:t>
        </w:r>
        <w:r w:rsidR="00F31C1E">
          <w:rPr>
            <w:webHidden/>
          </w:rPr>
          <w:fldChar w:fldCharType="end"/>
        </w:r>
      </w:hyperlink>
    </w:p>
    <w:p w14:paraId="677D9948" w14:textId="64A9EC03" w:rsidR="00F31C1E" w:rsidRDefault="004F6816">
      <w:pPr>
        <w:pStyle w:val="Innehll2"/>
        <w:rPr>
          <w:rFonts w:asciiTheme="minorHAnsi" w:eastAsiaTheme="minorEastAsia" w:hAnsiTheme="minorHAnsi" w:cstheme="minorBidi"/>
          <w:kern w:val="2"/>
          <w:sz w:val="24"/>
          <w:szCs w:val="24"/>
          <w:lang w:val="sv-FI" w:eastAsia="sv-FI"/>
          <w14:ligatures w14:val="standardContextual"/>
        </w:rPr>
      </w:pPr>
      <w:hyperlink w:anchor="_Toc176334203" w:history="1">
        <w:r w:rsidR="00F31C1E" w:rsidRPr="00CC12C5">
          <w:rPr>
            <w:rStyle w:val="Hyperlnk"/>
          </w:rPr>
          <w:t>1. Bakgrund</w:t>
        </w:r>
        <w:r w:rsidR="00F31C1E">
          <w:rPr>
            <w:webHidden/>
          </w:rPr>
          <w:tab/>
        </w:r>
        <w:r w:rsidR="00F31C1E">
          <w:rPr>
            <w:webHidden/>
          </w:rPr>
          <w:fldChar w:fldCharType="begin"/>
        </w:r>
        <w:r w:rsidR="00F31C1E">
          <w:rPr>
            <w:webHidden/>
          </w:rPr>
          <w:instrText xml:space="preserve"> PAGEREF _Toc176334203 \h </w:instrText>
        </w:r>
        <w:r w:rsidR="00F31C1E">
          <w:rPr>
            <w:webHidden/>
          </w:rPr>
        </w:r>
        <w:r w:rsidR="00F31C1E">
          <w:rPr>
            <w:webHidden/>
          </w:rPr>
          <w:fldChar w:fldCharType="separate"/>
        </w:r>
        <w:r w:rsidR="00F31C1E">
          <w:rPr>
            <w:webHidden/>
          </w:rPr>
          <w:t>3</w:t>
        </w:r>
        <w:r w:rsidR="00F31C1E">
          <w:rPr>
            <w:webHidden/>
          </w:rPr>
          <w:fldChar w:fldCharType="end"/>
        </w:r>
      </w:hyperlink>
    </w:p>
    <w:p w14:paraId="586E55C4" w14:textId="33554477" w:rsidR="00F31C1E" w:rsidRDefault="004F6816">
      <w:pPr>
        <w:pStyle w:val="Innehll3"/>
        <w:rPr>
          <w:rFonts w:asciiTheme="minorHAnsi" w:eastAsiaTheme="minorEastAsia" w:hAnsiTheme="minorHAnsi" w:cstheme="minorBidi"/>
          <w:kern w:val="2"/>
          <w:sz w:val="24"/>
          <w:szCs w:val="24"/>
          <w:lang w:val="sv-FI" w:eastAsia="sv-FI"/>
          <w14:ligatures w14:val="standardContextual"/>
        </w:rPr>
      </w:pPr>
      <w:hyperlink w:anchor="_Toc176334204" w:history="1">
        <w:r w:rsidR="00F31C1E" w:rsidRPr="00CC12C5">
          <w:rPr>
            <w:rStyle w:val="Hyperlnk"/>
          </w:rPr>
          <w:t>1.1 Gällande lagstiftning</w:t>
        </w:r>
        <w:r w:rsidR="00F31C1E">
          <w:rPr>
            <w:webHidden/>
          </w:rPr>
          <w:tab/>
        </w:r>
        <w:r w:rsidR="00F31C1E">
          <w:rPr>
            <w:webHidden/>
          </w:rPr>
          <w:fldChar w:fldCharType="begin"/>
        </w:r>
        <w:r w:rsidR="00F31C1E">
          <w:rPr>
            <w:webHidden/>
          </w:rPr>
          <w:instrText xml:space="preserve"> PAGEREF _Toc176334204 \h </w:instrText>
        </w:r>
        <w:r w:rsidR="00F31C1E">
          <w:rPr>
            <w:webHidden/>
          </w:rPr>
        </w:r>
        <w:r w:rsidR="00F31C1E">
          <w:rPr>
            <w:webHidden/>
          </w:rPr>
          <w:fldChar w:fldCharType="separate"/>
        </w:r>
        <w:r w:rsidR="00F31C1E">
          <w:rPr>
            <w:webHidden/>
          </w:rPr>
          <w:t>3</w:t>
        </w:r>
        <w:r w:rsidR="00F31C1E">
          <w:rPr>
            <w:webHidden/>
          </w:rPr>
          <w:fldChar w:fldCharType="end"/>
        </w:r>
      </w:hyperlink>
    </w:p>
    <w:p w14:paraId="1BDD2EA6" w14:textId="652C683E" w:rsidR="00F31C1E" w:rsidRDefault="004F6816">
      <w:pPr>
        <w:pStyle w:val="Innehll3"/>
        <w:rPr>
          <w:rFonts w:asciiTheme="minorHAnsi" w:eastAsiaTheme="minorEastAsia" w:hAnsiTheme="minorHAnsi" w:cstheme="minorBidi"/>
          <w:kern w:val="2"/>
          <w:sz w:val="24"/>
          <w:szCs w:val="24"/>
          <w:lang w:val="sv-FI" w:eastAsia="sv-FI"/>
          <w14:ligatures w14:val="standardContextual"/>
        </w:rPr>
      </w:pPr>
      <w:hyperlink w:anchor="_Toc176334205" w:history="1">
        <w:r w:rsidR="00F31C1E" w:rsidRPr="00CC12C5">
          <w:rPr>
            <w:rStyle w:val="Hyperlnk"/>
          </w:rPr>
          <w:t>1.2 Sjukdomskostnadsavdragets historia</w:t>
        </w:r>
        <w:r w:rsidR="00F31C1E">
          <w:rPr>
            <w:webHidden/>
          </w:rPr>
          <w:tab/>
        </w:r>
        <w:r w:rsidR="00F31C1E">
          <w:rPr>
            <w:webHidden/>
          </w:rPr>
          <w:fldChar w:fldCharType="begin"/>
        </w:r>
        <w:r w:rsidR="00F31C1E">
          <w:rPr>
            <w:webHidden/>
          </w:rPr>
          <w:instrText xml:space="preserve"> PAGEREF _Toc176334205 \h </w:instrText>
        </w:r>
        <w:r w:rsidR="00F31C1E">
          <w:rPr>
            <w:webHidden/>
          </w:rPr>
        </w:r>
        <w:r w:rsidR="00F31C1E">
          <w:rPr>
            <w:webHidden/>
          </w:rPr>
          <w:fldChar w:fldCharType="separate"/>
        </w:r>
        <w:r w:rsidR="00F31C1E">
          <w:rPr>
            <w:webHidden/>
          </w:rPr>
          <w:t>3</w:t>
        </w:r>
        <w:r w:rsidR="00F31C1E">
          <w:rPr>
            <w:webHidden/>
          </w:rPr>
          <w:fldChar w:fldCharType="end"/>
        </w:r>
      </w:hyperlink>
    </w:p>
    <w:p w14:paraId="0F53661B" w14:textId="0B6B20FE" w:rsidR="00F31C1E" w:rsidRDefault="004F6816">
      <w:pPr>
        <w:pStyle w:val="Innehll2"/>
        <w:rPr>
          <w:rFonts w:asciiTheme="minorHAnsi" w:eastAsiaTheme="minorEastAsia" w:hAnsiTheme="minorHAnsi" w:cstheme="minorBidi"/>
          <w:kern w:val="2"/>
          <w:sz w:val="24"/>
          <w:szCs w:val="24"/>
          <w:lang w:val="sv-FI" w:eastAsia="sv-FI"/>
          <w14:ligatures w14:val="standardContextual"/>
        </w:rPr>
      </w:pPr>
      <w:hyperlink w:anchor="_Toc176334206" w:history="1">
        <w:r w:rsidR="00F31C1E" w:rsidRPr="00CC12C5">
          <w:rPr>
            <w:rStyle w:val="Hyperlnk"/>
          </w:rPr>
          <w:t>2. Utvärdering av sjukdomskostnadsavdraget</w:t>
        </w:r>
        <w:r w:rsidR="00F31C1E">
          <w:rPr>
            <w:webHidden/>
          </w:rPr>
          <w:tab/>
        </w:r>
        <w:r w:rsidR="00F31C1E">
          <w:rPr>
            <w:webHidden/>
          </w:rPr>
          <w:fldChar w:fldCharType="begin"/>
        </w:r>
        <w:r w:rsidR="00F31C1E">
          <w:rPr>
            <w:webHidden/>
          </w:rPr>
          <w:instrText xml:space="preserve"> PAGEREF _Toc176334206 \h </w:instrText>
        </w:r>
        <w:r w:rsidR="00F31C1E">
          <w:rPr>
            <w:webHidden/>
          </w:rPr>
        </w:r>
        <w:r w:rsidR="00F31C1E">
          <w:rPr>
            <w:webHidden/>
          </w:rPr>
          <w:fldChar w:fldCharType="separate"/>
        </w:r>
        <w:r w:rsidR="00F31C1E">
          <w:rPr>
            <w:webHidden/>
          </w:rPr>
          <w:t>4</w:t>
        </w:r>
        <w:r w:rsidR="00F31C1E">
          <w:rPr>
            <w:webHidden/>
          </w:rPr>
          <w:fldChar w:fldCharType="end"/>
        </w:r>
      </w:hyperlink>
    </w:p>
    <w:p w14:paraId="0D80DE72" w14:textId="4B2E300D" w:rsidR="00F31C1E" w:rsidRDefault="004F6816">
      <w:pPr>
        <w:pStyle w:val="Innehll3"/>
        <w:rPr>
          <w:rFonts w:asciiTheme="minorHAnsi" w:eastAsiaTheme="minorEastAsia" w:hAnsiTheme="minorHAnsi" w:cstheme="minorBidi"/>
          <w:kern w:val="2"/>
          <w:sz w:val="24"/>
          <w:szCs w:val="24"/>
          <w:lang w:val="sv-FI" w:eastAsia="sv-FI"/>
          <w14:ligatures w14:val="standardContextual"/>
        </w:rPr>
      </w:pPr>
      <w:hyperlink w:anchor="_Toc176334207" w:history="1">
        <w:r w:rsidR="00F31C1E" w:rsidRPr="00CC12C5">
          <w:rPr>
            <w:rStyle w:val="Hyperlnk"/>
          </w:rPr>
          <w:t>2.1 Tillämpningen av avdraget</w:t>
        </w:r>
        <w:r w:rsidR="00F31C1E">
          <w:rPr>
            <w:webHidden/>
          </w:rPr>
          <w:tab/>
        </w:r>
        <w:r w:rsidR="00F31C1E">
          <w:rPr>
            <w:webHidden/>
          </w:rPr>
          <w:fldChar w:fldCharType="begin"/>
        </w:r>
        <w:r w:rsidR="00F31C1E">
          <w:rPr>
            <w:webHidden/>
          </w:rPr>
          <w:instrText xml:space="preserve"> PAGEREF _Toc176334207 \h </w:instrText>
        </w:r>
        <w:r w:rsidR="00F31C1E">
          <w:rPr>
            <w:webHidden/>
          </w:rPr>
        </w:r>
        <w:r w:rsidR="00F31C1E">
          <w:rPr>
            <w:webHidden/>
          </w:rPr>
          <w:fldChar w:fldCharType="separate"/>
        </w:r>
        <w:r w:rsidR="00F31C1E">
          <w:rPr>
            <w:webHidden/>
          </w:rPr>
          <w:t>4</w:t>
        </w:r>
        <w:r w:rsidR="00F31C1E">
          <w:rPr>
            <w:webHidden/>
          </w:rPr>
          <w:fldChar w:fldCharType="end"/>
        </w:r>
      </w:hyperlink>
    </w:p>
    <w:p w14:paraId="23E27D94" w14:textId="6D025BFE" w:rsidR="00F31C1E" w:rsidRDefault="004F6816">
      <w:pPr>
        <w:pStyle w:val="Innehll3"/>
        <w:rPr>
          <w:rFonts w:asciiTheme="minorHAnsi" w:eastAsiaTheme="minorEastAsia" w:hAnsiTheme="minorHAnsi" w:cstheme="minorBidi"/>
          <w:kern w:val="2"/>
          <w:sz w:val="24"/>
          <w:szCs w:val="24"/>
          <w:lang w:val="sv-FI" w:eastAsia="sv-FI"/>
          <w14:ligatures w14:val="standardContextual"/>
        </w:rPr>
      </w:pPr>
      <w:hyperlink w:anchor="_Toc176334208" w:history="1">
        <w:r w:rsidR="00F31C1E" w:rsidRPr="00CC12C5">
          <w:rPr>
            <w:rStyle w:val="Hyperlnk"/>
          </w:rPr>
          <w:t>2.2 Andra stödsystem inom hälso- och sjukvården</w:t>
        </w:r>
        <w:r w:rsidR="00F31C1E">
          <w:rPr>
            <w:webHidden/>
          </w:rPr>
          <w:tab/>
        </w:r>
        <w:r w:rsidR="00F31C1E">
          <w:rPr>
            <w:webHidden/>
          </w:rPr>
          <w:fldChar w:fldCharType="begin"/>
        </w:r>
        <w:r w:rsidR="00F31C1E">
          <w:rPr>
            <w:webHidden/>
          </w:rPr>
          <w:instrText xml:space="preserve"> PAGEREF _Toc176334208 \h </w:instrText>
        </w:r>
        <w:r w:rsidR="00F31C1E">
          <w:rPr>
            <w:webHidden/>
          </w:rPr>
        </w:r>
        <w:r w:rsidR="00F31C1E">
          <w:rPr>
            <w:webHidden/>
          </w:rPr>
          <w:fldChar w:fldCharType="separate"/>
        </w:r>
        <w:r w:rsidR="00F31C1E">
          <w:rPr>
            <w:webHidden/>
          </w:rPr>
          <w:t>5</w:t>
        </w:r>
        <w:r w:rsidR="00F31C1E">
          <w:rPr>
            <w:webHidden/>
          </w:rPr>
          <w:fldChar w:fldCharType="end"/>
        </w:r>
      </w:hyperlink>
    </w:p>
    <w:p w14:paraId="42F85927" w14:textId="2BEBBAED" w:rsidR="00F31C1E" w:rsidRDefault="004F6816">
      <w:pPr>
        <w:pStyle w:val="Innehll3"/>
        <w:rPr>
          <w:rFonts w:asciiTheme="minorHAnsi" w:eastAsiaTheme="minorEastAsia" w:hAnsiTheme="minorHAnsi" w:cstheme="minorBidi"/>
          <w:kern w:val="2"/>
          <w:sz w:val="24"/>
          <w:szCs w:val="24"/>
          <w:lang w:val="sv-FI" w:eastAsia="sv-FI"/>
          <w14:ligatures w14:val="standardContextual"/>
        </w:rPr>
      </w:pPr>
      <w:hyperlink w:anchor="_Toc176334209" w:history="1">
        <w:r w:rsidR="00F31C1E" w:rsidRPr="00CC12C5">
          <w:rPr>
            <w:rStyle w:val="Hyperlnk"/>
          </w:rPr>
          <w:t>2.3 Avdragets effektivitet</w:t>
        </w:r>
        <w:r w:rsidR="00F31C1E">
          <w:rPr>
            <w:webHidden/>
          </w:rPr>
          <w:tab/>
        </w:r>
        <w:r w:rsidR="00F31C1E">
          <w:rPr>
            <w:webHidden/>
          </w:rPr>
          <w:fldChar w:fldCharType="begin"/>
        </w:r>
        <w:r w:rsidR="00F31C1E">
          <w:rPr>
            <w:webHidden/>
          </w:rPr>
          <w:instrText xml:space="preserve"> PAGEREF _Toc176334209 \h </w:instrText>
        </w:r>
        <w:r w:rsidR="00F31C1E">
          <w:rPr>
            <w:webHidden/>
          </w:rPr>
        </w:r>
        <w:r w:rsidR="00F31C1E">
          <w:rPr>
            <w:webHidden/>
          </w:rPr>
          <w:fldChar w:fldCharType="separate"/>
        </w:r>
        <w:r w:rsidR="00F31C1E">
          <w:rPr>
            <w:webHidden/>
          </w:rPr>
          <w:t>5</w:t>
        </w:r>
        <w:r w:rsidR="00F31C1E">
          <w:rPr>
            <w:webHidden/>
          </w:rPr>
          <w:fldChar w:fldCharType="end"/>
        </w:r>
      </w:hyperlink>
    </w:p>
    <w:p w14:paraId="4C810476" w14:textId="6DADC596" w:rsidR="00F31C1E" w:rsidRDefault="004F6816">
      <w:pPr>
        <w:pStyle w:val="Innehll3"/>
        <w:rPr>
          <w:rFonts w:asciiTheme="minorHAnsi" w:eastAsiaTheme="minorEastAsia" w:hAnsiTheme="minorHAnsi" w:cstheme="minorBidi"/>
          <w:kern w:val="2"/>
          <w:sz w:val="24"/>
          <w:szCs w:val="24"/>
          <w:lang w:val="sv-FI" w:eastAsia="sv-FI"/>
          <w14:ligatures w14:val="standardContextual"/>
        </w:rPr>
      </w:pPr>
      <w:hyperlink w:anchor="_Toc176334210" w:history="1">
        <w:r w:rsidR="00F31C1E" w:rsidRPr="00CC12C5">
          <w:rPr>
            <w:rStyle w:val="Hyperlnk"/>
          </w:rPr>
          <w:t>2.4 Uppfyller avdraget sitt syfte?</w:t>
        </w:r>
        <w:r w:rsidR="00F31C1E">
          <w:rPr>
            <w:webHidden/>
          </w:rPr>
          <w:tab/>
        </w:r>
        <w:r w:rsidR="00F31C1E">
          <w:rPr>
            <w:webHidden/>
          </w:rPr>
          <w:fldChar w:fldCharType="begin"/>
        </w:r>
        <w:r w:rsidR="00F31C1E">
          <w:rPr>
            <w:webHidden/>
          </w:rPr>
          <w:instrText xml:space="preserve"> PAGEREF _Toc176334210 \h </w:instrText>
        </w:r>
        <w:r w:rsidR="00F31C1E">
          <w:rPr>
            <w:webHidden/>
          </w:rPr>
        </w:r>
        <w:r w:rsidR="00F31C1E">
          <w:rPr>
            <w:webHidden/>
          </w:rPr>
          <w:fldChar w:fldCharType="separate"/>
        </w:r>
        <w:r w:rsidR="00F31C1E">
          <w:rPr>
            <w:webHidden/>
          </w:rPr>
          <w:t>6</w:t>
        </w:r>
        <w:r w:rsidR="00F31C1E">
          <w:rPr>
            <w:webHidden/>
          </w:rPr>
          <w:fldChar w:fldCharType="end"/>
        </w:r>
      </w:hyperlink>
    </w:p>
    <w:p w14:paraId="0C94EDCD" w14:textId="099054BD" w:rsidR="00F31C1E" w:rsidRDefault="004F6816">
      <w:pPr>
        <w:pStyle w:val="Innehll2"/>
        <w:rPr>
          <w:rFonts w:asciiTheme="minorHAnsi" w:eastAsiaTheme="minorEastAsia" w:hAnsiTheme="minorHAnsi" w:cstheme="minorBidi"/>
          <w:kern w:val="2"/>
          <w:sz w:val="24"/>
          <w:szCs w:val="24"/>
          <w:lang w:val="sv-FI" w:eastAsia="sv-FI"/>
          <w14:ligatures w14:val="standardContextual"/>
        </w:rPr>
      </w:pPr>
      <w:hyperlink w:anchor="_Toc176334211" w:history="1">
        <w:r w:rsidR="00F31C1E" w:rsidRPr="00CC12C5">
          <w:rPr>
            <w:rStyle w:val="Hyperlnk"/>
          </w:rPr>
          <w:t>3. Landskapsregeringens förslag</w:t>
        </w:r>
        <w:r w:rsidR="00F31C1E">
          <w:rPr>
            <w:webHidden/>
          </w:rPr>
          <w:tab/>
        </w:r>
        <w:r w:rsidR="00F31C1E">
          <w:rPr>
            <w:webHidden/>
          </w:rPr>
          <w:fldChar w:fldCharType="begin"/>
        </w:r>
        <w:r w:rsidR="00F31C1E">
          <w:rPr>
            <w:webHidden/>
          </w:rPr>
          <w:instrText xml:space="preserve"> PAGEREF _Toc176334211 \h </w:instrText>
        </w:r>
        <w:r w:rsidR="00F31C1E">
          <w:rPr>
            <w:webHidden/>
          </w:rPr>
        </w:r>
        <w:r w:rsidR="00F31C1E">
          <w:rPr>
            <w:webHidden/>
          </w:rPr>
          <w:fldChar w:fldCharType="separate"/>
        </w:r>
        <w:r w:rsidR="00F31C1E">
          <w:rPr>
            <w:webHidden/>
          </w:rPr>
          <w:t>7</w:t>
        </w:r>
        <w:r w:rsidR="00F31C1E">
          <w:rPr>
            <w:webHidden/>
          </w:rPr>
          <w:fldChar w:fldCharType="end"/>
        </w:r>
      </w:hyperlink>
    </w:p>
    <w:p w14:paraId="48737729" w14:textId="3B637095" w:rsidR="00F31C1E" w:rsidRDefault="004F6816">
      <w:pPr>
        <w:pStyle w:val="Innehll2"/>
        <w:rPr>
          <w:rFonts w:asciiTheme="minorHAnsi" w:eastAsiaTheme="minorEastAsia" w:hAnsiTheme="minorHAnsi" w:cstheme="minorBidi"/>
          <w:kern w:val="2"/>
          <w:sz w:val="24"/>
          <w:szCs w:val="24"/>
          <w:lang w:val="sv-FI" w:eastAsia="sv-FI"/>
          <w14:ligatures w14:val="standardContextual"/>
        </w:rPr>
      </w:pPr>
      <w:hyperlink w:anchor="_Toc176334212" w:history="1">
        <w:r w:rsidR="00F31C1E" w:rsidRPr="00CC12C5">
          <w:rPr>
            <w:rStyle w:val="Hyperlnk"/>
          </w:rPr>
          <w:t>4. Förslagets effekter</w:t>
        </w:r>
        <w:r w:rsidR="00F31C1E">
          <w:rPr>
            <w:webHidden/>
          </w:rPr>
          <w:tab/>
        </w:r>
        <w:r w:rsidR="00F31C1E">
          <w:rPr>
            <w:webHidden/>
          </w:rPr>
          <w:fldChar w:fldCharType="begin"/>
        </w:r>
        <w:r w:rsidR="00F31C1E">
          <w:rPr>
            <w:webHidden/>
          </w:rPr>
          <w:instrText xml:space="preserve"> PAGEREF _Toc176334212 \h </w:instrText>
        </w:r>
        <w:r w:rsidR="00F31C1E">
          <w:rPr>
            <w:webHidden/>
          </w:rPr>
        </w:r>
        <w:r w:rsidR="00F31C1E">
          <w:rPr>
            <w:webHidden/>
          </w:rPr>
          <w:fldChar w:fldCharType="separate"/>
        </w:r>
        <w:r w:rsidR="00F31C1E">
          <w:rPr>
            <w:webHidden/>
          </w:rPr>
          <w:t>8</w:t>
        </w:r>
        <w:r w:rsidR="00F31C1E">
          <w:rPr>
            <w:webHidden/>
          </w:rPr>
          <w:fldChar w:fldCharType="end"/>
        </w:r>
      </w:hyperlink>
    </w:p>
    <w:p w14:paraId="10AF47C0" w14:textId="2CF57D0E" w:rsidR="00F31C1E" w:rsidRDefault="004F6816">
      <w:pPr>
        <w:pStyle w:val="Innehll3"/>
        <w:rPr>
          <w:rFonts w:asciiTheme="minorHAnsi" w:eastAsiaTheme="minorEastAsia" w:hAnsiTheme="minorHAnsi" w:cstheme="minorBidi"/>
          <w:kern w:val="2"/>
          <w:sz w:val="24"/>
          <w:szCs w:val="24"/>
          <w:lang w:val="sv-FI" w:eastAsia="sv-FI"/>
          <w14:ligatures w14:val="standardContextual"/>
        </w:rPr>
      </w:pPr>
      <w:hyperlink w:anchor="_Toc176334213" w:history="1">
        <w:r w:rsidR="00F31C1E" w:rsidRPr="00CC12C5">
          <w:rPr>
            <w:rStyle w:val="Hyperlnk"/>
          </w:rPr>
          <w:t>4.1 Inledning</w:t>
        </w:r>
        <w:r w:rsidR="00F31C1E">
          <w:rPr>
            <w:webHidden/>
          </w:rPr>
          <w:tab/>
        </w:r>
        <w:r w:rsidR="00F31C1E">
          <w:rPr>
            <w:webHidden/>
          </w:rPr>
          <w:fldChar w:fldCharType="begin"/>
        </w:r>
        <w:r w:rsidR="00F31C1E">
          <w:rPr>
            <w:webHidden/>
          </w:rPr>
          <w:instrText xml:space="preserve"> PAGEREF _Toc176334213 \h </w:instrText>
        </w:r>
        <w:r w:rsidR="00F31C1E">
          <w:rPr>
            <w:webHidden/>
          </w:rPr>
        </w:r>
        <w:r w:rsidR="00F31C1E">
          <w:rPr>
            <w:webHidden/>
          </w:rPr>
          <w:fldChar w:fldCharType="separate"/>
        </w:r>
        <w:r w:rsidR="00F31C1E">
          <w:rPr>
            <w:webHidden/>
          </w:rPr>
          <w:t>8</w:t>
        </w:r>
        <w:r w:rsidR="00F31C1E">
          <w:rPr>
            <w:webHidden/>
          </w:rPr>
          <w:fldChar w:fldCharType="end"/>
        </w:r>
      </w:hyperlink>
    </w:p>
    <w:p w14:paraId="2F603AC9" w14:textId="5932571D" w:rsidR="00F31C1E" w:rsidRDefault="004F6816">
      <w:pPr>
        <w:pStyle w:val="Innehll3"/>
        <w:rPr>
          <w:rFonts w:asciiTheme="minorHAnsi" w:eastAsiaTheme="minorEastAsia" w:hAnsiTheme="minorHAnsi" w:cstheme="minorBidi"/>
          <w:kern w:val="2"/>
          <w:sz w:val="24"/>
          <w:szCs w:val="24"/>
          <w:lang w:val="sv-FI" w:eastAsia="sv-FI"/>
          <w14:ligatures w14:val="standardContextual"/>
        </w:rPr>
      </w:pPr>
      <w:hyperlink w:anchor="_Toc176334214" w:history="1">
        <w:r w:rsidR="00F31C1E" w:rsidRPr="00CC12C5">
          <w:rPr>
            <w:rStyle w:val="Hyperlnk"/>
          </w:rPr>
          <w:t>4.2 Ekonomiska effekter för de skattskyldiga</w:t>
        </w:r>
        <w:r w:rsidR="00F31C1E">
          <w:rPr>
            <w:webHidden/>
          </w:rPr>
          <w:tab/>
        </w:r>
        <w:r w:rsidR="00F31C1E">
          <w:rPr>
            <w:webHidden/>
          </w:rPr>
          <w:fldChar w:fldCharType="begin"/>
        </w:r>
        <w:r w:rsidR="00F31C1E">
          <w:rPr>
            <w:webHidden/>
          </w:rPr>
          <w:instrText xml:space="preserve"> PAGEREF _Toc176334214 \h </w:instrText>
        </w:r>
        <w:r w:rsidR="00F31C1E">
          <w:rPr>
            <w:webHidden/>
          </w:rPr>
        </w:r>
        <w:r w:rsidR="00F31C1E">
          <w:rPr>
            <w:webHidden/>
          </w:rPr>
          <w:fldChar w:fldCharType="separate"/>
        </w:r>
        <w:r w:rsidR="00F31C1E">
          <w:rPr>
            <w:webHidden/>
          </w:rPr>
          <w:t>8</w:t>
        </w:r>
        <w:r w:rsidR="00F31C1E">
          <w:rPr>
            <w:webHidden/>
          </w:rPr>
          <w:fldChar w:fldCharType="end"/>
        </w:r>
      </w:hyperlink>
    </w:p>
    <w:p w14:paraId="19BC070A" w14:textId="45CEE538" w:rsidR="00F31C1E" w:rsidRDefault="004F6816">
      <w:pPr>
        <w:pStyle w:val="Innehll3"/>
        <w:rPr>
          <w:rFonts w:asciiTheme="minorHAnsi" w:eastAsiaTheme="minorEastAsia" w:hAnsiTheme="minorHAnsi" w:cstheme="minorBidi"/>
          <w:kern w:val="2"/>
          <w:sz w:val="24"/>
          <w:szCs w:val="24"/>
          <w:lang w:val="sv-FI" w:eastAsia="sv-FI"/>
          <w14:ligatures w14:val="standardContextual"/>
        </w:rPr>
      </w:pPr>
      <w:hyperlink w:anchor="_Toc176334215" w:history="1">
        <w:r w:rsidR="00F31C1E" w:rsidRPr="00CC12C5">
          <w:rPr>
            <w:rStyle w:val="Hyperlnk"/>
          </w:rPr>
          <w:t>4.3 Ekonomiska effekter för kommunerna</w:t>
        </w:r>
        <w:r w:rsidR="00F31C1E">
          <w:rPr>
            <w:webHidden/>
          </w:rPr>
          <w:tab/>
        </w:r>
        <w:r w:rsidR="00F31C1E">
          <w:rPr>
            <w:webHidden/>
          </w:rPr>
          <w:fldChar w:fldCharType="begin"/>
        </w:r>
        <w:r w:rsidR="00F31C1E">
          <w:rPr>
            <w:webHidden/>
          </w:rPr>
          <w:instrText xml:space="preserve"> PAGEREF _Toc176334215 \h </w:instrText>
        </w:r>
        <w:r w:rsidR="00F31C1E">
          <w:rPr>
            <w:webHidden/>
          </w:rPr>
        </w:r>
        <w:r w:rsidR="00F31C1E">
          <w:rPr>
            <w:webHidden/>
          </w:rPr>
          <w:fldChar w:fldCharType="separate"/>
        </w:r>
        <w:r w:rsidR="00F31C1E">
          <w:rPr>
            <w:webHidden/>
          </w:rPr>
          <w:t>10</w:t>
        </w:r>
        <w:r w:rsidR="00F31C1E">
          <w:rPr>
            <w:webHidden/>
          </w:rPr>
          <w:fldChar w:fldCharType="end"/>
        </w:r>
      </w:hyperlink>
    </w:p>
    <w:p w14:paraId="5D66D230" w14:textId="5BD7E570" w:rsidR="00F31C1E" w:rsidRDefault="004F6816">
      <w:pPr>
        <w:pStyle w:val="Innehll3"/>
        <w:rPr>
          <w:rFonts w:asciiTheme="minorHAnsi" w:eastAsiaTheme="minorEastAsia" w:hAnsiTheme="minorHAnsi" w:cstheme="minorBidi"/>
          <w:kern w:val="2"/>
          <w:sz w:val="24"/>
          <w:szCs w:val="24"/>
          <w:lang w:val="sv-FI" w:eastAsia="sv-FI"/>
          <w14:ligatures w14:val="standardContextual"/>
        </w:rPr>
      </w:pPr>
      <w:hyperlink w:anchor="_Toc176334216" w:history="1">
        <w:r w:rsidR="00F31C1E" w:rsidRPr="00CC12C5">
          <w:rPr>
            <w:rStyle w:val="Hyperlnk"/>
          </w:rPr>
          <w:t>4.4 Ekonomiska effekter för landskapet</w:t>
        </w:r>
        <w:r w:rsidR="00F31C1E">
          <w:rPr>
            <w:webHidden/>
          </w:rPr>
          <w:tab/>
        </w:r>
        <w:r w:rsidR="00F31C1E">
          <w:rPr>
            <w:webHidden/>
          </w:rPr>
          <w:fldChar w:fldCharType="begin"/>
        </w:r>
        <w:r w:rsidR="00F31C1E">
          <w:rPr>
            <w:webHidden/>
          </w:rPr>
          <w:instrText xml:space="preserve"> PAGEREF _Toc176334216 \h </w:instrText>
        </w:r>
        <w:r w:rsidR="00F31C1E">
          <w:rPr>
            <w:webHidden/>
          </w:rPr>
        </w:r>
        <w:r w:rsidR="00F31C1E">
          <w:rPr>
            <w:webHidden/>
          </w:rPr>
          <w:fldChar w:fldCharType="separate"/>
        </w:r>
        <w:r w:rsidR="00F31C1E">
          <w:rPr>
            <w:webHidden/>
          </w:rPr>
          <w:t>11</w:t>
        </w:r>
        <w:r w:rsidR="00F31C1E">
          <w:rPr>
            <w:webHidden/>
          </w:rPr>
          <w:fldChar w:fldCharType="end"/>
        </w:r>
      </w:hyperlink>
    </w:p>
    <w:p w14:paraId="4C9A672F" w14:textId="13D74831" w:rsidR="00F31C1E" w:rsidRDefault="004F6816">
      <w:pPr>
        <w:pStyle w:val="Innehll3"/>
        <w:rPr>
          <w:rFonts w:asciiTheme="minorHAnsi" w:eastAsiaTheme="minorEastAsia" w:hAnsiTheme="minorHAnsi" w:cstheme="minorBidi"/>
          <w:kern w:val="2"/>
          <w:sz w:val="24"/>
          <w:szCs w:val="24"/>
          <w:lang w:val="sv-FI" w:eastAsia="sv-FI"/>
          <w14:ligatures w14:val="standardContextual"/>
        </w:rPr>
      </w:pPr>
      <w:hyperlink w:anchor="_Toc176334217" w:history="1">
        <w:r w:rsidR="00F31C1E" w:rsidRPr="00CC12C5">
          <w:rPr>
            <w:rStyle w:val="Hyperlnk"/>
          </w:rPr>
          <w:t>4.5 Övriga effekter</w:t>
        </w:r>
        <w:r w:rsidR="00F31C1E">
          <w:rPr>
            <w:webHidden/>
          </w:rPr>
          <w:tab/>
        </w:r>
        <w:r w:rsidR="00F31C1E">
          <w:rPr>
            <w:webHidden/>
          </w:rPr>
          <w:fldChar w:fldCharType="begin"/>
        </w:r>
        <w:r w:rsidR="00F31C1E">
          <w:rPr>
            <w:webHidden/>
          </w:rPr>
          <w:instrText xml:space="preserve"> PAGEREF _Toc176334217 \h </w:instrText>
        </w:r>
        <w:r w:rsidR="00F31C1E">
          <w:rPr>
            <w:webHidden/>
          </w:rPr>
        </w:r>
        <w:r w:rsidR="00F31C1E">
          <w:rPr>
            <w:webHidden/>
          </w:rPr>
          <w:fldChar w:fldCharType="separate"/>
        </w:r>
        <w:r w:rsidR="00F31C1E">
          <w:rPr>
            <w:webHidden/>
          </w:rPr>
          <w:t>11</w:t>
        </w:r>
        <w:r w:rsidR="00F31C1E">
          <w:rPr>
            <w:webHidden/>
          </w:rPr>
          <w:fldChar w:fldCharType="end"/>
        </w:r>
      </w:hyperlink>
    </w:p>
    <w:p w14:paraId="5A75578E" w14:textId="23643E22" w:rsidR="00F31C1E" w:rsidRDefault="004F6816">
      <w:pPr>
        <w:pStyle w:val="Innehll2"/>
        <w:rPr>
          <w:rFonts w:asciiTheme="minorHAnsi" w:eastAsiaTheme="minorEastAsia" w:hAnsiTheme="minorHAnsi" w:cstheme="minorBidi"/>
          <w:kern w:val="2"/>
          <w:sz w:val="24"/>
          <w:szCs w:val="24"/>
          <w:lang w:val="sv-FI" w:eastAsia="sv-FI"/>
          <w14:ligatures w14:val="standardContextual"/>
        </w:rPr>
      </w:pPr>
      <w:hyperlink w:anchor="_Toc176334218" w:history="1">
        <w:r w:rsidR="00F31C1E" w:rsidRPr="00CC12C5">
          <w:rPr>
            <w:rStyle w:val="Hyperlnk"/>
          </w:rPr>
          <w:t>5. Beredning och ikraftträdande</w:t>
        </w:r>
        <w:r w:rsidR="00F31C1E">
          <w:rPr>
            <w:webHidden/>
          </w:rPr>
          <w:tab/>
        </w:r>
        <w:r w:rsidR="00F31C1E">
          <w:rPr>
            <w:webHidden/>
          </w:rPr>
          <w:fldChar w:fldCharType="begin"/>
        </w:r>
        <w:r w:rsidR="00F31C1E">
          <w:rPr>
            <w:webHidden/>
          </w:rPr>
          <w:instrText xml:space="preserve"> PAGEREF _Toc176334218 \h </w:instrText>
        </w:r>
        <w:r w:rsidR="00F31C1E">
          <w:rPr>
            <w:webHidden/>
          </w:rPr>
        </w:r>
        <w:r w:rsidR="00F31C1E">
          <w:rPr>
            <w:webHidden/>
          </w:rPr>
          <w:fldChar w:fldCharType="separate"/>
        </w:r>
        <w:r w:rsidR="00F31C1E">
          <w:rPr>
            <w:webHidden/>
          </w:rPr>
          <w:t>12</w:t>
        </w:r>
        <w:r w:rsidR="00F31C1E">
          <w:rPr>
            <w:webHidden/>
          </w:rPr>
          <w:fldChar w:fldCharType="end"/>
        </w:r>
      </w:hyperlink>
    </w:p>
    <w:p w14:paraId="62ACC87D" w14:textId="0039D4E1" w:rsidR="00F31C1E" w:rsidRDefault="004F6816">
      <w:pPr>
        <w:pStyle w:val="Innehll1"/>
        <w:rPr>
          <w:rFonts w:asciiTheme="minorHAnsi" w:eastAsiaTheme="minorEastAsia" w:hAnsiTheme="minorHAnsi" w:cstheme="minorBidi"/>
          <w:kern w:val="2"/>
          <w:sz w:val="24"/>
          <w:szCs w:val="24"/>
          <w:lang w:val="sv-FI" w:eastAsia="sv-FI"/>
          <w14:ligatures w14:val="standardContextual"/>
        </w:rPr>
      </w:pPr>
      <w:hyperlink w:anchor="_Toc176334219" w:history="1">
        <w:r w:rsidR="00F31C1E" w:rsidRPr="00CC12C5">
          <w:rPr>
            <w:rStyle w:val="Hyperlnk"/>
          </w:rPr>
          <w:t>Lagtext</w:t>
        </w:r>
        <w:r w:rsidR="00F31C1E">
          <w:rPr>
            <w:webHidden/>
          </w:rPr>
          <w:tab/>
        </w:r>
        <w:r w:rsidR="00F31C1E">
          <w:rPr>
            <w:webHidden/>
          </w:rPr>
          <w:fldChar w:fldCharType="begin"/>
        </w:r>
        <w:r w:rsidR="00F31C1E">
          <w:rPr>
            <w:webHidden/>
          </w:rPr>
          <w:instrText xml:space="preserve"> PAGEREF _Toc176334219 \h </w:instrText>
        </w:r>
        <w:r w:rsidR="00F31C1E">
          <w:rPr>
            <w:webHidden/>
          </w:rPr>
        </w:r>
        <w:r w:rsidR="00F31C1E">
          <w:rPr>
            <w:webHidden/>
          </w:rPr>
          <w:fldChar w:fldCharType="separate"/>
        </w:r>
        <w:r w:rsidR="00F31C1E">
          <w:rPr>
            <w:webHidden/>
          </w:rPr>
          <w:t>13</w:t>
        </w:r>
        <w:r w:rsidR="00F31C1E">
          <w:rPr>
            <w:webHidden/>
          </w:rPr>
          <w:fldChar w:fldCharType="end"/>
        </w:r>
      </w:hyperlink>
    </w:p>
    <w:p w14:paraId="19943E73" w14:textId="3724E20D" w:rsidR="00F31C1E" w:rsidRDefault="004F6816">
      <w:pPr>
        <w:pStyle w:val="Innehll2"/>
        <w:rPr>
          <w:rFonts w:asciiTheme="minorHAnsi" w:eastAsiaTheme="minorEastAsia" w:hAnsiTheme="minorHAnsi" w:cstheme="minorBidi"/>
          <w:kern w:val="2"/>
          <w:sz w:val="24"/>
          <w:szCs w:val="24"/>
          <w:lang w:val="sv-FI" w:eastAsia="sv-FI"/>
          <w14:ligatures w14:val="standardContextual"/>
        </w:rPr>
      </w:pPr>
      <w:hyperlink w:anchor="_Toc176334220" w:history="1">
        <w:r w:rsidR="00F31C1E" w:rsidRPr="00CC12C5">
          <w:rPr>
            <w:rStyle w:val="Hyperlnk"/>
            <w:lang w:val="en-GB"/>
          </w:rPr>
          <w:t>L A N D S K A P S L A G om ändring av kommunalskattelagen för landskapet Åland</w:t>
        </w:r>
        <w:r w:rsidR="00F31C1E">
          <w:rPr>
            <w:webHidden/>
          </w:rPr>
          <w:tab/>
        </w:r>
        <w:r w:rsidR="00F31C1E">
          <w:rPr>
            <w:webHidden/>
          </w:rPr>
          <w:fldChar w:fldCharType="begin"/>
        </w:r>
        <w:r w:rsidR="00F31C1E">
          <w:rPr>
            <w:webHidden/>
          </w:rPr>
          <w:instrText xml:space="preserve"> PAGEREF _Toc176334220 \h </w:instrText>
        </w:r>
        <w:r w:rsidR="00F31C1E">
          <w:rPr>
            <w:webHidden/>
          </w:rPr>
        </w:r>
        <w:r w:rsidR="00F31C1E">
          <w:rPr>
            <w:webHidden/>
          </w:rPr>
          <w:fldChar w:fldCharType="separate"/>
        </w:r>
        <w:r w:rsidR="00F31C1E">
          <w:rPr>
            <w:webHidden/>
          </w:rPr>
          <w:t>13</w:t>
        </w:r>
        <w:r w:rsidR="00F31C1E">
          <w:rPr>
            <w:webHidden/>
          </w:rPr>
          <w:fldChar w:fldCharType="end"/>
        </w:r>
      </w:hyperlink>
    </w:p>
    <w:p w14:paraId="672C8FDA" w14:textId="3E66D5F1" w:rsidR="00F31C1E" w:rsidRDefault="004F6816">
      <w:pPr>
        <w:pStyle w:val="Innehll1"/>
        <w:rPr>
          <w:rFonts w:asciiTheme="minorHAnsi" w:eastAsiaTheme="minorEastAsia" w:hAnsiTheme="minorHAnsi" w:cstheme="minorBidi"/>
          <w:kern w:val="2"/>
          <w:sz w:val="24"/>
          <w:szCs w:val="24"/>
          <w:lang w:val="sv-FI" w:eastAsia="sv-FI"/>
          <w14:ligatures w14:val="standardContextual"/>
        </w:rPr>
      </w:pPr>
      <w:hyperlink w:anchor="_Toc176334221" w:history="1">
        <w:r w:rsidR="00F31C1E" w:rsidRPr="00CC12C5">
          <w:rPr>
            <w:rStyle w:val="Hyperlnk"/>
          </w:rPr>
          <w:t>Bilaga</w:t>
        </w:r>
        <w:r w:rsidR="00F31C1E">
          <w:rPr>
            <w:webHidden/>
          </w:rPr>
          <w:tab/>
        </w:r>
        <w:r w:rsidR="00F31C1E">
          <w:rPr>
            <w:webHidden/>
          </w:rPr>
          <w:fldChar w:fldCharType="begin"/>
        </w:r>
        <w:r w:rsidR="00F31C1E">
          <w:rPr>
            <w:webHidden/>
          </w:rPr>
          <w:instrText xml:space="preserve"> PAGEREF _Toc176334221 \h </w:instrText>
        </w:r>
        <w:r w:rsidR="00F31C1E">
          <w:rPr>
            <w:webHidden/>
          </w:rPr>
        </w:r>
        <w:r w:rsidR="00F31C1E">
          <w:rPr>
            <w:webHidden/>
          </w:rPr>
          <w:fldChar w:fldCharType="separate"/>
        </w:r>
        <w:r w:rsidR="00F31C1E">
          <w:rPr>
            <w:webHidden/>
          </w:rPr>
          <w:t>14</w:t>
        </w:r>
        <w:r w:rsidR="00F31C1E">
          <w:rPr>
            <w:webHidden/>
          </w:rPr>
          <w:fldChar w:fldCharType="end"/>
        </w:r>
      </w:hyperlink>
    </w:p>
    <w:p w14:paraId="33978260" w14:textId="59849C57" w:rsidR="00F31C1E" w:rsidRDefault="004F6816">
      <w:pPr>
        <w:pStyle w:val="Innehll1"/>
        <w:rPr>
          <w:rFonts w:asciiTheme="minorHAnsi" w:eastAsiaTheme="minorEastAsia" w:hAnsiTheme="minorHAnsi" w:cstheme="minorBidi"/>
          <w:kern w:val="2"/>
          <w:sz w:val="24"/>
          <w:szCs w:val="24"/>
          <w:lang w:val="sv-FI" w:eastAsia="sv-FI"/>
          <w14:ligatures w14:val="standardContextual"/>
        </w:rPr>
      </w:pPr>
      <w:hyperlink w:anchor="_Toc176334222" w:history="1">
        <w:r w:rsidR="00F31C1E" w:rsidRPr="00CC12C5">
          <w:rPr>
            <w:rStyle w:val="Hyperlnk"/>
          </w:rPr>
          <w:t>Parallelltexter</w:t>
        </w:r>
        <w:r w:rsidR="00F31C1E">
          <w:rPr>
            <w:webHidden/>
          </w:rPr>
          <w:tab/>
        </w:r>
        <w:r w:rsidR="00F31C1E">
          <w:rPr>
            <w:webHidden/>
          </w:rPr>
          <w:fldChar w:fldCharType="begin"/>
        </w:r>
        <w:r w:rsidR="00F31C1E">
          <w:rPr>
            <w:webHidden/>
          </w:rPr>
          <w:instrText xml:space="preserve"> PAGEREF _Toc176334222 \h </w:instrText>
        </w:r>
        <w:r w:rsidR="00F31C1E">
          <w:rPr>
            <w:webHidden/>
          </w:rPr>
        </w:r>
        <w:r w:rsidR="00F31C1E">
          <w:rPr>
            <w:webHidden/>
          </w:rPr>
          <w:fldChar w:fldCharType="separate"/>
        </w:r>
        <w:r w:rsidR="00F31C1E">
          <w:rPr>
            <w:webHidden/>
          </w:rPr>
          <w:t>16</w:t>
        </w:r>
        <w:r w:rsidR="00F31C1E">
          <w:rPr>
            <w:webHidden/>
          </w:rPr>
          <w:fldChar w:fldCharType="end"/>
        </w:r>
      </w:hyperlink>
    </w:p>
    <w:p w14:paraId="20EB1BF1" w14:textId="56717118" w:rsidR="00AF3004" w:rsidRDefault="00AF3004">
      <w:pPr>
        <w:pStyle w:val="ANormal"/>
        <w:rPr>
          <w:noProof/>
        </w:rPr>
      </w:pPr>
      <w:r>
        <w:rPr>
          <w:rFonts w:ascii="Verdana" w:hAnsi="Verdana"/>
          <w:noProof/>
          <w:sz w:val="16"/>
          <w:szCs w:val="36"/>
        </w:rPr>
        <w:fldChar w:fldCharType="end"/>
      </w:r>
    </w:p>
    <w:p w14:paraId="769BC08B" w14:textId="77777777" w:rsidR="00AF3004" w:rsidRDefault="00AF3004">
      <w:pPr>
        <w:pStyle w:val="ANormal"/>
      </w:pPr>
      <w:r>
        <w:br w:type="page"/>
      </w:r>
    </w:p>
    <w:p w14:paraId="50368616" w14:textId="05BE6B2E" w:rsidR="00AF3004" w:rsidRDefault="003D2C26">
      <w:pPr>
        <w:pStyle w:val="RubrikA"/>
      </w:pPr>
      <w:bookmarkStart w:id="2" w:name="_Toc176334202"/>
      <w:r>
        <w:lastRenderedPageBreak/>
        <w:t>M</w:t>
      </w:r>
      <w:r w:rsidR="00AF3004">
        <w:t>otivering</w:t>
      </w:r>
      <w:bookmarkEnd w:id="2"/>
    </w:p>
    <w:p w14:paraId="56C2E1EB" w14:textId="77777777" w:rsidR="00AF3004" w:rsidRDefault="00AF3004">
      <w:pPr>
        <w:pStyle w:val="Rubrikmellanrum"/>
      </w:pPr>
    </w:p>
    <w:p w14:paraId="0D61CBBE" w14:textId="77777777" w:rsidR="00AF3004" w:rsidRDefault="00AF3004">
      <w:pPr>
        <w:pStyle w:val="RubrikB"/>
      </w:pPr>
      <w:bookmarkStart w:id="3" w:name="_Toc176334203"/>
      <w:r>
        <w:t>1. Bakgrund</w:t>
      </w:r>
      <w:bookmarkEnd w:id="3"/>
    </w:p>
    <w:p w14:paraId="7BD1E38E" w14:textId="77777777" w:rsidR="00AF3004" w:rsidRDefault="00AF3004">
      <w:pPr>
        <w:pStyle w:val="Rubrikmellanrum"/>
      </w:pPr>
    </w:p>
    <w:p w14:paraId="6F317DFF" w14:textId="7E17EDBB" w:rsidR="002C6E72" w:rsidRDefault="002C6E72" w:rsidP="002C6E72">
      <w:pPr>
        <w:pStyle w:val="RubrikC"/>
      </w:pPr>
      <w:bookmarkStart w:id="4" w:name="_Toc176334204"/>
      <w:r>
        <w:t>1.1 Gällande lagstiftning</w:t>
      </w:r>
      <w:bookmarkEnd w:id="4"/>
    </w:p>
    <w:p w14:paraId="58BB9712" w14:textId="77777777" w:rsidR="002C6E72" w:rsidRDefault="002C6E72" w:rsidP="002C6E72">
      <w:pPr>
        <w:pStyle w:val="Rubrikmellanrum"/>
      </w:pPr>
    </w:p>
    <w:p w14:paraId="2F9F7C0F" w14:textId="659628A2" w:rsidR="002C6E72" w:rsidRDefault="002C6E72" w:rsidP="002C6E72">
      <w:pPr>
        <w:pStyle w:val="ANormal"/>
      </w:pPr>
      <w:r>
        <w:t>Sjukdomskostnadsavdraget vid kommunalbeskattningen regleras i 18</w:t>
      </w:r>
      <w:r w:rsidR="005A651F">
        <w:t> §</w:t>
      </w:r>
      <w:r>
        <w:t xml:space="preserve"> i kommunalskattelagen</w:t>
      </w:r>
      <w:r w:rsidR="0065441C">
        <w:t xml:space="preserve"> (2011:119) för landskapet Åland</w:t>
      </w:r>
      <w:r>
        <w:t>. Enligt bestämmelsen får den skattskyldiges och även familjemedlemmars sjukdomskostnader dras av från nettoförvärvsinkomsten. I avdragsrätten finns dock en viss självrisk, så att bara sjukdomskostnader som överstiger 100 euro för enskilda respektive 200</w:t>
      </w:r>
      <w:r w:rsidR="00F31C1E">
        <w:t xml:space="preserve"> </w:t>
      </w:r>
      <w:r>
        <w:t>euro för makar är avdragsgilla. Dessutom finns en inkomstgräns på 15 000 euro som innebär att bara den som har en nettoförvärvsinkomst som unders</w:t>
      </w:r>
      <w:r w:rsidR="009E2AEE">
        <w:t>krid</w:t>
      </w:r>
      <w:r>
        <w:t>er gränsen får göra avdrag för hela kostnaden. Den som har en nettoförvärvsinkomst som överstiger gränsen får endast göra avdrag för halva kostnaden. För makar gäller en gemensam inkomstgräns på 22 500 euro. Med nettoförvärvsinkomsten menas i detta sammanhang den beskattningsbara förvärvsinkomsten vid kommunalbeskattningen efter att de naturliga avdragen har gjorts. De naturliga avdragen är de avdrag som anges i 2 kap. kommunalskattelagen: resekostnadsavdraget (10</w:t>
      </w:r>
      <w:r w:rsidR="005A651F">
        <w:t> §</w:t>
      </w:r>
      <w:r>
        <w:t>), avdraget för bostad på arbetsorten (11</w:t>
      </w:r>
      <w:r w:rsidR="005A651F">
        <w:t> §</w:t>
      </w:r>
      <w:r>
        <w:t>), motorsågs- och skogsarbetaravdraget (12</w:t>
      </w:r>
      <w:r w:rsidR="005A651F">
        <w:t> §</w:t>
      </w:r>
      <w:r>
        <w:t>) samt avdraget för inkomstens förvärvande (13</w:t>
      </w:r>
      <w:r w:rsidR="005A651F">
        <w:t> §</w:t>
      </w:r>
      <w:r>
        <w:t>).</w:t>
      </w:r>
    </w:p>
    <w:p w14:paraId="14672238" w14:textId="77777777" w:rsidR="002C6E72" w:rsidRDefault="002C6E72" w:rsidP="002C6E72">
      <w:pPr>
        <w:pStyle w:val="ANormal"/>
      </w:pPr>
      <w:r>
        <w:tab/>
        <w:t>Särskilda bestämmelser gäller för avdrag för kostnader för sjukhusvistelse utanför Europeiska ekonomiska samarbetsområdet (EES) utan remiss från en inhemsk läkare. Där anges att maximibeloppet som får avdras är 300 euro för enskilda och 600 euro för makar samt en förhöjning av dessa belopp med 70 euro per barn som den skattskyldige har försörjt under året. Resekostnader till behandling utanför EES får endast avdras om resan sker med remiss från en inhemsk läkare.</w:t>
      </w:r>
    </w:p>
    <w:p w14:paraId="5E57B36F" w14:textId="708031FE" w:rsidR="006B227F" w:rsidRDefault="006B227F" w:rsidP="002C6E72">
      <w:pPr>
        <w:pStyle w:val="ANormal"/>
      </w:pPr>
      <w:r>
        <w:tab/>
        <w:t>Grundavdraget regleras i kommunalskattelagens 23</w:t>
      </w:r>
      <w:r w:rsidR="005A651F">
        <w:t> §</w:t>
      </w:r>
      <w:r w:rsidR="007110ED">
        <w:t xml:space="preserve"> och är det avdrag som görs sist av alla avdrag. </w:t>
      </w:r>
      <w:r w:rsidR="00E40C3B">
        <w:t>Liksom sjukdomskostnadsavdraget dras det från nettoförvärvsinkomsten och skatteåret 2024 är</w:t>
      </w:r>
      <w:r w:rsidR="004226BC">
        <w:t xml:space="preserve"> avdraget högst</w:t>
      </w:r>
      <w:r w:rsidR="00E40C3B">
        <w:t xml:space="preserve"> 3 600 euro. Den som efter </w:t>
      </w:r>
      <w:r w:rsidR="009C3881">
        <w:t>samtliga</w:t>
      </w:r>
      <w:r w:rsidR="00E40C3B">
        <w:t xml:space="preserve"> andra avdrag från förvärvsinkomsten har en nettoförvärvsinkomst som inte överstiger 3 600 euro får dra av </w:t>
      </w:r>
      <w:r w:rsidR="004226BC">
        <w:t xml:space="preserve">hela </w:t>
      </w:r>
      <w:r w:rsidR="00E40C3B">
        <w:t xml:space="preserve">beloppet. Om nettoförvärvsinkomsten överstiger </w:t>
      </w:r>
      <w:r w:rsidR="004226BC">
        <w:t>3 600 euro</w:t>
      </w:r>
      <w:r w:rsidR="00E40C3B">
        <w:t xml:space="preserve"> minskas avdraget med 8,4 procent av den överskjutande delen. Grundavdraget fungerar således så att beloppet sjunker ju högre nettoförvärvsinkomsten </w:t>
      </w:r>
      <w:r w:rsidR="00AF56DE">
        <w:t xml:space="preserve">efter alla andra avdrag </w:t>
      </w:r>
      <w:r w:rsidR="00E40C3B">
        <w:t>är.</w:t>
      </w:r>
      <w:r w:rsidR="00AF56DE">
        <w:t xml:space="preserve"> Det betyder samtidigt att grundavdraget påverkas </w:t>
      </w:r>
      <w:r w:rsidR="004B4D54">
        <w:t xml:space="preserve">av att </w:t>
      </w:r>
      <w:r w:rsidR="00AF56DE">
        <w:t xml:space="preserve">andra avdrag </w:t>
      </w:r>
      <w:r w:rsidR="004B4D54">
        <w:t xml:space="preserve">från förvärvsinkomsten </w:t>
      </w:r>
      <w:r w:rsidR="004712E4">
        <w:t>förändras</w:t>
      </w:r>
      <w:r w:rsidR="00AF56DE">
        <w:t>.</w:t>
      </w:r>
    </w:p>
    <w:p w14:paraId="53987EDB" w14:textId="77777777" w:rsidR="002C6E72" w:rsidRDefault="002C6E72" w:rsidP="002C6E72">
      <w:pPr>
        <w:pStyle w:val="ANormal"/>
      </w:pPr>
    </w:p>
    <w:p w14:paraId="14993418" w14:textId="685D5388" w:rsidR="00641E21" w:rsidRDefault="00641E21" w:rsidP="00641E21">
      <w:pPr>
        <w:pStyle w:val="RubrikC"/>
      </w:pPr>
      <w:bookmarkStart w:id="5" w:name="_Toc176334205"/>
      <w:r>
        <w:t>1.</w:t>
      </w:r>
      <w:r w:rsidR="002C6E72">
        <w:t>2</w:t>
      </w:r>
      <w:r>
        <w:t xml:space="preserve"> Sjukdomskostnadsavdragets </w:t>
      </w:r>
      <w:r w:rsidR="00B94EB2">
        <w:t>historia</w:t>
      </w:r>
      <w:bookmarkEnd w:id="5"/>
    </w:p>
    <w:p w14:paraId="547038CF" w14:textId="77777777" w:rsidR="00641E21" w:rsidRDefault="00641E21" w:rsidP="00641E21">
      <w:pPr>
        <w:pStyle w:val="Rubrikmellanrum"/>
      </w:pPr>
    </w:p>
    <w:p w14:paraId="704050F6" w14:textId="45A56BF2" w:rsidR="00641E21" w:rsidRDefault="00641E21" w:rsidP="00641E21">
      <w:pPr>
        <w:pStyle w:val="ANormal"/>
      </w:pPr>
      <w:r>
        <w:t>Ett sjukdomskostnadsavdrag infördes i beskattningen redan 1947, med syftet att utjämna sjukdomskostnaderna i en situation då andra stödsystem för hälsovården var bristfälliga. Avdraget infördes ursprungligen i landskapslagstiftningen i form av ett undantag från bestämmelserna om avdraget i riket. Undantaget innebar att det maximibelopp som då fanns för avdraget inte skulle tillämpas vid kommunalbeskattningen i landskapet.</w:t>
      </w:r>
    </w:p>
    <w:p w14:paraId="6E6EDF8E" w14:textId="086A5E90" w:rsidR="00641E21" w:rsidRDefault="00641E21" w:rsidP="00641E21">
      <w:pPr>
        <w:pStyle w:val="ANormal"/>
      </w:pPr>
      <w:r>
        <w:tab/>
        <w:t>I början av 1990-talet avskaffades avdraget i riket med hänvisning till att stödsystemen inom hälsovården hade utvecklats så att avdraget inte längre var befogat med tanke på hur resurskrävande det var. Samtidigt vidtogs vissa kompensationsåtgärder inom sjukförsäkringssystemet.</w:t>
      </w:r>
      <w:r w:rsidR="00857E4A">
        <w:t xml:space="preserve"> I inkomstskattelagen (FFS 1535/1992) infördes också ett avdrag för nedsatt skattebetalningsförmåga (98</w:t>
      </w:r>
      <w:r w:rsidR="005A651F">
        <w:t> §</w:t>
      </w:r>
      <w:r w:rsidR="00857E4A">
        <w:t>). Avdraget, som är max 1</w:t>
      </w:r>
      <w:r w:rsidR="00F31C1E">
        <w:t> </w:t>
      </w:r>
      <w:r w:rsidR="00857E4A">
        <w:t>400</w:t>
      </w:r>
      <w:r w:rsidR="00F31C1E">
        <w:t xml:space="preserve"> </w:t>
      </w:r>
      <w:r w:rsidR="00857E4A">
        <w:t xml:space="preserve">euro, får göras om den skattskyldiges skattebetalningsförmåga har </w:t>
      </w:r>
      <w:r w:rsidR="004811D8">
        <w:t xml:space="preserve">blivit </w:t>
      </w:r>
      <w:r w:rsidR="004811D8" w:rsidRPr="00857E4A">
        <w:t xml:space="preserve">väsentligt nedsatt </w:t>
      </w:r>
      <w:r w:rsidR="00857E4A">
        <w:t>på grund av till exempel</w:t>
      </w:r>
      <w:r w:rsidR="004811D8">
        <w:t xml:space="preserve"> försörjningsplikt, arbetslöshet eller sjukdom.</w:t>
      </w:r>
      <w:r w:rsidR="00603D0B">
        <w:t xml:space="preserve"> </w:t>
      </w:r>
      <w:bookmarkStart w:id="6" w:name="_Hlk164330449"/>
      <w:r w:rsidR="00603D0B">
        <w:t xml:space="preserve">På basen av sjukdomskostnader kan avdraget beviljas om </w:t>
      </w:r>
      <w:r w:rsidR="00503369">
        <w:t xml:space="preserve">den skattskyldige och familjemedlemmarnas </w:t>
      </w:r>
      <w:r w:rsidR="00603D0B" w:rsidRPr="00857E4A">
        <w:t xml:space="preserve">kostnader under året uppgår till minst 700 euro och samtidigt </w:t>
      </w:r>
      <w:r w:rsidR="00603D0B" w:rsidRPr="00857E4A">
        <w:lastRenderedPageBreak/>
        <w:t>utgör minst 10 procent av den skattskyldiges sammanlagda nettokapital- och nettoförvärvsinkomster.</w:t>
      </w:r>
      <w:bookmarkEnd w:id="6"/>
    </w:p>
    <w:p w14:paraId="41D2A347" w14:textId="332C7B70" w:rsidR="00503369" w:rsidRDefault="00641E21" w:rsidP="00641E21">
      <w:pPr>
        <w:pStyle w:val="ANormal"/>
      </w:pPr>
      <w:r>
        <w:tab/>
        <w:t xml:space="preserve">När </w:t>
      </w:r>
      <w:r w:rsidR="00C91DBA">
        <w:t>sjukdomskostnads</w:t>
      </w:r>
      <w:r>
        <w:t>avdraget avskaffades i riket verkar man i landskapet inte ha övervägt att göra det. Genom en ändring av den då gällande kommunalskattelagen (1988:70) för landskapet Åland infördes avdraget i landskapslagstiftningen. I förarbetena till ändringen</w:t>
      </w:r>
      <w:r>
        <w:rPr>
          <w:rStyle w:val="Fotnotsreferens"/>
        </w:rPr>
        <w:footnoteReference w:id="1"/>
      </w:r>
      <w:r>
        <w:t xml:space="preserve"> anges ingen särskild motivering, bara att kommunalskattelagen bör ”ändras så att där klart framgår att möjligheten till sjukdomskostnadsavdrag vid kommunalbeskatt</w:t>
      </w:r>
      <w:r w:rsidR="002C6E72">
        <w:softHyphen/>
      </w:r>
      <w:r>
        <w:t>ningen finns kvar.”</w:t>
      </w:r>
      <w:r w:rsidRPr="0083289B">
        <w:t xml:space="preserve"> </w:t>
      </w:r>
      <w:r w:rsidR="00C91DBA">
        <w:t>När</w:t>
      </w:r>
      <w:r w:rsidR="00503369">
        <w:t xml:space="preserve"> den </w:t>
      </w:r>
      <w:r w:rsidR="0065441C">
        <w:t>åländska kommunalskattelagen förnyades först 1993</w:t>
      </w:r>
      <w:r w:rsidR="0065441C">
        <w:rPr>
          <w:rStyle w:val="Fotnotsreferens"/>
        </w:rPr>
        <w:footnoteReference w:id="2"/>
      </w:r>
      <w:r w:rsidR="0065441C">
        <w:t xml:space="preserve"> och därefter 2011</w:t>
      </w:r>
      <w:r w:rsidR="00C91DBA">
        <w:t xml:space="preserve"> överfördes sjukdomskostnadsavdraget oförändrat till den nya lagen. I </w:t>
      </w:r>
      <w:r w:rsidR="0065441C">
        <w:t>den nu gällande kommunalskatte</w:t>
      </w:r>
      <w:r w:rsidR="00C91DBA">
        <w:t>lagen intogs</w:t>
      </w:r>
      <w:r w:rsidR="00503369">
        <w:t xml:space="preserve"> samtliga avdrag vid kommunalbeskattningen, även avdraget för nedsatt skattebetalningsförmåga (17</w:t>
      </w:r>
      <w:r w:rsidR="005A651F">
        <w:t> §</w:t>
      </w:r>
      <w:r w:rsidR="00503369">
        <w:t xml:space="preserve">). Däremot </w:t>
      </w:r>
      <w:r w:rsidR="00C91DBA">
        <w:t>infördes</w:t>
      </w:r>
      <w:r w:rsidR="00503369">
        <w:t xml:space="preserve"> inte den särskilda bestämmelsen om nedsatt skattebetalningsförmåga på grund av kostnader som enbart beror på sjukdom</w:t>
      </w:r>
      <w:r w:rsidR="00A10F8F">
        <w:t>. Detta motiverades med att bestämmelsen ändå inte hade tillämpats i landskapet eftersom sjukdomskostnadsavdraget tillämpats i stället, och avsikten var att det även skulle vara så i fortsättningen.</w:t>
      </w:r>
    </w:p>
    <w:p w14:paraId="2E8343E5" w14:textId="4C8850ED" w:rsidR="00641E21" w:rsidRDefault="00503369" w:rsidP="00641E21">
      <w:pPr>
        <w:pStyle w:val="ANormal"/>
      </w:pPr>
      <w:r>
        <w:tab/>
      </w:r>
      <w:r w:rsidR="00641E21">
        <w:t>Vid kommunalbeskattningen i</w:t>
      </w:r>
      <w:r w:rsidR="00641E21" w:rsidRPr="0083289B">
        <w:t xml:space="preserve"> </w:t>
      </w:r>
      <w:r w:rsidR="00641E21">
        <w:t xml:space="preserve">landskapet har </w:t>
      </w:r>
      <w:r>
        <w:t>sjukdomskostnads</w:t>
      </w:r>
      <w:r w:rsidR="00641E21">
        <w:t>avdraget således funnits kvar i princip oförändrat fram till och med 2012 då självriskbeloppet höjdes och inkomstgränsen infördes</w:t>
      </w:r>
      <w:r w:rsidR="00641E21">
        <w:rPr>
          <w:rStyle w:val="Fotnotsreferens"/>
        </w:rPr>
        <w:footnoteReference w:id="3"/>
      </w:r>
      <w:r w:rsidR="00641E21">
        <w:t xml:space="preserve">. Vid det tillfället var </w:t>
      </w:r>
      <w:r w:rsidR="00E46ADE">
        <w:t>intentionen</w:t>
      </w:r>
      <w:r w:rsidR="00641E21">
        <w:t xml:space="preserve"> att avskaffa avdraget helt</w:t>
      </w:r>
      <w:r w:rsidR="00E46ADE">
        <w:t>,</w:t>
      </w:r>
      <w:r w:rsidR="00641E21">
        <w:t xml:space="preserve"> men av politiska orsaker valde man i stället att begränsa avdragsrätten. Ändringen var dock avsedd att vara tillfällig. Orsaken till det var att beredningen av ändringen inte gavs särskilt mycket tid eftersom beslutet att behålla avdraget kom sent. Föresatsen var att avdraget skulle revideras igen till 2014, och då med en grundligare beredning. En arbetsgrupp tillsattes som lämnade en rapport</w:t>
      </w:r>
      <w:r w:rsidR="00641E21">
        <w:rPr>
          <w:rStyle w:val="Fotnotsreferens"/>
        </w:rPr>
        <w:footnoteReference w:id="4"/>
      </w:r>
      <w:r w:rsidR="00641E21">
        <w:t xml:space="preserve"> med bland annat förslag till framtida utformning av sjukdomskostnadsavdraget i juni 2013. Rapporten kompletterades under 2014 med en tilläggsutredning med fallstudier, men det ledde inte till någon ändring av avdraget utan det kvarstår fortfarande oförändrat.</w:t>
      </w:r>
    </w:p>
    <w:p w14:paraId="558E29C5" w14:textId="77777777" w:rsidR="00641E21" w:rsidRDefault="00641E21" w:rsidP="00641E21">
      <w:pPr>
        <w:pStyle w:val="ANormal"/>
      </w:pPr>
    </w:p>
    <w:p w14:paraId="17B3CD41" w14:textId="493CFFA0" w:rsidR="007870F2" w:rsidRDefault="007870F2" w:rsidP="007870F2">
      <w:pPr>
        <w:pStyle w:val="RubrikB"/>
      </w:pPr>
      <w:bookmarkStart w:id="7" w:name="_Toc176334206"/>
      <w:r>
        <w:t xml:space="preserve">2. </w:t>
      </w:r>
      <w:r w:rsidR="005F2BD5">
        <w:t>Utvärdering av sjukdomskostnadsavdraget</w:t>
      </w:r>
      <w:bookmarkEnd w:id="7"/>
    </w:p>
    <w:p w14:paraId="6F9E21F4" w14:textId="77777777" w:rsidR="00511F63" w:rsidRDefault="00511F63" w:rsidP="00511F63">
      <w:pPr>
        <w:pStyle w:val="Rubrikmellanrum"/>
      </w:pPr>
    </w:p>
    <w:p w14:paraId="14CC1C10" w14:textId="4439BB65" w:rsidR="00F10CB8" w:rsidRDefault="00F10CB8" w:rsidP="00F10CB8">
      <w:pPr>
        <w:pStyle w:val="RubrikC"/>
      </w:pPr>
      <w:bookmarkStart w:id="8" w:name="_Toc176334207"/>
      <w:r>
        <w:t>2.1 Tillämpningen av avdraget</w:t>
      </w:r>
      <w:bookmarkEnd w:id="8"/>
    </w:p>
    <w:p w14:paraId="5044BB85" w14:textId="77777777" w:rsidR="00F10CB8" w:rsidRDefault="00F10CB8" w:rsidP="00F10CB8">
      <w:pPr>
        <w:pStyle w:val="Rubrikmellanrum"/>
      </w:pPr>
    </w:p>
    <w:p w14:paraId="1C0FEFB2" w14:textId="76D4A161" w:rsidR="00A610B9" w:rsidRDefault="00F10CB8" w:rsidP="00A610B9">
      <w:pPr>
        <w:pStyle w:val="ANormal"/>
      </w:pPr>
      <w:r>
        <w:t xml:space="preserve">Sjukdomskostnadsavdraget är ett av de vanligaste avdragen på Åland. Antalet skattskyldiga som yrkar på avdrag ligger runt 9 500 varje år och 2022 var det 9 681 </w:t>
      </w:r>
      <w:r w:rsidRPr="00264EA2">
        <w:t>personer</w:t>
      </w:r>
      <w:r>
        <w:t xml:space="preserve"> som</w:t>
      </w:r>
      <w:r w:rsidRPr="00264EA2">
        <w:t xml:space="preserve"> </w:t>
      </w:r>
      <w:r>
        <w:t xml:space="preserve">gjorde </w:t>
      </w:r>
      <w:r w:rsidRPr="00264EA2">
        <w:t>avdrag för sjukdomskostnader i den åländska kommunalbeskattningen</w:t>
      </w:r>
      <w:r w:rsidR="00A610B9">
        <w:t>.</w:t>
      </w:r>
      <w:r w:rsidR="009B2397">
        <w:t xml:space="preserve"> </w:t>
      </w:r>
      <w:r w:rsidR="00A610B9" w:rsidRPr="00E07907">
        <w:t>Avdragets sammanlagda belopp var 5 617 605 euro, vilket beräknas ha resulterat i en sänkning av kommunalskatten med cirka 960 000 euro.</w:t>
      </w:r>
    </w:p>
    <w:p w14:paraId="6C1DD68A" w14:textId="2A6B34DD" w:rsidR="00F10CB8" w:rsidRDefault="004B2C9A" w:rsidP="00F10CB8">
      <w:pPr>
        <w:pStyle w:val="ANormal"/>
      </w:pPr>
      <w:r>
        <w:tab/>
        <w:t>Med s</w:t>
      </w:r>
      <w:r w:rsidR="00F10CB8">
        <w:t xml:space="preserve">jukdomskostnader </w:t>
      </w:r>
      <w:r>
        <w:t>avses</w:t>
      </w:r>
      <w:r w:rsidR="00F10CB8">
        <w:t xml:space="preserve"> till exempel kostnad</w:t>
      </w:r>
      <w:r>
        <w:t>er</w:t>
      </w:r>
      <w:r w:rsidR="00F10CB8">
        <w:t xml:space="preserve"> för vård på sjukhus, läkarbesök, tandvård, apoteksinköp </w:t>
      </w:r>
      <w:r>
        <w:t>som är belagda med en</w:t>
      </w:r>
      <w:r w:rsidR="00F10CB8">
        <w:t xml:space="preserve"> momssats </w:t>
      </w:r>
      <w:r>
        <w:t xml:space="preserve">på </w:t>
      </w:r>
      <w:r w:rsidR="00F10CB8">
        <w:t>10</w:t>
      </w:r>
      <w:r>
        <w:t> procent</w:t>
      </w:r>
      <w:r w:rsidR="00F10CB8">
        <w:t>, fysioterapi med läkarremiss, glasögon och linser</w:t>
      </w:r>
      <w:r>
        <w:t xml:space="preserve"> och</w:t>
      </w:r>
      <w:r w:rsidR="00F10CB8">
        <w:t xml:space="preserve"> medicinsk fotvård. </w:t>
      </w:r>
      <w:r>
        <w:t>Därutöver är också andra</w:t>
      </w:r>
      <w:r w:rsidR="00F10CB8">
        <w:t xml:space="preserve"> sjukdomsrelaterade kostnader enligt behovsprövning och ordination av läkare</w:t>
      </w:r>
      <w:r>
        <w:t xml:space="preserve"> avdragbara</w:t>
      </w:r>
      <w:r w:rsidR="00F10CB8">
        <w:t>.</w:t>
      </w:r>
      <w:r w:rsidRPr="004B2C9A">
        <w:t xml:space="preserve"> </w:t>
      </w:r>
      <w:r w:rsidRPr="00F10CB8">
        <w:t>Kostnaderna är inte avdragbara till den del de ersätts av F</w:t>
      </w:r>
      <w:r w:rsidR="009801E7">
        <w:t>olkpensionsanstalten (FPA)</w:t>
      </w:r>
      <w:r w:rsidRPr="00F10CB8">
        <w:t xml:space="preserve">, </w:t>
      </w:r>
      <w:r>
        <w:t xml:space="preserve">en </w:t>
      </w:r>
      <w:r w:rsidRPr="00F10CB8">
        <w:t xml:space="preserve">försäkring eller </w:t>
      </w:r>
      <w:r w:rsidR="00241044">
        <w:t>liknande</w:t>
      </w:r>
      <w:r w:rsidRPr="00F10CB8">
        <w:t>.</w:t>
      </w:r>
      <w:r w:rsidR="009801E7">
        <w:t xml:space="preserve"> </w:t>
      </w:r>
      <w:r>
        <w:t>Kostnader som inte är avdragbara är till exempel kostnader för d</w:t>
      </w:r>
      <w:r w:rsidR="00F10CB8">
        <w:t>jurmediciner</w:t>
      </w:r>
      <w:r>
        <w:t>,</w:t>
      </w:r>
      <w:r w:rsidR="00F10CB8">
        <w:t xml:space="preserve"> </w:t>
      </w:r>
      <w:r>
        <w:t xml:space="preserve">trots att de är belagda med en </w:t>
      </w:r>
      <w:r w:rsidR="00F10CB8">
        <w:t xml:space="preserve">momssats </w:t>
      </w:r>
      <w:r>
        <w:t xml:space="preserve">på </w:t>
      </w:r>
      <w:r w:rsidR="00F10CB8">
        <w:t>10</w:t>
      </w:r>
      <w:r w:rsidR="005A651F">
        <w:t xml:space="preserve"> </w:t>
      </w:r>
      <w:r>
        <w:t>procent, eller kostnader för</w:t>
      </w:r>
      <w:r w:rsidR="00F10CB8">
        <w:t xml:space="preserve"> hälsokostpreparat </w:t>
      </w:r>
      <w:r w:rsidR="00E20CC6">
        <w:t>eller</w:t>
      </w:r>
      <w:r w:rsidR="00F10CB8">
        <w:t xml:space="preserve"> apoteksinköp </w:t>
      </w:r>
      <w:r>
        <w:t xml:space="preserve">som är belagda </w:t>
      </w:r>
      <w:r w:rsidR="00F10CB8">
        <w:t>med</w:t>
      </w:r>
      <w:r>
        <w:t xml:space="preserve"> en</w:t>
      </w:r>
      <w:r w:rsidR="00F10CB8">
        <w:t xml:space="preserve"> momssats</w:t>
      </w:r>
      <w:r>
        <w:t xml:space="preserve"> på </w:t>
      </w:r>
      <w:r w:rsidR="00F10CB8">
        <w:t>14</w:t>
      </w:r>
      <w:r w:rsidR="005A651F">
        <w:t xml:space="preserve"> </w:t>
      </w:r>
      <w:r w:rsidR="00F10CB8">
        <w:t>eller 24</w:t>
      </w:r>
      <w:r w:rsidR="005A651F">
        <w:t xml:space="preserve"> </w:t>
      </w:r>
      <w:r>
        <w:t>procent</w:t>
      </w:r>
      <w:r w:rsidR="00F10CB8">
        <w:t>.</w:t>
      </w:r>
      <w:r w:rsidR="009801E7">
        <w:t xml:space="preserve"> </w:t>
      </w:r>
      <w:r>
        <w:t>När det gäller i</w:t>
      </w:r>
      <w:r w:rsidR="00F10CB8">
        <w:t xml:space="preserve">nstitutionsvård eller </w:t>
      </w:r>
      <w:r w:rsidR="00F10CB8">
        <w:lastRenderedPageBreak/>
        <w:t xml:space="preserve">effektiverat serviceboende </w:t>
      </w:r>
      <w:r>
        <w:t>är</w:t>
      </w:r>
      <w:r w:rsidR="00F10CB8">
        <w:t xml:space="preserve"> 25</w:t>
      </w:r>
      <w:r w:rsidR="005A651F">
        <w:t xml:space="preserve"> </w:t>
      </w:r>
      <w:r>
        <w:t>procent</w:t>
      </w:r>
      <w:r w:rsidR="00F10CB8">
        <w:t xml:space="preserve"> </w:t>
      </w:r>
      <w:r>
        <w:t xml:space="preserve">av kostnaden avdragbar, </w:t>
      </w:r>
      <w:r w:rsidR="00F10CB8">
        <w:t>resterande del</w:t>
      </w:r>
      <w:r>
        <w:t xml:space="preserve"> anses</w:t>
      </w:r>
      <w:r w:rsidR="00F10CB8">
        <w:t xml:space="preserve"> utgör</w:t>
      </w:r>
      <w:r>
        <w:t>a</w:t>
      </w:r>
      <w:r w:rsidR="00F10CB8">
        <w:t xml:space="preserve"> </w:t>
      </w:r>
      <w:r w:rsidR="002C03D7">
        <w:t xml:space="preserve">vanliga </w:t>
      </w:r>
      <w:r w:rsidR="00F10CB8">
        <w:t>levnadskostnader</w:t>
      </w:r>
      <w:r>
        <w:rPr>
          <w:rStyle w:val="Fotnotsreferens"/>
        </w:rPr>
        <w:footnoteReference w:id="5"/>
      </w:r>
      <w:r w:rsidR="00F10CB8">
        <w:t>. För vård vid institution eller effektiverat serviceboende förutsätts läkarintyg som intygar att vården beror på sjukdom.</w:t>
      </w:r>
    </w:p>
    <w:p w14:paraId="64E4B17E" w14:textId="77777777" w:rsidR="00C06CE7" w:rsidRDefault="00C06CE7" w:rsidP="00F10CB8">
      <w:pPr>
        <w:pStyle w:val="ANormal"/>
      </w:pPr>
    </w:p>
    <w:p w14:paraId="4A193027" w14:textId="51122F26" w:rsidR="00C06CE7" w:rsidRDefault="00C06CE7" w:rsidP="00C06CE7">
      <w:pPr>
        <w:pStyle w:val="RubrikC"/>
      </w:pPr>
      <w:bookmarkStart w:id="9" w:name="_Toc176334208"/>
      <w:r>
        <w:t>2.2 Andra stödsystem inom hälso- och sjukvården</w:t>
      </w:r>
      <w:bookmarkEnd w:id="9"/>
    </w:p>
    <w:p w14:paraId="72A5821C" w14:textId="77777777" w:rsidR="00C06CE7" w:rsidRPr="00C06CE7" w:rsidRDefault="00C06CE7" w:rsidP="00C06CE7">
      <w:pPr>
        <w:pStyle w:val="Rubrikmellanrum"/>
      </w:pPr>
    </w:p>
    <w:p w14:paraId="6DD28B82" w14:textId="2A7F6472" w:rsidR="008B4D66" w:rsidRDefault="00F65129" w:rsidP="00E95BC6">
      <w:pPr>
        <w:pStyle w:val="ANormal"/>
      </w:pPr>
      <w:r>
        <w:t>Av de</w:t>
      </w:r>
      <w:r w:rsidR="00E95BC6">
        <w:t xml:space="preserve"> kostnadsgrupper</w:t>
      </w:r>
      <w:r>
        <w:t xml:space="preserve"> som nämns </w:t>
      </w:r>
      <w:r w:rsidR="00C06CE7">
        <w:t>i föregående avsnitt</w:t>
      </w:r>
      <w:r>
        <w:t xml:space="preserve"> är de flesta</w:t>
      </w:r>
      <w:r w:rsidR="00E95BC6">
        <w:t xml:space="preserve"> direkt subventionerade eller ersättningsberättigade hos FPA. </w:t>
      </w:r>
      <w:r w:rsidR="009801E7">
        <w:t>Kostnader för g</w:t>
      </w:r>
      <w:r w:rsidR="00124E5C">
        <w:t xml:space="preserve">lasögon och linser </w:t>
      </w:r>
      <w:r w:rsidR="009801E7">
        <w:t>ersätts</w:t>
      </w:r>
      <w:r w:rsidR="00124E5C">
        <w:t xml:space="preserve"> dock inte utan de anses utgöra vanliga levnadskostnader. Ersättningen från FPA beräknas enligt taxor som fastställs med stöd av sjukförsäkringslagen</w:t>
      </w:r>
      <w:r w:rsidR="009801E7">
        <w:t xml:space="preserve"> (FFS 1224/2004)</w:t>
      </w:r>
      <w:r w:rsidR="00124E5C">
        <w:t>. Taxorna för de olika sjukdomskostnaderna kan vara betydligt lägre än de verkliga kostnade</w:t>
      </w:r>
      <w:r w:rsidR="009801E7">
        <w:t>r</w:t>
      </w:r>
      <w:r w:rsidR="00124E5C">
        <w:t>n</w:t>
      </w:r>
      <w:r w:rsidR="009801E7">
        <w:t>a</w:t>
      </w:r>
      <w:r w:rsidR="00124E5C">
        <w:t xml:space="preserve">. </w:t>
      </w:r>
      <w:r w:rsidRPr="00FF5551">
        <w:t xml:space="preserve">Enligt sjukförsäkringslagen finns också en årssjälvrisk (takbelopp) för läkemedelskostnader. Det innebär att den som under ett kalenderår har så höga kostnader för läkemedel att takbeloppet överskrids </w:t>
      </w:r>
      <w:r w:rsidR="008B4D66" w:rsidRPr="00FF5551">
        <w:t>endast betalar 2,50</w:t>
      </w:r>
      <w:r w:rsidR="005A651F">
        <w:t xml:space="preserve"> </w:t>
      </w:r>
      <w:r w:rsidR="008B4D66" w:rsidRPr="00FF5551">
        <w:t>euro för varje läkemedel under resten av året. Takbeloppet 2024 är 626,94</w:t>
      </w:r>
      <w:r w:rsidR="005A651F">
        <w:t xml:space="preserve"> </w:t>
      </w:r>
      <w:r w:rsidR="008B4D66" w:rsidRPr="00FF5551">
        <w:t>euro.</w:t>
      </w:r>
    </w:p>
    <w:p w14:paraId="0E62AA64" w14:textId="743D2461" w:rsidR="00A95C03" w:rsidRDefault="00CF558D" w:rsidP="00E95BC6">
      <w:pPr>
        <w:pStyle w:val="ANormal"/>
      </w:pPr>
      <w:r>
        <w:tab/>
      </w:r>
      <w:r w:rsidR="00342DF0">
        <w:t xml:space="preserve">Patientavgifterna inom hälso- och sjukvården regleras i landskapslagen (2007:23) om grunderna för avgifter till Ålands hälso- och sjukvård. Enligt lagen är till exempel skolhälsovård, barn- och mödravård avgiftsfri. I lagen anges också ett högkostnadsskydd med syfte att skydda patienten från alltför höga utgifter för hälso- och sjukvård. Den som har nått gränsen </w:t>
      </w:r>
      <w:r w:rsidR="00A90F4B">
        <w:t xml:space="preserve">för högkostnadsskyddet </w:t>
      </w:r>
      <w:r w:rsidR="00342DF0">
        <w:t xml:space="preserve">är befriad från att betala ytterligare avgifter under resten av året. </w:t>
      </w:r>
      <w:r w:rsidR="00A90F4B">
        <w:t>Vissa avgifter, som till exempel för uteblivna besök eller gruppbesök inom livsstilsmottagn</w:t>
      </w:r>
      <w:r w:rsidR="003A0C38">
        <w:t>ing</w:t>
      </w:r>
      <w:r w:rsidR="00A90F4B">
        <w:t>en, ingår inte i högkostnadsskyddet.</w:t>
      </w:r>
    </w:p>
    <w:p w14:paraId="70C45FFC" w14:textId="4B317547" w:rsidR="00CF558D" w:rsidRDefault="00A95C03" w:rsidP="00E95BC6">
      <w:pPr>
        <w:pStyle w:val="ANormal"/>
      </w:pPr>
      <w:r>
        <w:tab/>
      </w:r>
      <w:r w:rsidR="00A90F4B">
        <w:t>Gränsen för högkostnadsskyddet är 475 euro per kalenderår.</w:t>
      </w:r>
      <w:r>
        <w:t xml:space="preserve"> För låginkomsttagare, pensionärer samt barn och ungdomar anges dock lägre gränser:</w:t>
      </w:r>
    </w:p>
    <w:p w14:paraId="5265771E" w14:textId="4DC1ED1B" w:rsidR="00A95C03" w:rsidRDefault="00A95C03" w:rsidP="00A95C03">
      <w:pPr>
        <w:pStyle w:val="ANormal"/>
        <w:numPr>
          <w:ilvl w:val="0"/>
          <w:numId w:val="13"/>
        </w:numPr>
      </w:pPr>
      <w:r>
        <w:t>för de som vid den senaste beskattningen hade sammanlagda beskattningsbara kapital- och förvärvsinkomster i statsbeskattningen under 14</w:t>
      </w:r>
      <w:r w:rsidR="005A651F">
        <w:t> </w:t>
      </w:r>
      <w:r>
        <w:t>000 euro är gränsen</w:t>
      </w:r>
      <w:r w:rsidRPr="00A95C03">
        <w:t xml:space="preserve"> </w:t>
      </w:r>
      <w:r>
        <w:t>125 euro</w:t>
      </w:r>
    </w:p>
    <w:p w14:paraId="6761C773" w14:textId="2ABDFB84" w:rsidR="00A95C03" w:rsidRDefault="00A95C03" w:rsidP="00A95C03">
      <w:pPr>
        <w:pStyle w:val="ANormal"/>
        <w:numPr>
          <w:ilvl w:val="0"/>
          <w:numId w:val="13"/>
        </w:numPr>
      </w:pPr>
      <w:r>
        <w:t>för de som under kalenderåret fyller 75 år eller mer samt för de som har beviljats sjukpension eller invalidpension på heltid samt för de som vid den senaste beskattningen hade sammanlagda beskattningsbara kapital- och förvärvsinkomster i statsbeskattningen från 14</w:t>
      </w:r>
      <w:r w:rsidR="00DC3066">
        <w:t> </w:t>
      </w:r>
      <w:r>
        <w:t>000 euro men under 16</w:t>
      </w:r>
      <w:r w:rsidR="00DC3066">
        <w:t> </w:t>
      </w:r>
      <w:r>
        <w:t>000 euro är gränsen</w:t>
      </w:r>
      <w:r w:rsidRPr="00A95C03">
        <w:t xml:space="preserve"> </w:t>
      </w:r>
      <w:r>
        <w:t>250 euro</w:t>
      </w:r>
    </w:p>
    <w:p w14:paraId="4A376A0B" w14:textId="550BE45D" w:rsidR="00A95C03" w:rsidRDefault="00A95C03" w:rsidP="00A95C03">
      <w:pPr>
        <w:pStyle w:val="ANormal"/>
        <w:numPr>
          <w:ilvl w:val="0"/>
          <w:numId w:val="13"/>
        </w:numPr>
      </w:pPr>
      <w:r>
        <w:t>för barn och ungdomar till och med det kalenderår de fyller 20 år är gränsen</w:t>
      </w:r>
      <w:r w:rsidRPr="00A95C03">
        <w:t xml:space="preserve"> </w:t>
      </w:r>
      <w:r>
        <w:t>100 euro.</w:t>
      </w:r>
    </w:p>
    <w:p w14:paraId="4EE24857" w14:textId="77777777" w:rsidR="00F65129" w:rsidRDefault="00F65129" w:rsidP="00E95BC6">
      <w:pPr>
        <w:pStyle w:val="ANormal"/>
      </w:pPr>
    </w:p>
    <w:p w14:paraId="2A44690B" w14:textId="19A419B3" w:rsidR="00616F27" w:rsidRDefault="00616F27" w:rsidP="00616F27">
      <w:pPr>
        <w:pStyle w:val="RubrikC"/>
      </w:pPr>
      <w:bookmarkStart w:id="10" w:name="_Toc176334209"/>
      <w:r>
        <w:t>2.</w:t>
      </w:r>
      <w:r w:rsidR="00C06CE7">
        <w:t>3</w:t>
      </w:r>
      <w:r>
        <w:t xml:space="preserve"> Avdragets effektivitet</w:t>
      </w:r>
      <w:bookmarkEnd w:id="10"/>
    </w:p>
    <w:p w14:paraId="2B01DB1A" w14:textId="77777777" w:rsidR="00616F27" w:rsidRPr="00616F27" w:rsidRDefault="00616F27" w:rsidP="00616F27">
      <w:pPr>
        <w:pStyle w:val="Rubrikmellanrum"/>
      </w:pPr>
    </w:p>
    <w:p w14:paraId="749CB8D6" w14:textId="65A537AB" w:rsidR="00616F27" w:rsidRDefault="00654F34" w:rsidP="0031138E">
      <w:pPr>
        <w:pStyle w:val="ANormal"/>
      </w:pPr>
      <w:r>
        <w:t>Redan när sjukdomskostnadsa</w:t>
      </w:r>
      <w:r w:rsidR="00B41746">
        <w:t xml:space="preserve">vdraget </w:t>
      </w:r>
      <w:r>
        <w:t xml:space="preserve">avskaffades i riket i början av 1990-talet </w:t>
      </w:r>
      <w:r w:rsidR="00B41746">
        <w:t xml:space="preserve">ansågs </w:t>
      </w:r>
      <w:r>
        <w:t>det</w:t>
      </w:r>
      <w:r w:rsidR="0031138E">
        <w:t xml:space="preserve"> </w:t>
      </w:r>
      <w:r w:rsidR="00B41746">
        <w:t>vara missriktat eftersom dess skattereducerande verkan var större ju högre de beskattningsbara inkomsterna var. Pensionärer med låga inkomster kunde inte alls dra nytta av avdraget.</w:t>
      </w:r>
      <w:r w:rsidR="00EF3236">
        <w:t xml:space="preserve"> Genom den inkomstgräns som infördes </w:t>
      </w:r>
      <w:r>
        <w:t xml:space="preserve">i den åländska kommunalbeskattningen </w:t>
      </w:r>
      <w:r w:rsidR="00EF3236">
        <w:t xml:space="preserve">2013 har denna effekt dämpats, men det är fortfarande så att höginkomsttagare </w:t>
      </w:r>
      <w:r>
        <w:t>ofta</w:t>
      </w:r>
      <w:r w:rsidR="00C06CE7">
        <w:t xml:space="preserve"> har större möjlighet att </w:t>
      </w:r>
      <w:r>
        <w:t>gör</w:t>
      </w:r>
      <w:r w:rsidR="00C06CE7">
        <w:t>a</w:t>
      </w:r>
      <w:r w:rsidR="00EF3236">
        <w:t xml:space="preserve"> högre avdrag än låginkomsttagare. </w:t>
      </w:r>
      <w:r w:rsidR="00616F27">
        <w:t xml:space="preserve">En särskild brist vad gäller sjukdomskostnadsavdragets utgiftsutjämnande </w:t>
      </w:r>
      <w:r w:rsidR="00535CF8">
        <w:t>verkan</w:t>
      </w:r>
      <w:r w:rsidR="00616F27">
        <w:t xml:space="preserve"> är att </w:t>
      </w:r>
      <w:r w:rsidR="00535CF8">
        <w:t>kostnaden</w:t>
      </w:r>
      <w:r w:rsidR="00616F27">
        <w:t xml:space="preserve"> måste betalas i sin helhet vid kostnadstillfället och att avdraget ger effekt först efter att </w:t>
      </w:r>
      <w:r w:rsidR="00535CF8">
        <w:t>S</w:t>
      </w:r>
      <w:r w:rsidR="00616F27">
        <w:t>katteförvaltningen fattat beslut om den slutliga skatten. Den dämpande effekten på sjukdomskostnaden fås därför upp till 1,5 år efter kostnadens uppkomst. Avdraget hjälper där</w:t>
      </w:r>
      <w:r w:rsidR="00535CF8">
        <w:t>med</w:t>
      </w:r>
      <w:r w:rsidR="00616F27">
        <w:t xml:space="preserve"> inte </w:t>
      </w:r>
      <w:r w:rsidR="00535CF8">
        <w:t xml:space="preserve">direkt </w:t>
      </w:r>
      <w:r w:rsidR="00616F27">
        <w:t>den som redan vid sjukdomstillfället har svårt att betala sina kostnader.</w:t>
      </w:r>
    </w:p>
    <w:p w14:paraId="73669E64" w14:textId="61F2299C" w:rsidR="00B41746" w:rsidRDefault="00E37F0A" w:rsidP="00E37F0A">
      <w:pPr>
        <w:pStyle w:val="ANormal"/>
      </w:pPr>
      <w:r>
        <w:tab/>
      </w:r>
      <w:r w:rsidR="00B41746">
        <w:t xml:space="preserve">Ett avdrag som måste styrkas genom verifikat </w:t>
      </w:r>
      <w:r>
        <w:t>är</w:t>
      </w:r>
      <w:r w:rsidR="00B41746">
        <w:t xml:space="preserve"> arbetsdrygt både för den skattskyldige och för </w:t>
      </w:r>
      <w:r>
        <w:t>Skatte</w:t>
      </w:r>
      <w:r w:rsidR="00B41746">
        <w:t xml:space="preserve">förvaltningen. Det </w:t>
      </w:r>
      <w:r w:rsidR="003A0368">
        <w:t>fungerar</w:t>
      </w:r>
      <w:r>
        <w:t xml:space="preserve"> </w:t>
      </w:r>
      <w:r w:rsidR="00535CF8">
        <w:t xml:space="preserve">inte heller särskilt </w:t>
      </w:r>
      <w:r w:rsidR="00D87E1E">
        <w:t>väl</w:t>
      </w:r>
      <w:r w:rsidR="003A0368">
        <w:t xml:space="preserve"> i ett system</w:t>
      </w:r>
      <w:r w:rsidR="00535CF8">
        <w:t xml:space="preserve"> </w:t>
      </w:r>
      <w:r w:rsidR="003A0368">
        <w:t>med</w:t>
      </w:r>
      <w:r w:rsidR="00B41746">
        <w:t xml:space="preserve"> </w:t>
      </w:r>
      <w:r w:rsidR="00C06CE7">
        <w:t>förhandsifyllda</w:t>
      </w:r>
      <w:r w:rsidR="00B41746">
        <w:t xml:space="preserve"> deklarations</w:t>
      </w:r>
      <w:r w:rsidR="00C06CE7">
        <w:t>blanketter</w:t>
      </w:r>
      <w:r w:rsidR="00B41746">
        <w:t xml:space="preserve"> och</w:t>
      </w:r>
      <w:r>
        <w:t xml:space="preserve"> </w:t>
      </w:r>
      <w:r w:rsidR="003A0368">
        <w:t xml:space="preserve">en strävan </w:t>
      </w:r>
      <w:r w:rsidR="003A0368">
        <w:lastRenderedPageBreak/>
        <w:t xml:space="preserve">efter </w:t>
      </w:r>
      <w:r w:rsidR="00535CF8">
        <w:t>e</w:t>
      </w:r>
      <w:r w:rsidR="003A0368">
        <w:t>t</w:t>
      </w:r>
      <w:r w:rsidR="00535CF8">
        <w:t xml:space="preserve">t alltmer </w:t>
      </w:r>
      <w:r>
        <w:t>digitaliser</w:t>
      </w:r>
      <w:r w:rsidR="00535CF8">
        <w:t>a</w:t>
      </w:r>
      <w:r w:rsidR="003A0368">
        <w:t>t</w:t>
      </w:r>
      <w:r>
        <w:t xml:space="preserve"> </w:t>
      </w:r>
      <w:r w:rsidR="00B41746">
        <w:t xml:space="preserve">beskattningsförfarande. </w:t>
      </w:r>
      <w:r w:rsidR="0091228C">
        <w:t xml:space="preserve">Tidigare skulle alla kvitton bifogas deklarationen, numera har den skattskyldige själv ansvar för att verifikaten bevaras under en viss tid efter </w:t>
      </w:r>
      <w:r w:rsidR="00C06CE7">
        <w:t xml:space="preserve">det aktuella </w:t>
      </w:r>
      <w:r w:rsidR="0091228C">
        <w:t xml:space="preserve">skatteåret. </w:t>
      </w:r>
      <w:r w:rsidR="00C11205">
        <w:t xml:space="preserve">Detta har till viss del möjligen </w:t>
      </w:r>
      <w:r w:rsidR="00D87E1E">
        <w:t>underlättat</w:t>
      </w:r>
      <w:r w:rsidR="00C11205">
        <w:t xml:space="preserve"> Skatteförvaltningens hantering, men övervakningen av avdraget tar fortfarande stora resurser i anspråk. </w:t>
      </w:r>
      <w:r w:rsidR="003A0368">
        <w:t>Enligt uppgift upptäcks avvikelser v</w:t>
      </w:r>
      <w:r w:rsidR="00644D70">
        <w:t>id cirka 2</w:t>
      </w:r>
      <w:r w:rsidR="00DC3066">
        <w:t xml:space="preserve"> </w:t>
      </w:r>
      <w:r w:rsidR="00644D70">
        <w:t xml:space="preserve">procent av kontrollerna. Även om avvikelserna sällan har stor ekonomisk betydelse är ändå kontrollen principiellt viktig eftersom det har visat sig att avdragsyrkanden kan innehålla kostnader </w:t>
      </w:r>
      <w:r w:rsidR="003A0368">
        <w:t xml:space="preserve">som inte är avdragbara, som till exempel kostnader </w:t>
      </w:r>
      <w:r w:rsidR="00644D70">
        <w:t xml:space="preserve">för djurmediciner, massage, plåster </w:t>
      </w:r>
      <w:r w:rsidR="003A0368">
        <w:t>eller</w:t>
      </w:r>
      <w:r w:rsidR="00644D70">
        <w:t xml:space="preserve"> hälsokost.</w:t>
      </w:r>
    </w:p>
    <w:p w14:paraId="6FA75224" w14:textId="6AB7887F" w:rsidR="00300B7C" w:rsidRDefault="00595323" w:rsidP="00E37F0A">
      <w:pPr>
        <w:pStyle w:val="ANormal"/>
      </w:pPr>
      <w:r>
        <w:tab/>
      </w:r>
      <w:r w:rsidR="00A20DC9">
        <w:t>K</w:t>
      </w:r>
      <w:r>
        <w:t xml:space="preserve">ontrollen </w:t>
      </w:r>
      <w:r w:rsidR="00A20DC9">
        <w:t>försvåras av</w:t>
      </w:r>
      <w:r>
        <w:t xml:space="preserve"> att det saknas</w:t>
      </w:r>
      <w:r w:rsidR="002A7DAD">
        <w:t xml:space="preserve"> egentligt</w:t>
      </w:r>
      <w:r>
        <w:t xml:space="preserve"> stöd i lagstiftningen för tolkning</w:t>
      </w:r>
      <w:r w:rsidR="00A20DC9">
        <w:t>en</w:t>
      </w:r>
      <w:r>
        <w:t xml:space="preserve"> av vilka kostnader som ska betraktas som sjukdomskostnader.</w:t>
      </w:r>
      <w:r w:rsidR="002A7DAD">
        <w:t xml:space="preserve"> Redan under</w:t>
      </w:r>
      <w:r w:rsidR="006B19EA">
        <w:t xml:space="preserve"> beredningen av lagändringen 2012 och </w:t>
      </w:r>
      <w:r w:rsidR="00A20DC9">
        <w:t xml:space="preserve">även i </w:t>
      </w:r>
      <w:r w:rsidR="006B19EA">
        <w:t xml:space="preserve">den efterföljande utredningen konstaterades att </w:t>
      </w:r>
      <w:r w:rsidR="00A20DC9">
        <w:t>det fanns ett uppenbart behov av att</w:t>
      </w:r>
      <w:r w:rsidR="006B19EA">
        <w:t xml:space="preserve"> tydligare </w:t>
      </w:r>
      <w:r w:rsidR="00300B7C">
        <w:t>definiera</w:t>
      </w:r>
      <w:r w:rsidR="006B19EA">
        <w:t xml:space="preserve"> </w:t>
      </w:r>
      <w:r w:rsidR="00300B7C">
        <w:t>vilka kostnader som omfattas av avdraget</w:t>
      </w:r>
      <w:r w:rsidR="006B19EA">
        <w:t xml:space="preserve">. </w:t>
      </w:r>
      <w:r w:rsidR="00300B7C">
        <w:t xml:space="preserve">Det är emellertid inte helt lätt att på ett avgränsat och rättvist sätt definiera vilka kostnader som ska anses utgöra sjukdomskostnader </w:t>
      </w:r>
      <w:r w:rsidR="00F31413">
        <w:t>och vilka av dessa som ska omfattas av avdraget.</w:t>
      </w:r>
    </w:p>
    <w:p w14:paraId="3C927EEF" w14:textId="1C1FAC99" w:rsidR="002A6D47" w:rsidRDefault="00166B46" w:rsidP="00166B46">
      <w:pPr>
        <w:pStyle w:val="ANormal"/>
      </w:pPr>
      <w:r>
        <w:tab/>
        <w:t>Med anledning av att det saknas vägledning i förarbeten och eftersom det finns få domstolsavgöranden</w:t>
      </w:r>
      <w:r w:rsidR="00D87E1E">
        <w:t>,</w:t>
      </w:r>
      <w:r>
        <w:t xml:space="preserve"> är det upp till </w:t>
      </w:r>
      <w:r w:rsidR="00300B7C">
        <w:t>Skatteförvaltningen</w:t>
      </w:r>
      <w:r>
        <w:t xml:space="preserve"> att avgöra vilka kostnader som ska anses ingå i avdragets tillämpningsområde. </w:t>
      </w:r>
      <w:r w:rsidR="00DF722F">
        <w:t>Hittills</w:t>
      </w:r>
      <w:r>
        <w:t xml:space="preserve"> </w:t>
      </w:r>
      <w:r w:rsidR="00AC64BF">
        <w:t>har</w:t>
      </w:r>
      <w:r>
        <w:t xml:space="preserve"> </w:t>
      </w:r>
      <w:r w:rsidR="00300B7C">
        <w:t>Skatteförvaltningen</w:t>
      </w:r>
      <w:r>
        <w:t xml:space="preserve"> </w:t>
      </w:r>
      <w:r w:rsidR="00D87E1E">
        <w:t xml:space="preserve">huvudsakligen </w:t>
      </w:r>
      <w:r w:rsidR="00DF722F">
        <w:t>baserat sin tolkning på</w:t>
      </w:r>
      <w:r>
        <w:t xml:space="preserve"> </w:t>
      </w:r>
      <w:r w:rsidR="00DF722F">
        <w:t>F</w:t>
      </w:r>
      <w:r w:rsidR="00F10CB8">
        <w:t>PA</w:t>
      </w:r>
      <w:r w:rsidR="00DF722F">
        <w:t>:s</w:t>
      </w:r>
      <w:r>
        <w:t xml:space="preserve"> praxis</w:t>
      </w:r>
      <w:r w:rsidR="00857E4A">
        <w:t xml:space="preserve"> </w:t>
      </w:r>
      <w:r w:rsidR="00D87E1E">
        <w:t>som har</w:t>
      </w:r>
      <w:r w:rsidR="00857E4A">
        <w:t xml:space="preserve"> stöd i sjukförsäkringslagen</w:t>
      </w:r>
      <w:r w:rsidR="00F31413">
        <w:t>.</w:t>
      </w:r>
      <w:r>
        <w:t xml:space="preserve"> </w:t>
      </w:r>
      <w:r w:rsidR="00F31413">
        <w:t>A</w:t>
      </w:r>
      <w:r>
        <w:t xml:space="preserve">vdragets tillämpningsområde är </w:t>
      </w:r>
      <w:r w:rsidR="00F31413">
        <w:t xml:space="preserve">dock </w:t>
      </w:r>
      <w:r>
        <w:t>vidare än</w:t>
      </w:r>
      <w:r w:rsidR="00F31413">
        <w:t xml:space="preserve"> vad</w:t>
      </w:r>
      <w:r>
        <w:t xml:space="preserve"> sjukförsäkringslagen medger ersättning för. </w:t>
      </w:r>
      <w:r w:rsidR="00B36D41">
        <w:t>Ett exempel är kostnader för glasögon och linser som inte ersätts av F</w:t>
      </w:r>
      <w:r w:rsidR="00F10CB8">
        <w:t>PA</w:t>
      </w:r>
      <w:r w:rsidR="00B36D41">
        <w:t xml:space="preserve"> men </w:t>
      </w:r>
      <w:r w:rsidR="00F31413">
        <w:t>som i kommunalbeskattningen alltid har betraktats som</w:t>
      </w:r>
      <w:r w:rsidR="00B36D41">
        <w:t xml:space="preserve"> avdrag</w:t>
      </w:r>
      <w:r w:rsidR="00F31413">
        <w:t>bara</w:t>
      </w:r>
      <w:r w:rsidR="00B36D41">
        <w:t>.</w:t>
      </w:r>
      <w:r w:rsidR="00FB7CB0">
        <w:t xml:space="preserve"> </w:t>
      </w:r>
      <w:r w:rsidR="00F31413">
        <w:t>Nu</w:t>
      </w:r>
      <w:r w:rsidR="00AC64BF">
        <w:t xml:space="preserve"> har sjukförsäkringslagens regler för ersättning </w:t>
      </w:r>
      <w:r w:rsidR="00F31413">
        <w:t xml:space="preserve">dessutom </w:t>
      </w:r>
      <w:r w:rsidR="00AC64BF">
        <w:t>ändrats från och med den 1</w:t>
      </w:r>
      <w:r w:rsidR="00DC3066">
        <w:t xml:space="preserve"> </w:t>
      </w:r>
      <w:r w:rsidR="00AC64BF">
        <w:t xml:space="preserve">januari 2023, vilket försvårar tolkningen ytterligare. </w:t>
      </w:r>
      <w:r w:rsidR="00781005">
        <w:t>D</w:t>
      </w:r>
      <w:r w:rsidR="002A6D47">
        <w:t xml:space="preserve">ärutöver har </w:t>
      </w:r>
      <w:r w:rsidR="00781005">
        <w:t>tolkningsproblematiken</w:t>
      </w:r>
      <w:r w:rsidR="002A6D47">
        <w:t xml:space="preserve"> </w:t>
      </w:r>
      <w:r w:rsidR="00F312D2">
        <w:t xml:space="preserve">komplicerats </w:t>
      </w:r>
      <w:r w:rsidR="00781005">
        <w:t>av</w:t>
      </w:r>
      <w:r w:rsidR="00F312D2">
        <w:t xml:space="preserve"> andra förändringar. Med dagens varierande familjekonstellationer är det till exempel inte alltid självklart vem som ska betraktas som familjemedlem. A</w:t>
      </w:r>
      <w:r w:rsidR="00781005">
        <w:t xml:space="preserve">ntalet internationella </w:t>
      </w:r>
      <w:r w:rsidR="00F312D2">
        <w:t>vård</w:t>
      </w:r>
      <w:r w:rsidR="00781005">
        <w:t xml:space="preserve">situationer har </w:t>
      </w:r>
      <w:r w:rsidR="00F312D2">
        <w:t xml:space="preserve">också </w:t>
      </w:r>
      <w:r w:rsidR="00781005">
        <w:t>ökat under senare år.</w:t>
      </w:r>
    </w:p>
    <w:p w14:paraId="5CAA62D5" w14:textId="062D3377" w:rsidR="00FB7CB0" w:rsidRDefault="002A6D47" w:rsidP="00166B46">
      <w:pPr>
        <w:pStyle w:val="ANormal"/>
      </w:pPr>
      <w:r>
        <w:tab/>
        <w:t xml:space="preserve">Skatteförvaltningen har begärt vägledning av landskapsregeringen när det gäller tolkningen av sjukdomskostnadsavdraget efter </w:t>
      </w:r>
      <w:r w:rsidR="00E76576">
        <w:t>den ovan nämnda ändringen av</w:t>
      </w:r>
      <w:r>
        <w:t xml:space="preserve"> sjukförsäkringslagen. Med hänvisning till att avsikten inte har varit att avdraget ska förändras finns det inte stöd för att ändra tolkningen med anledning av att annan lagstiftning ändras. Detta kommer att leda till ännu större </w:t>
      </w:r>
      <w:r w:rsidR="007D14A5">
        <w:t>avvikelser</w:t>
      </w:r>
      <w:r>
        <w:t xml:space="preserve"> mellan sjukdomskostnadsavdragets tillämpningsområde och de kostnader som ersätts enligt sjukförsäkr</w:t>
      </w:r>
      <w:r w:rsidR="007D14A5">
        <w:t>i</w:t>
      </w:r>
      <w:r>
        <w:t>ngslagen.</w:t>
      </w:r>
      <w:r w:rsidR="005249E9">
        <w:t xml:space="preserve"> </w:t>
      </w:r>
      <w:r w:rsidR="00166B46">
        <w:t>Effekten av att det saknas tydlig praxis är att avdraget inte är förutsägbart för de skattskyldiga och att kontrollen av avdraget blir ineffektiv.</w:t>
      </w:r>
    </w:p>
    <w:p w14:paraId="43BA3002" w14:textId="77777777" w:rsidR="00E37F0A" w:rsidRDefault="00E37F0A" w:rsidP="00E37F0A">
      <w:pPr>
        <w:pStyle w:val="ANormal"/>
      </w:pPr>
    </w:p>
    <w:p w14:paraId="6D4ED604" w14:textId="5832DDF4" w:rsidR="001962A0" w:rsidRDefault="001962A0" w:rsidP="001962A0">
      <w:pPr>
        <w:pStyle w:val="RubrikC"/>
      </w:pPr>
      <w:bookmarkStart w:id="11" w:name="_Toc367713836"/>
      <w:bookmarkStart w:id="12" w:name="_Toc176334210"/>
      <w:r>
        <w:t>2.</w:t>
      </w:r>
      <w:r w:rsidR="00C06CE7">
        <w:t>4</w:t>
      </w:r>
      <w:r>
        <w:t xml:space="preserve"> </w:t>
      </w:r>
      <w:r w:rsidR="009C3F0C">
        <w:t>Uppfyller avdraget sitt s</w:t>
      </w:r>
      <w:r>
        <w:t>yfte</w:t>
      </w:r>
      <w:bookmarkEnd w:id="11"/>
      <w:r w:rsidR="009C3F0C">
        <w:t>?</w:t>
      </w:r>
      <w:bookmarkEnd w:id="12"/>
    </w:p>
    <w:p w14:paraId="047554AA" w14:textId="77777777" w:rsidR="001962A0" w:rsidRPr="007B0D8C" w:rsidRDefault="001962A0" w:rsidP="001962A0">
      <w:pPr>
        <w:pStyle w:val="Rubrikmellanrum"/>
      </w:pPr>
    </w:p>
    <w:p w14:paraId="243D9EF4" w14:textId="0F1C1375" w:rsidR="001962A0" w:rsidRPr="00511F63" w:rsidRDefault="001962A0" w:rsidP="001962A0">
      <w:pPr>
        <w:pStyle w:val="ANormal"/>
      </w:pPr>
      <w:r>
        <w:t>Rätten till tillräckliga hälsovårds- och sjukvårdstjänster är en grundlagsskyddad rättighet. I den grundlagsskyddade rättigheten ingår även att alla måste ges ekonomiska möjligheter att ta del av hälso- och sjukvården. Det är mot bakgrund av det som sjukdomskostnadsavdraget ska ses.</w:t>
      </w:r>
    </w:p>
    <w:p w14:paraId="292F193A" w14:textId="43231DF6" w:rsidR="00BA4F28" w:rsidRDefault="001962A0" w:rsidP="001962A0">
      <w:pPr>
        <w:pStyle w:val="ANormal"/>
      </w:pPr>
      <w:r>
        <w:tab/>
        <w:t xml:space="preserve">För att kunna </w:t>
      </w:r>
      <w:r w:rsidR="005658AD">
        <w:t>bedöma</w:t>
      </w:r>
      <w:r>
        <w:t xml:space="preserve"> om sjukdomskostnadsavdraget uppnår sitt syfte bör man känna till och utgå från de principiella motiv som ligger bakom avdraget. Det är dock ett problem i det sammanhanget att det inte finns några uttryckliga motiveringar till avdraget i förarbeten till landskapslagstiftningen. De motiveringar som finns</w:t>
      </w:r>
      <w:r w:rsidRPr="0078780F">
        <w:t xml:space="preserve"> </w:t>
      </w:r>
      <w:r>
        <w:t>till rikslagstiftningen är de som framfördes då avdraget infördes 1947. Som tidigare nämnts var huvudsyftet då att utjämna sjukdomskostnaderna i en situation då andra stödsystem för hälsovården fortfarande var synnerligen bristfälliga.</w:t>
      </w:r>
      <w:r w:rsidR="0072004F">
        <w:t xml:space="preserve"> </w:t>
      </w:r>
      <w:r>
        <w:t xml:space="preserve">Med hänvisning till de ursprungliga motiven till </w:t>
      </w:r>
      <w:r w:rsidR="00CD5C32">
        <w:t>sjukdomskostnads</w:t>
      </w:r>
      <w:r>
        <w:t xml:space="preserve">avdraget kan det konstateras att </w:t>
      </w:r>
      <w:r>
        <w:lastRenderedPageBreak/>
        <w:t xml:space="preserve">hälsovårdssystemet har förbättrats väsentligt sedan </w:t>
      </w:r>
      <w:r w:rsidR="00CD5C32">
        <w:t>avdraget</w:t>
      </w:r>
      <w:r>
        <w:t xml:space="preserve"> infördes. </w:t>
      </w:r>
      <w:r w:rsidR="00FB4050">
        <w:t xml:space="preserve">Även om </w:t>
      </w:r>
      <w:r w:rsidR="00D62AD5">
        <w:t xml:space="preserve">det kan </w:t>
      </w:r>
      <w:r w:rsidR="00BA4F28">
        <w:t>hävdas</w:t>
      </w:r>
      <w:r w:rsidR="00D62AD5">
        <w:t xml:space="preserve"> att hälsovårdssystemet fortfarande inte på ett tillräckligt bra sätt sörjer för befolkningens sociala rättigheter </w:t>
      </w:r>
      <w:r w:rsidR="00BA4F28">
        <w:t>finns</w:t>
      </w:r>
      <w:r w:rsidR="00D62AD5">
        <w:t xml:space="preserve"> det ändå </w:t>
      </w:r>
      <w:r w:rsidR="00BA4F28">
        <w:t xml:space="preserve">all orsak att </w:t>
      </w:r>
      <w:r w:rsidR="00D62AD5">
        <w:t xml:space="preserve">ifrågasätta om ett avdrag vid kommunalbeskattningen är ett ändamålsenligt </w:t>
      </w:r>
      <w:r w:rsidR="0075521F">
        <w:t>sätt</w:t>
      </w:r>
      <w:r w:rsidR="00D62AD5">
        <w:t xml:space="preserve"> att </w:t>
      </w:r>
      <w:r w:rsidR="00BA4F28">
        <w:t>utjämna</w:t>
      </w:r>
      <w:r w:rsidR="00D62AD5">
        <w:t xml:space="preserve"> effekterna av höga sjukdomskostnader.</w:t>
      </w:r>
    </w:p>
    <w:p w14:paraId="538CBD1E" w14:textId="77777777" w:rsidR="005B4FF5" w:rsidRDefault="00EA3E89" w:rsidP="005B4FF5">
      <w:pPr>
        <w:pStyle w:val="ANormal"/>
      </w:pPr>
      <w:r>
        <w:tab/>
      </w:r>
      <w:r w:rsidR="00122E44">
        <w:t>Om man ser till sjukdomskostnadsavdraget</w:t>
      </w:r>
      <w:r w:rsidR="004550CB">
        <w:t>s betydelse</w:t>
      </w:r>
      <w:r w:rsidR="00122E44">
        <w:t xml:space="preserve"> i förhållande till inkomsten </w:t>
      </w:r>
      <w:r w:rsidR="004550CB">
        <w:t xml:space="preserve">är den </w:t>
      </w:r>
      <w:r w:rsidR="00122E44">
        <w:t>störst för låginkomsttagare</w:t>
      </w:r>
      <w:r w:rsidR="004550CB">
        <w:t xml:space="preserve">. Mot </w:t>
      </w:r>
      <w:r w:rsidR="00D01F6D">
        <w:t xml:space="preserve">att </w:t>
      </w:r>
      <w:r w:rsidR="004550CB">
        <w:t>avdraget</w:t>
      </w:r>
      <w:r w:rsidR="00D01F6D">
        <w:t xml:space="preserve"> därmed skulle ha en</w:t>
      </w:r>
      <w:r w:rsidR="004550CB">
        <w:t xml:space="preserve"> utjämnande effekt talar emellertid att skattskyldiga med riktigt låga inkomster inte över huvud taget kan dra nytta av det. Även för </w:t>
      </w:r>
      <w:r w:rsidR="0072004F">
        <w:t>andra låginkomsttagare</w:t>
      </w:r>
      <w:r w:rsidR="004550CB">
        <w:t xml:space="preserve"> är effekten begränsad av att avdraget </w:t>
      </w:r>
      <w:r>
        <w:t>görs</w:t>
      </w:r>
      <w:r w:rsidR="004550CB">
        <w:t xml:space="preserve"> i efterhand</w:t>
      </w:r>
      <w:r>
        <w:t xml:space="preserve"> och nyttan uppstår först efter mer än ett år</w:t>
      </w:r>
      <w:r w:rsidR="004550CB">
        <w:t xml:space="preserve">. </w:t>
      </w:r>
      <w:r w:rsidR="005B4FF5" w:rsidRPr="00E07907">
        <w:t>Statistiken visar också att det är förhållandevis många höginkomsttagare som yrkar på sjukdomskostnadsavdrag, och de belopp som avdras är i medeltal ganska höga. Detta trots att en höginkomsttagare endast har rätt att göra avdrag för hälften av kostnaden. Generellt sett har alltså höginkomsttagare stora möjligheter att dra nytta av avdraget, även om det i förhållande till inkomsten inte har lika stor betydelse.</w:t>
      </w:r>
    </w:p>
    <w:p w14:paraId="1385924D" w14:textId="594001D0" w:rsidR="006D2DAF" w:rsidRDefault="006D2DAF" w:rsidP="004550CB">
      <w:pPr>
        <w:pStyle w:val="ANormal"/>
      </w:pPr>
    </w:p>
    <w:p w14:paraId="6E4CEE49" w14:textId="7597DAE2" w:rsidR="006D2DAF" w:rsidRDefault="006D2DAF" w:rsidP="006D2DAF">
      <w:pPr>
        <w:pStyle w:val="RubrikB"/>
      </w:pPr>
      <w:bookmarkStart w:id="13" w:name="_Toc176334211"/>
      <w:r>
        <w:t>3. Landskapsregeringens förslag</w:t>
      </w:r>
      <w:bookmarkEnd w:id="13"/>
    </w:p>
    <w:p w14:paraId="07AC61BD" w14:textId="77777777" w:rsidR="006D2DAF" w:rsidRDefault="006D2DAF" w:rsidP="006D2DAF">
      <w:pPr>
        <w:pStyle w:val="Rubrikmellanrum"/>
      </w:pPr>
    </w:p>
    <w:p w14:paraId="2EF0B565" w14:textId="35413185" w:rsidR="00C65643" w:rsidRDefault="00C65643" w:rsidP="00C65643">
      <w:pPr>
        <w:pStyle w:val="ANormal"/>
      </w:pPr>
      <w:r>
        <w:t>Redan i den utredning som gjordes 2013 konstaterades att det ligger i tiden att öka effektiviteten i beskattningen och att förenkla skattesystemets struktur. För att uppnå det strävas efter att bredda skattebasen, minska antalet avdragsmöjligheter och göra eventuella justeringar av skattesatserna. Genom att minska antalet avdragsmöjligheter minskar också risken för medvetna och omedvetna felaktigheter i deklarationerna, vilket leder till en högre effektivitet i skatteupptaget. Det leder till ett enklare, tydligare och därmed mer transparent skattesystem för både skatteförvaltningen och de skattskyldiga.</w:t>
      </w:r>
    </w:p>
    <w:p w14:paraId="65F59C91" w14:textId="3A64A078" w:rsidR="00600A4F" w:rsidRDefault="00C65643" w:rsidP="00C65643">
      <w:pPr>
        <w:pStyle w:val="ANormal"/>
      </w:pPr>
      <w:r>
        <w:tab/>
      </w:r>
      <w:r w:rsidR="00600A4F">
        <w:t>Sådana a</w:t>
      </w:r>
      <w:r>
        <w:t xml:space="preserve">vdrag </w:t>
      </w:r>
      <w:r w:rsidR="00600A4F">
        <w:t>som</w:t>
      </w:r>
      <w:r>
        <w:t xml:space="preserve"> sjukdomskostnadsavdraget saknas i de flesta länder med motsvarande hälsovårdssystem som </w:t>
      </w:r>
      <w:r w:rsidR="00600A4F">
        <w:t xml:space="preserve">på Åland och </w:t>
      </w:r>
      <w:r>
        <w:t xml:space="preserve">i Finland. De kostnader som ingår i avdraget anses inom den finska och svenska beskattningen utgöra privata levnadskostnader. Avdragsrätten för privata levnadskostnader </w:t>
      </w:r>
      <w:r w:rsidR="00600A4F">
        <w:t xml:space="preserve">har </w:t>
      </w:r>
      <w:r w:rsidR="007110ED">
        <w:t>konsekvent</w:t>
      </w:r>
      <w:r w:rsidR="00600A4F">
        <w:t xml:space="preserve"> minskats</w:t>
      </w:r>
      <w:r>
        <w:t xml:space="preserve"> eftersom dessa avdrag är svåra att kontrollera och för att det är svårt att mäta om de fördelningspolitiska motiv som ligger bakom avdraget uppnås. </w:t>
      </w:r>
      <w:r w:rsidR="00722EEC">
        <w:t>Där det finns ett identifierat behov av kostnadsutjämnande åtgärder vidtas dessa i stället genom lagstiftning kopplad till sociala förmåner samt genom subventionering av hälso- och sjukvården.</w:t>
      </w:r>
    </w:p>
    <w:p w14:paraId="2D8D0F6C" w14:textId="551904EB" w:rsidR="00524F8D" w:rsidRDefault="00722EEC" w:rsidP="00722EEC">
      <w:pPr>
        <w:pStyle w:val="ANormal"/>
      </w:pPr>
      <w:r>
        <w:tab/>
        <w:t>Med hänvisning till de argument som framförs ovan anser landskapsregeringen att sjukdomskostnadsavdraget vid kommunalbeskattningen har spelat ut sin roll och föreslår därför att det avskaffas.</w:t>
      </w:r>
    </w:p>
    <w:p w14:paraId="3E6DCC8A" w14:textId="7070E338" w:rsidR="00722EEC" w:rsidRDefault="00524F8D" w:rsidP="00722EEC">
      <w:pPr>
        <w:pStyle w:val="ANormal"/>
      </w:pPr>
      <w:r>
        <w:tab/>
        <w:t>Landskapsregeringen föreslår samtidigt att 17</w:t>
      </w:r>
      <w:r w:rsidR="005A651F">
        <w:t> §</w:t>
      </w:r>
      <w:r>
        <w:t xml:space="preserve"> i kommunalskattelagen kompletteras med den särskilda bestämmelsen om avdrag för nedsatt skattebetalningsförmåga på grund av kostnader som enbart beror på sjukdom</w:t>
      </w:r>
      <w:r w:rsidR="00A65CD6">
        <w:t>.</w:t>
      </w:r>
      <w:r>
        <w:t xml:space="preserve"> </w:t>
      </w:r>
      <w:r w:rsidR="00261E0A">
        <w:t xml:space="preserve">Som tidigare nämnts kan avdraget beviljas om den skattskyldige och familjemedlemmarnas </w:t>
      </w:r>
      <w:r w:rsidR="00261E0A" w:rsidRPr="00857E4A">
        <w:t>kostnader under året uppgår till minst 700 euro och samtidigt utgör minst 10 procent av den skattskyldiges sammanlagda nettokapital- och nettoförvärvsinkomster.</w:t>
      </w:r>
      <w:r w:rsidR="00261E0A">
        <w:t xml:space="preserve"> </w:t>
      </w:r>
      <w:r w:rsidR="00261E0A" w:rsidRPr="00261E0A">
        <w:t xml:space="preserve">Som familjemedlemmar betraktas </w:t>
      </w:r>
      <w:r w:rsidR="00261E0A">
        <w:t xml:space="preserve">i det här fallet </w:t>
      </w:r>
      <w:r w:rsidR="00261E0A" w:rsidRPr="00261E0A">
        <w:t>den skattskyldiges make och minderåriga barn.</w:t>
      </w:r>
      <w:r w:rsidR="00A65CD6" w:rsidRPr="00A65CD6">
        <w:t xml:space="preserve"> </w:t>
      </w:r>
      <w:r w:rsidR="00A65CD6">
        <w:t>Genom förslaget kommer 17</w:t>
      </w:r>
      <w:r w:rsidR="005A651F">
        <w:t> §</w:t>
      </w:r>
      <w:r w:rsidR="00A65CD6">
        <w:t xml:space="preserve"> i kommunalskattelagen att motsvara inkomstskattelagens 98</w:t>
      </w:r>
      <w:r w:rsidR="005A651F">
        <w:t> §</w:t>
      </w:r>
      <w:r w:rsidR="00A65CD6">
        <w:t>.</w:t>
      </w:r>
    </w:p>
    <w:p w14:paraId="035E68CA" w14:textId="2FD89973" w:rsidR="00DA0BFF" w:rsidRDefault="00DA0BFF" w:rsidP="00722EEC">
      <w:pPr>
        <w:pStyle w:val="ANormal"/>
      </w:pPr>
      <w:r>
        <w:tab/>
        <w:t>Slutligen föreslår landskapsregeringen också en höjning av grundavdragets maxbelopp</w:t>
      </w:r>
      <w:r w:rsidR="00C06CE7">
        <w:t xml:space="preserve"> med 100</w:t>
      </w:r>
      <w:r w:rsidR="00DC3066">
        <w:t xml:space="preserve"> </w:t>
      </w:r>
      <w:r w:rsidR="00C06CE7">
        <w:t>euro, från 3 600 till 3</w:t>
      </w:r>
      <w:r w:rsidR="00DC3066">
        <w:t> </w:t>
      </w:r>
      <w:r w:rsidR="00C06CE7">
        <w:t>700</w:t>
      </w:r>
      <w:r w:rsidR="00DC3066">
        <w:t xml:space="preserve"> </w:t>
      </w:r>
      <w:r w:rsidR="00C06CE7">
        <w:t>euro</w:t>
      </w:r>
      <w:r>
        <w:t>.</w:t>
      </w:r>
      <w:r w:rsidR="00AC0EDE">
        <w:t xml:space="preserve"> </w:t>
      </w:r>
      <w:r w:rsidR="00AC3FCE">
        <w:t>För skattskyldiga som skulle ha fått göra sjukdomskostnadsavdrag och som också gör grundavdrag kommer effekten av att sjukdomskostnadsavdraget avskaffas samtidigt bli en sänkning av grundavdraget. Den föreslagna höjningen av grundavdraget är avsedd att neutralisera den effekten.</w:t>
      </w:r>
    </w:p>
    <w:p w14:paraId="1F245901" w14:textId="1B276EEA" w:rsidR="00AE0A17" w:rsidRDefault="00AE0A17" w:rsidP="00722EEC">
      <w:pPr>
        <w:pStyle w:val="ANormal"/>
      </w:pPr>
    </w:p>
    <w:p w14:paraId="084F7424" w14:textId="776767BB" w:rsidR="00AE0A17" w:rsidRDefault="00AE0A17" w:rsidP="00AE0A17">
      <w:pPr>
        <w:pStyle w:val="RubrikB"/>
      </w:pPr>
      <w:bookmarkStart w:id="14" w:name="_Toc176334212"/>
      <w:r>
        <w:lastRenderedPageBreak/>
        <w:t>4. Förslagets effekter</w:t>
      </w:r>
      <w:bookmarkEnd w:id="14"/>
    </w:p>
    <w:p w14:paraId="00997792" w14:textId="77777777" w:rsidR="00AE0A17" w:rsidRDefault="00AE0A17" w:rsidP="00AE0A17">
      <w:pPr>
        <w:pStyle w:val="Rubrikmellanrum"/>
      </w:pPr>
    </w:p>
    <w:p w14:paraId="2787A84E" w14:textId="563D987B" w:rsidR="00923C1D" w:rsidRDefault="00923C1D" w:rsidP="00923C1D">
      <w:pPr>
        <w:pStyle w:val="RubrikC"/>
      </w:pPr>
      <w:bookmarkStart w:id="15" w:name="_Toc176334213"/>
      <w:r>
        <w:t>4.1 Inledning</w:t>
      </w:r>
      <w:bookmarkEnd w:id="15"/>
    </w:p>
    <w:p w14:paraId="3593BA62" w14:textId="77777777" w:rsidR="00923C1D" w:rsidRPr="00923C1D" w:rsidRDefault="00923C1D" w:rsidP="00923C1D">
      <w:pPr>
        <w:pStyle w:val="Rubrikmellanrum"/>
      </w:pPr>
    </w:p>
    <w:p w14:paraId="605D535F" w14:textId="2383AA3E" w:rsidR="00C13766" w:rsidRDefault="00132DD8" w:rsidP="00C13766">
      <w:pPr>
        <w:pStyle w:val="ANormal"/>
      </w:pPr>
      <w:r>
        <w:t>Förslaget</w:t>
      </w:r>
      <w:r w:rsidR="005B5FC0">
        <w:t xml:space="preserve"> </w:t>
      </w:r>
      <w:r w:rsidR="007A3DD9">
        <w:t xml:space="preserve">om att avskaffa sjukdomskostnadsavdraget </w:t>
      </w:r>
      <w:r w:rsidR="005B5FC0">
        <w:t>har</w:t>
      </w:r>
      <w:r>
        <w:t xml:space="preserve"> ekonomiska effekter</w:t>
      </w:r>
      <w:r w:rsidR="005B5FC0">
        <w:t xml:space="preserve"> som rör</w:t>
      </w:r>
      <w:r>
        <w:t xml:space="preserve"> de skattskyldiga, kommunerna och landskapet.</w:t>
      </w:r>
    </w:p>
    <w:p w14:paraId="6EAFF328" w14:textId="77777777" w:rsidR="00923C1D" w:rsidRDefault="00923C1D" w:rsidP="00AE0A17">
      <w:pPr>
        <w:pStyle w:val="ANormal"/>
      </w:pPr>
    </w:p>
    <w:p w14:paraId="5AFD3553" w14:textId="4D947825" w:rsidR="00923C1D" w:rsidRDefault="00923C1D" w:rsidP="00923C1D">
      <w:pPr>
        <w:pStyle w:val="RubrikC"/>
      </w:pPr>
      <w:bookmarkStart w:id="16" w:name="_Toc176334214"/>
      <w:r>
        <w:t>4.2 Ekonomiska effekter för de skattskyldiga</w:t>
      </w:r>
      <w:bookmarkEnd w:id="16"/>
    </w:p>
    <w:p w14:paraId="59C9ACDB" w14:textId="77777777" w:rsidR="00923C1D" w:rsidRPr="00923C1D" w:rsidRDefault="00923C1D" w:rsidP="00923C1D">
      <w:pPr>
        <w:pStyle w:val="Rubrikmellanrum"/>
      </w:pPr>
    </w:p>
    <w:p w14:paraId="03F36B5C" w14:textId="27AE177A" w:rsidR="00097320" w:rsidRDefault="00F9073B" w:rsidP="00F9073B">
      <w:pPr>
        <w:pStyle w:val="ANormal"/>
      </w:pPr>
      <w:r>
        <w:t xml:space="preserve">För </w:t>
      </w:r>
      <w:r w:rsidR="00472785">
        <w:t>inkomsttagare</w:t>
      </w:r>
      <w:r w:rsidR="00D70029">
        <w:t xml:space="preserve"> som </w:t>
      </w:r>
      <w:r w:rsidR="00FC3FC9">
        <w:t xml:space="preserve">betalar skatt och </w:t>
      </w:r>
      <w:r w:rsidR="00D70029">
        <w:t>har sjukdomskostnader</w:t>
      </w:r>
      <w:r w:rsidR="00FC3FC9">
        <w:t xml:space="preserve"> </w:t>
      </w:r>
      <w:r>
        <w:t>innebär förslaget en skattehöjning</w:t>
      </w:r>
      <w:r w:rsidR="00FC3FC9">
        <w:t>.</w:t>
      </w:r>
      <w:r w:rsidR="00472785">
        <w:t xml:space="preserve"> </w:t>
      </w:r>
      <w:r w:rsidR="00FD1CCF">
        <w:t>Till följd av inkomstgränsen i sjukdomskostnadsavdraget har de som har en nettoförvärvsinkomst över 15 000 euro endast fått göra avdrag för 50 procent av kostnaden. Förslaget påverka</w:t>
      </w:r>
      <w:r w:rsidR="009562E3">
        <w:t>r</w:t>
      </w:r>
      <w:r w:rsidR="00FD1CCF">
        <w:t xml:space="preserve"> således</w:t>
      </w:r>
      <w:r w:rsidRPr="00F9073B">
        <w:t xml:space="preserve"> </w:t>
      </w:r>
      <w:r>
        <w:t>r</w:t>
      </w:r>
      <w:r w:rsidRPr="00F9073B">
        <w:t>elativt sett</w:t>
      </w:r>
      <w:r w:rsidR="00FD1CCF">
        <w:t xml:space="preserve"> mest</w:t>
      </w:r>
      <w:r w:rsidRPr="00F9073B">
        <w:t xml:space="preserve"> de inkomsttagare som har en </w:t>
      </w:r>
      <w:r w:rsidR="00FD1CCF">
        <w:t>nettoförvärvs</w:t>
      </w:r>
      <w:r w:rsidRPr="00F9073B">
        <w:t>inkomst under 15</w:t>
      </w:r>
      <w:r w:rsidR="00DC3066">
        <w:t> </w:t>
      </w:r>
      <w:r w:rsidRPr="00F9073B">
        <w:t xml:space="preserve">000 euro </w:t>
      </w:r>
      <w:r w:rsidR="00FD1CCF">
        <w:t xml:space="preserve">eftersom de har fått göra avdrag för hela kostnaden. Effekten är störst för dem </w:t>
      </w:r>
      <w:r w:rsidRPr="00F9073B">
        <w:t>som har höga sjukdomskostnade</w:t>
      </w:r>
      <w:r w:rsidR="00FD1CCF">
        <w:t>r</w:t>
      </w:r>
      <w:r w:rsidR="00FD1CCF" w:rsidRPr="00533430">
        <w:t>.</w:t>
      </w:r>
      <w:r w:rsidR="000C1193" w:rsidRPr="00533430">
        <w:t xml:space="preserve"> </w:t>
      </w:r>
      <w:r w:rsidR="00910D7F" w:rsidRPr="00533430">
        <w:t>I praktiken</w:t>
      </w:r>
      <w:r w:rsidR="00717918" w:rsidRPr="00533430">
        <w:t xml:space="preserve"> </w:t>
      </w:r>
      <w:r w:rsidR="00910D7F" w:rsidRPr="00533430">
        <w:t xml:space="preserve">kommer </w:t>
      </w:r>
      <w:r w:rsidR="00717918" w:rsidRPr="00533430">
        <w:t>effekten av att sjukdomskostnadsavdraget avskaffas att märkas först när skatteåterbäringen för 2025 betalas ut under hösten 2026.</w:t>
      </w:r>
    </w:p>
    <w:p w14:paraId="1A71E95E" w14:textId="1AF1A2C0" w:rsidR="00934C0C" w:rsidRDefault="00097320" w:rsidP="00097320">
      <w:pPr>
        <w:pStyle w:val="ANormal"/>
      </w:pPr>
      <w:r>
        <w:tab/>
        <w:t xml:space="preserve">Vilken effekt förslaget kommer att ha på individnivå är svårt att förutsäga, det kommer att variera från fall till fall. </w:t>
      </w:r>
      <w:r w:rsidR="00820115">
        <w:t xml:space="preserve">Nedan visas ett par exempel, dels för olika typer av inkomst dels effekten på skatten vid olika inkomstnivåer. </w:t>
      </w:r>
      <w:r w:rsidR="00C25041">
        <w:t>Den genomsnittliga kommunalskattesatsen 2023 var 17,49</w:t>
      </w:r>
      <w:r w:rsidR="00DC3066">
        <w:t xml:space="preserve"> </w:t>
      </w:r>
      <w:r w:rsidR="00C25041">
        <w:t>procent, därför används Lemland i exemplen.</w:t>
      </w:r>
    </w:p>
    <w:p w14:paraId="0E965AD5" w14:textId="720A7F99" w:rsidR="00097320" w:rsidRDefault="00934C0C" w:rsidP="00097320">
      <w:pPr>
        <w:pStyle w:val="ANormal"/>
      </w:pPr>
      <w:r>
        <w:tab/>
      </w:r>
      <w:r w:rsidRPr="0095401C">
        <w:t xml:space="preserve">I exempel 1 visas </w:t>
      </w:r>
      <w:r w:rsidR="001567DE" w:rsidRPr="0095401C">
        <w:t>skillnaden mellan olika typer av inkomst när det gäller möjligheten att dra nytta av sjukdomskostnadsavdraget. Å</w:t>
      </w:r>
      <w:r w:rsidR="00C25041" w:rsidRPr="0095401C">
        <w:t>rsinkomsten 14</w:t>
      </w:r>
      <w:r w:rsidR="00DC3066">
        <w:t> </w:t>
      </w:r>
      <w:r w:rsidR="00C25041" w:rsidRPr="0095401C">
        <w:t>900</w:t>
      </w:r>
      <w:r w:rsidR="00DC3066">
        <w:t xml:space="preserve"> </w:t>
      </w:r>
      <w:r w:rsidR="00C25041" w:rsidRPr="0095401C">
        <w:t xml:space="preserve">euro utgör gränsen för när avdraget inte har någon effekt för den som har löneinkomster. Även om gränsen är lägre för den som har pensionsinkomster har avdraget till exempel ingen effekt för den som </w:t>
      </w:r>
      <w:r w:rsidR="00570E86" w:rsidRPr="0095401C">
        <w:t>får</w:t>
      </w:r>
      <w:r w:rsidR="00C25041" w:rsidRPr="0095401C">
        <w:t xml:space="preserve"> garantipension</w:t>
      </w:r>
      <w:r w:rsidR="00570E86" w:rsidRPr="0095401C">
        <w:t xml:space="preserve"> (976,59</w:t>
      </w:r>
      <w:r w:rsidR="00DC3066">
        <w:t xml:space="preserve"> </w:t>
      </w:r>
      <w:r w:rsidR="00570E86" w:rsidRPr="0095401C">
        <w:t>euro/månad 2024)</w:t>
      </w:r>
      <w:r w:rsidR="00C25041" w:rsidRPr="0095401C">
        <w:t>.</w:t>
      </w:r>
      <w:r w:rsidR="001567DE" w:rsidRPr="0095401C">
        <w:t xml:space="preserve"> Observera att årsinkomsten är inkomsten innan avdrag och alltså inte detsamma som nettoförvärvsinkomsten efter naturliga avdrag, som utgör gräns för när hela sjukdomskostnaden får dras av. Årsinkomsten är således alltid högre än nettoförvärvsinkomsten.</w:t>
      </w:r>
    </w:p>
    <w:p w14:paraId="3C34ABA8" w14:textId="563F9966" w:rsidR="00C87C98" w:rsidRDefault="00C87C98" w:rsidP="0016670D">
      <w:pPr>
        <w:pStyle w:val="ANormal"/>
      </w:pPr>
    </w:p>
    <w:p w14:paraId="06D70B15" w14:textId="77777777" w:rsidR="00C87C98" w:rsidRPr="00452B77" w:rsidRDefault="00C87C98" w:rsidP="0016670D">
      <w:pPr>
        <w:pStyle w:val="ANormal"/>
        <w:rPr>
          <w:b/>
          <w:bCs/>
        </w:rPr>
      </w:pPr>
      <w:r w:rsidRPr="00452B77">
        <w:rPr>
          <w:b/>
          <w:bCs/>
        </w:rPr>
        <w:t>Exempel 1:</w:t>
      </w:r>
    </w:p>
    <w:p w14:paraId="02D0CD05" w14:textId="77777777" w:rsidR="00C87C98" w:rsidRDefault="00C87C98" w:rsidP="0016670D">
      <w:pPr>
        <w:pStyle w:val="ANormal"/>
      </w:pPr>
      <w:r>
        <w:t>En skattskyldig bosatt i Lemland (17,5 %) med en årsinkomst 14 900 euro (2023)</w:t>
      </w:r>
    </w:p>
    <w:p w14:paraId="74E197A7" w14:textId="77777777" w:rsidR="00C87C98" w:rsidRDefault="00C87C98" w:rsidP="0016670D">
      <w:pPr>
        <w:pStyle w:val="ANormal"/>
      </w:pPr>
    </w:p>
    <w:tbl>
      <w:tblPr>
        <w:tblStyle w:val="Tabellrutnt"/>
        <w:tblW w:w="0" w:type="auto"/>
        <w:tblLook w:val="04A0" w:firstRow="1" w:lastRow="0" w:firstColumn="1" w:lastColumn="0" w:noHBand="0" w:noVBand="1"/>
      </w:tblPr>
      <w:tblGrid>
        <w:gridCol w:w="1980"/>
        <w:gridCol w:w="1701"/>
        <w:gridCol w:w="1276"/>
        <w:gridCol w:w="1723"/>
      </w:tblGrid>
      <w:tr w:rsidR="00C87C98" w:rsidRPr="007D4F3D" w14:paraId="61190F1E" w14:textId="77777777" w:rsidTr="007D4F3D">
        <w:trPr>
          <w:trHeight w:val="467"/>
        </w:trPr>
        <w:tc>
          <w:tcPr>
            <w:tcW w:w="1980" w:type="dxa"/>
            <w:vAlign w:val="center"/>
          </w:tcPr>
          <w:p w14:paraId="0BAC91A1" w14:textId="587C0A52" w:rsidR="00C87C98" w:rsidRPr="007D4F3D" w:rsidRDefault="00452B77" w:rsidP="007D4F3D">
            <w:pPr>
              <w:pStyle w:val="Tabelltext"/>
              <w:rPr>
                <w:b/>
                <w:bCs/>
              </w:rPr>
            </w:pPr>
            <w:bookmarkStart w:id="17" w:name="_Hlk168046583"/>
            <w:r>
              <w:rPr>
                <w:b/>
                <w:bCs/>
              </w:rPr>
              <w:t>I</w:t>
            </w:r>
            <w:r w:rsidR="00C87C98" w:rsidRPr="007D4F3D">
              <w:rPr>
                <w:b/>
                <w:bCs/>
              </w:rPr>
              <w:t>nkomst</w:t>
            </w:r>
            <w:r>
              <w:rPr>
                <w:b/>
                <w:bCs/>
              </w:rPr>
              <w:t xml:space="preserve"> (14 900 €)</w:t>
            </w:r>
          </w:p>
        </w:tc>
        <w:tc>
          <w:tcPr>
            <w:tcW w:w="1701" w:type="dxa"/>
            <w:vAlign w:val="center"/>
          </w:tcPr>
          <w:p w14:paraId="765B817C" w14:textId="774F60FB" w:rsidR="00C87C98" w:rsidRPr="007D4F3D" w:rsidRDefault="002C709A" w:rsidP="007D4F3D">
            <w:pPr>
              <w:pStyle w:val="Tabelltext"/>
              <w:rPr>
                <w:b/>
                <w:bCs/>
              </w:rPr>
            </w:pPr>
            <w:r>
              <w:rPr>
                <w:b/>
                <w:bCs/>
              </w:rPr>
              <w:t>S</w:t>
            </w:r>
            <w:r w:rsidR="00C87C98" w:rsidRPr="007D4F3D">
              <w:rPr>
                <w:b/>
                <w:bCs/>
              </w:rPr>
              <w:t>katt</w:t>
            </w:r>
            <w:r>
              <w:rPr>
                <w:b/>
                <w:bCs/>
              </w:rPr>
              <w:t xml:space="preserve"> inkl. medieavgift</w:t>
            </w:r>
          </w:p>
        </w:tc>
        <w:tc>
          <w:tcPr>
            <w:tcW w:w="1276" w:type="dxa"/>
            <w:vAlign w:val="center"/>
          </w:tcPr>
          <w:p w14:paraId="236D934F" w14:textId="65A72E4B" w:rsidR="00C87C98" w:rsidRPr="007D4F3D" w:rsidRDefault="00060E09" w:rsidP="007D4F3D">
            <w:pPr>
              <w:pStyle w:val="Tabelltext"/>
              <w:rPr>
                <w:b/>
                <w:bCs/>
              </w:rPr>
            </w:pPr>
            <w:r w:rsidRPr="007D4F3D">
              <w:rPr>
                <w:b/>
                <w:bCs/>
              </w:rPr>
              <w:t>Medieavgift</w:t>
            </w:r>
          </w:p>
        </w:tc>
        <w:tc>
          <w:tcPr>
            <w:tcW w:w="1723" w:type="dxa"/>
            <w:vAlign w:val="center"/>
          </w:tcPr>
          <w:p w14:paraId="2F837480" w14:textId="344DB034" w:rsidR="00C87C98" w:rsidRPr="007D4F3D" w:rsidRDefault="00C87C98" w:rsidP="007D4F3D">
            <w:pPr>
              <w:pStyle w:val="Tabelltext"/>
              <w:rPr>
                <w:b/>
                <w:bCs/>
              </w:rPr>
            </w:pPr>
            <w:r w:rsidRPr="007D4F3D">
              <w:rPr>
                <w:b/>
                <w:bCs/>
              </w:rPr>
              <w:t>Nytta av avdraget</w:t>
            </w:r>
          </w:p>
        </w:tc>
      </w:tr>
      <w:tr w:rsidR="00C87C98" w14:paraId="4C1068F7" w14:textId="77777777" w:rsidTr="007D4F3D">
        <w:trPr>
          <w:trHeight w:val="414"/>
        </w:trPr>
        <w:tc>
          <w:tcPr>
            <w:tcW w:w="1980" w:type="dxa"/>
            <w:vAlign w:val="center"/>
          </w:tcPr>
          <w:p w14:paraId="1965C9B8" w14:textId="32E71101" w:rsidR="00C87C98" w:rsidRDefault="00C87C98" w:rsidP="007D4F3D">
            <w:pPr>
              <w:pStyle w:val="Tabelltext"/>
            </w:pPr>
            <w:r>
              <w:t>Löneinkomst</w:t>
            </w:r>
          </w:p>
        </w:tc>
        <w:tc>
          <w:tcPr>
            <w:tcW w:w="1701" w:type="dxa"/>
            <w:vAlign w:val="center"/>
          </w:tcPr>
          <w:p w14:paraId="70F846D2" w14:textId="50CDE07F" w:rsidR="00C87C98" w:rsidRDefault="007D4F3D" w:rsidP="007D4F3D">
            <w:pPr>
              <w:pStyle w:val="Tabelltext"/>
              <w:jc w:val="right"/>
            </w:pPr>
            <w:r>
              <w:t xml:space="preserve">113 </w:t>
            </w:r>
          </w:p>
        </w:tc>
        <w:tc>
          <w:tcPr>
            <w:tcW w:w="1276" w:type="dxa"/>
            <w:vAlign w:val="center"/>
          </w:tcPr>
          <w:p w14:paraId="7CF786C6" w14:textId="22E5CD9C" w:rsidR="00C87C98" w:rsidRDefault="007D4F3D" w:rsidP="007D4F3D">
            <w:pPr>
              <w:pStyle w:val="Tabelltext"/>
              <w:jc w:val="right"/>
            </w:pPr>
            <w:r>
              <w:t>113</w:t>
            </w:r>
          </w:p>
        </w:tc>
        <w:tc>
          <w:tcPr>
            <w:tcW w:w="1723" w:type="dxa"/>
            <w:vAlign w:val="center"/>
          </w:tcPr>
          <w:p w14:paraId="7FC1E238" w14:textId="4435BC7C" w:rsidR="00C87C98" w:rsidRDefault="007D4F3D" w:rsidP="007D4F3D">
            <w:pPr>
              <w:pStyle w:val="Tabelltext"/>
              <w:jc w:val="center"/>
            </w:pPr>
            <w:r>
              <w:t>Nej</w:t>
            </w:r>
          </w:p>
        </w:tc>
      </w:tr>
      <w:tr w:rsidR="00C87C98" w14:paraId="228FF8EE" w14:textId="77777777" w:rsidTr="007D4F3D">
        <w:trPr>
          <w:trHeight w:val="414"/>
        </w:trPr>
        <w:tc>
          <w:tcPr>
            <w:tcW w:w="1980" w:type="dxa"/>
            <w:vAlign w:val="center"/>
          </w:tcPr>
          <w:p w14:paraId="2C97B7DA" w14:textId="48456821" w:rsidR="00C87C98" w:rsidRDefault="00C87C98" w:rsidP="007D4F3D">
            <w:pPr>
              <w:pStyle w:val="Tabelltext"/>
            </w:pPr>
            <w:r>
              <w:t>Pensionsinkomst</w:t>
            </w:r>
          </w:p>
        </w:tc>
        <w:tc>
          <w:tcPr>
            <w:tcW w:w="1701" w:type="dxa"/>
            <w:vAlign w:val="center"/>
          </w:tcPr>
          <w:p w14:paraId="53750428" w14:textId="29020442" w:rsidR="00C87C98" w:rsidRDefault="007D4F3D" w:rsidP="007D4F3D">
            <w:pPr>
              <w:pStyle w:val="Tabelltext"/>
              <w:jc w:val="right"/>
            </w:pPr>
            <w:r>
              <w:t>807</w:t>
            </w:r>
          </w:p>
        </w:tc>
        <w:tc>
          <w:tcPr>
            <w:tcW w:w="1276" w:type="dxa"/>
            <w:vAlign w:val="center"/>
          </w:tcPr>
          <w:p w14:paraId="2291FC6F" w14:textId="7C3DD793" w:rsidR="00C87C98" w:rsidRDefault="007D4F3D" w:rsidP="007D4F3D">
            <w:pPr>
              <w:pStyle w:val="Tabelltext"/>
              <w:jc w:val="right"/>
            </w:pPr>
            <w:r>
              <w:t>113</w:t>
            </w:r>
          </w:p>
        </w:tc>
        <w:tc>
          <w:tcPr>
            <w:tcW w:w="1723" w:type="dxa"/>
            <w:vAlign w:val="center"/>
          </w:tcPr>
          <w:p w14:paraId="4B2D43D4" w14:textId="45C0769C" w:rsidR="00C87C98" w:rsidRDefault="007D4F3D" w:rsidP="007D4F3D">
            <w:pPr>
              <w:pStyle w:val="Tabelltext"/>
              <w:jc w:val="center"/>
            </w:pPr>
            <w:r>
              <w:t>Ja</w:t>
            </w:r>
          </w:p>
        </w:tc>
      </w:tr>
      <w:tr w:rsidR="00C87C98" w14:paraId="448F3119" w14:textId="77777777" w:rsidTr="007D4F3D">
        <w:trPr>
          <w:trHeight w:val="414"/>
        </w:trPr>
        <w:tc>
          <w:tcPr>
            <w:tcW w:w="1980" w:type="dxa"/>
            <w:vAlign w:val="center"/>
          </w:tcPr>
          <w:p w14:paraId="0EAAAB24" w14:textId="0BC988EA" w:rsidR="00C87C98" w:rsidRDefault="00C87C98" w:rsidP="007D4F3D">
            <w:pPr>
              <w:pStyle w:val="Tabelltext"/>
            </w:pPr>
            <w:r>
              <w:t>Inkomst av förmåner</w:t>
            </w:r>
          </w:p>
        </w:tc>
        <w:tc>
          <w:tcPr>
            <w:tcW w:w="1701" w:type="dxa"/>
            <w:vAlign w:val="center"/>
          </w:tcPr>
          <w:p w14:paraId="447430E3" w14:textId="13AF5AE1" w:rsidR="00C87C98" w:rsidRDefault="007D4F3D" w:rsidP="007D4F3D">
            <w:pPr>
              <w:pStyle w:val="Tabelltext"/>
              <w:jc w:val="right"/>
            </w:pPr>
            <w:r>
              <w:t>2 470</w:t>
            </w:r>
          </w:p>
        </w:tc>
        <w:tc>
          <w:tcPr>
            <w:tcW w:w="1276" w:type="dxa"/>
            <w:vAlign w:val="center"/>
          </w:tcPr>
          <w:p w14:paraId="3F41A577" w14:textId="1D9D7071" w:rsidR="00C87C98" w:rsidRDefault="007D4F3D" w:rsidP="007D4F3D">
            <w:pPr>
              <w:pStyle w:val="Tabelltext"/>
              <w:jc w:val="right"/>
            </w:pPr>
            <w:r>
              <w:t>113</w:t>
            </w:r>
          </w:p>
        </w:tc>
        <w:tc>
          <w:tcPr>
            <w:tcW w:w="1723" w:type="dxa"/>
            <w:vAlign w:val="center"/>
          </w:tcPr>
          <w:p w14:paraId="38843FC5" w14:textId="3CAD306F" w:rsidR="00C87C98" w:rsidRDefault="007D4F3D" w:rsidP="007D4F3D">
            <w:pPr>
              <w:pStyle w:val="Tabelltext"/>
              <w:jc w:val="center"/>
            </w:pPr>
            <w:r>
              <w:t>Ja</w:t>
            </w:r>
          </w:p>
        </w:tc>
      </w:tr>
      <w:bookmarkEnd w:id="17"/>
    </w:tbl>
    <w:p w14:paraId="64F1D6DB" w14:textId="7EE8B7ED" w:rsidR="00C87C98" w:rsidRDefault="00C87C98" w:rsidP="0016670D">
      <w:pPr>
        <w:pStyle w:val="ANormal"/>
      </w:pPr>
    </w:p>
    <w:p w14:paraId="54A9509A" w14:textId="1E1F89A7" w:rsidR="001567DE" w:rsidRDefault="001567DE" w:rsidP="0016670D">
      <w:pPr>
        <w:pStyle w:val="ANormal"/>
      </w:pPr>
      <w:r>
        <w:tab/>
      </w:r>
      <w:r w:rsidRPr="0095401C">
        <w:t xml:space="preserve">I exempel 2 visas </w:t>
      </w:r>
      <w:r w:rsidR="00837070" w:rsidRPr="0095401C">
        <w:t>sjukdomskostnadsavdragets effekt på skatten vid olika inkomstnivåer</w:t>
      </w:r>
      <w:r w:rsidRPr="0095401C">
        <w:t xml:space="preserve"> </w:t>
      </w:r>
      <w:r w:rsidR="003C005D" w:rsidRPr="0095401C">
        <w:t>i två olika fall, ett där sjukdomskostnaderna är 1 500 euro och ett där de är 500 euro. Inkomstnivåerna över eller under 15 000 euro i nettoförvärvsinkomst efter naturliga avdrag har valts eftersom det utgör gränsen för om hela eller endast hälften av sjukdomskostnaden är avdragbar. Observera att årsinkomsten är högre än nettoförvärvsinkomsten, så att den som har en årsinkomst som överstiger 15 000 euro ändå kan göra avdrag för hela sjukdomskostnaden</w:t>
      </w:r>
      <w:r w:rsidR="00167E9C" w:rsidRPr="0095401C">
        <w:t xml:space="preserve"> om andra avdrag gör att nettoförvärvsinkomsten blir lägre än 15 000 euro.</w:t>
      </w:r>
    </w:p>
    <w:p w14:paraId="3B4CB1F2" w14:textId="77777777" w:rsidR="00167E9C" w:rsidRDefault="00167E9C" w:rsidP="0016670D">
      <w:pPr>
        <w:pStyle w:val="ANormal"/>
      </w:pPr>
    </w:p>
    <w:p w14:paraId="79624BC7" w14:textId="17CE0420" w:rsidR="00DC3066" w:rsidRDefault="00DC3066">
      <w:pPr>
        <w:rPr>
          <w:sz w:val="22"/>
          <w:szCs w:val="20"/>
        </w:rPr>
      </w:pPr>
      <w:r>
        <w:br w:type="page"/>
      </w:r>
    </w:p>
    <w:p w14:paraId="5580F6B2" w14:textId="77777777" w:rsidR="001567DE" w:rsidRDefault="001567DE" w:rsidP="0016670D">
      <w:pPr>
        <w:pStyle w:val="ANormal"/>
      </w:pPr>
    </w:p>
    <w:p w14:paraId="7677A378" w14:textId="44C705F7" w:rsidR="00FC17D8" w:rsidRPr="00D57281" w:rsidRDefault="00FC17D8" w:rsidP="0016670D">
      <w:pPr>
        <w:pStyle w:val="ANormal"/>
        <w:rPr>
          <w:b/>
          <w:bCs/>
        </w:rPr>
      </w:pPr>
      <w:r w:rsidRPr="00D57281">
        <w:rPr>
          <w:b/>
          <w:bCs/>
        </w:rPr>
        <w:t>Exempel 2:</w:t>
      </w:r>
    </w:p>
    <w:p w14:paraId="0F4BC29B" w14:textId="3B27790A" w:rsidR="00FC17D8" w:rsidRDefault="00D57281" w:rsidP="0016670D">
      <w:pPr>
        <w:pStyle w:val="ANormal"/>
      </w:pPr>
      <w:r>
        <w:t>En skattskyldig bosatt i Lemland (17,5</w:t>
      </w:r>
      <w:r w:rsidR="00DC3066">
        <w:t xml:space="preserve"> </w:t>
      </w:r>
      <w:r>
        <w:t>%) med s</w:t>
      </w:r>
      <w:r w:rsidR="00FC17D8">
        <w:t>jukdomskostnader (läkarbesök, glasögon, apotekskvitton)</w:t>
      </w:r>
    </w:p>
    <w:p w14:paraId="5930F10B" w14:textId="1913E184" w:rsidR="00C87C98" w:rsidRDefault="00C87C98" w:rsidP="0016670D">
      <w:pPr>
        <w:pStyle w:val="ANormal"/>
      </w:pPr>
    </w:p>
    <w:tbl>
      <w:tblPr>
        <w:tblStyle w:val="Tabellrutnt"/>
        <w:tblW w:w="0" w:type="auto"/>
        <w:tblLook w:val="04A0" w:firstRow="1" w:lastRow="0" w:firstColumn="1" w:lastColumn="0" w:noHBand="0" w:noVBand="1"/>
      </w:tblPr>
      <w:tblGrid>
        <w:gridCol w:w="3681"/>
        <w:gridCol w:w="1417"/>
        <w:gridCol w:w="1418"/>
      </w:tblGrid>
      <w:tr w:rsidR="00E000CF" w:rsidRPr="007D4F3D" w14:paraId="7BBCEF14" w14:textId="77777777" w:rsidTr="0099055B">
        <w:trPr>
          <w:trHeight w:val="467"/>
        </w:trPr>
        <w:tc>
          <w:tcPr>
            <w:tcW w:w="6516" w:type="dxa"/>
            <w:gridSpan w:val="3"/>
            <w:vAlign w:val="center"/>
          </w:tcPr>
          <w:p w14:paraId="3E1720B0" w14:textId="184653DB" w:rsidR="00E000CF" w:rsidRPr="007D4F3D" w:rsidRDefault="00E000CF" w:rsidP="00820115">
            <w:pPr>
              <w:pStyle w:val="Tabelltext"/>
              <w:jc w:val="center"/>
              <w:rPr>
                <w:b/>
                <w:bCs/>
              </w:rPr>
            </w:pPr>
            <w:bookmarkStart w:id="18" w:name="_Hlk168046637"/>
            <w:r>
              <w:rPr>
                <w:b/>
                <w:bCs/>
              </w:rPr>
              <w:t xml:space="preserve">Sjukdomskostnader </w:t>
            </w:r>
            <w:r w:rsidR="00570E86">
              <w:rPr>
                <w:b/>
                <w:bCs/>
              </w:rPr>
              <w:t xml:space="preserve">sammanlagt </w:t>
            </w:r>
            <w:r>
              <w:rPr>
                <w:b/>
                <w:bCs/>
              </w:rPr>
              <w:t>1 500 euro</w:t>
            </w:r>
          </w:p>
        </w:tc>
      </w:tr>
      <w:tr w:rsidR="00FC17D8" w14:paraId="547E42AC" w14:textId="77777777" w:rsidTr="00820115">
        <w:trPr>
          <w:trHeight w:val="414"/>
        </w:trPr>
        <w:tc>
          <w:tcPr>
            <w:tcW w:w="3681" w:type="dxa"/>
            <w:vAlign w:val="center"/>
          </w:tcPr>
          <w:p w14:paraId="1A2CB9D2" w14:textId="40337E90" w:rsidR="00FC17D8" w:rsidRDefault="00AB5005" w:rsidP="00BC47A8">
            <w:pPr>
              <w:pStyle w:val="Tabelltext"/>
            </w:pPr>
            <w:bookmarkStart w:id="19" w:name="_Hlk168047354"/>
            <w:bookmarkEnd w:id="18"/>
            <w:r>
              <w:t>Nettoförvärvsinkomst efter naturliga avdrag</w:t>
            </w:r>
          </w:p>
        </w:tc>
        <w:tc>
          <w:tcPr>
            <w:tcW w:w="1417" w:type="dxa"/>
            <w:vAlign w:val="center"/>
          </w:tcPr>
          <w:p w14:paraId="40E161F7" w14:textId="652107C5" w:rsidR="00FC17D8" w:rsidRDefault="00AB5005" w:rsidP="00BC47A8">
            <w:pPr>
              <w:pStyle w:val="Tabelltext"/>
              <w:jc w:val="right"/>
            </w:pPr>
            <w:r>
              <w:t>Över 15 000</w:t>
            </w:r>
          </w:p>
        </w:tc>
        <w:tc>
          <w:tcPr>
            <w:tcW w:w="1418" w:type="dxa"/>
            <w:vAlign w:val="center"/>
          </w:tcPr>
          <w:p w14:paraId="21780ECF" w14:textId="4A3AD556" w:rsidR="00FC17D8" w:rsidRDefault="00AB5005" w:rsidP="00BC47A8">
            <w:pPr>
              <w:pStyle w:val="Tabelltext"/>
              <w:jc w:val="right"/>
            </w:pPr>
            <w:r>
              <w:t>Under 15 000</w:t>
            </w:r>
          </w:p>
        </w:tc>
      </w:tr>
      <w:tr w:rsidR="00E000CF" w14:paraId="3939070C" w14:textId="77777777" w:rsidTr="00820115">
        <w:trPr>
          <w:trHeight w:val="414"/>
        </w:trPr>
        <w:tc>
          <w:tcPr>
            <w:tcW w:w="3681" w:type="dxa"/>
            <w:vAlign w:val="center"/>
          </w:tcPr>
          <w:p w14:paraId="65DA636A" w14:textId="7306FD3C" w:rsidR="00E000CF" w:rsidRDefault="00AB5005" w:rsidP="00BC47A8">
            <w:pPr>
              <w:pStyle w:val="Tabelltext"/>
            </w:pPr>
            <w:r>
              <w:t>Avdrag efter självrisk</w:t>
            </w:r>
          </w:p>
        </w:tc>
        <w:tc>
          <w:tcPr>
            <w:tcW w:w="1417" w:type="dxa"/>
            <w:vAlign w:val="center"/>
          </w:tcPr>
          <w:p w14:paraId="0624C914" w14:textId="33D0A2A4" w:rsidR="00E000CF" w:rsidRDefault="00AB5005" w:rsidP="00BC47A8">
            <w:pPr>
              <w:pStyle w:val="Tabelltext"/>
              <w:jc w:val="right"/>
            </w:pPr>
            <w:r>
              <w:t>700</w:t>
            </w:r>
          </w:p>
        </w:tc>
        <w:tc>
          <w:tcPr>
            <w:tcW w:w="1418" w:type="dxa"/>
            <w:vAlign w:val="center"/>
          </w:tcPr>
          <w:p w14:paraId="4C42C980" w14:textId="700BEAA5" w:rsidR="00E000CF" w:rsidRDefault="00AB5005" w:rsidP="00BC47A8">
            <w:pPr>
              <w:pStyle w:val="Tabelltext"/>
              <w:jc w:val="right"/>
            </w:pPr>
            <w:r>
              <w:t>1 400</w:t>
            </w:r>
          </w:p>
        </w:tc>
      </w:tr>
      <w:tr w:rsidR="00FC17D8" w14:paraId="4B6067EB" w14:textId="77777777" w:rsidTr="00820115">
        <w:trPr>
          <w:trHeight w:val="414"/>
        </w:trPr>
        <w:tc>
          <w:tcPr>
            <w:tcW w:w="3681" w:type="dxa"/>
            <w:vAlign w:val="center"/>
          </w:tcPr>
          <w:p w14:paraId="0AD0A09F" w14:textId="5A103909" w:rsidR="00FC17D8" w:rsidRDefault="00AB5005" w:rsidP="00BC47A8">
            <w:pPr>
              <w:pStyle w:val="Tabelltext"/>
            </w:pPr>
            <w:r>
              <w:t>Effekt på skatten</w:t>
            </w:r>
          </w:p>
        </w:tc>
        <w:tc>
          <w:tcPr>
            <w:tcW w:w="1417" w:type="dxa"/>
            <w:vAlign w:val="center"/>
          </w:tcPr>
          <w:p w14:paraId="00AEA8F7" w14:textId="505D9D46" w:rsidR="00FC17D8" w:rsidRDefault="00D57281" w:rsidP="00BC47A8">
            <w:pPr>
              <w:pStyle w:val="Tabelltext"/>
              <w:jc w:val="right"/>
            </w:pPr>
            <w:r>
              <w:t>122,50</w:t>
            </w:r>
          </w:p>
        </w:tc>
        <w:tc>
          <w:tcPr>
            <w:tcW w:w="1418" w:type="dxa"/>
            <w:vAlign w:val="center"/>
          </w:tcPr>
          <w:p w14:paraId="4794BDDB" w14:textId="2AA5A45C" w:rsidR="00FC17D8" w:rsidRDefault="00D57281" w:rsidP="00BC47A8">
            <w:pPr>
              <w:pStyle w:val="Tabelltext"/>
              <w:jc w:val="right"/>
            </w:pPr>
            <w:r>
              <w:t>245</w:t>
            </w:r>
          </w:p>
        </w:tc>
      </w:tr>
      <w:bookmarkEnd w:id="19"/>
      <w:tr w:rsidR="00E000CF" w:rsidRPr="007D4F3D" w14:paraId="0E765ADF" w14:textId="77777777" w:rsidTr="00651F24">
        <w:trPr>
          <w:trHeight w:val="467"/>
        </w:trPr>
        <w:tc>
          <w:tcPr>
            <w:tcW w:w="6516" w:type="dxa"/>
            <w:gridSpan w:val="3"/>
            <w:vAlign w:val="center"/>
          </w:tcPr>
          <w:p w14:paraId="23B26917" w14:textId="05A8D392" w:rsidR="00E000CF" w:rsidRPr="007D4F3D" w:rsidRDefault="00E000CF" w:rsidP="00820115">
            <w:pPr>
              <w:pStyle w:val="Tabelltext"/>
              <w:jc w:val="center"/>
              <w:rPr>
                <w:b/>
                <w:bCs/>
              </w:rPr>
            </w:pPr>
            <w:r>
              <w:rPr>
                <w:b/>
                <w:bCs/>
              </w:rPr>
              <w:t xml:space="preserve">Sjukdomskostnader </w:t>
            </w:r>
            <w:r w:rsidR="00570E86">
              <w:rPr>
                <w:b/>
                <w:bCs/>
              </w:rPr>
              <w:t xml:space="preserve">sammanlagt </w:t>
            </w:r>
            <w:r>
              <w:rPr>
                <w:b/>
                <w:bCs/>
              </w:rPr>
              <w:t>500 euro</w:t>
            </w:r>
          </w:p>
        </w:tc>
      </w:tr>
      <w:tr w:rsidR="00D57281" w14:paraId="6C07E3AC" w14:textId="77777777" w:rsidTr="00820115">
        <w:trPr>
          <w:trHeight w:val="414"/>
        </w:trPr>
        <w:tc>
          <w:tcPr>
            <w:tcW w:w="3681" w:type="dxa"/>
            <w:vAlign w:val="center"/>
          </w:tcPr>
          <w:p w14:paraId="284FD71C" w14:textId="4704943E" w:rsidR="00D57281" w:rsidRDefault="00D57281" w:rsidP="00D57281">
            <w:pPr>
              <w:pStyle w:val="Tabelltext"/>
            </w:pPr>
            <w:r>
              <w:t>Nettoförvärvsinkomst efter naturliga avdrag</w:t>
            </w:r>
          </w:p>
        </w:tc>
        <w:tc>
          <w:tcPr>
            <w:tcW w:w="1417" w:type="dxa"/>
            <w:vAlign w:val="center"/>
          </w:tcPr>
          <w:p w14:paraId="19FC1FF8" w14:textId="3981BE8E" w:rsidR="00D57281" w:rsidRDefault="00D57281" w:rsidP="00D57281">
            <w:pPr>
              <w:pStyle w:val="Tabelltext"/>
              <w:jc w:val="right"/>
            </w:pPr>
            <w:r>
              <w:t>Över 15 000</w:t>
            </w:r>
          </w:p>
        </w:tc>
        <w:tc>
          <w:tcPr>
            <w:tcW w:w="1418" w:type="dxa"/>
            <w:vAlign w:val="center"/>
          </w:tcPr>
          <w:p w14:paraId="78633BEA" w14:textId="41782B3F" w:rsidR="00D57281" w:rsidRDefault="00D57281" w:rsidP="00D57281">
            <w:pPr>
              <w:pStyle w:val="Tabelltext"/>
              <w:jc w:val="right"/>
            </w:pPr>
            <w:r>
              <w:t>Under 15 000</w:t>
            </w:r>
          </w:p>
        </w:tc>
      </w:tr>
      <w:tr w:rsidR="00D57281" w14:paraId="20176101" w14:textId="77777777" w:rsidTr="00820115">
        <w:trPr>
          <w:trHeight w:val="414"/>
        </w:trPr>
        <w:tc>
          <w:tcPr>
            <w:tcW w:w="3681" w:type="dxa"/>
            <w:vAlign w:val="center"/>
          </w:tcPr>
          <w:p w14:paraId="1DDF88BB" w14:textId="15B7FA6C" w:rsidR="00D57281" w:rsidRDefault="00D57281" w:rsidP="00D57281">
            <w:pPr>
              <w:pStyle w:val="Tabelltext"/>
            </w:pPr>
            <w:r>
              <w:t>Avdrag efter självrisk</w:t>
            </w:r>
          </w:p>
        </w:tc>
        <w:tc>
          <w:tcPr>
            <w:tcW w:w="1417" w:type="dxa"/>
            <w:vAlign w:val="center"/>
          </w:tcPr>
          <w:p w14:paraId="238D3E69" w14:textId="72D14C1F" w:rsidR="00D57281" w:rsidRDefault="00D57281" w:rsidP="00D57281">
            <w:pPr>
              <w:pStyle w:val="Tabelltext"/>
              <w:jc w:val="right"/>
            </w:pPr>
            <w:r>
              <w:t>200</w:t>
            </w:r>
          </w:p>
        </w:tc>
        <w:tc>
          <w:tcPr>
            <w:tcW w:w="1418" w:type="dxa"/>
            <w:vAlign w:val="center"/>
          </w:tcPr>
          <w:p w14:paraId="7C9FF8C4" w14:textId="6F588139" w:rsidR="00D57281" w:rsidRDefault="00D57281" w:rsidP="00D57281">
            <w:pPr>
              <w:pStyle w:val="Tabelltext"/>
              <w:jc w:val="right"/>
            </w:pPr>
            <w:r>
              <w:t>400</w:t>
            </w:r>
          </w:p>
        </w:tc>
      </w:tr>
      <w:tr w:rsidR="00D57281" w14:paraId="35A90BD3" w14:textId="77777777" w:rsidTr="00820115">
        <w:trPr>
          <w:trHeight w:val="414"/>
        </w:trPr>
        <w:tc>
          <w:tcPr>
            <w:tcW w:w="3681" w:type="dxa"/>
            <w:vAlign w:val="center"/>
          </w:tcPr>
          <w:p w14:paraId="4C7F8833" w14:textId="4E0ECA4A" w:rsidR="00D57281" w:rsidRDefault="00D57281" w:rsidP="00D57281">
            <w:pPr>
              <w:pStyle w:val="Tabelltext"/>
            </w:pPr>
            <w:r>
              <w:t>Effekt på skatten</w:t>
            </w:r>
          </w:p>
        </w:tc>
        <w:tc>
          <w:tcPr>
            <w:tcW w:w="1417" w:type="dxa"/>
            <w:vAlign w:val="center"/>
          </w:tcPr>
          <w:p w14:paraId="5398E099" w14:textId="24144B9B" w:rsidR="00D57281" w:rsidRDefault="00D57281" w:rsidP="00D57281">
            <w:pPr>
              <w:pStyle w:val="Tabelltext"/>
              <w:jc w:val="right"/>
            </w:pPr>
            <w:r>
              <w:t>35</w:t>
            </w:r>
          </w:p>
        </w:tc>
        <w:tc>
          <w:tcPr>
            <w:tcW w:w="1418" w:type="dxa"/>
            <w:vAlign w:val="center"/>
          </w:tcPr>
          <w:p w14:paraId="2AED1FC8" w14:textId="1220FC45" w:rsidR="00D57281" w:rsidRDefault="00D57281" w:rsidP="00D57281">
            <w:pPr>
              <w:pStyle w:val="Tabelltext"/>
              <w:jc w:val="right"/>
            </w:pPr>
            <w:r>
              <w:t>70</w:t>
            </w:r>
          </w:p>
        </w:tc>
      </w:tr>
    </w:tbl>
    <w:p w14:paraId="13230BB0" w14:textId="77777777" w:rsidR="00C87C98" w:rsidRDefault="00C87C98" w:rsidP="00097320">
      <w:pPr>
        <w:pStyle w:val="ANormal"/>
      </w:pPr>
    </w:p>
    <w:p w14:paraId="00D4C159" w14:textId="77777777" w:rsidR="007670B5" w:rsidRDefault="007670B5" w:rsidP="002E44B4">
      <w:pPr>
        <w:pStyle w:val="ANormal"/>
      </w:pPr>
    </w:p>
    <w:p w14:paraId="3F8DE66D" w14:textId="4C68D2A6" w:rsidR="002E44B4" w:rsidRDefault="002E44B4" w:rsidP="002E44B4">
      <w:pPr>
        <w:pStyle w:val="ANormal"/>
      </w:pPr>
      <w:r>
        <w:tab/>
      </w:r>
      <w:r w:rsidRPr="00905961">
        <w:t>I det följande är det viktigt att notera att indelningen i inkomstklasser sker utifrån skattepliktiga inkomster, vilket inkluderar både förvärvs- och kapital</w:t>
      </w:r>
      <w:r w:rsidRPr="00905961">
        <w:softHyphen/>
        <w:t>inkomster, medan inkomstgränsen för sjukdomskostnadsavdraget utgår från nettoförvärvsinkomsten efter att de naturliga avdragen har gjorts. Det betyder att det i samtliga inkomstklasser i statistiken kan finnas skattskyldiga som har en nettoförvärvsinkomst som underskrider 15 000 euro men samtidigt har kapitalinkomster</w:t>
      </w:r>
      <w:r w:rsidRPr="00E07907">
        <w:t>.</w:t>
      </w:r>
      <w:r w:rsidR="006055B6" w:rsidRPr="00E07907">
        <w:t xml:space="preserve"> Observera också att det är sjukdomskostnadsavdragets belopp som visas och inte den effekt avdraget har på skatten.</w:t>
      </w:r>
    </w:p>
    <w:p w14:paraId="3CB3068B" w14:textId="1944B4D7" w:rsidR="00F9073B" w:rsidRDefault="00097320" w:rsidP="00F9073B">
      <w:pPr>
        <w:pStyle w:val="ANormal"/>
      </w:pPr>
      <w:r>
        <w:tab/>
      </w:r>
      <w:r w:rsidR="00A5202A">
        <w:t xml:space="preserve">Generellt för </w:t>
      </w:r>
      <w:r w:rsidR="00527799">
        <w:t>sjukdomskostnadsavdraget visar s</w:t>
      </w:r>
      <w:r w:rsidR="00BE0C04">
        <w:t>kattestatistiken</w:t>
      </w:r>
      <w:r w:rsidR="00527799">
        <w:t xml:space="preserve"> för</w:t>
      </w:r>
      <w:r w:rsidR="00BE0C04">
        <w:t xml:space="preserve"> </w:t>
      </w:r>
      <w:r w:rsidR="00527799" w:rsidRPr="00F9073B">
        <w:t xml:space="preserve">2022 </w:t>
      </w:r>
      <w:r w:rsidR="00BE0C04">
        <w:t>att</w:t>
      </w:r>
      <w:r w:rsidR="00F9073B" w:rsidRPr="00F9073B">
        <w:t xml:space="preserve"> 17 procent av avdragen </w:t>
      </w:r>
      <w:r w:rsidR="00527799" w:rsidRPr="00F9073B">
        <w:t xml:space="preserve">gjordes </w:t>
      </w:r>
      <w:r w:rsidR="00F9073B" w:rsidRPr="00F9073B">
        <w:t>i inkomstklassen under 20</w:t>
      </w:r>
      <w:r w:rsidR="00527799">
        <w:t> </w:t>
      </w:r>
      <w:r w:rsidR="00F9073B" w:rsidRPr="00F9073B">
        <w:t>000 i skattepliktiga inkomster och 20 procent av avdragen i inkomstklassen 20</w:t>
      </w:r>
      <w:r w:rsidR="00527799">
        <w:t> </w:t>
      </w:r>
      <w:r w:rsidR="00F9073B" w:rsidRPr="00F9073B">
        <w:t>000–29</w:t>
      </w:r>
      <w:r w:rsidR="00527799">
        <w:t> </w:t>
      </w:r>
      <w:r w:rsidR="00F9073B" w:rsidRPr="00F9073B">
        <w:t>999 euro.</w:t>
      </w:r>
      <w:r w:rsidR="001E55C0">
        <w:t xml:space="preserve"> </w:t>
      </w:r>
      <w:r w:rsidR="00432692">
        <w:t>Samtidigt gjordes 12</w:t>
      </w:r>
      <w:r w:rsidR="00DC3066">
        <w:t xml:space="preserve"> </w:t>
      </w:r>
      <w:r w:rsidR="00432692">
        <w:t xml:space="preserve">procent av sjukdomskostnadsavdragen i inkomstklasserna 70 000 euro eller </w:t>
      </w:r>
      <w:r w:rsidR="004C3A49">
        <w:t>högre</w:t>
      </w:r>
      <w:r w:rsidR="00432692">
        <w:t xml:space="preserve"> i skattepliktiga inkomster. </w:t>
      </w:r>
      <w:r w:rsidR="001E55C0">
        <w:t>I tabell 1 och 2 i bilagan visas en sammanställning över avdraget i olika inkomstklasser skatteåren 2020–2022.</w:t>
      </w:r>
      <w:r w:rsidR="00787C1C">
        <w:t xml:space="preserve"> </w:t>
      </w:r>
      <w:r w:rsidR="006055B6" w:rsidRPr="00E07907">
        <w:t>Sammanställningen visar att avdraget både när det gäller antal och belopp har minskat över tid i inkomstklasserna under 30 000 euro medan det har ökat i inkomstklasserna från 30 000 euro och uppåt.</w:t>
      </w:r>
      <w:r w:rsidR="006055B6">
        <w:t xml:space="preserve"> Avdraget</w:t>
      </w:r>
      <w:r w:rsidR="00787C1C">
        <w:t xml:space="preserve"> </w:t>
      </w:r>
      <w:r w:rsidR="001A6DA0">
        <w:t xml:space="preserve">var </w:t>
      </w:r>
      <w:r w:rsidR="00787C1C">
        <w:t>totalt sett högst i inkomstklassen 3</w:t>
      </w:r>
      <w:r w:rsidR="00787C1C" w:rsidRPr="00F9073B">
        <w:t>0</w:t>
      </w:r>
      <w:r w:rsidR="00527799">
        <w:t> </w:t>
      </w:r>
      <w:r w:rsidR="00787C1C" w:rsidRPr="00F9073B">
        <w:t>000–</w:t>
      </w:r>
      <w:r w:rsidR="00787C1C">
        <w:t>3</w:t>
      </w:r>
      <w:r w:rsidR="00787C1C" w:rsidRPr="00F9073B">
        <w:t>9</w:t>
      </w:r>
      <w:r w:rsidR="00527799">
        <w:t> </w:t>
      </w:r>
      <w:r w:rsidR="00787C1C" w:rsidRPr="00F9073B">
        <w:t>999 euro</w:t>
      </w:r>
      <w:r w:rsidR="00787C1C">
        <w:t>.</w:t>
      </w:r>
    </w:p>
    <w:p w14:paraId="05503B4B" w14:textId="13AE443E" w:rsidR="008F4F1E" w:rsidRDefault="00CF09F5" w:rsidP="00661295">
      <w:pPr>
        <w:pStyle w:val="ANormal"/>
      </w:pPr>
      <w:r>
        <w:tab/>
      </w:r>
      <w:r w:rsidR="00661295">
        <w:t>Om man ser på</w:t>
      </w:r>
      <w:r w:rsidRPr="00CF09F5">
        <w:t xml:space="preserve"> sjukdomskostnadsavdraget efter familjetyp </w:t>
      </w:r>
      <w:r w:rsidR="00661295">
        <w:t>kan det konstateras att</w:t>
      </w:r>
      <w:r w:rsidRPr="00CF09F5">
        <w:t xml:space="preserve"> </w:t>
      </w:r>
      <w:r w:rsidR="00661295">
        <w:t>g</w:t>
      </w:r>
      <w:r w:rsidRPr="00CF09F5">
        <w:t>ifta och ogifta par utan barn, följda av gifta par med barn, är de familjetyper som har de flesta sjukdomskostnadsavdragen och som drog av de högsta beloppen 2022</w:t>
      </w:r>
      <w:r w:rsidR="002D38C1">
        <w:t xml:space="preserve"> (se tabell 3 i bilagan)</w:t>
      </w:r>
      <w:r w:rsidRPr="00CF09F5">
        <w:t xml:space="preserve">. Om </w:t>
      </w:r>
      <w:r w:rsidR="00661295">
        <w:t>man</w:t>
      </w:r>
      <w:r w:rsidRPr="00CF09F5">
        <w:t xml:space="preserve"> ser på avdraget för pensionärer som till delar sammanfaller med par utan barn kan konstatera</w:t>
      </w:r>
      <w:r w:rsidR="00661295">
        <w:t>s</w:t>
      </w:r>
      <w:r w:rsidRPr="00CF09F5">
        <w:t xml:space="preserve"> att cirka 42 procent av antalet avdrag och 54 procent av summan av alla sjukdomskostnadsavdrag gjordes av pensionärer 2022. I medeltal var avdraget 746 euro bland pensionärerna</w:t>
      </w:r>
      <w:r w:rsidR="002D38C1">
        <w:t xml:space="preserve"> (se tabell 4 i bilagan)</w:t>
      </w:r>
      <w:r w:rsidRPr="00CF09F5">
        <w:t>.</w:t>
      </w:r>
    </w:p>
    <w:p w14:paraId="77B44A03" w14:textId="512DF6C3" w:rsidR="00322C1B" w:rsidRDefault="00322C1B" w:rsidP="00AE0A17">
      <w:pPr>
        <w:pStyle w:val="ANormal"/>
      </w:pPr>
      <w:r>
        <w:tab/>
      </w:r>
      <w:r w:rsidR="002E44B4">
        <w:t xml:space="preserve">Som konstateras ovan i avsnitt 3 leder avskaffandet av sjukdomskostnadsavdraget </w:t>
      </w:r>
      <w:r w:rsidR="004C3A77">
        <w:t xml:space="preserve">till en sänkning av grundavdraget eftersom inkomsten efter avdrag ökar, vilket förstärker effekten av den föreslagna ändringen </w:t>
      </w:r>
      <w:r w:rsidR="002E44B4">
        <w:t xml:space="preserve">för dem som har sjukdomskostnader. Grundavdraget </w:t>
      </w:r>
      <w:r w:rsidR="0017083A">
        <w:t>reviderades inför skatteåret 2023 då den så kallade minskningsprocenten sänktes från 18</w:t>
      </w:r>
      <w:r w:rsidR="00DC3066">
        <w:t xml:space="preserve"> </w:t>
      </w:r>
      <w:r w:rsidR="0017083A">
        <w:t>till 8,4</w:t>
      </w:r>
      <w:r w:rsidR="00DC3066">
        <w:t xml:space="preserve"> </w:t>
      </w:r>
      <w:r w:rsidR="0017083A">
        <w:t xml:space="preserve">procent. Ändringen innebar att fler fick rätt att göra grundavdrag. </w:t>
      </w:r>
      <w:r w:rsidR="0017083A" w:rsidRPr="0017083A">
        <w:t xml:space="preserve">Gränsen för när avdraget beviljas </w:t>
      </w:r>
      <w:r w:rsidR="0017083A">
        <w:t xml:space="preserve">beräknas </w:t>
      </w:r>
      <w:r w:rsidR="0017083A" w:rsidRPr="0017083A">
        <w:t xml:space="preserve">gå vid </w:t>
      </w:r>
      <w:r w:rsidR="0017083A">
        <w:t xml:space="preserve">en förvärvsinkomst </w:t>
      </w:r>
      <w:r w:rsidR="0017083A" w:rsidRPr="0017083A">
        <w:t xml:space="preserve">efter övriga avdrag </w:t>
      </w:r>
      <w:r w:rsidR="0017083A">
        <w:t xml:space="preserve">på </w:t>
      </w:r>
      <w:r w:rsidR="0017083A" w:rsidRPr="0017083A">
        <w:t>ungefär 45</w:t>
      </w:r>
      <w:r w:rsidR="0017083A">
        <w:t> </w:t>
      </w:r>
      <w:r w:rsidR="0017083A" w:rsidRPr="0017083A">
        <w:t>000 euro.</w:t>
      </w:r>
      <w:r w:rsidR="0017083A">
        <w:t xml:space="preserve"> </w:t>
      </w:r>
      <w:r w:rsidR="0017083A" w:rsidRPr="0017083A">
        <w:t>Eftersom det reviderade grundavdraget tills vidare endast tillämpats skatteåret 2023 och beskattningen för det året ännu inte har slutförts finns inte något fastställt utfall för det reviderade avdraget.</w:t>
      </w:r>
      <w:r w:rsidR="0017083A">
        <w:t xml:space="preserve"> Det gör </w:t>
      </w:r>
      <w:r w:rsidR="0017083A">
        <w:lastRenderedPageBreak/>
        <w:t>att det är svårt att uppskatta i vilken grad grundavdraget påverkas av att sjukdomskostnadsavdraget avskaffas.</w:t>
      </w:r>
    </w:p>
    <w:p w14:paraId="583979E9" w14:textId="275DC012" w:rsidR="00800FC6" w:rsidRDefault="0017083A" w:rsidP="0017083A">
      <w:pPr>
        <w:pStyle w:val="ANormal"/>
      </w:pPr>
      <w:r>
        <w:tab/>
      </w:r>
      <w:r w:rsidR="00800FC6" w:rsidRPr="00E07907">
        <w:t>Grundavdraget uppgick 2022 till 18</w:t>
      </w:r>
      <w:r w:rsidR="00F31C1E">
        <w:t> </w:t>
      </w:r>
      <w:r w:rsidR="00800FC6" w:rsidRPr="00E07907">
        <w:t>993</w:t>
      </w:r>
      <w:r w:rsidR="00F31C1E">
        <w:t> </w:t>
      </w:r>
      <w:r w:rsidR="00800FC6" w:rsidRPr="00E07907">
        <w:t>198 euro på Åland. Grundavdraget har proportionerligt sett haft störst betydelse i de lägsta inkomstklasserna med ett belopp som motsvarade drygt en tredjedel (35</w:t>
      </w:r>
      <w:r w:rsidR="00F31C1E">
        <w:t xml:space="preserve"> </w:t>
      </w:r>
      <w:r w:rsidR="00800FC6" w:rsidRPr="00E07907">
        <w:t>procent) av det totala grundavdraget i samtliga inkomstklasser 2022 med den modell för grundavdraget som tillämpades då. Avdraget var proportionerligt sett stort även bland pensionärer med motsvarande 34 procent av det totala grundavdraget 2022.</w:t>
      </w:r>
    </w:p>
    <w:p w14:paraId="6050C568" w14:textId="1FD8B8E2" w:rsidR="004C3A77" w:rsidRDefault="00E05F2A" w:rsidP="0017083A">
      <w:pPr>
        <w:pStyle w:val="ANormal"/>
      </w:pPr>
      <w:r>
        <w:tab/>
      </w:r>
      <w:r w:rsidR="0017083A">
        <w:t>Sjukdomskostnadsavdraget uppgick i genomsnitt till cirka 580</w:t>
      </w:r>
      <w:r w:rsidR="00DC3066">
        <w:t xml:space="preserve"> </w:t>
      </w:r>
      <w:r w:rsidR="0017083A">
        <w:t xml:space="preserve">euro bland dem som hade det avdraget i kommunalbeskattningen 2022, vilket teoretiskt minskade skatten med i genomsnitt drygt 100 euro per skattebetalare. </w:t>
      </w:r>
      <w:r w:rsidR="007E07C0">
        <w:t xml:space="preserve"> </w:t>
      </w:r>
      <w:r w:rsidR="0017083A">
        <w:t xml:space="preserve">För personer med en inkomst </w:t>
      </w:r>
      <w:r w:rsidR="004C3A49">
        <w:t>på</w:t>
      </w:r>
      <w:r w:rsidR="0017083A">
        <w:t xml:space="preserve"> högst 45</w:t>
      </w:r>
      <w:r>
        <w:t> </w:t>
      </w:r>
      <w:r w:rsidR="0017083A">
        <w:t xml:space="preserve">000 euro efter övriga avdrag ökar därtill även grundavdraget då sjukdomskostnadsavdrag beaktats, </w:t>
      </w:r>
      <w:r w:rsidR="004C3A49">
        <w:t>vilket gör att</w:t>
      </w:r>
      <w:r w:rsidR="0017083A">
        <w:t xml:space="preserve"> effekten på skatteminskningen blir något större. Grundavdraget ökar med cirka 45–55 euro i genomsnitt då sjukdomskostnadsavdraget har gjorts för de inkomstklasser som har grundavdrag. För pensionärerna som i medeltal har högre sjukdomskostnadsavdrag blir effekten större. För den decil som hade högst sjukdomskostnadsavdrag, 1</w:t>
      </w:r>
      <w:r>
        <w:t> </w:t>
      </w:r>
      <w:r w:rsidR="0017083A">
        <w:t>208 euro i avdrag, och en exempel-årsinkomst efter övriga avdrag på cirka 25</w:t>
      </w:r>
      <w:r>
        <w:t> </w:t>
      </w:r>
      <w:r w:rsidR="0017083A">
        <w:t xml:space="preserve">000 euro </w:t>
      </w:r>
      <w:r w:rsidR="004C3A49">
        <w:t>beräknas</w:t>
      </w:r>
      <w:r w:rsidR="0017083A">
        <w:t xml:space="preserve"> grundavdraget (enligt det avdrag som tillämpades 2023) </w:t>
      </w:r>
      <w:r w:rsidR="00F97F6C">
        <w:t xml:space="preserve">öka </w:t>
      </w:r>
      <w:r w:rsidR="0017083A">
        <w:t>med över 100 euro då sjukdomskostnadsavdraget beaktats.</w:t>
      </w:r>
    </w:p>
    <w:p w14:paraId="2EDDE60A" w14:textId="017E9C69" w:rsidR="004C3A49" w:rsidRPr="00533430" w:rsidRDefault="004C3A49" w:rsidP="0017083A">
      <w:pPr>
        <w:pStyle w:val="ANormal"/>
      </w:pPr>
      <w:r>
        <w:tab/>
        <w:t>Med hänvisning till att det ännu inte finns statistik som visar utfallet av grundavdraget i dess nu gällande form är det svårt att beräkna effekten av den här föreslagna höjningen av avdragets maxbelopp. I det här skedet bedöms en höjning med 100</w:t>
      </w:r>
      <w:r w:rsidR="00702457">
        <w:t xml:space="preserve"> </w:t>
      </w:r>
      <w:r>
        <w:t xml:space="preserve">euro vara tillräcklig för att kompensera för den effekt som ett avskaffat sjukdomskostnadsavdrag har på grundavdraget. </w:t>
      </w:r>
      <w:r w:rsidR="002F023D">
        <w:t xml:space="preserve">Det kan dock komma att behöva justeras när det finns underlag för att göra </w:t>
      </w:r>
      <w:r w:rsidR="00D01122">
        <w:t>en bättre bedömning</w:t>
      </w:r>
      <w:r w:rsidR="002F023D">
        <w:t xml:space="preserve"> av effekten. </w:t>
      </w:r>
      <w:r>
        <w:t>Den föreslagna höjningen av grundavdraget påverkar dessutom inte bara de som har sjukdomskostnader utan alla skattskyldiga som har rätt att göra grundavdrag.</w:t>
      </w:r>
      <w:r w:rsidR="0068786E">
        <w:t xml:space="preserve"> </w:t>
      </w:r>
      <w:r w:rsidR="0068786E" w:rsidRPr="00533430">
        <w:t xml:space="preserve">Till skillnad från effekten av att sjukdomskostnadsavdraget avskaffas kommer effekten av </w:t>
      </w:r>
      <w:r w:rsidR="00910D7F" w:rsidRPr="00533430">
        <w:t>det höjda</w:t>
      </w:r>
      <w:r w:rsidR="0068786E" w:rsidRPr="00533430">
        <w:t xml:space="preserve"> grundavdraget att synas redan i förskottsinnehållningen under 2025.</w:t>
      </w:r>
    </w:p>
    <w:p w14:paraId="14393744" w14:textId="0F1A01BB" w:rsidR="00DB365E" w:rsidRDefault="00F25F21" w:rsidP="0093536E">
      <w:pPr>
        <w:pStyle w:val="ANormal"/>
      </w:pPr>
      <w:bookmarkStart w:id="20" w:name="_Hlk175663228"/>
      <w:r>
        <w:tab/>
      </w:r>
      <w:r w:rsidR="001B7044" w:rsidRPr="001B7044">
        <w:t>Landskapsregeringen vidtar kompensatoriska åtgärder för att möta de konsekvenser som avskaffandet av sjukdomskostnadsavdraget kan medföra. Åtgärderna kan bestå av både ekonomiskt stöd (det vill säga höjning av bidragsnivåer) samt justering av klient- och patientavgifter. Sådana åtgärder kan exempelvis beröra högkostnadsskydd, tandvård, ökning av minimibeloppet för personligt bruk inom långvarigt service-boende samt avgifter inom barnomsorgen. Det är viktigt att de kompensatoriska åtgärderna utformas så att de gynnar låginkomsttagare och ekonomiskt utsatta personer.</w:t>
      </w:r>
    </w:p>
    <w:bookmarkEnd w:id="20"/>
    <w:p w14:paraId="13A01748" w14:textId="77777777" w:rsidR="00CF09F5" w:rsidRDefault="00CF09F5" w:rsidP="00AE0A17">
      <w:pPr>
        <w:pStyle w:val="ANormal"/>
      </w:pPr>
    </w:p>
    <w:p w14:paraId="349A717C" w14:textId="5275266B" w:rsidR="00CF09F5" w:rsidRDefault="00923C1D" w:rsidP="00923C1D">
      <w:pPr>
        <w:pStyle w:val="RubrikC"/>
      </w:pPr>
      <w:bookmarkStart w:id="21" w:name="_Toc176334215"/>
      <w:r>
        <w:t>4.3 Ekonomiska effekter för kommunerna</w:t>
      </w:r>
      <w:bookmarkEnd w:id="21"/>
    </w:p>
    <w:p w14:paraId="58EC04C6" w14:textId="77777777" w:rsidR="00923C1D" w:rsidRDefault="00923C1D" w:rsidP="00923C1D">
      <w:pPr>
        <w:pStyle w:val="Rubrikmellanrum"/>
      </w:pPr>
    </w:p>
    <w:p w14:paraId="711E0B35" w14:textId="0682B72B" w:rsidR="00923C1D" w:rsidRDefault="00923C1D" w:rsidP="00923C1D">
      <w:pPr>
        <w:pStyle w:val="ANormal"/>
      </w:pPr>
      <w:r>
        <w:tab/>
        <w:t xml:space="preserve">För kommunerna innebär färre avdrag att skatteintäkterna ökar. </w:t>
      </w:r>
      <w:r w:rsidRPr="00BE2306">
        <w:t>Sjukdomskostnadsavdraget utgjorde sammantaget 5</w:t>
      </w:r>
      <w:r w:rsidR="00D5687A">
        <w:t> </w:t>
      </w:r>
      <w:r w:rsidRPr="00BE2306">
        <w:t>617</w:t>
      </w:r>
      <w:r w:rsidR="00D5687A">
        <w:t> </w:t>
      </w:r>
      <w:r w:rsidRPr="00BE2306">
        <w:t>605 euro 2022 (5</w:t>
      </w:r>
      <w:r w:rsidR="00D5687A">
        <w:t> </w:t>
      </w:r>
      <w:r w:rsidRPr="00BE2306">
        <w:t>419</w:t>
      </w:r>
      <w:r w:rsidR="00D5687A">
        <w:t> </w:t>
      </w:r>
      <w:r w:rsidRPr="00BE2306">
        <w:t xml:space="preserve">632 euro 2021) och </w:t>
      </w:r>
      <w:r w:rsidR="00D01122">
        <w:t xml:space="preserve">enligt </w:t>
      </w:r>
      <w:r w:rsidR="00DD25BC">
        <w:t>ÅSUB</w:t>
      </w:r>
      <w:r w:rsidR="00D01122">
        <w:t xml:space="preserve"> beräknas det ha </w:t>
      </w:r>
      <w:r w:rsidRPr="00BE2306">
        <w:t>minska</w:t>
      </w:r>
      <w:r w:rsidR="00D01122">
        <w:t>t</w:t>
      </w:r>
      <w:r w:rsidRPr="00BE2306">
        <w:t xml:space="preserve"> kommunalskatten med cirka 960</w:t>
      </w:r>
      <w:r w:rsidR="00D5687A">
        <w:t> </w:t>
      </w:r>
      <w:r w:rsidRPr="00BE2306">
        <w:t>000 euro 2022 (c</w:t>
      </w:r>
      <w:r w:rsidR="004C3A77">
        <w:t>irk</w:t>
      </w:r>
      <w:r w:rsidRPr="00BE2306">
        <w:t>a 950</w:t>
      </w:r>
      <w:r w:rsidR="00D5687A">
        <w:t> </w:t>
      </w:r>
      <w:r w:rsidRPr="00BE2306">
        <w:t>000 euro 2021).</w:t>
      </w:r>
      <w:r>
        <w:t xml:space="preserve"> När avdraget avskaffas kommer skatteintäkterna således att öka i motsvarande grad.</w:t>
      </w:r>
    </w:p>
    <w:p w14:paraId="1E585523" w14:textId="365F363F" w:rsidR="00D2620B" w:rsidRDefault="00D2620B" w:rsidP="00923C1D">
      <w:pPr>
        <w:pStyle w:val="ANormal"/>
      </w:pPr>
      <w:r>
        <w:tab/>
      </w:r>
      <w:r w:rsidR="00445A35">
        <w:t>Att sjukdomskostnadsavdraget avskaffas har också en sänkande effekt på grundavdraget för de skattskyldiga som har sjukdomskostnader och får göra grundavdrag.</w:t>
      </w:r>
      <w:r w:rsidR="00DD3ACF">
        <w:t xml:space="preserve"> Det skulle samtidigt innebära att kommunernas skatteintäkter skulle öka ytterligare. </w:t>
      </w:r>
      <w:r w:rsidR="00EC6D52">
        <w:t xml:space="preserve">Den effekten uteblir dock eftersom grundavdragets maxbelopp föreslås bli höjt. </w:t>
      </w:r>
      <w:r w:rsidR="00531643">
        <w:t>H</w:t>
      </w:r>
      <w:r w:rsidR="00EC6D52">
        <w:t>öjningen</w:t>
      </w:r>
      <w:r w:rsidR="00531643">
        <w:t xml:space="preserve"> av grundavdraget</w:t>
      </w:r>
      <w:r w:rsidR="00EC6D52">
        <w:t xml:space="preserve"> gäller för alla skattskyldiga och inte bara </w:t>
      </w:r>
      <w:r w:rsidR="00531643">
        <w:t xml:space="preserve">för </w:t>
      </w:r>
      <w:r w:rsidR="00EC6D52">
        <w:t xml:space="preserve">dem som har sjukdomskostnader. Hur förslaget till den delen påverkar kommunernas skatteintäkter är </w:t>
      </w:r>
      <w:r w:rsidR="00F119E3">
        <w:t xml:space="preserve">dock </w:t>
      </w:r>
      <w:r w:rsidR="00EC6D52">
        <w:t>svårbedömt</w:t>
      </w:r>
      <w:r w:rsidR="00F119E3">
        <w:t>. Dessutom kompenseras</w:t>
      </w:r>
      <w:r w:rsidR="00F119E3" w:rsidRPr="00F119E3">
        <w:t xml:space="preserve"> </w:t>
      </w:r>
      <w:r w:rsidR="00F119E3">
        <w:t>kommunerna</w:t>
      </w:r>
      <w:r w:rsidR="00F119E3" w:rsidRPr="00F119E3">
        <w:t xml:space="preserve"> </w:t>
      </w:r>
      <w:r w:rsidR="00F119E3">
        <w:t xml:space="preserve">sedan 2023 </w:t>
      </w:r>
      <w:r>
        <w:t>till 70</w:t>
      </w:r>
      <w:r w:rsidR="00702457">
        <w:t xml:space="preserve"> </w:t>
      </w:r>
      <w:r>
        <w:t>procent av landskapet</w:t>
      </w:r>
      <w:r w:rsidR="0037576E">
        <w:t xml:space="preserve"> för </w:t>
      </w:r>
      <w:r w:rsidR="0037576E">
        <w:lastRenderedPageBreak/>
        <w:t>den förlust av skatteintäkter som beror på resekostnadsavdraget och grundavdraget</w:t>
      </w:r>
      <w:r>
        <w:rPr>
          <w:rStyle w:val="Fotnotsreferens"/>
        </w:rPr>
        <w:footnoteReference w:id="6"/>
      </w:r>
      <w:r>
        <w:t>.</w:t>
      </w:r>
      <w:r w:rsidR="00B55FDD">
        <w:t xml:space="preserve"> Avsikten är dock att den kompensationen ska justeras </w:t>
      </w:r>
      <w:r w:rsidR="003A44B2">
        <w:t>i syfte att fördela de ökade intäkterna mellan landskapet och kommunerna</w:t>
      </w:r>
      <w:r w:rsidR="00B55FDD">
        <w:t xml:space="preserve">. Landskapsregeringen </w:t>
      </w:r>
      <w:r w:rsidR="003A44B2">
        <w:t>avser</w:t>
      </w:r>
      <w:r w:rsidR="009D1A9C">
        <w:t xml:space="preserve"> att </w:t>
      </w:r>
      <w:r w:rsidR="00B55FDD">
        <w:t>återkomm</w:t>
      </w:r>
      <w:r w:rsidR="009D1A9C">
        <w:t>a</w:t>
      </w:r>
      <w:r w:rsidR="00B55FDD">
        <w:t xml:space="preserve"> med ett </w:t>
      </w:r>
      <w:r w:rsidR="009D1A9C">
        <w:t xml:space="preserve">separat </w:t>
      </w:r>
      <w:r w:rsidR="00B55FDD">
        <w:t xml:space="preserve">lagförslag i det ärendet </w:t>
      </w:r>
      <w:r w:rsidR="00D01122">
        <w:t>under hösten</w:t>
      </w:r>
      <w:r w:rsidR="00B55FDD">
        <w:t>.</w:t>
      </w:r>
    </w:p>
    <w:p w14:paraId="7FAD9878" w14:textId="77777777" w:rsidR="00923C1D" w:rsidRPr="00923C1D" w:rsidRDefault="00923C1D" w:rsidP="00923C1D">
      <w:pPr>
        <w:pStyle w:val="ANormal"/>
      </w:pPr>
    </w:p>
    <w:p w14:paraId="42D3F72B" w14:textId="37552981" w:rsidR="00CF09F5" w:rsidRDefault="00923C1D" w:rsidP="00923C1D">
      <w:pPr>
        <w:pStyle w:val="RubrikC"/>
      </w:pPr>
      <w:bookmarkStart w:id="22" w:name="_Toc176334216"/>
      <w:r>
        <w:t>4.4 Ekonomiska effekter för landskapet</w:t>
      </w:r>
      <w:bookmarkEnd w:id="22"/>
    </w:p>
    <w:p w14:paraId="3BD3C594" w14:textId="77777777" w:rsidR="00923C1D" w:rsidRPr="00923C1D" w:rsidRDefault="00923C1D" w:rsidP="00923C1D">
      <w:pPr>
        <w:pStyle w:val="Rubrikmellanrum"/>
      </w:pPr>
    </w:p>
    <w:p w14:paraId="75D5082C" w14:textId="2C27E1BE" w:rsidR="007A3DD9" w:rsidRDefault="00FB16B9" w:rsidP="00AE0A17">
      <w:pPr>
        <w:pStyle w:val="ANormal"/>
      </w:pPr>
      <w:r>
        <w:t>Skatteuppbörden på Åland sköts av Skatteförvaltningen med stöd av en överenskommelseförordning</w:t>
      </w:r>
      <w:r>
        <w:rPr>
          <w:rStyle w:val="Fotnotsreferens"/>
        </w:rPr>
        <w:footnoteReference w:id="7"/>
      </w:r>
      <w:r>
        <w:t xml:space="preserve">. Enligt förordningen </w:t>
      </w:r>
      <w:r w:rsidR="000E5043">
        <w:t xml:space="preserve">svarar landskapet för </w:t>
      </w:r>
      <w:r w:rsidR="000E5043" w:rsidRPr="000E5043">
        <w:t>de kostnader som orsakas av särdrag i lagstiftningen om kommunalskatt och fastighetsskatt i landskapet</w:t>
      </w:r>
      <w:r w:rsidR="000E5043">
        <w:t xml:space="preserve"> </w:t>
      </w:r>
      <w:r w:rsidR="000E5043" w:rsidRPr="000E5043">
        <w:t>samt för kostnader för de förvaltningsuppgifter som hänför sig till medieavgiften</w:t>
      </w:r>
      <w:r w:rsidR="000E5043">
        <w:t>. Landskapsregeringen</w:t>
      </w:r>
      <w:r w:rsidR="000E5043" w:rsidRPr="000E5043">
        <w:t xml:space="preserve"> </w:t>
      </w:r>
      <w:r w:rsidR="000E5043">
        <w:t xml:space="preserve">och Skatteförvaltningen avtalar årligen om kostnadsansvaret. </w:t>
      </w:r>
      <w:r w:rsidR="00C450C4">
        <w:t>Kostnaden varierar beroende på de ändringar som utförs. För skatteåret 2024 uppgår totalkostnaden till 193</w:t>
      </w:r>
      <w:r w:rsidR="00702457">
        <w:t> </w:t>
      </w:r>
      <w:r w:rsidR="00C450C4">
        <w:t>000 euro, inklusive kostnaden för medieavgiften som uppgår till 15</w:t>
      </w:r>
      <w:r w:rsidR="00702457">
        <w:t> </w:t>
      </w:r>
      <w:r w:rsidR="00C450C4">
        <w:t>000 euro.</w:t>
      </w:r>
    </w:p>
    <w:p w14:paraId="05BCA5B7" w14:textId="16DCEAD5" w:rsidR="00C450C4" w:rsidRDefault="000E5043" w:rsidP="00C450C4">
      <w:pPr>
        <w:pStyle w:val="ANormal"/>
      </w:pPr>
      <w:r>
        <w:tab/>
      </w:r>
      <w:r w:rsidR="00C450C4">
        <w:t xml:space="preserve">Skatteförvaltningen har preliminärt uppskattat inbesparingar och kostnader </w:t>
      </w:r>
      <w:r w:rsidR="00CF5103">
        <w:t>ifall</w:t>
      </w:r>
      <w:r w:rsidR="00C450C4">
        <w:t xml:space="preserve"> sjukdomskostnadsavdraget</w:t>
      </w:r>
      <w:r w:rsidR="00C450C4" w:rsidRPr="00C450C4">
        <w:t xml:space="preserve"> </w:t>
      </w:r>
      <w:r w:rsidR="00C450C4">
        <w:t>skulle</w:t>
      </w:r>
      <w:r w:rsidR="00C450C4" w:rsidRPr="00C450C4">
        <w:t xml:space="preserve"> </w:t>
      </w:r>
      <w:r w:rsidR="00C450C4">
        <w:t>avskaffas. Av de</w:t>
      </w:r>
      <w:r w:rsidR="00CF5103">
        <w:t>t</w:t>
      </w:r>
      <w:r w:rsidR="00C450C4">
        <w:t xml:space="preserve"> </w:t>
      </w:r>
      <w:r w:rsidR="00CF5103">
        <w:t>belopp</w:t>
      </w:r>
      <w:r w:rsidR="00C450C4">
        <w:t xml:space="preserve"> som </w:t>
      </w:r>
      <w:r w:rsidR="00CF5103">
        <w:t xml:space="preserve">landskapsregeringen årligen betalar till </w:t>
      </w:r>
      <w:r w:rsidR="00C450C4">
        <w:t>Skatteförvaltningen kan 20</w:t>
      </w:r>
      <w:r w:rsidR="00702457">
        <w:t> </w:t>
      </w:r>
      <w:r w:rsidR="00C450C4">
        <w:t>000 euro härledas till sjukdomskostnadsavdraget och handlägg</w:t>
      </w:r>
      <w:r w:rsidR="00CF5103">
        <w:t>ningen av det</w:t>
      </w:r>
      <w:r w:rsidR="00C450C4">
        <w:t xml:space="preserve">. </w:t>
      </w:r>
      <w:r>
        <w:t>Kostnaden</w:t>
      </w:r>
      <w:r w:rsidR="00C450C4">
        <w:t xml:space="preserve"> skulle</w:t>
      </w:r>
      <w:r>
        <w:t xml:space="preserve"> således</w:t>
      </w:r>
      <w:r w:rsidR="00C450C4">
        <w:t xml:space="preserve"> minska med 20</w:t>
      </w:r>
      <w:r w:rsidR="00702457">
        <w:t> </w:t>
      </w:r>
      <w:r w:rsidR="00C450C4">
        <w:t>000 euro årligen vid ett avskaffande av sjukdomskostnadsavdraget.</w:t>
      </w:r>
    </w:p>
    <w:p w14:paraId="50CE8758" w14:textId="529E311A" w:rsidR="00C450C4" w:rsidRDefault="000E5043" w:rsidP="00C450C4">
      <w:pPr>
        <w:pStyle w:val="ANormal"/>
      </w:pPr>
      <w:r>
        <w:tab/>
        <w:t>En a</w:t>
      </w:r>
      <w:r w:rsidR="00C450C4">
        <w:t xml:space="preserve">vveckling av avdraget skulle </w:t>
      </w:r>
      <w:r w:rsidR="00CF5103">
        <w:t>dock</w:t>
      </w:r>
      <w:r w:rsidR="00C450C4">
        <w:t xml:space="preserve"> </w:t>
      </w:r>
      <w:r w:rsidR="00CF5103">
        <w:t>samtidigt</w:t>
      </w:r>
      <w:r w:rsidR="00C450C4">
        <w:t xml:space="preserve"> förutsätta ändringar i Skatteförvaltningens datasystem, bland annat </w:t>
      </w:r>
      <w:r w:rsidR="00CF5103">
        <w:t>när det gäller</w:t>
      </w:r>
      <w:r w:rsidR="00C450C4">
        <w:t xml:space="preserve"> skatteberäkningen, e-tjänsten MinSkatt och handläggarskärmar med behov av omfattande testning, ändringar i </w:t>
      </w:r>
      <w:r w:rsidR="00CF5103">
        <w:t>blanketter</w:t>
      </w:r>
      <w:r w:rsidR="00C450C4">
        <w:t xml:space="preserve"> och anvisningar. En uppskattad engångskostnad för externt systemarbete uppgår till 80 000–100</w:t>
      </w:r>
      <w:r w:rsidR="00702457">
        <w:t> </w:t>
      </w:r>
      <w:r w:rsidR="00C450C4">
        <w:t>000 euro och därtill kommer vissa underhållskostnader under sju följande år sammanlagt 11</w:t>
      </w:r>
      <w:r w:rsidR="00702457">
        <w:t> </w:t>
      </w:r>
      <w:r w:rsidR="00C450C4">
        <w:t>700 euro per år. Utöver detta krävs skolning för handläggarna samt uppdateringar i anvisningar som uppgår till cirka 1</w:t>
      </w:r>
      <w:r w:rsidR="00702457">
        <w:t> </w:t>
      </w:r>
      <w:r w:rsidR="00C450C4">
        <w:t xml:space="preserve">000 euro. </w:t>
      </w:r>
      <w:r w:rsidR="004D5FF8" w:rsidRPr="0095401C">
        <w:t xml:space="preserve">I tabellen nedan visas en uppskattning av hur avskaffandet av sjukdomskostnadsavdraget påverkar det belopp landskapsregeringen årligen betalar </w:t>
      </w:r>
      <w:r w:rsidR="002E7CB6" w:rsidRPr="0095401C">
        <w:t>till Skatteförvaltningen. Uppskattningen har gjorts utgående från</w:t>
      </w:r>
      <w:r w:rsidR="00C450C4" w:rsidRPr="0095401C">
        <w:t xml:space="preserve"> att den totala kostnaden </w:t>
      </w:r>
      <w:r w:rsidR="00DD25BC" w:rsidRPr="0095401C">
        <w:t xml:space="preserve">i övrigt </w:t>
      </w:r>
      <w:r w:rsidR="00C450C4" w:rsidRPr="0095401C">
        <w:t>hålls på 2024 års nivå</w:t>
      </w:r>
      <w:r w:rsidR="002E7CB6" w:rsidRPr="0095401C">
        <w:t xml:space="preserve"> (193 000 euro)</w:t>
      </w:r>
      <w:r w:rsidR="00C450C4" w:rsidRPr="0095401C">
        <w:t>.</w:t>
      </w:r>
    </w:p>
    <w:p w14:paraId="0750D940" w14:textId="77777777" w:rsidR="000E5043" w:rsidRDefault="000E5043" w:rsidP="000E5043"/>
    <w:tbl>
      <w:tblPr>
        <w:tblW w:w="7300" w:type="dxa"/>
        <w:tblLayout w:type="fixed"/>
        <w:tblCellMar>
          <w:left w:w="70" w:type="dxa"/>
          <w:right w:w="70" w:type="dxa"/>
        </w:tblCellMar>
        <w:tblLook w:val="04A0" w:firstRow="1" w:lastRow="0" w:firstColumn="1" w:lastColumn="0" w:noHBand="0" w:noVBand="1"/>
      </w:tblPr>
      <w:tblGrid>
        <w:gridCol w:w="1600"/>
        <w:gridCol w:w="814"/>
        <w:gridCol w:w="814"/>
        <w:gridCol w:w="814"/>
        <w:gridCol w:w="815"/>
        <w:gridCol w:w="814"/>
        <w:gridCol w:w="814"/>
        <w:gridCol w:w="815"/>
      </w:tblGrid>
      <w:tr w:rsidR="00DD25BC" w:rsidRPr="00DD25BC" w14:paraId="18FB956E" w14:textId="77777777" w:rsidTr="00DD25BC">
        <w:trPr>
          <w:trHeight w:val="290"/>
        </w:trPr>
        <w:tc>
          <w:tcPr>
            <w:tcW w:w="1600" w:type="dxa"/>
            <w:tcBorders>
              <w:top w:val="nil"/>
              <w:left w:val="nil"/>
              <w:bottom w:val="nil"/>
              <w:right w:val="nil"/>
            </w:tcBorders>
            <w:shd w:val="clear" w:color="auto" w:fill="auto"/>
            <w:noWrap/>
            <w:vAlign w:val="bottom"/>
            <w:hideMark/>
          </w:tcPr>
          <w:p w14:paraId="317A1F08" w14:textId="77777777" w:rsidR="00DD25BC" w:rsidRPr="00DD25BC" w:rsidRDefault="00DD25BC" w:rsidP="0083665A">
            <w:pPr>
              <w:keepNext/>
              <w:rPr>
                <w:rFonts w:ascii="Arial" w:hAnsi="Arial" w:cs="Arial"/>
                <w:sz w:val="18"/>
                <w:szCs w:val="18"/>
                <w:lang w:val="sv-FI" w:eastAsia="sv-FI"/>
              </w:rPr>
            </w:pPr>
          </w:p>
        </w:tc>
        <w:tc>
          <w:tcPr>
            <w:tcW w:w="814" w:type="dxa"/>
            <w:tcBorders>
              <w:top w:val="nil"/>
              <w:left w:val="nil"/>
              <w:bottom w:val="nil"/>
              <w:right w:val="nil"/>
            </w:tcBorders>
            <w:shd w:val="clear" w:color="auto" w:fill="auto"/>
            <w:noWrap/>
            <w:vAlign w:val="bottom"/>
            <w:hideMark/>
          </w:tcPr>
          <w:p w14:paraId="3505513F" w14:textId="53662719" w:rsidR="00DD25BC" w:rsidRPr="00DD25BC" w:rsidRDefault="00DD25BC" w:rsidP="0083665A">
            <w:pPr>
              <w:keepNext/>
              <w:jc w:val="center"/>
              <w:rPr>
                <w:rFonts w:ascii="Arial" w:hAnsi="Arial" w:cs="Arial"/>
                <w:b/>
                <w:bCs/>
                <w:color w:val="000000"/>
                <w:sz w:val="18"/>
                <w:szCs w:val="18"/>
                <w:lang w:val="sv-FI" w:eastAsia="sv-FI"/>
              </w:rPr>
            </w:pPr>
            <w:r>
              <w:rPr>
                <w:rFonts w:ascii="Arial" w:hAnsi="Arial" w:cs="Arial"/>
                <w:b/>
                <w:bCs/>
                <w:color w:val="000000"/>
                <w:sz w:val="18"/>
                <w:szCs w:val="18"/>
                <w:lang w:val="sv-FI" w:eastAsia="sv-FI"/>
              </w:rPr>
              <w:t>2025</w:t>
            </w:r>
          </w:p>
        </w:tc>
        <w:tc>
          <w:tcPr>
            <w:tcW w:w="814" w:type="dxa"/>
            <w:tcBorders>
              <w:top w:val="nil"/>
              <w:left w:val="nil"/>
              <w:bottom w:val="nil"/>
              <w:right w:val="nil"/>
            </w:tcBorders>
            <w:shd w:val="clear" w:color="auto" w:fill="auto"/>
            <w:noWrap/>
            <w:vAlign w:val="bottom"/>
            <w:hideMark/>
          </w:tcPr>
          <w:p w14:paraId="280AA179" w14:textId="03A28327" w:rsidR="00DD25BC" w:rsidRPr="00DD25BC" w:rsidRDefault="00DD25BC" w:rsidP="0083665A">
            <w:pPr>
              <w:keepNext/>
              <w:jc w:val="center"/>
              <w:rPr>
                <w:rFonts w:ascii="Arial" w:hAnsi="Arial" w:cs="Arial"/>
                <w:b/>
                <w:bCs/>
                <w:color w:val="000000"/>
                <w:sz w:val="18"/>
                <w:szCs w:val="18"/>
                <w:lang w:val="sv-FI" w:eastAsia="sv-FI"/>
              </w:rPr>
            </w:pPr>
            <w:r>
              <w:rPr>
                <w:rFonts w:ascii="Arial" w:hAnsi="Arial" w:cs="Arial"/>
                <w:b/>
                <w:bCs/>
                <w:color w:val="000000"/>
                <w:sz w:val="18"/>
                <w:szCs w:val="18"/>
                <w:lang w:val="sv-FI" w:eastAsia="sv-FI"/>
              </w:rPr>
              <w:t>2026</w:t>
            </w:r>
          </w:p>
        </w:tc>
        <w:tc>
          <w:tcPr>
            <w:tcW w:w="814" w:type="dxa"/>
            <w:tcBorders>
              <w:top w:val="nil"/>
              <w:left w:val="nil"/>
              <w:bottom w:val="nil"/>
              <w:right w:val="nil"/>
            </w:tcBorders>
            <w:shd w:val="clear" w:color="auto" w:fill="auto"/>
            <w:noWrap/>
            <w:vAlign w:val="bottom"/>
            <w:hideMark/>
          </w:tcPr>
          <w:p w14:paraId="3AE172A7" w14:textId="1E7E0F18" w:rsidR="00DD25BC" w:rsidRPr="00DD25BC" w:rsidRDefault="00DD25BC" w:rsidP="0083665A">
            <w:pPr>
              <w:keepNext/>
              <w:jc w:val="center"/>
              <w:rPr>
                <w:rFonts w:ascii="Arial" w:hAnsi="Arial" w:cs="Arial"/>
                <w:b/>
                <w:bCs/>
                <w:color w:val="000000"/>
                <w:sz w:val="18"/>
                <w:szCs w:val="18"/>
                <w:lang w:val="sv-FI" w:eastAsia="sv-FI"/>
              </w:rPr>
            </w:pPr>
            <w:r>
              <w:rPr>
                <w:rFonts w:ascii="Arial" w:hAnsi="Arial" w:cs="Arial"/>
                <w:b/>
                <w:bCs/>
                <w:color w:val="000000"/>
                <w:sz w:val="18"/>
                <w:szCs w:val="18"/>
                <w:lang w:val="sv-FI" w:eastAsia="sv-FI"/>
              </w:rPr>
              <w:t>2027</w:t>
            </w:r>
          </w:p>
        </w:tc>
        <w:tc>
          <w:tcPr>
            <w:tcW w:w="815" w:type="dxa"/>
            <w:tcBorders>
              <w:top w:val="nil"/>
              <w:left w:val="nil"/>
              <w:bottom w:val="nil"/>
              <w:right w:val="nil"/>
            </w:tcBorders>
            <w:shd w:val="clear" w:color="auto" w:fill="auto"/>
            <w:noWrap/>
            <w:vAlign w:val="bottom"/>
            <w:hideMark/>
          </w:tcPr>
          <w:p w14:paraId="75F84662" w14:textId="14A34BEF" w:rsidR="00DD25BC" w:rsidRPr="00DD25BC" w:rsidRDefault="00DD25BC" w:rsidP="0083665A">
            <w:pPr>
              <w:keepNext/>
              <w:jc w:val="center"/>
              <w:rPr>
                <w:rFonts w:ascii="Arial" w:hAnsi="Arial" w:cs="Arial"/>
                <w:b/>
                <w:bCs/>
                <w:color w:val="000000"/>
                <w:sz w:val="18"/>
                <w:szCs w:val="18"/>
                <w:lang w:val="sv-FI" w:eastAsia="sv-FI"/>
              </w:rPr>
            </w:pPr>
            <w:r>
              <w:rPr>
                <w:rFonts w:ascii="Arial" w:hAnsi="Arial" w:cs="Arial"/>
                <w:b/>
                <w:bCs/>
                <w:color w:val="000000"/>
                <w:sz w:val="18"/>
                <w:szCs w:val="18"/>
                <w:lang w:val="sv-FI" w:eastAsia="sv-FI"/>
              </w:rPr>
              <w:t>2028</w:t>
            </w:r>
          </w:p>
        </w:tc>
        <w:tc>
          <w:tcPr>
            <w:tcW w:w="814" w:type="dxa"/>
            <w:tcBorders>
              <w:top w:val="nil"/>
              <w:left w:val="nil"/>
              <w:bottom w:val="nil"/>
              <w:right w:val="nil"/>
            </w:tcBorders>
            <w:shd w:val="clear" w:color="auto" w:fill="auto"/>
            <w:noWrap/>
            <w:vAlign w:val="bottom"/>
            <w:hideMark/>
          </w:tcPr>
          <w:p w14:paraId="50B11603" w14:textId="7B04E0B1" w:rsidR="00DD25BC" w:rsidRPr="00DD25BC" w:rsidRDefault="00DD25BC" w:rsidP="0083665A">
            <w:pPr>
              <w:keepNext/>
              <w:jc w:val="center"/>
              <w:rPr>
                <w:rFonts w:ascii="Arial" w:hAnsi="Arial" w:cs="Arial"/>
                <w:b/>
                <w:bCs/>
                <w:color w:val="000000"/>
                <w:sz w:val="18"/>
                <w:szCs w:val="18"/>
                <w:lang w:val="sv-FI" w:eastAsia="sv-FI"/>
              </w:rPr>
            </w:pPr>
            <w:r>
              <w:rPr>
                <w:rFonts w:ascii="Arial" w:hAnsi="Arial" w:cs="Arial"/>
                <w:b/>
                <w:bCs/>
                <w:color w:val="000000"/>
                <w:sz w:val="18"/>
                <w:szCs w:val="18"/>
                <w:lang w:val="sv-FI" w:eastAsia="sv-FI"/>
              </w:rPr>
              <w:t>2029</w:t>
            </w:r>
          </w:p>
        </w:tc>
        <w:tc>
          <w:tcPr>
            <w:tcW w:w="814" w:type="dxa"/>
            <w:tcBorders>
              <w:top w:val="nil"/>
              <w:left w:val="nil"/>
              <w:bottom w:val="nil"/>
              <w:right w:val="nil"/>
            </w:tcBorders>
            <w:shd w:val="clear" w:color="auto" w:fill="auto"/>
            <w:noWrap/>
            <w:vAlign w:val="bottom"/>
            <w:hideMark/>
          </w:tcPr>
          <w:p w14:paraId="34A64709" w14:textId="02D20E24" w:rsidR="00DD25BC" w:rsidRPr="00DD25BC" w:rsidRDefault="00DD25BC" w:rsidP="0083665A">
            <w:pPr>
              <w:keepNext/>
              <w:jc w:val="center"/>
              <w:rPr>
                <w:rFonts w:ascii="Arial" w:hAnsi="Arial" w:cs="Arial"/>
                <w:b/>
                <w:bCs/>
                <w:color w:val="000000"/>
                <w:sz w:val="18"/>
                <w:szCs w:val="18"/>
                <w:lang w:val="sv-FI" w:eastAsia="sv-FI"/>
              </w:rPr>
            </w:pPr>
            <w:r>
              <w:rPr>
                <w:rFonts w:ascii="Arial" w:hAnsi="Arial" w:cs="Arial"/>
                <w:b/>
                <w:bCs/>
                <w:color w:val="000000"/>
                <w:sz w:val="18"/>
                <w:szCs w:val="18"/>
                <w:lang w:val="sv-FI" w:eastAsia="sv-FI"/>
              </w:rPr>
              <w:t>2030</w:t>
            </w:r>
          </w:p>
        </w:tc>
        <w:tc>
          <w:tcPr>
            <w:tcW w:w="815" w:type="dxa"/>
            <w:tcBorders>
              <w:top w:val="nil"/>
              <w:left w:val="nil"/>
              <w:bottom w:val="nil"/>
              <w:right w:val="nil"/>
            </w:tcBorders>
            <w:shd w:val="clear" w:color="auto" w:fill="auto"/>
            <w:noWrap/>
            <w:vAlign w:val="bottom"/>
            <w:hideMark/>
          </w:tcPr>
          <w:p w14:paraId="69FFE4DB" w14:textId="79575645" w:rsidR="00DD25BC" w:rsidRPr="00DD25BC" w:rsidRDefault="00DD25BC" w:rsidP="0083665A">
            <w:pPr>
              <w:keepNext/>
              <w:jc w:val="center"/>
              <w:rPr>
                <w:rFonts w:ascii="Arial" w:hAnsi="Arial" w:cs="Arial"/>
                <w:b/>
                <w:bCs/>
                <w:color w:val="000000"/>
                <w:sz w:val="18"/>
                <w:szCs w:val="18"/>
                <w:lang w:val="sv-FI" w:eastAsia="sv-FI"/>
              </w:rPr>
            </w:pPr>
            <w:r>
              <w:rPr>
                <w:rFonts w:ascii="Arial" w:hAnsi="Arial" w:cs="Arial"/>
                <w:b/>
                <w:bCs/>
                <w:color w:val="000000"/>
                <w:sz w:val="18"/>
                <w:szCs w:val="18"/>
                <w:lang w:val="sv-FI" w:eastAsia="sv-FI"/>
              </w:rPr>
              <w:t>2031</w:t>
            </w:r>
          </w:p>
        </w:tc>
      </w:tr>
      <w:tr w:rsidR="00DD25BC" w:rsidRPr="00DD25BC" w14:paraId="5D4FE9AF" w14:textId="77777777" w:rsidTr="00DD25BC">
        <w:trPr>
          <w:trHeight w:val="290"/>
        </w:trPr>
        <w:tc>
          <w:tcPr>
            <w:tcW w:w="1600" w:type="dxa"/>
            <w:tcBorders>
              <w:top w:val="nil"/>
              <w:left w:val="nil"/>
              <w:bottom w:val="nil"/>
              <w:right w:val="nil"/>
            </w:tcBorders>
            <w:shd w:val="clear" w:color="auto" w:fill="auto"/>
            <w:noWrap/>
            <w:vAlign w:val="bottom"/>
            <w:hideMark/>
          </w:tcPr>
          <w:p w14:paraId="06A057B5" w14:textId="23C276B7" w:rsidR="00DD25BC" w:rsidRPr="00DD25BC" w:rsidRDefault="004D5FF8" w:rsidP="0083665A">
            <w:pPr>
              <w:keepNext/>
              <w:rPr>
                <w:rFonts w:ascii="Arial" w:hAnsi="Arial" w:cs="Arial"/>
                <w:b/>
                <w:bCs/>
                <w:color w:val="000000"/>
                <w:sz w:val="18"/>
                <w:szCs w:val="18"/>
                <w:lang w:val="sv-FI" w:eastAsia="sv-FI"/>
              </w:rPr>
            </w:pPr>
            <w:r>
              <w:rPr>
                <w:rFonts w:ascii="Arial" w:hAnsi="Arial" w:cs="Arial"/>
                <w:b/>
                <w:bCs/>
                <w:color w:val="000000"/>
                <w:sz w:val="18"/>
                <w:szCs w:val="18"/>
                <w:lang w:val="sv-FI" w:eastAsia="sv-FI"/>
              </w:rPr>
              <w:t>Å</w:t>
            </w:r>
            <w:r w:rsidR="00DD25BC" w:rsidRPr="00DD25BC">
              <w:rPr>
                <w:rFonts w:ascii="Arial" w:hAnsi="Arial" w:cs="Arial"/>
                <w:b/>
                <w:bCs/>
                <w:color w:val="000000"/>
                <w:sz w:val="18"/>
                <w:szCs w:val="18"/>
                <w:lang w:val="sv-FI" w:eastAsia="sv-FI"/>
              </w:rPr>
              <w:t>rskostnad</w:t>
            </w:r>
            <w:r w:rsidR="00A4282D">
              <w:rPr>
                <w:rFonts w:ascii="Arial" w:hAnsi="Arial" w:cs="Arial"/>
                <w:b/>
                <w:bCs/>
                <w:color w:val="000000"/>
                <w:sz w:val="18"/>
                <w:szCs w:val="18"/>
                <w:lang w:val="sv-FI" w:eastAsia="sv-FI"/>
              </w:rPr>
              <w:t xml:space="preserve"> </w:t>
            </w:r>
            <w:r w:rsidR="00A4282D" w:rsidRPr="0095401C">
              <w:rPr>
                <w:rFonts w:ascii="Arial" w:hAnsi="Arial" w:cs="Arial"/>
                <w:b/>
                <w:bCs/>
                <w:color w:val="000000"/>
                <w:sz w:val="18"/>
                <w:szCs w:val="18"/>
                <w:lang w:val="sv-FI" w:eastAsia="sv-FI"/>
              </w:rPr>
              <w:t>2024</w:t>
            </w:r>
          </w:p>
        </w:tc>
        <w:tc>
          <w:tcPr>
            <w:tcW w:w="814" w:type="dxa"/>
            <w:tcBorders>
              <w:top w:val="nil"/>
              <w:left w:val="nil"/>
              <w:bottom w:val="nil"/>
              <w:right w:val="nil"/>
            </w:tcBorders>
            <w:shd w:val="clear" w:color="auto" w:fill="auto"/>
            <w:noWrap/>
            <w:vAlign w:val="bottom"/>
            <w:hideMark/>
          </w:tcPr>
          <w:p w14:paraId="50517DD0" w14:textId="04939C62" w:rsidR="00DD25BC" w:rsidRPr="00DD25BC" w:rsidRDefault="00DD25BC" w:rsidP="0083665A">
            <w:pPr>
              <w:keepNext/>
              <w:jc w:val="right"/>
              <w:rPr>
                <w:rFonts w:ascii="Arial" w:hAnsi="Arial" w:cs="Arial"/>
                <w:color w:val="000000"/>
                <w:sz w:val="18"/>
                <w:szCs w:val="18"/>
                <w:lang w:val="sv-FI" w:eastAsia="sv-FI"/>
              </w:rPr>
            </w:pPr>
            <w:r w:rsidRPr="00DD25BC">
              <w:rPr>
                <w:rFonts w:ascii="Arial" w:hAnsi="Arial" w:cs="Arial"/>
                <w:color w:val="000000"/>
                <w:sz w:val="18"/>
                <w:szCs w:val="18"/>
                <w:lang w:val="sv-FI" w:eastAsia="sv-FI"/>
              </w:rPr>
              <w:t>193</w:t>
            </w:r>
            <w:r w:rsidR="00702457">
              <w:rPr>
                <w:rFonts w:ascii="Arial" w:hAnsi="Arial" w:cs="Arial"/>
                <w:color w:val="000000"/>
                <w:sz w:val="18"/>
                <w:szCs w:val="18"/>
                <w:lang w:val="sv-FI" w:eastAsia="sv-FI"/>
              </w:rPr>
              <w:t> </w:t>
            </w:r>
            <w:r w:rsidRPr="00DD25BC">
              <w:rPr>
                <w:rFonts w:ascii="Arial" w:hAnsi="Arial" w:cs="Arial"/>
                <w:color w:val="000000"/>
                <w:sz w:val="18"/>
                <w:szCs w:val="18"/>
                <w:lang w:val="sv-FI" w:eastAsia="sv-FI"/>
              </w:rPr>
              <w:t>000</w:t>
            </w:r>
          </w:p>
        </w:tc>
        <w:tc>
          <w:tcPr>
            <w:tcW w:w="814" w:type="dxa"/>
            <w:tcBorders>
              <w:top w:val="nil"/>
              <w:left w:val="nil"/>
              <w:bottom w:val="nil"/>
              <w:right w:val="nil"/>
            </w:tcBorders>
            <w:shd w:val="clear" w:color="auto" w:fill="auto"/>
            <w:noWrap/>
            <w:vAlign w:val="bottom"/>
            <w:hideMark/>
          </w:tcPr>
          <w:p w14:paraId="61548434" w14:textId="7D4FE6B5" w:rsidR="00DD25BC" w:rsidRPr="00DD25BC" w:rsidRDefault="00DD25BC" w:rsidP="0083665A">
            <w:pPr>
              <w:keepNext/>
              <w:jc w:val="right"/>
              <w:rPr>
                <w:rFonts w:ascii="Arial" w:hAnsi="Arial" w:cs="Arial"/>
                <w:color w:val="000000"/>
                <w:sz w:val="18"/>
                <w:szCs w:val="18"/>
                <w:lang w:val="sv-FI" w:eastAsia="sv-FI"/>
              </w:rPr>
            </w:pPr>
            <w:r w:rsidRPr="00DD25BC">
              <w:rPr>
                <w:rFonts w:ascii="Arial" w:hAnsi="Arial" w:cs="Arial"/>
                <w:color w:val="000000"/>
                <w:sz w:val="18"/>
                <w:szCs w:val="18"/>
                <w:lang w:val="sv-FI" w:eastAsia="sv-FI"/>
              </w:rPr>
              <w:t>193</w:t>
            </w:r>
            <w:r w:rsidR="00702457">
              <w:rPr>
                <w:rFonts w:ascii="Arial" w:hAnsi="Arial" w:cs="Arial"/>
                <w:color w:val="000000"/>
                <w:sz w:val="18"/>
                <w:szCs w:val="18"/>
                <w:lang w:val="sv-FI" w:eastAsia="sv-FI"/>
              </w:rPr>
              <w:t> </w:t>
            </w:r>
            <w:r w:rsidRPr="00DD25BC">
              <w:rPr>
                <w:rFonts w:ascii="Arial" w:hAnsi="Arial" w:cs="Arial"/>
                <w:color w:val="000000"/>
                <w:sz w:val="18"/>
                <w:szCs w:val="18"/>
                <w:lang w:val="sv-FI" w:eastAsia="sv-FI"/>
              </w:rPr>
              <w:t>000</w:t>
            </w:r>
          </w:p>
        </w:tc>
        <w:tc>
          <w:tcPr>
            <w:tcW w:w="814" w:type="dxa"/>
            <w:tcBorders>
              <w:top w:val="nil"/>
              <w:left w:val="nil"/>
              <w:bottom w:val="nil"/>
              <w:right w:val="nil"/>
            </w:tcBorders>
            <w:shd w:val="clear" w:color="auto" w:fill="auto"/>
            <w:noWrap/>
            <w:vAlign w:val="bottom"/>
            <w:hideMark/>
          </w:tcPr>
          <w:p w14:paraId="0260B176" w14:textId="663EF4E4" w:rsidR="00DD25BC" w:rsidRPr="00DD25BC" w:rsidRDefault="00DD25BC" w:rsidP="0083665A">
            <w:pPr>
              <w:keepNext/>
              <w:jc w:val="right"/>
              <w:rPr>
                <w:rFonts w:ascii="Arial" w:hAnsi="Arial" w:cs="Arial"/>
                <w:color w:val="000000"/>
                <w:sz w:val="18"/>
                <w:szCs w:val="18"/>
                <w:lang w:val="sv-FI" w:eastAsia="sv-FI"/>
              </w:rPr>
            </w:pPr>
            <w:r w:rsidRPr="00DD25BC">
              <w:rPr>
                <w:rFonts w:ascii="Arial" w:hAnsi="Arial" w:cs="Arial"/>
                <w:color w:val="000000"/>
                <w:sz w:val="18"/>
                <w:szCs w:val="18"/>
                <w:lang w:val="sv-FI" w:eastAsia="sv-FI"/>
              </w:rPr>
              <w:t>193</w:t>
            </w:r>
            <w:r w:rsidR="00702457">
              <w:rPr>
                <w:rFonts w:ascii="Arial" w:hAnsi="Arial" w:cs="Arial"/>
                <w:color w:val="000000"/>
                <w:sz w:val="18"/>
                <w:szCs w:val="18"/>
                <w:lang w:val="sv-FI" w:eastAsia="sv-FI"/>
              </w:rPr>
              <w:t> </w:t>
            </w:r>
            <w:r w:rsidRPr="00DD25BC">
              <w:rPr>
                <w:rFonts w:ascii="Arial" w:hAnsi="Arial" w:cs="Arial"/>
                <w:color w:val="000000"/>
                <w:sz w:val="18"/>
                <w:szCs w:val="18"/>
                <w:lang w:val="sv-FI" w:eastAsia="sv-FI"/>
              </w:rPr>
              <w:t>000</w:t>
            </w:r>
          </w:p>
        </w:tc>
        <w:tc>
          <w:tcPr>
            <w:tcW w:w="815" w:type="dxa"/>
            <w:tcBorders>
              <w:top w:val="nil"/>
              <w:left w:val="nil"/>
              <w:bottom w:val="nil"/>
              <w:right w:val="nil"/>
            </w:tcBorders>
            <w:shd w:val="clear" w:color="auto" w:fill="auto"/>
            <w:noWrap/>
            <w:vAlign w:val="bottom"/>
            <w:hideMark/>
          </w:tcPr>
          <w:p w14:paraId="5284A4ED" w14:textId="43CBF523" w:rsidR="00DD25BC" w:rsidRPr="00DD25BC" w:rsidRDefault="00DD25BC" w:rsidP="0083665A">
            <w:pPr>
              <w:keepNext/>
              <w:jc w:val="right"/>
              <w:rPr>
                <w:rFonts w:ascii="Arial" w:hAnsi="Arial" w:cs="Arial"/>
                <w:color w:val="000000"/>
                <w:sz w:val="18"/>
                <w:szCs w:val="18"/>
                <w:lang w:val="sv-FI" w:eastAsia="sv-FI"/>
              </w:rPr>
            </w:pPr>
            <w:r w:rsidRPr="00DD25BC">
              <w:rPr>
                <w:rFonts w:ascii="Arial" w:hAnsi="Arial" w:cs="Arial"/>
                <w:color w:val="000000"/>
                <w:sz w:val="18"/>
                <w:szCs w:val="18"/>
                <w:lang w:val="sv-FI" w:eastAsia="sv-FI"/>
              </w:rPr>
              <w:t>193</w:t>
            </w:r>
            <w:r w:rsidR="00702457">
              <w:rPr>
                <w:rFonts w:ascii="Arial" w:hAnsi="Arial" w:cs="Arial"/>
                <w:color w:val="000000"/>
                <w:sz w:val="18"/>
                <w:szCs w:val="18"/>
                <w:lang w:val="sv-FI" w:eastAsia="sv-FI"/>
              </w:rPr>
              <w:t> </w:t>
            </w:r>
            <w:r w:rsidRPr="00DD25BC">
              <w:rPr>
                <w:rFonts w:ascii="Arial" w:hAnsi="Arial" w:cs="Arial"/>
                <w:color w:val="000000"/>
                <w:sz w:val="18"/>
                <w:szCs w:val="18"/>
                <w:lang w:val="sv-FI" w:eastAsia="sv-FI"/>
              </w:rPr>
              <w:t>000</w:t>
            </w:r>
          </w:p>
        </w:tc>
        <w:tc>
          <w:tcPr>
            <w:tcW w:w="814" w:type="dxa"/>
            <w:tcBorders>
              <w:top w:val="nil"/>
              <w:left w:val="nil"/>
              <w:bottom w:val="nil"/>
              <w:right w:val="nil"/>
            </w:tcBorders>
            <w:shd w:val="clear" w:color="auto" w:fill="auto"/>
            <w:noWrap/>
            <w:vAlign w:val="bottom"/>
            <w:hideMark/>
          </w:tcPr>
          <w:p w14:paraId="45B8069F" w14:textId="3AFB663D" w:rsidR="00DD25BC" w:rsidRPr="00DD25BC" w:rsidRDefault="00DD25BC" w:rsidP="0083665A">
            <w:pPr>
              <w:keepNext/>
              <w:jc w:val="right"/>
              <w:rPr>
                <w:rFonts w:ascii="Arial" w:hAnsi="Arial" w:cs="Arial"/>
                <w:color w:val="000000"/>
                <w:sz w:val="18"/>
                <w:szCs w:val="18"/>
                <w:lang w:val="sv-FI" w:eastAsia="sv-FI"/>
              </w:rPr>
            </w:pPr>
            <w:r w:rsidRPr="00DD25BC">
              <w:rPr>
                <w:rFonts w:ascii="Arial" w:hAnsi="Arial" w:cs="Arial"/>
                <w:color w:val="000000"/>
                <w:sz w:val="18"/>
                <w:szCs w:val="18"/>
                <w:lang w:val="sv-FI" w:eastAsia="sv-FI"/>
              </w:rPr>
              <w:t>193</w:t>
            </w:r>
            <w:r w:rsidR="00702457">
              <w:rPr>
                <w:rFonts w:ascii="Arial" w:hAnsi="Arial" w:cs="Arial"/>
                <w:color w:val="000000"/>
                <w:sz w:val="18"/>
                <w:szCs w:val="18"/>
                <w:lang w:val="sv-FI" w:eastAsia="sv-FI"/>
              </w:rPr>
              <w:t> </w:t>
            </w:r>
            <w:r w:rsidRPr="00DD25BC">
              <w:rPr>
                <w:rFonts w:ascii="Arial" w:hAnsi="Arial" w:cs="Arial"/>
                <w:color w:val="000000"/>
                <w:sz w:val="18"/>
                <w:szCs w:val="18"/>
                <w:lang w:val="sv-FI" w:eastAsia="sv-FI"/>
              </w:rPr>
              <w:t>000</w:t>
            </w:r>
          </w:p>
        </w:tc>
        <w:tc>
          <w:tcPr>
            <w:tcW w:w="814" w:type="dxa"/>
            <w:tcBorders>
              <w:top w:val="nil"/>
              <w:left w:val="nil"/>
              <w:bottom w:val="nil"/>
              <w:right w:val="nil"/>
            </w:tcBorders>
            <w:shd w:val="clear" w:color="auto" w:fill="auto"/>
            <w:noWrap/>
            <w:vAlign w:val="bottom"/>
            <w:hideMark/>
          </w:tcPr>
          <w:p w14:paraId="3FE2C92B" w14:textId="3B522EF3" w:rsidR="00DD25BC" w:rsidRPr="00DD25BC" w:rsidRDefault="00DD25BC" w:rsidP="0083665A">
            <w:pPr>
              <w:keepNext/>
              <w:jc w:val="right"/>
              <w:rPr>
                <w:rFonts w:ascii="Arial" w:hAnsi="Arial" w:cs="Arial"/>
                <w:color w:val="000000"/>
                <w:sz w:val="18"/>
                <w:szCs w:val="18"/>
                <w:lang w:val="sv-FI" w:eastAsia="sv-FI"/>
              </w:rPr>
            </w:pPr>
            <w:r w:rsidRPr="00DD25BC">
              <w:rPr>
                <w:rFonts w:ascii="Arial" w:hAnsi="Arial" w:cs="Arial"/>
                <w:color w:val="000000"/>
                <w:sz w:val="18"/>
                <w:szCs w:val="18"/>
                <w:lang w:val="sv-FI" w:eastAsia="sv-FI"/>
              </w:rPr>
              <w:t>193</w:t>
            </w:r>
            <w:r w:rsidR="00702457">
              <w:rPr>
                <w:rFonts w:ascii="Arial" w:hAnsi="Arial" w:cs="Arial"/>
                <w:color w:val="000000"/>
                <w:sz w:val="18"/>
                <w:szCs w:val="18"/>
                <w:lang w:val="sv-FI" w:eastAsia="sv-FI"/>
              </w:rPr>
              <w:t> </w:t>
            </w:r>
            <w:r w:rsidRPr="00DD25BC">
              <w:rPr>
                <w:rFonts w:ascii="Arial" w:hAnsi="Arial" w:cs="Arial"/>
                <w:color w:val="000000"/>
                <w:sz w:val="18"/>
                <w:szCs w:val="18"/>
                <w:lang w:val="sv-FI" w:eastAsia="sv-FI"/>
              </w:rPr>
              <w:t>000</w:t>
            </w:r>
          </w:p>
        </w:tc>
        <w:tc>
          <w:tcPr>
            <w:tcW w:w="815" w:type="dxa"/>
            <w:tcBorders>
              <w:top w:val="nil"/>
              <w:left w:val="nil"/>
              <w:bottom w:val="nil"/>
              <w:right w:val="nil"/>
            </w:tcBorders>
            <w:shd w:val="clear" w:color="auto" w:fill="auto"/>
            <w:noWrap/>
            <w:vAlign w:val="bottom"/>
            <w:hideMark/>
          </w:tcPr>
          <w:p w14:paraId="7A4C546E" w14:textId="5BD91619" w:rsidR="00DD25BC" w:rsidRPr="00DD25BC" w:rsidRDefault="00DD25BC" w:rsidP="0083665A">
            <w:pPr>
              <w:keepNext/>
              <w:jc w:val="right"/>
              <w:rPr>
                <w:rFonts w:ascii="Arial" w:hAnsi="Arial" w:cs="Arial"/>
                <w:color w:val="000000"/>
                <w:sz w:val="18"/>
                <w:szCs w:val="18"/>
                <w:lang w:val="sv-FI" w:eastAsia="sv-FI"/>
              </w:rPr>
            </w:pPr>
            <w:r w:rsidRPr="00DD25BC">
              <w:rPr>
                <w:rFonts w:ascii="Arial" w:hAnsi="Arial" w:cs="Arial"/>
                <w:color w:val="000000"/>
                <w:sz w:val="18"/>
                <w:szCs w:val="18"/>
                <w:lang w:val="sv-FI" w:eastAsia="sv-FI"/>
              </w:rPr>
              <w:t>193</w:t>
            </w:r>
            <w:r w:rsidR="00702457">
              <w:rPr>
                <w:rFonts w:ascii="Arial" w:hAnsi="Arial" w:cs="Arial"/>
                <w:color w:val="000000"/>
                <w:sz w:val="18"/>
                <w:szCs w:val="18"/>
                <w:lang w:val="sv-FI" w:eastAsia="sv-FI"/>
              </w:rPr>
              <w:t> </w:t>
            </w:r>
            <w:r w:rsidRPr="00DD25BC">
              <w:rPr>
                <w:rFonts w:ascii="Arial" w:hAnsi="Arial" w:cs="Arial"/>
                <w:color w:val="000000"/>
                <w:sz w:val="18"/>
                <w:szCs w:val="18"/>
                <w:lang w:val="sv-FI" w:eastAsia="sv-FI"/>
              </w:rPr>
              <w:t>000</w:t>
            </w:r>
          </w:p>
        </w:tc>
      </w:tr>
      <w:tr w:rsidR="00DD25BC" w:rsidRPr="00DD25BC" w14:paraId="28EB7424" w14:textId="77777777" w:rsidTr="00DD25BC">
        <w:trPr>
          <w:trHeight w:val="290"/>
        </w:trPr>
        <w:tc>
          <w:tcPr>
            <w:tcW w:w="1600" w:type="dxa"/>
            <w:tcBorders>
              <w:top w:val="nil"/>
              <w:left w:val="nil"/>
              <w:bottom w:val="nil"/>
              <w:right w:val="nil"/>
            </w:tcBorders>
            <w:shd w:val="clear" w:color="auto" w:fill="auto"/>
            <w:noWrap/>
            <w:vAlign w:val="bottom"/>
            <w:hideMark/>
          </w:tcPr>
          <w:p w14:paraId="5DC4C3CD" w14:textId="77777777" w:rsidR="00DD25BC" w:rsidRPr="00DD25BC" w:rsidRDefault="00DD25BC" w:rsidP="0083665A">
            <w:pPr>
              <w:keepNext/>
              <w:rPr>
                <w:rFonts w:ascii="Arial" w:hAnsi="Arial" w:cs="Arial"/>
                <w:b/>
                <w:bCs/>
                <w:color w:val="000000"/>
                <w:sz w:val="18"/>
                <w:szCs w:val="18"/>
                <w:lang w:val="sv-FI" w:eastAsia="sv-FI"/>
              </w:rPr>
            </w:pPr>
            <w:r w:rsidRPr="00DD25BC">
              <w:rPr>
                <w:rFonts w:ascii="Arial" w:hAnsi="Arial" w:cs="Arial"/>
                <w:b/>
                <w:bCs/>
                <w:color w:val="000000"/>
                <w:sz w:val="18"/>
                <w:szCs w:val="18"/>
                <w:lang w:val="sv-FI" w:eastAsia="sv-FI"/>
              </w:rPr>
              <w:t>Inbesparing</w:t>
            </w:r>
          </w:p>
        </w:tc>
        <w:tc>
          <w:tcPr>
            <w:tcW w:w="814" w:type="dxa"/>
            <w:tcBorders>
              <w:top w:val="nil"/>
              <w:left w:val="nil"/>
              <w:bottom w:val="nil"/>
              <w:right w:val="nil"/>
            </w:tcBorders>
            <w:shd w:val="clear" w:color="auto" w:fill="auto"/>
            <w:noWrap/>
            <w:vAlign w:val="bottom"/>
            <w:hideMark/>
          </w:tcPr>
          <w:p w14:paraId="60987885" w14:textId="34AB3F92" w:rsidR="00DD25BC" w:rsidRPr="00DD25BC" w:rsidRDefault="00DD25BC" w:rsidP="0083665A">
            <w:pPr>
              <w:keepNext/>
              <w:jc w:val="right"/>
              <w:rPr>
                <w:rFonts w:ascii="Arial" w:hAnsi="Arial" w:cs="Arial"/>
                <w:color w:val="000000"/>
                <w:sz w:val="18"/>
                <w:szCs w:val="18"/>
                <w:lang w:val="sv-FI" w:eastAsia="sv-FI"/>
              </w:rPr>
            </w:pPr>
            <w:r w:rsidRPr="00DD25BC">
              <w:rPr>
                <w:rFonts w:ascii="Arial" w:hAnsi="Arial" w:cs="Arial"/>
                <w:color w:val="000000"/>
                <w:sz w:val="18"/>
                <w:szCs w:val="18"/>
                <w:lang w:val="sv-FI" w:eastAsia="sv-FI"/>
              </w:rPr>
              <w:t>-20</w:t>
            </w:r>
            <w:r w:rsidR="00702457">
              <w:rPr>
                <w:rFonts w:ascii="Arial" w:hAnsi="Arial" w:cs="Arial"/>
                <w:color w:val="000000"/>
                <w:sz w:val="18"/>
                <w:szCs w:val="18"/>
                <w:lang w:val="sv-FI" w:eastAsia="sv-FI"/>
              </w:rPr>
              <w:t> </w:t>
            </w:r>
            <w:r w:rsidRPr="00DD25BC">
              <w:rPr>
                <w:rFonts w:ascii="Arial" w:hAnsi="Arial" w:cs="Arial"/>
                <w:color w:val="000000"/>
                <w:sz w:val="18"/>
                <w:szCs w:val="18"/>
                <w:lang w:val="sv-FI" w:eastAsia="sv-FI"/>
              </w:rPr>
              <w:t>000</w:t>
            </w:r>
          </w:p>
        </w:tc>
        <w:tc>
          <w:tcPr>
            <w:tcW w:w="814" w:type="dxa"/>
            <w:tcBorders>
              <w:top w:val="nil"/>
              <w:left w:val="nil"/>
              <w:bottom w:val="nil"/>
              <w:right w:val="nil"/>
            </w:tcBorders>
            <w:shd w:val="clear" w:color="auto" w:fill="auto"/>
            <w:noWrap/>
            <w:vAlign w:val="bottom"/>
            <w:hideMark/>
          </w:tcPr>
          <w:p w14:paraId="5454797B" w14:textId="647713E7" w:rsidR="00DD25BC" w:rsidRPr="00DD25BC" w:rsidRDefault="00DD25BC" w:rsidP="0083665A">
            <w:pPr>
              <w:keepNext/>
              <w:jc w:val="right"/>
              <w:rPr>
                <w:rFonts w:ascii="Arial" w:hAnsi="Arial" w:cs="Arial"/>
                <w:color w:val="000000"/>
                <w:sz w:val="18"/>
                <w:szCs w:val="18"/>
                <w:lang w:val="sv-FI" w:eastAsia="sv-FI"/>
              </w:rPr>
            </w:pPr>
            <w:r w:rsidRPr="00DD25BC">
              <w:rPr>
                <w:rFonts w:ascii="Arial" w:hAnsi="Arial" w:cs="Arial"/>
                <w:color w:val="000000"/>
                <w:sz w:val="18"/>
                <w:szCs w:val="18"/>
                <w:lang w:val="sv-FI" w:eastAsia="sv-FI"/>
              </w:rPr>
              <w:t>-20</w:t>
            </w:r>
            <w:r w:rsidR="00702457">
              <w:rPr>
                <w:rFonts w:ascii="Arial" w:hAnsi="Arial" w:cs="Arial"/>
                <w:color w:val="000000"/>
                <w:sz w:val="18"/>
                <w:szCs w:val="18"/>
                <w:lang w:val="sv-FI" w:eastAsia="sv-FI"/>
              </w:rPr>
              <w:t> </w:t>
            </w:r>
            <w:r w:rsidRPr="00DD25BC">
              <w:rPr>
                <w:rFonts w:ascii="Arial" w:hAnsi="Arial" w:cs="Arial"/>
                <w:color w:val="000000"/>
                <w:sz w:val="18"/>
                <w:szCs w:val="18"/>
                <w:lang w:val="sv-FI" w:eastAsia="sv-FI"/>
              </w:rPr>
              <w:t>000</w:t>
            </w:r>
          </w:p>
        </w:tc>
        <w:tc>
          <w:tcPr>
            <w:tcW w:w="814" w:type="dxa"/>
            <w:tcBorders>
              <w:top w:val="nil"/>
              <w:left w:val="nil"/>
              <w:bottom w:val="nil"/>
              <w:right w:val="nil"/>
            </w:tcBorders>
            <w:shd w:val="clear" w:color="auto" w:fill="auto"/>
            <w:noWrap/>
            <w:vAlign w:val="bottom"/>
            <w:hideMark/>
          </w:tcPr>
          <w:p w14:paraId="47C5447E" w14:textId="033FF47B" w:rsidR="00DD25BC" w:rsidRPr="00DD25BC" w:rsidRDefault="00DD25BC" w:rsidP="0083665A">
            <w:pPr>
              <w:keepNext/>
              <w:jc w:val="right"/>
              <w:rPr>
                <w:rFonts w:ascii="Arial" w:hAnsi="Arial" w:cs="Arial"/>
                <w:color w:val="000000"/>
                <w:sz w:val="18"/>
                <w:szCs w:val="18"/>
                <w:lang w:val="sv-FI" w:eastAsia="sv-FI"/>
              </w:rPr>
            </w:pPr>
            <w:r w:rsidRPr="00DD25BC">
              <w:rPr>
                <w:rFonts w:ascii="Arial" w:hAnsi="Arial" w:cs="Arial"/>
                <w:color w:val="000000"/>
                <w:sz w:val="18"/>
                <w:szCs w:val="18"/>
                <w:lang w:val="sv-FI" w:eastAsia="sv-FI"/>
              </w:rPr>
              <w:t>-20</w:t>
            </w:r>
            <w:r w:rsidR="00702457">
              <w:rPr>
                <w:rFonts w:ascii="Arial" w:hAnsi="Arial" w:cs="Arial"/>
                <w:color w:val="000000"/>
                <w:sz w:val="18"/>
                <w:szCs w:val="18"/>
                <w:lang w:val="sv-FI" w:eastAsia="sv-FI"/>
              </w:rPr>
              <w:t> </w:t>
            </w:r>
            <w:r w:rsidRPr="00DD25BC">
              <w:rPr>
                <w:rFonts w:ascii="Arial" w:hAnsi="Arial" w:cs="Arial"/>
                <w:color w:val="000000"/>
                <w:sz w:val="18"/>
                <w:szCs w:val="18"/>
                <w:lang w:val="sv-FI" w:eastAsia="sv-FI"/>
              </w:rPr>
              <w:t>000</w:t>
            </w:r>
          </w:p>
        </w:tc>
        <w:tc>
          <w:tcPr>
            <w:tcW w:w="815" w:type="dxa"/>
            <w:tcBorders>
              <w:top w:val="nil"/>
              <w:left w:val="nil"/>
              <w:bottom w:val="nil"/>
              <w:right w:val="nil"/>
            </w:tcBorders>
            <w:shd w:val="clear" w:color="auto" w:fill="auto"/>
            <w:noWrap/>
            <w:vAlign w:val="bottom"/>
            <w:hideMark/>
          </w:tcPr>
          <w:p w14:paraId="75E16352" w14:textId="6721A98A" w:rsidR="00DD25BC" w:rsidRPr="00DD25BC" w:rsidRDefault="00DD25BC" w:rsidP="0083665A">
            <w:pPr>
              <w:keepNext/>
              <w:jc w:val="right"/>
              <w:rPr>
                <w:rFonts w:ascii="Arial" w:hAnsi="Arial" w:cs="Arial"/>
                <w:color w:val="000000"/>
                <w:sz w:val="18"/>
                <w:szCs w:val="18"/>
                <w:lang w:val="sv-FI" w:eastAsia="sv-FI"/>
              </w:rPr>
            </w:pPr>
            <w:r w:rsidRPr="00DD25BC">
              <w:rPr>
                <w:rFonts w:ascii="Arial" w:hAnsi="Arial" w:cs="Arial"/>
                <w:color w:val="000000"/>
                <w:sz w:val="18"/>
                <w:szCs w:val="18"/>
                <w:lang w:val="sv-FI" w:eastAsia="sv-FI"/>
              </w:rPr>
              <w:t>-20</w:t>
            </w:r>
            <w:r w:rsidR="00702457">
              <w:rPr>
                <w:rFonts w:ascii="Arial" w:hAnsi="Arial" w:cs="Arial"/>
                <w:color w:val="000000"/>
                <w:sz w:val="18"/>
                <w:szCs w:val="18"/>
                <w:lang w:val="sv-FI" w:eastAsia="sv-FI"/>
              </w:rPr>
              <w:t> </w:t>
            </w:r>
            <w:r w:rsidRPr="00DD25BC">
              <w:rPr>
                <w:rFonts w:ascii="Arial" w:hAnsi="Arial" w:cs="Arial"/>
                <w:color w:val="000000"/>
                <w:sz w:val="18"/>
                <w:szCs w:val="18"/>
                <w:lang w:val="sv-FI" w:eastAsia="sv-FI"/>
              </w:rPr>
              <w:t>000</w:t>
            </w:r>
          </w:p>
        </w:tc>
        <w:tc>
          <w:tcPr>
            <w:tcW w:w="814" w:type="dxa"/>
            <w:tcBorders>
              <w:top w:val="nil"/>
              <w:left w:val="nil"/>
              <w:bottom w:val="nil"/>
              <w:right w:val="nil"/>
            </w:tcBorders>
            <w:shd w:val="clear" w:color="auto" w:fill="auto"/>
            <w:noWrap/>
            <w:vAlign w:val="bottom"/>
            <w:hideMark/>
          </w:tcPr>
          <w:p w14:paraId="62AC40EA" w14:textId="5B661513" w:rsidR="00DD25BC" w:rsidRPr="00DD25BC" w:rsidRDefault="00DD25BC" w:rsidP="0083665A">
            <w:pPr>
              <w:keepNext/>
              <w:jc w:val="right"/>
              <w:rPr>
                <w:rFonts w:ascii="Arial" w:hAnsi="Arial" w:cs="Arial"/>
                <w:color w:val="000000"/>
                <w:sz w:val="18"/>
                <w:szCs w:val="18"/>
                <w:lang w:val="sv-FI" w:eastAsia="sv-FI"/>
              </w:rPr>
            </w:pPr>
            <w:r w:rsidRPr="00DD25BC">
              <w:rPr>
                <w:rFonts w:ascii="Arial" w:hAnsi="Arial" w:cs="Arial"/>
                <w:color w:val="000000"/>
                <w:sz w:val="18"/>
                <w:szCs w:val="18"/>
                <w:lang w:val="sv-FI" w:eastAsia="sv-FI"/>
              </w:rPr>
              <w:t>-20</w:t>
            </w:r>
            <w:r w:rsidR="00702457">
              <w:rPr>
                <w:rFonts w:ascii="Arial" w:hAnsi="Arial" w:cs="Arial"/>
                <w:color w:val="000000"/>
                <w:sz w:val="18"/>
                <w:szCs w:val="18"/>
                <w:lang w:val="sv-FI" w:eastAsia="sv-FI"/>
              </w:rPr>
              <w:t> </w:t>
            </w:r>
            <w:r w:rsidRPr="00DD25BC">
              <w:rPr>
                <w:rFonts w:ascii="Arial" w:hAnsi="Arial" w:cs="Arial"/>
                <w:color w:val="000000"/>
                <w:sz w:val="18"/>
                <w:szCs w:val="18"/>
                <w:lang w:val="sv-FI" w:eastAsia="sv-FI"/>
              </w:rPr>
              <w:t>000</w:t>
            </w:r>
          </w:p>
        </w:tc>
        <w:tc>
          <w:tcPr>
            <w:tcW w:w="814" w:type="dxa"/>
            <w:tcBorders>
              <w:top w:val="nil"/>
              <w:left w:val="nil"/>
              <w:bottom w:val="nil"/>
              <w:right w:val="nil"/>
            </w:tcBorders>
            <w:shd w:val="clear" w:color="auto" w:fill="auto"/>
            <w:noWrap/>
            <w:vAlign w:val="bottom"/>
            <w:hideMark/>
          </w:tcPr>
          <w:p w14:paraId="0543423A" w14:textId="12A252A9" w:rsidR="00DD25BC" w:rsidRPr="00DD25BC" w:rsidRDefault="00DD25BC" w:rsidP="0083665A">
            <w:pPr>
              <w:keepNext/>
              <w:jc w:val="right"/>
              <w:rPr>
                <w:rFonts w:ascii="Arial" w:hAnsi="Arial" w:cs="Arial"/>
                <w:color w:val="000000"/>
                <w:sz w:val="18"/>
                <w:szCs w:val="18"/>
                <w:lang w:val="sv-FI" w:eastAsia="sv-FI"/>
              </w:rPr>
            </w:pPr>
            <w:r w:rsidRPr="00DD25BC">
              <w:rPr>
                <w:rFonts w:ascii="Arial" w:hAnsi="Arial" w:cs="Arial"/>
                <w:color w:val="000000"/>
                <w:sz w:val="18"/>
                <w:szCs w:val="18"/>
                <w:lang w:val="sv-FI" w:eastAsia="sv-FI"/>
              </w:rPr>
              <w:t>-20</w:t>
            </w:r>
            <w:r w:rsidR="00702457">
              <w:rPr>
                <w:rFonts w:ascii="Arial" w:hAnsi="Arial" w:cs="Arial"/>
                <w:color w:val="000000"/>
                <w:sz w:val="18"/>
                <w:szCs w:val="18"/>
                <w:lang w:val="sv-FI" w:eastAsia="sv-FI"/>
              </w:rPr>
              <w:t> </w:t>
            </w:r>
            <w:r w:rsidRPr="00DD25BC">
              <w:rPr>
                <w:rFonts w:ascii="Arial" w:hAnsi="Arial" w:cs="Arial"/>
                <w:color w:val="000000"/>
                <w:sz w:val="18"/>
                <w:szCs w:val="18"/>
                <w:lang w:val="sv-FI" w:eastAsia="sv-FI"/>
              </w:rPr>
              <w:t>000</w:t>
            </w:r>
          </w:p>
        </w:tc>
        <w:tc>
          <w:tcPr>
            <w:tcW w:w="815" w:type="dxa"/>
            <w:tcBorders>
              <w:top w:val="nil"/>
              <w:left w:val="nil"/>
              <w:bottom w:val="nil"/>
              <w:right w:val="nil"/>
            </w:tcBorders>
            <w:shd w:val="clear" w:color="auto" w:fill="auto"/>
            <w:noWrap/>
            <w:vAlign w:val="bottom"/>
            <w:hideMark/>
          </w:tcPr>
          <w:p w14:paraId="00507029" w14:textId="44153EB7" w:rsidR="00DD25BC" w:rsidRPr="00DD25BC" w:rsidRDefault="00DD25BC" w:rsidP="0083665A">
            <w:pPr>
              <w:keepNext/>
              <w:jc w:val="right"/>
              <w:rPr>
                <w:rFonts w:ascii="Arial" w:hAnsi="Arial" w:cs="Arial"/>
                <w:color w:val="000000"/>
                <w:sz w:val="18"/>
                <w:szCs w:val="18"/>
                <w:lang w:val="sv-FI" w:eastAsia="sv-FI"/>
              </w:rPr>
            </w:pPr>
            <w:r w:rsidRPr="00DD25BC">
              <w:rPr>
                <w:rFonts w:ascii="Arial" w:hAnsi="Arial" w:cs="Arial"/>
                <w:color w:val="000000"/>
                <w:sz w:val="18"/>
                <w:szCs w:val="18"/>
                <w:lang w:val="sv-FI" w:eastAsia="sv-FI"/>
              </w:rPr>
              <w:t>-20</w:t>
            </w:r>
            <w:r w:rsidR="00702457">
              <w:rPr>
                <w:rFonts w:ascii="Arial" w:hAnsi="Arial" w:cs="Arial"/>
                <w:color w:val="000000"/>
                <w:sz w:val="18"/>
                <w:szCs w:val="18"/>
                <w:lang w:val="sv-FI" w:eastAsia="sv-FI"/>
              </w:rPr>
              <w:t> </w:t>
            </w:r>
            <w:r w:rsidRPr="00DD25BC">
              <w:rPr>
                <w:rFonts w:ascii="Arial" w:hAnsi="Arial" w:cs="Arial"/>
                <w:color w:val="000000"/>
                <w:sz w:val="18"/>
                <w:szCs w:val="18"/>
                <w:lang w:val="sv-FI" w:eastAsia="sv-FI"/>
              </w:rPr>
              <w:t>000</w:t>
            </w:r>
          </w:p>
        </w:tc>
      </w:tr>
      <w:tr w:rsidR="00DD25BC" w:rsidRPr="00DD25BC" w14:paraId="41721C3E" w14:textId="77777777" w:rsidTr="00DD25BC">
        <w:trPr>
          <w:trHeight w:val="290"/>
        </w:trPr>
        <w:tc>
          <w:tcPr>
            <w:tcW w:w="1600" w:type="dxa"/>
            <w:tcBorders>
              <w:top w:val="nil"/>
              <w:left w:val="nil"/>
              <w:bottom w:val="nil"/>
              <w:right w:val="nil"/>
            </w:tcBorders>
            <w:shd w:val="clear" w:color="auto" w:fill="auto"/>
            <w:noWrap/>
            <w:vAlign w:val="bottom"/>
            <w:hideMark/>
          </w:tcPr>
          <w:p w14:paraId="6BD3591A" w14:textId="77777777" w:rsidR="00DD25BC" w:rsidRPr="00DD25BC" w:rsidRDefault="00DD25BC" w:rsidP="0083665A">
            <w:pPr>
              <w:keepNext/>
              <w:rPr>
                <w:rFonts w:ascii="Arial" w:hAnsi="Arial" w:cs="Arial"/>
                <w:b/>
                <w:bCs/>
                <w:color w:val="000000"/>
                <w:sz w:val="18"/>
                <w:szCs w:val="18"/>
                <w:lang w:val="sv-FI" w:eastAsia="sv-FI"/>
              </w:rPr>
            </w:pPr>
            <w:r w:rsidRPr="00DD25BC">
              <w:rPr>
                <w:rFonts w:ascii="Arial" w:hAnsi="Arial" w:cs="Arial"/>
                <w:b/>
                <w:bCs/>
                <w:color w:val="000000"/>
                <w:sz w:val="18"/>
                <w:szCs w:val="18"/>
                <w:lang w:val="sv-FI" w:eastAsia="sv-FI"/>
              </w:rPr>
              <w:t>Engångskostnad</w:t>
            </w:r>
          </w:p>
        </w:tc>
        <w:tc>
          <w:tcPr>
            <w:tcW w:w="814" w:type="dxa"/>
            <w:tcBorders>
              <w:top w:val="nil"/>
              <w:left w:val="nil"/>
              <w:bottom w:val="nil"/>
              <w:right w:val="nil"/>
            </w:tcBorders>
            <w:shd w:val="clear" w:color="auto" w:fill="auto"/>
            <w:noWrap/>
            <w:vAlign w:val="bottom"/>
            <w:hideMark/>
          </w:tcPr>
          <w:p w14:paraId="260E225F" w14:textId="5AD11D98" w:rsidR="00DD25BC" w:rsidRPr="00DD25BC" w:rsidRDefault="00DD25BC" w:rsidP="0083665A">
            <w:pPr>
              <w:keepNext/>
              <w:jc w:val="right"/>
              <w:rPr>
                <w:rFonts w:ascii="Arial" w:hAnsi="Arial" w:cs="Arial"/>
                <w:color w:val="000000"/>
                <w:sz w:val="18"/>
                <w:szCs w:val="18"/>
                <w:lang w:val="sv-FI" w:eastAsia="sv-FI"/>
              </w:rPr>
            </w:pPr>
            <w:r w:rsidRPr="00DD25BC">
              <w:rPr>
                <w:rFonts w:ascii="Arial" w:hAnsi="Arial" w:cs="Arial"/>
                <w:color w:val="000000"/>
                <w:sz w:val="18"/>
                <w:szCs w:val="18"/>
                <w:lang w:val="sv-FI" w:eastAsia="sv-FI"/>
              </w:rPr>
              <w:t>100</w:t>
            </w:r>
            <w:r w:rsidR="00702457">
              <w:rPr>
                <w:rFonts w:ascii="Arial" w:hAnsi="Arial" w:cs="Arial"/>
                <w:color w:val="000000"/>
                <w:sz w:val="18"/>
                <w:szCs w:val="18"/>
                <w:lang w:val="sv-FI" w:eastAsia="sv-FI"/>
              </w:rPr>
              <w:t> </w:t>
            </w:r>
            <w:r w:rsidRPr="00DD25BC">
              <w:rPr>
                <w:rFonts w:ascii="Arial" w:hAnsi="Arial" w:cs="Arial"/>
                <w:color w:val="000000"/>
                <w:sz w:val="18"/>
                <w:szCs w:val="18"/>
                <w:lang w:val="sv-FI" w:eastAsia="sv-FI"/>
              </w:rPr>
              <w:t>000</w:t>
            </w:r>
          </w:p>
        </w:tc>
        <w:tc>
          <w:tcPr>
            <w:tcW w:w="814" w:type="dxa"/>
            <w:tcBorders>
              <w:top w:val="nil"/>
              <w:left w:val="nil"/>
              <w:bottom w:val="nil"/>
              <w:right w:val="nil"/>
            </w:tcBorders>
            <w:shd w:val="clear" w:color="auto" w:fill="auto"/>
            <w:noWrap/>
            <w:vAlign w:val="bottom"/>
            <w:hideMark/>
          </w:tcPr>
          <w:p w14:paraId="07496DF5" w14:textId="77777777" w:rsidR="00DD25BC" w:rsidRPr="00DD25BC" w:rsidRDefault="00DD25BC" w:rsidP="0083665A">
            <w:pPr>
              <w:keepNext/>
              <w:jc w:val="right"/>
              <w:rPr>
                <w:rFonts w:ascii="Arial" w:hAnsi="Arial" w:cs="Arial"/>
                <w:color w:val="000000"/>
                <w:sz w:val="18"/>
                <w:szCs w:val="18"/>
                <w:lang w:val="sv-FI" w:eastAsia="sv-FI"/>
              </w:rPr>
            </w:pPr>
          </w:p>
        </w:tc>
        <w:tc>
          <w:tcPr>
            <w:tcW w:w="814" w:type="dxa"/>
            <w:tcBorders>
              <w:top w:val="nil"/>
              <w:left w:val="nil"/>
              <w:bottom w:val="nil"/>
              <w:right w:val="nil"/>
            </w:tcBorders>
            <w:shd w:val="clear" w:color="auto" w:fill="auto"/>
            <w:noWrap/>
            <w:vAlign w:val="bottom"/>
            <w:hideMark/>
          </w:tcPr>
          <w:p w14:paraId="270C0282" w14:textId="77777777" w:rsidR="00DD25BC" w:rsidRPr="00DD25BC" w:rsidRDefault="00DD25BC" w:rsidP="0083665A">
            <w:pPr>
              <w:keepNext/>
              <w:rPr>
                <w:rFonts w:ascii="Arial" w:hAnsi="Arial" w:cs="Arial"/>
                <w:sz w:val="18"/>
                <w:szCs w:val="18"/>
                <w:lang w:val="sv-FI" w:eastAsia="sv-FI"/>
              </w:rPr>
            </w:pPr>
          </w:p>
        </w:tc>
        <w:tc>
          <w:tcPr>
            <w:tcW w:w="815" w:type="dxa"/>
            <w:tcBorders>
              <w:top w:val="nil"/>
              <w:left w:val="nil"/>
              <w:bottom w:val="nil"/>
              <w:right w:val="nil"/>
            </w:tcBorders>
            <w:shd w:val="clear" w:color="auto" w:fill="auto"/>
            <w:noWrap/>
            <w:vAlign w:val="bottom"/>
            <w:hideMark/>
          </w:tcPr>
          <w:p w14:paraId="12C8F90A" w14:textId="77777777" w:rsidR="00DD25BC" w:rsidRPr="00DD25BC" w:rsidRDefault="00DD25BC" w:rsidP="0083665A">
            <w:pPr>
              <w:keepNext/>
              <w:rPr>
                <w:rFonts w:ascii="Arial" w:hAnsi="Arial" w:cs="Arial"/>
                <w:sz w:val="18"/>
                <w:szCs w:val="18"/>
                <w:lang w:val="sv-FI" w:eastAsia="sv-FI"/>
              </w:rPr>
            </w:pPr>
          </w:p>
        </w:tc>
        <w:tc>
          <w:tcPr>
            <w:tcW w:w="814" w:type="dxa"/>
            <w:tcBorders>
              <w:top w:val="nil"/>
              <w:left w:val="nil"/>
              <w:bottom w:val="nil"/>
              <w:right w:val="nil"/>
            </w:tcBorders>
            <w:shd w:val="clear" w:color="auto" w:fill="auto"/>
            <w:noWrap/>
            <w:vAlign w:val="bottom"/>
            <w:hideMark/>
          </w:tcPr>
          <w:p w14:paraId="4306B6DF" w14:textId="77777777" w:rsidR="00DD25BC" w:rsidRPr="00DD25BC" w:rsidRDefault="00DD25BC" w:rsidP="0083665A">
            <w:pPr>
              <w:keepNext/>
              <w:rPr>
                <w:rFonts w:ascii="Arial" w:hAnsi="Arial" w:cs="Arial"/>
                <w:sz w:val="18"/>
                <w:szCs w:val="18"/>
                <w:lang w:val="sv-FI" w:eastAsia="sv-FI"/>
              </w:rPr>
            </w:pPr>
          </w:p>
        </w:tc>
        <w:tc>
          <w:tcPr>
            <w:tcW w:w="814" w:type="dxa"/>
            <w:tcBorders>
              <w:top w:val="nil"/>
              <w:left w:val="nil"/>
              <w:bottom w:val="nil"/>
              <w:right w:val="nil"/>
            </w:tcBorders>
            <w:shd w:val="clear" w:color="auto" w:fill="auto"/>
            <w:noWrap/>
            <w:vAlign w:val="bottom"/>
            <w:hideMark/>
          </w:tcPr>
          <w:p w14:paraId="73A2525D" w14:textId="77777777" w:rsidR="00DD25BC" w:rsidRPr="00DD25BC" w:rsidRDefault="00DD25BC" w:rsidP="0083665A">
            <w:pPr>
              <w:keepNext/>
              <w:rPr>
                <w:rFonts w:ascii="Arial" w:hAnsi="Arial" w:cs="Arial"/>
                <w:sz w:val="18"/>
                <w:szCs w:val="18"/>
                <w:lang w:val="sv-FI" w:eastAsia="sv-FI"/>
              </w:rPr>
            </w:pPr>
          </w:p>
        </w:tc>
        <w:tc>
          <w:tcPr>
            <w:tcW w:w="815" w:type="dxa"/>
            <w:tcBorders>
              <w:top w:val="nil"/>
              <w:left w:val="nil"/>
              <w:bottom w:val="nil"/>
              <w:right w:val="nil"/>
            </w:tcBorders>
            <w:shd w:val="clear" w:color="auto" w:fill="auto"/>
            <w:noWrap/>
            <w:vAlign w:val="bottom"/>
            <w:hideMark/>
          </w:tcPr>
          <w:p w14:paraId="353EB352" w14:textId="77777777" w:rsidR="00DD25BC" w:rsidRPr="00DD25BC" w:rsidRDefault="00DD25BC" w:rsidP="0083665A">
            <w:pPr>
              <w:keepNext/>
              <w:rPr>
                <w:rFonts w:ascii="Arial" w:hAnsi="Arial" w:cs="Arial"/>
                <w:sz w:val="18"/>
                <w:szCs w:val="18"/>
                <w:lang w:val="sv-FI" w:eastAsia="sv-FI"/>
              </w:rPr>
            </w:pPr>
          </w:p>
        </w:tc>
      </w:tr>
      <w:tr w:rsidR="00DD25BC" w:rsidRPr="00DD25BC" w14:paraId="2DFE6203" w14:textId="77777777" w:rsidTr="00DD25BC">
        <w:trPr>
          <w:trHeight w:val="290"/>
        </w:trPr>
        <w:tc>
          <w:tcPr>
            <w:tcW w:w="1600" w:type="dxa"/>
            <w:tcBorders>
              <w:top w:val="nil"/>
              <w:left w:val="nil"/>
              <w:bottom w:val="nil"/>
              <w:right w:val="nil"/>
            </w:tcBorders>
            <w:shd w:val="clear" w:color="auto" w:fill="auto"/>
            <w:noWrap/>
            <w:vAlign w:val="bottom"/>
            <w:hideMark/>
          </w:tcPr>
          <w:p w14:paraId="51B24CFD" w14:textId="77777777" w:rsidR="00DD25BC" w:rsidRPr="00DD25BC" w:rsidRDefault="00DD25BC" w:rsidP="0083665A">
            <w:pPr>
              <w:keepNext/>
              <w:rPr>
                <w:rFonts w:ascii="Arial" w:hAnsi="Arial" w:cs="Arial"/>
                <w:b/>
                <w:bCs/>
                <w:color w:val="000000"/>
                <w:sz w:val="18"/>
                <w:szCs w:val="18"/>
                <w:lang w:val="sv-FI" w:eastAsia="sv-FI"/>
              </w:rPr>
            </w:pPr>
            <w:r w:rsidRPr="00DD25BC">
              <w:rPr>
                <w:rFonts w:ascii="Arial" w:hAnsi="Arial" w:cs="Arial"/>
                <w:b/>
                <w:bCs/>
                <w:color w:val="000000"/>
                <w:sz w:val="18"/>
                <w:szCs w:val="18"/>
                <w:lang w:val="sv-FI" w:eastAsia="sv-FI"/>
              </w:rPr>
              <w:t>Underhåll</w:t>
            </w:r>
          </w:p>
        </w:tc>
        <w:tc>
          <w:tcPr>
            <w:tcW w:w="814" w:type="dxa"/>
            <w:tcBorders>
              <w:top w:val="nil"/>
              <w:left w:val="nil"/>
              <w:bottom w:val="nil"/>
              <w:right w:val="nil"/>
            </w:tcBorders>
            <w:shd w:val="clear" w:color="auto" w:fill="auto"/>
            <w:noWrap/>
            <w:vAlign w:val="bottom"/>
            <w:hideMark/>
          </w:tcPr>
          <w:p w14:paraId="40407747" w14:textId="77777777" w:rsidR="00DD25BC" w:rsidRPr="00DD25BC" w:rsidRDefault="00DD25BC" w:rsidP="0083665A">
            <w:pPr>
              <w:keepNext/>
              <w:rPr>
                <w:rFonts w:ascii="Arial" w:hAnsi="Arial" w:cs="Arial"/>
                <w:b/>
                <w:bCs/>
                <w:color w:val="000000"/>
                <w:sz w:val="18"/>
                <w:szCs w:val="18"/>
                <w:lang w:val="sv-FI" w:eastAsia="sv-FI"/>
              </w:rPr>
            </w:pPr>
          </w:p>
        </w:tc>
        <w:tc>
          <w:tcPr>
            <w:tcW w:w="814" w:type="dxa"/>
            <w:tcBorders>
              <w:top w:val="nil"/>
              <w:left w:val="nil"/>
              <w:bottom w:val="nil"/>
              <w:right w:val="nil"/>
            </w:tcBorders>
            <w:shd w:val="clear" w:color="auto" w:fill="auto"/>
            <w:noWrap/>
            <w:vAlign w:val="bottom"/>
            <w:hideMark/>
          </w:tcPr>
          <w:p w14:paraId="042CB1D1" w14:textId="176AB180" w:rsidR="00DD25BC" w:rsidRPr="00DD25BC" w:rsidRDefault="00DD25BC" w:rsidP="0083665A">
            <w:pPr>
              <w:keepNext/>
              <w:jc w:val="right"/>
              <w:rPr>
                <w:rFonts w:ascii="Arial" w:hAnsi="Arial" w:cs="Arial"/>
                <w:color w:val="000000"/>
                <w:sz w:val="18"/>
                <w:szCs w:val="18"/>
                <w:lang w:val="sv-FI" w:eastAsia="sv-FI"/>
              </w:rPr>
            </w:pPr>
            <w:r w:rsidRPr="00DD25BC">
              <w:rPr>
                <w:rFonts w:ascii="Arial" w:hAnsi="Arial" w:cs="Arial"/>
                <w:color w:val="000000"/>
                <w:sz w:val="18"/>
                <w:szCs w:val="18"/>
                <w:lang w:val="sv-FI" w:eastAsia="sv-FI"/>
              </w:rPr>
              <w:t>11</w:t>
            </w:r>
            <w:r w:rsidR="00702457">
              <w:rPr>
                <w:rFonts w:ascii="Arial" w:hAnsi="Arial" w:cs="Arial"/>
                <w:color w:val="000000"/>
                <w:sz w:val="18"/>
                <w:szCs w:val="18"/>
                <w:lang w:val="sv-FI" w:eastAsia="sv-FI"/>
              </w:rPr>
              <w:t> </w:t>
            </w:r>
            <w:r w:rsidRPr="00DD25BC">
              <w:rPr>
                <w:rFonts w:ascii="Arial" w:hAnsi="Arial" w:cs="Arial"/>
                <w:color w:val="000000"/>
                <w:sz w:val="18"/>
                <w:szCs w:val="18"/>
                <w:lang w:val="sv-FI" w:eastAsia="sv-FI"/>
              </w:rPr>
              <w:t>700</w:t>
            </w:r>
          </w:p>
        </w:tc>
        <w:tc>
          <w:tcPr>
            <w:tcW w:w="814" w:type="dxa"/>
            <w:tcBorders>
              <w:top w:val="nil"/>
              <w:left w:val="nil"/>
              <w:bottom w:val="nil"/>
              <w:right w:val="nil"/>
            </w:tcBorders>
            <w:shd w:val="clear" w:color="auto" w:fill="auto"/>
            <w:noWrap/>
            <w:vAlign w:val="bottom"/>
            <w:hideMark/>
          </w:tcPr>
          <w:p w14:paraId="41AE5C4B" w14:textId="67F53A9C" w:rsidR="00DD25BC" w:rsidRPr="00DD25BC" w:rsidRDefault="00DD25BC" w:rsidP="0083665A">
            <w:pPr>
              <w:keepNext/>
              <w:jc w:val="right"/>
              <w:rPr>
                <w:rFonts w:ascii="Arial" w:hAnsi="Arial" w:cs="Arial"/>
                <w:color w:val="000000"/>
                <w:sz w:val="18"/>
                <w:szCs w:val="18"/>
                <w:lang w:val="sv-FI" w:eastAsia="sv-FI"/>
              </w:rPr>
            </w:pPr>
            <w:r w:rsidRPr="00DD25BC">
              <w:rPr>
                <w:rFonts w:ascii="Arial" w:hAnsi="Arial" w:cs="Arial"/>
                <w:color w:val="000000"/>
                <w:sz w:val="18"/>
                <w:szCs w:val="18"/>
                <w:lang w:val="sv-FI" w:eastAsia="sv-FI"/>
              </w:rPr>
              <w:t>11</w:t>
            </w:r>
            <w:r w:rsidR="00702457">
              <w:rPr>
                <w:rFonts w:ascii="Arial" w:hAnsi="Arial" w:cs="Arial"/>
                <w:color w:val="000000"/>
                <w:sz w:val="18"/>
                <w:szCs w:val="18"/>
                <w:lang w:val="sv-FI" w:eastAsia="sv-FI"/>
              </w:rPr>
              <w:t> </w:t>
            </w:r>
            <w:r w:rsidRPr="00DD25BC">
              <w:rPr>
                <w:rFonts w:ascii="Arial" w:hAnsi="Arial" w:cs="Arial"/>
                <w:color w:val="000000"/>
                <w:sz w:val="18"/>
                <w:szCs w:val="18"/>
                <w:lang w:val="sv-FI" w:eastAsia="sv-FI"/>
              </w:rPr>
              <w:t>700</w:t>
            </w:r>
          </w:p>
        </w:tc>
        <w:tc>
          <w:tcPr>
            <w:tcW w:w="815" w:type="dxa"/>
            <w:tcBorders>
              <w:top w:val="nil"/>
              <w:left w:val="nil"/>
              <w:bottom w:val="nil"/>
              <w:right w:val="nil"/>
            </w:tcBorders>
            <w:shd w:val="clear" w:color="auto" w:fill="auto"/>
            <w:noWrap/>
            <w:vAlign w:val="bottom"/>
            <w:hideMark/>
          </w:tcPr>
          <w:p w14:paraId="59177A05" w14:textId="4DA8DC91" w:rsidR="00DD25BC" w:rsidRPr="00DD25BC" w:rsidRDefault="00DD25BC" w:rsidP="0083665A">
            <w:pPr>
              <w:keepNext/>
              <w:jc w:val="right"/>
              <w:rPr>
                <w:rFonts w:ascii="Arial" w:hAnsi="Arial" w:cs="Arial"/>
                <w:color w:val="000000"/>
                <w:sz w:val="18"/>
                <w:szCs w:val="18"/>
                <w:lang w:val="sv-FI" w:eastAsia="sv-FI"/>
              </w:rPr>
            </w:pPr>
            <w:r w:rsidRPr="00DD25BC">
              <w:rPr>
                <w:rFonts w:ascii="Arial" w:hAnsi="Arial" w:cs="Arial"/>
                <w:color w:val="000000"/>
                <w:sz w:val="18"/>
                <w:szCs w:val="18"/>
                <w:lang w:val="sv-FI" w:eastAsia="sv-FI"/>
              </w:rPr>
              <w:t>11</w:t>
            </w:r>
            <w:r w:rsidR="00702457">
              <w:rPr>
                <w:rFonts w:ascii="Arial" w:hAnsi="Arial" w:cs="Arial"/>
                <w:color w:val="000000"/>
                <w:sz w:val="18"/>
                <w:szCs w:val="18"/>
                <w:lang w:val="sv-FI" w:eastAsia="sv-FI"/>
              </w:rPr>
              <w:t> </w:t>
            </w:r>
            <w:r w:rsidRPr="00DD25BC">
              <w:rPr>
                <w:rFonts w:ascii="Arial" w:hAnsi="Arial" w:cs="Arial"/>
                <w:color w:val="000000"/>
                <w:sz w:val="18"/>
                <w:szCs w:val="18"/>
                <w:lang w:val="sv-FI" w:eastAsia="sv-FI"/>
              </w:rPr>
              <w:t>700</w:t>
            </w:r>
          </w:p>
        </w:tc>
        <w:tc>
          <w:tcPr>
            <w:tcW w:w="814" w:type="dxa"/>
            <w:tcBorders>
              <w:top w:val="nil"/>
              <w:left w:val="nil"/>
              <w:bottom w:val="nil"/>
              <w:right w:val="nil"/>
            </w:tcBorders>
            <w:shd w:val="clear" w:color="auto" w:fill="auto"/>
            <w:noWrap/>
            <w:vAlign w:val="bottom"/>
            <w:hideMark/>
          </w:tcPr>
          <w:p w14:paraId="74B0E44F" w14:textId="5FF6E1A4" w:rsidR="00DD25BC" w:rsidRPr="00DD25BC" w:rsidRDefault="00DD25BC" w:rsidP="0083665A">
            <w:pPr>
              <w:keepNext/>
              <w:jc w:val="right"/>
              <w:rPr>
                <w:rFonts w:ascii="Arial" w:hAnsi="Arial" w:cs="Arial"/>
                <w:color w:val="000000"/>
                <w:sz w:val="18"/>
                <w:szCs w:val="18"/>
                <w:lang w:val="sv-FI" w:eastAsia="sv-FI"/>
              </w:rPr>
            </w:pPr>
            <w:r w:rsidRPr="00DD25BC">
              <w:rPr>
                <w:rFonts w:ascii="Arial" w:hAnsi="Arial" w:cs="Arial"/>
                <w:color w:val="000000"/>
                <w:sz w:val="18"/>
                <w:szCs w:val="18"/>
                <w:lang w:val="sv-FI" w:eastAsia="sv-FI"/>
              </w:rPr>
              <w:t>11</w:t>
            </w:r>
            <w:r w:rsidR="00702457">
              <w:rPr>
                <w:rFonts w:ascii="Arial" w:hAnsi="Arial" w:cs="Arial"/>
                <w:color w:val="000000"/>
                <w:sz w:val="18"/>
                <w:szCs w:val="18"/>
                <w:lang w:val="sv-FI" w:eastAsia="sv-FI"/>
              </w:rPr>
              <w:t> </w:t>
            </w:r>
            <w:r w:rsidRPr="00DD25BC">
              <w:rPr>
                <w:rFonts w:ascii="Arial" w:hAnsi="Arial" w:cs="Arial"/>
                <w:color w:val="000000"/>
                <w:sz w:val="18"/>
                <w:szCs w:val="18"/>
                <w:lang w:val="sv-FI" w:eastAsia="sv-FI"/>
              </w:rPr>
              <w:t>700</w:t>
            </w:r>
          </w:p>
        </w:tc>
        <w:tc>
          <w:tcPr>
            <w:tcW w:w="814" w:type="dxa"/>
            <w:tcBorders>
              <w:top w:val="nil"/>
              <w:left w:val="nil"/>
              <w:bottom w:val="nil"/>
              <w:right w:val="nil"/>
            </w:tcBorders>
            <w:shd w:val="clear" w:color="auto" w:fill="auto"/>
            <w:noWrap/>
            <w:vAlign w:val="bottom"/>
            <w:hideMark/>
          </w:tcPr>
          <w:p w14:paraId="4133AA61" w14:textId="0591719C" w:rsidR="00DD25BC" w:rsidRPr="00DD25BC" w:rsidRDefault="00DD25BC" w:rsidP="0083665A">
            <w:pPr>
              <w:keepNext/>
              <w:jc w:val="right"/>
              <w:rPr>
                <w:rFonts w:ascii="Arial" w:hAnsi="Arial" w:cs="Arial"/>
                <w:color w:val="000000"/>
                <w:sz w:val="18"/>
                <w:szCs w:val="18"/>
                <w:lang w:val="sv-FI" w:eastAsia="sv-FI"/>
              </w:rPr>
            </w:pPr>
            <w:r w:rsidRPr="00DD25BC">
              <w:rPr>
                <w:rFonts w:ascii="Arial" w:hAnsi="Arial" w:cs="Arial"/>
                <w:color w:val="000000"/>
                <w:sz w:val="18"/>
                <w:szCs w:val="18"/>
                <w:lang w:val="sv-FI" w:eastAsia="sv-FI"/>
              </w:rPr>
              <w:t>11</w:t>
            </w:r>
            <w:r w:rsidR="00702457">
              <w:rPr>
                <w:rFonts w:ascii="Arial" w:hAnsi="Arial" w:cs="Arial"/>
                <w:color w:val="000000"/>
                <w:sz w:val="18"/>
                <w:szCs w:val="18"/>
                <w:lang w:val="sv-FI" w:eastAsia="sv-FI"/>
              </w:rPr>
              <w:t> </w:t>
            </w:r>
            <w:r w:rsidRPr="00DD25BC">
              <w:rPr>
                <w:rFonts w:ascii="Arial" w:hAnsi="Arial" w:cs="Arial"/>
                <w:color w:val="000000"/>
                <w:sz w:val="18"/>
                <w:szCs w:val="18"/>
                <w:lang w:val="sv-FI" w:eastAsia="sv-FI"/>
              </w:rPr>
              <w:t>700</w:t>
            </w:r>
          </w:p>
        </w:tc>
        <w:tc>
          <w:tcPr>
            <w:tcW w:w="815" w:type="dxa"/>
            <w:tcBorders>
              <w:top w:val="nil"/>
              <w:left w:val="nil"/>
              <w:bottom w:val="nil"/>
              <w:right w:val="nil"/>
            </w:tcBorders>
            <w:shd w:val="clear" w:color="auto" w:fill="auto"/>
            <w:noWrap/>
            <w:vAlign w:val="bottom"/>
            <w:hideMark/>
          </w:tcPr>
          <w:p w14:paraId="761C127E" w14:textId="62A1AB02" w:rsidR="00DD25BC" w:rsidRPr="00DD25BC" w:rsidRDefault="00DD25BC" w:rsidP="0083665A">
            <w:pPr>
              <w:keepNext/>
              <w:jc w:val="right"/>
              <w:rPr>
                <w:rFonts w:ascii="Arial" w:hAnsi="Arial" w:cs="Arial"/>
                <w:color w:val="000000"/>
                <w:sz w:val="18"/>
                <w:szCs w:val="18"/>
                <w:lang w:val="sv-FI" w:eastAsia="sv-FI"/>
              </w:rPr>
            </w:pPr>
            <w:r w:rsidRPr="00DD25BC">
              <w:rPr>
                <w:rFonts w:ascii="Arial" w:hAnsi="Arial" w:cs="Arial"/>
                <w:color w:val="000000"/>
                <w:sz w:val="18"/>
                <w:szCs w:val="18"/>
                <w:lang w:val="sv-FI" w:eastAsia="sv-FI"/>
              </w:rPr>
              <w:t>11</w:t>
            </w:r>
            <w:r w:rsidR="00702457">
              <w:rPr>
                <w:rFonts w:ascii="Arial" w:hAnsi="Arial" w:cs="Arial"/>
                <w:color w:val="000000"/>
                <w:sz w:val="18"/>
                <w:szCs w:val="18"/>
                <w:lang w:val="sv-FI" w:eastAsia="sv-FI"/>
              </w:rPr>
              <w:t> </w:t>
            </w:r>
            <w:r w:rsidRPr="00DD25BC">
              <w:rPr>
                <w:rFonts w:ascii="Arial" w:hAnsi="Arial" w:cs="Arial"/>
                <w:color w:val="000000"/>
                <w:sz w:val="18"/>
                <w:szCs w:val="18"/>
                <w:lang w:val="sv-FI" w:eastAsia="sv-FI"/>
              </w:rPr>
              <w:t>700</w:t>
            </w:r>
          </w:p>
        </w:tc>
      </w:tr>
      <w:tr w:rsidR="00DD25BC" w:rsidRPr="00DD25BC" w14:paraId="54A25105" w14:textId="77777777" w:rsidTr="00DD25BC">
        <w:trPr>
          <w:trHeight w:val="290"/>
        </w:trPr>
        <w:tc>
          <w:tcPr>
            <w:tcW w:w="1600" w:type="dxa"/>
            <w:tcBorders>
              <w:top w:val="nil"/>
              <w:left w:val="nil"/>
              <w:bottom w:val="nil"/>
              <w:right w:val="nil"/>
            </w:tcBorders>
            <w:shd w:val="clear" w:color="auto" w:fill="auto"/>
            <w:noWrap/>
            <w:vAlign w:val="bottom"/>
            <w:hideMark/>
          </w:tcPr>
          <w:p w14:paraId="1302D8D8" w14:textId="77777777" w:rsidR="00DD25BC" w:rsidRPr="00DD25BC" w:rsidRDefault="00DD25BC" w:rsidP="0083665A">
            <w:pPr>
              <w:keepNext/>
              <w:rPr>
                <w:rFonts w:ascii="Arial" w:hAnsi="Arial" w:cs="Arial"/>
                <w:b/>
                <w:bCs/>
                <w:color w:val="000000"/>
                <w:sz w:val="18"/>
                <w:szCs w:val="18"/>
                <w:lang w:val="sv-FI" w:eastAsia="sv-FI"/>
              </w:rPr>
            </w:pPr>
            <w:r w:rsidRPr="00DD25BC">
              <w:rPr>
                <w:rFonts w:ascii="Arial" w:hAnsi="Arial" w:cs="Arial"/>
                <w:b/>
                <w:bCs/>
                <w:color w:val="000000"/>
                <w:sz w:val="18"/>
                <w:szCs w:val="18"/>
                <w:lang w:val="sv-FI" w:eastAsia="sv-FI"/>
              </w:rPr>
              <w:t xml:space="preserve">Skolning etc. </w:t>
            </w:r>
          </w:p>
        </w:tc>
        <w:tc>
          <w:tcPr>
            <w:tcW w:w="814" w:type="dxa"/>
            <w:tcBorders>
              <w:top w:val="nil"/>
              <w:left w:val="nil"/>
              <w:bottom w:val="nil"/>
              <w:right w:val="nil"/>
            </w:tcBorders>
            <w:shd w:val="clear" w:color="auto" w:fill="auto"/>
            <w:noWrap/>
            <w:vAlign w:val="bottom"/>
            <w:hideMark/>
          </w:tcPr>
          <w:p w14:paraId="6F45A272" w14:textId="44A19300" w:rsidR="00DD25BC" w:rsidRPr="00DD25BC" w:rsidRDefault="00DD25BC" w:rsidP="0083665A">
            <w:pPr>
              <w:keepNext/>
              <w:jc w:val="right"/>
              <w:rPr>
                <w:rFonts w:ascii="Arial" w:hAnsi="Arial" w:cs="Arial"/>
                <w:color w:val="000000"/>
                <w:sz w:val="18"/>
                <w:szCs w:val="18"/>
                <w:lang w:val="sv-FI" w:eastAsia="sv-FI"/>
              </w:rPr>
            </w:pPr>
            <w:r w:rsidRPr="00DD25BC">
              <w:rPr>
                <w:rFonts w:ascii="Arial" w:hAnsi="Arial" w:cs="Arial"/>
                <w:color w:val="000000"/>
                <w:sz w:val="18"/>
                <w:szCs w:val="18"/>
                <w:lang w:val="sv-FI" w:eastAsia="sv-FI"/>
              </w:rPr>
              <w:t>1</w:t>
            </w:r>
            <w:r w:rsidR="00702457">
              <w:rPr>
                <w:rFonts w:ascii="Arial" w:hAnsi="Arial" w:cs="Arial"/>
                <w:color w:val="000000"/>
                <w:sz w:val="18"/>
                <w:szCs w:val="18"/>
                <w:lang w:val="sv-FI" w:eastAsia="sv-FI"/>
              </w:rPr>
              <w:t> </w:t>
            </w:r>
            <w:r w:rsidRPr="00DD25BC">
              <w:rPr>
                <w:rFonts w:ascii="Arial" w:hAnsi="Arial" w:cs="Arial"/>
                <w:color w:val="000000"/>
                <w:sz w:val="18"/>
                <w:szCs w:val="18"/>
                <w:lang w:val="sv-FI" w:eastAsia="sv-FI"/>
              </w:rPr>
              <w:t>000</w:t>
            </w:r>
          </w:p>
        </w:tc>
        <w:tc>
          <w:tcPr>
            <w:tcW w:w="814" w:type="dxa"/>
            <w:tcBorders>
              <w:top w:val="nil"/>
              <w:left w:val="nil"/>
              <w:bottom w:val="nil"/>
              <w:right w:val="nil"/>
            </w:tcBorders>
            <w:shd w:val="clear" w:color="auto" w:fill="auto"/>
            <w:noWrap/>
            <w:vAlign w:val="bottom"/>
            <w:hideMark/>
          </w:tcPr>
          <w:p w14:paraId="5D75D04B" w14:textId="77777777" w:rsidR="00DD25BC" w:rsidRPr="00DD25BC" w:rsidRDefault="00DD25BC" w:rsidP="0083665A">
            <w:pPr>
              <w:keepNext/>
              <w:jc w:val="right"/>
              <w:rPr>
                <w:rFonts w:ascii="Arial" w:hAnsi="Arial" w:cs="Arial"/>
                <w:color w:val="000000"/>
                <w:sz w:val="18"/>
                <w:szCs w:val="18"/>
                <w:lang w:val="sv-FI" w:eastAsia="sv-FI"/>
              </w:rPr>
            </w:pPr>
          </w:p>
        </w:tc>
        <w:tc>
          <w:tcPr>
            <w:tcW w:w="814" w:type="dxa"/>
            <w:tcBorders>
              <w:top w:val="nil"/>
              <w:left w:val="nil"/>
              <w:bottom w:val="nil"/>
              <w:right w:val="nil"/>
            </w:tcBorders>
            <w:shd w:val="clear" w:color="auto" w:fill="auto"/>
            <w:noWrap/>
            <w:vAlign w:val="bottom"/>
            <w:hideMark/>
          </w:tcPr>
          <w:p w14:paraId="0BC4C835" w14:textId="77777777" w:rsidR="00DD25BC" w:rsidRPr="00DD25BC" w:rsidRDefault="00DD25BC" w:rsidP="0083665A">
            <w:pPr>
              <w:keepNext/>
              <w:rPr>
                <w:rFonts w:ascii="Arial" w:hAnsi="Arial" w:cs="Arial"/>
                <w:sz w:val="18"/>
                <w:szCs w:val="18"/>
                <w:lang w:val="sv-FI" w:eastAsia="sv-FI"/>
              </w:rPr>
            </w:pPr>
          </w:p>
        </w:tc>
        <w:tc>
          <w:tcPr>
            <w:tcW w:w="815" w:type="dxa"/>
            <w:tcBorders>
              <w:top w:val="nil"/>
              <w:left w:val="nil"/>
              <w:bottom w:val="nil"/>
              <w:right w:val="nil"/>
            </w:tcBorders>
            <w:shd w:val="clear" w:color="auto" w:fill="auto"/>
            <w:noWrap/>
            <w:vAlign w:val="bottom"/>
            <w:hideMark/>
          </w:tcPr>
          <w:p w14:paraId="17414F81" w14:textId="77777777" w:rsidR="00DD25BC" w:rsidRPr="00DD25BC" w:rsidRDefault="00DD25BC" w:rsidP="0083665A">
            <w:pPr>
              <w:keepNext/>
              <w:rPr>
                <w:rFonts w:ascii="Arial" w:hAnsi="Arial" w:cs="Arial"/>
                <w:sz w:val="18"/>
                <w:szCs w:val="18"/>
                <w:lang w:val="sv-FI" w:eastAsia="sv-FI"/>
              </w:rPr>
            </w:pPr>
          </w:p>
        </w:tc>
        <w:tc>
          <w:tcPr>
            <w:tcW w:w="814" w:type="dxa"/>
            <w:tcBorders>
              <w:top w:val="nil"/>
              <w:left w:val="nil"/>
              <w:bottom w:val="nil"/>
              <w:right w:val="nil"/>
            </w:tcBorders>
            <w:shd w:val="clear" w:color="auto" w:fill="auto"/>
            <w:noWrap/>
            <w:vAlign w:val="bottom"/>
            <w:hideMark/>
          </w:tcPr>
          <w:p w14:paraId="3F93CED2" w14:textId="77777777" w:rsidR="00DD25BC" w:rsidRPr="00DD25BC" w:rsidRDefault="00DD25BC" w:rsidP="0083665A">
            <w:pPr>
              <w:keepNext/>
              <w:rPr>
                <w:rFonts w:ascii="Arial" w:hAnsi="Arial" w:cs="Arial"/>
                <w:sz w:val="18"/>
                <w:szCs w:val="18"/>
                <w:lang w:val="sv-FI" w:eastAsia="sv-FI"/>
              </w:rPr>
            </w:pPr>
          </w:p>
        </w:tc>
        <w:tc>
          <w:tcPr>
            <w:tcW w:w="814" w:type="dxa"/>
            <w:tcBorders>
              <w:top w:val="nil"/>
              <w:left w:val="nil"/>
              <w:bottom w:val="nil"/>
              <w:right w:val="nil"/>
            </w:tcBorders>
            <w:shd w:val="clear" w:color="auto" w:fill="auto"/>
            <w:noWrap/>
            <w:vAlign w:val="bottom"/>
            <w:hideMark/>
          </w:tcPr>
          <w:p w14:paraId="247228A8" w14:textId="77777777" w:rsidR="00DD25BC" w:rsidRPr="00DD25BC" w:rsidRDefault="00DD25BC" w:rsidP="0083665A">
            <w:pPr>
              <w:keepNext/>
              <w:rPr>
                <w:rFonts w:ascii="Arial" w:hAnsi="Arial" w:cs="Arial"/>
                <w:sz w:val="18"/>
                <w:szCs w:val="18"/>
                <w:lang w:val="sv-FI" w:eastAsia="sv-FI"/>
              </w:rPr>
            </w:pPr>
          </w:p>
        </w:tc>
        <w:tc>
          <w:tcPr>
            <w:tcW w:w="815" w:type="dxa"/>
            <w:tcBorders>
              <w:top w:val="nil"/>
              <w:left w:val="nil"/>
              <w:bottom w:val="nil"/>
              <w:right w:val="nil"/>
            </w:tcBorders>
            <w:shd w:val="clear" w:color="auto" w:fill="auto"/>
            <w:noWrap/>
            <w:vAlign w:val="bottom"/>
            <w:hideMark/>
          </w:tcPr>
          <w:p w14:paraId="4A8E6AC1" w14:textId="77777777" w:rsidR="00DD25BC" w:rsidRPr="00DD25BC" w:rsidRDefault="00DD25BC" w:rsidP="0083665A">
            <w:pPr>
              <w:keepNext/>
              <w:rPr>
                <w:rFonts w:ascii="Arial" w:hAnsi="Arial" w:cs="Arial"/>
                <w:sz w:val="18"/>
                <w:szCs w:val="18"/>
                <w:lang w:val="sv-FI" w:eastAsia="sv-FI"/>
              </w:rPr>
            </w:pPr>
          </w:p>
        </w:tc>
      </w:tr>
      <w:tr w:rsidR="00DD25BC" w:rsidRPr="00DD25BC" w14:paraId="2AE9CCEE" w14:textId="77777777" w:rsidTr="00DD25BC">
        <w:trPr>
          <w:trHeight w:val="290"/>
        </w:trPr>
        <w:tc>
          <w:tcPr>
            <w:tcW w:w="1600" w:type="dxa"/>
            <w:tcBorders>
              <w:top w:val="single" w:sz="4" w:space="0" w:color="auto"/>
              <w:left w:val="nil"/>
              <w:bottom w:val="nil"/>
              <w:right w:val="nil"/>
            </w:tcBorders>
            <w:shd w:val="clear" w:color="auto" w:fill="auto"/>
            <w:noWrap/>
            <w:vAlign w:val="bottom"/>
            <w:hideMark/>
          </w:tcPr>
          <w:p w14:paraId="720AFDA9" w14:textId="77777777" w:rsidR="00DD25BC" w:rsidRPr="00DD25BC" w:rsidRDefault="00DD25BC" w:rsidP="0083665A">
            <w:pPr>
              <w:keepNext/>
              <w:rPr>
                <w:rFonts w:ascii="Arial" w:hAnsi="Arial" w:cs="Arial"/>
                <w:b/>
                <w:bCs/>
                <w:color w:val="000000"/>
                <w:sz w:val="18"/>
                <w:szCs w:val="18"/>
                <w:lang w:val="sv-FI" w:eastAsia="sv-FI"/>
              </w:rPr>
            </w:pPr>
            <w:r w:rsidRPr="00DD25BC">
              <w:rPr>
                <w:rFonts w:ascii="Arial" w:hAnsi="Arial" w:cs="Arial"/>
                <w:b/>
                <w:bCs/>
                <w:color w:val="000000"/>
                <w:sz w:val="18"/>
                <w:szCs w:val="18"/>
                <w:lang w:val="sv-FI" w:eastAsia="sv-FI"/>
              </w:rPr>
              <w:t>Totalt</w:t>
            </w:r>
          </w:p>
        </w:tc>
        <w:tc>
          <w:tcPr>
            <w:tcW w:w="814" w:type="dxa"/>
            <w:tcBorders>
              <w:top w:val="single" w:sz="4" w:space="0" w:color="auto"/>
              <w:left w:val="nil"/>
              <w:bottom w:val="nil"/>
              <w:right w:val="nil"/>
            </w:tcBorders>
            <w:shd w:val="clear" w:color="auto" w:fill="auto"/>
            <w:noWrap/>
            <w:vAlign w:val="bottom"/>
            <w:hideMark/>
          </w:tcPr>
          <w:p w14:paraId="2AB23C39" w14:textId="32BBAF65" w:rsidR="00DD25BC" w:rsidRPr="00DD25BC" w:rsidRDefault="00DD25BC" w:rsidP="0083665A">
            <w:pPr>
              <w:keepNext/>
              <w:jc w:val="right"/>
              <w:rPr>
                <w:rFonts w:ascii="Arial" w:hAnsi="Arial" w:cs="Arial"/>
                <w:color w:val="000000"/>
                <w:sz w:val="18"/>
                <w:szCs w:val="18"/>
                <w:lang w:val="sv-FI" w:eastAsia="sv-FI"/>
              </w:rPr>
            </w:pPr>
            <w:r w:rsidRPr="00DD25BC">
              <w:rPr>
                <w:rFonts w:ascii="Arial" w:hAnsi="Arial" w:cs="Arial"/>
                <w:color w:val="000000"/>
                <w:sz w:val="18"/>
                <w:szCs w:val="18"/>
                <w:lang w:val="sv-FI" w:eastAsia="sv-FI"/>
              </w:rPr>
              <w:t>274</w:t>
            </w:r>
            <w:r w:rsidR="00702457">
              <w:rPr>
                <w:rFonts w:ascii="Arial" w:hAnsi="Arial" w:cs="Arial"/>
                <w:color w:val="000000"/>
                <w:sz w:val="18"/>
                <w:szCs w:val="18"/>
                <w:lang w:val="sv-FI" w:eastAsia="sv-FI"/>
              </w:rPr>
              <w:t> </w:t>
            </w:r>
            <w:r w:rsidRPr="00DD25BC">
              <w:rPr>
                <w:rFonts w:ascii="Arial" w:hAnsi="Arial" w:cs="Arial"/>
                <w:color w:val="000000"/>
                <w:sz w:val="18"/>
                <w:szCs w:val="18"/>
                <w:lang w:val="sv-FI" w:eastAsia="sv-FI"/>
              </w:rPr>
              <w:t>000</w:t>
            </w:r>
          </w:p>
        </w:tc>
        <w:tc>
          <w:tcPr>
            <w:tcW w:w="814" w:type="dxa"/>
            <w:tcBorders>
              <w:top w:val="single" w:sz="4" w:space="0" w:color="auto"/>
              <w:left w:val="nil"/>
              <w:bottom w:val="nil"/>
              <w:right w:val="nil"/>
            </w:tcBorders>
            <w:shd w:val="clear" w:color="auto" w:fill="auto"/>
            <w:noWrap/>
            <w:vAlign w:val="bottom"/>
            <w:hideMark/>
          </w:tcPr>
          <w:p w14:paraId="12BD2C0E" w14:textId="12B0612B" w:rsidR="00DD25BC" w:rsidRPr="00DD25BC" w:rsidRDefault="00DD25BC" w:rsidP="0083665A">
            <w:pPr>
              <w:keepNext/>
              <w:jc w:val="right"/>
              <w:rPr>
                <w:rFonts w:ascii="Arial" w:hAnsi="Arial" w:cs="Arial"/>
                <w:color w:val="000000"/>
                <w:sz w:val="18"/>
                <w:szCs w:val="18"/>
                <w:lang w:val="sv-FI" w:eastAsia="sv-FI"/>
              </w:rPr>
            </w:pPr>
            <w:r w:rsidRPr="00DD25BC">
              <w:rPr>
                <w:rFonts w:ascii="Arial" w:hAnsi="Arial" w:cs="Arial"/>
                <w:color w:val="000000"/>
                <w:sz w:val="18"/>
                <w:szCs w:val="18"/>
                <w:lang w:val="sv-FI" w:eastAsia="sv-FI"/>
              </w:rPr>
              <w:t>184</w:t>
            </w:r>
            <w:r w:rsidR="00702457">
              <w:rPr>
                <w:rFonts w:ascii="Arial" w:hAnsi="Arial" w:cs="Arial"/>
                <w:color w:val="000000"/>
                <w:sz w:val="18"/>
                <w:szCs w:val="18"/>
                <w:lang w:val="sv-FI" w:eastAsia="sv-FI"/>
              </w:rPr>
              <w:t> </w:t>
            </w:r>
            <w:r w:rsidRPr="00DD25BC">
              <w:rPr>
                <w:rFonts w:ascii="Arial" w:hAnsi="Arial" w:cs="Arial"/>
                <w:color w:val="000000"/>
                <w:sz w:val="18"/>
                <w:szCs w:val="18"/>
                <w:lang w:val="sv-FI" w:eastAsia="sv-FI"/>
              </w:rPr>
              <w:t>700</w:t>
            </w:r>
          </w:p>
        </w:tc>
        <w:tc>
          <w:tcPr>
            <w:tcW w:w="814" w:type="dxa"/>
            <w:tcBorders>
              <w:top w:val="single" w:sz="4" w:space="0" w:color="auto"/>
              <w:left w:val="nil"/>
              <w:bottom w:val="nil"/>
              <w:right w:val="nil"/>
            </w:tcBorders>
            <w:shd w:val="clear" w:color="auto" w:fill="auto"/>
            <w:noWrap/>
            <w:vAlign w:val="bottom"/>
            <w:hideMark/>
          </w:tcPr>
          <w:p w14:paraId="7E4FC44A" w14:textId="0B1230F7" w:rsidR="00DD25BC" w:rsidRPr="00DD25BC" w:rsidRDefault="00DD25BC" w:rsidP="0083665A">
            <w:pPr>
              <w:keepNext/>
              <w:jc w:val="right"/>
              <w:rPr>
                <w:rFonts w:ascii="Arial" w:hAnsi="Arial" w:cs="Arial"/>
                <w:color w:val="000000"/>
                <w:sz w:val="18"/>
                <w:szCs w:val="18"/>
                <w:lang w:val="sv-FI" w:eastAsia="sv-FI"/>
              </w:rPr>
            </w:pPr>
            <w:r w:rsidRPr="00DD25BC">
              <w:rPr>
                <w:rFonts w:ascii="Arial" w:hAnsi="Arial" w:cs="Arial"/>
                <w:color w:val="000000"/>
                <w:sz w:val="18"/>
                <w:szCs w:val="18"/>
                <w:lang w:val="sv-FI" w:eastAsia="sv-FI"/>
              </w:rPr>
              <w:t>184</w:t>
            </w:r>
            <w:r w:rsidR="00702457">
              <w:rPr>
                <w:rFonts w:ascii="Arial" w:hAnsi="Arial" w:cs="Arial"/>
                <w:color w:val="000000"/>
                <w:sz w:val="18"/>
                <w:szCs w:val="18"/>
                <w:lang w:val="sv-FI" w:eastAsia="sv-FI"/>
              </w:rPr>
              <w:t> </w:t>
            </w:r>
            <w:r w:rsidRPr="00DD25BC">
              <w:rPr>
                <w:rFonts w:ascii="Arial" w:hAnsi="Arial" w:cs="Arial"/>
                <w:color w:val="000000"/>
                <w:sz w:val="18"/>
                <w:szCs w:val="18"/>
                <w:lang w:val="sv-FI" w:eastAsia="sv-FI"/>
              </w:rPr>
              <w:t>700</w:t>
            </w:r>
          </w:p>
        </w:tc>
        <w:tc>
          <w:tcPr>
            <w:tcW w:w="815" w:type="dxa"/>
            <w:tcBorders>
              <w:top w:val="single" w:sz="4" w:space="0" w:color="auto"/>
              <w:left w:val="nil"/>
              <w:bottom w:val="nil"/>
              <w:right w:val="nil"/>
            </w:tcBorders>
            <w:shd w:val="clear" w:color="auto" w:fill="auto"/>
            <w:noWrap/>
            <w:vAlign w:val="bottom"/>
            <w:hideMark/>
          </w:tcPr>
          <w:p w14:paraId="552A355B" w14:textId="4CDAA45B" w:rsidR="00DD25BC" w:rsidRPr="00DD25BC" w:rsidRDefault="00DD25BC" w:rsidP="0083665A">
            <w:pPr>
              <w:keepNext/>
              <w:jc w:val="right"/>
              <w:rPr>
                <w:rFonts w:ascii="Arial" w:hAnsi="Arial" w:cs="Arial"/>
                <w:color w:val="000000"/>
                <w:sz w:val="18"/>
                <w:szCs w:val="18"/>
                <w:lang w:val="sv-FI" w:eastAsia="sv-FI"/>
              </w:rPr>
            </w:pPr>
            <w:r w:rsidRPr="00DD25BC">
              <w:rPr>
                <w:rFonts w:ascii="Arial" w:hAnsi="Arial" w:cs="Arial"/>
                <w:color w:val="000000"/>
                <w:sz w:val="18"/>
                <w:szCs w:val="18"/>
                <w:lang w:val="sv-FI" w:eastAsia="sv-FI"/>
              </w:rPr>
              <w:t>184</w:t>
            </w:r>
            <w:r w:rsidR="00702457">
              <w:rPr>
                <w:rFonts w:ascii="Arial" w:hAnsi="Arial" w:cs="Arial"/>
                <w:color w:val="000000"/>
                <w:sz w:val="18"/>
                <w:szCs w:val="18"/>
                <w:lang w:val="sv-FI" w:eastAsia="sv-FI"/>
              </w:rPr>
              <w:t> </w:t>
            </w:r>
            <w:r w:rsidRPr="00DD25BC">
              <w:rPr>
                <w:rFonts w:ascii="Arial" w:hAnsi="Arial" w:cs="Arial"/>
                <w:color w:val="000000"/>
                <w:sz w:val="18"/>
                <w:szCs w:val="18"/>
                <w:lang w:val="sv-FI" w:eastAsia="sv-FI"/>
              </w:rPr>
              <w:t>700</w:t>
            </w:r>
          </w:p>
        </w:tc>
        <w:tc>
          <w:tcPr>
            <w:tcW w:w="814" w:type="dxa"/>
            <w:tcBorders>
              <w:top w:val="single" w:sz="4" w:space="0" w:color="auto"/>
              <w:left w:val="nil"/>
              <w:bottom w:val="nil"/>
              <w:right w:val="nil"/>
            </w:tcBorders>
            <w:shd w:val="clear" w:color="auto" w:fill="auto"/>
            <w:noWrap/>
            <w:vAlign w:val="bottom"/>
            <w:hideMark/>
          </w:tcPr>
          <w:p w14:paraId="4F4DC23E" w14:textId="012E96A5" w:rsidR="00DD25BC" w:rsidRPr="00DD25BC" w:rsidRDefault="00DD25BC" w:rsidP="0083665A">
            <w:pPr>
              <w:keepNext/>
              <w:jc w:val="right"/>
              <w:rPr>
                <w:rFonts w:ascii="Arial" w:hAnsi="Arial" w:cs="Arial"/>
                <w:color w:val="000000"/>
                <w:sz w:val="18"/>
                <w:szCs w:val="18"/>
                <w:lang w:val="sv-FI" w:eastAsia="sv-FI"/>
              </w:rPr>
            </w:pPr>
            <w:r w:rsidRPr="00DD25BC">
              <w:rPr>
                <w:rFonts w:ascii="Arial" w:hAnsi="Arial" w:cs="Arial"/>
                <w:color w:val="000000"/>
                <w:sz w:val="18"/>
                <w:szCs w:val="18"/>
                <w:lang w:val="sv-FI" w:eastAsia="sv-FI"/>
              </w:rPr>
              <w:t>184</w:t>
            </w:r>
            <w:r w:rsidR="00702457">
              <w:rPr>
                <w:rFonts w:ascii="Arial" w:hAnsi="Arial" w:cs="Arial"/>
                <w:color w:val="000000"/>
                <w:sz w:val="18"/>
                <w:szCs w:val="18"/>
                <w:lang w:val="sv-FI" w:eastAsia="sv-FI"/>
              </w:rPr>
              <w:t> </w:t>
            </w:r>
            <w:r w:rsidRPr="00DD25BC">
              <w:rPr>
                <w:rFonts w:ascii="Arial" w:hAnsi="Arial" w:cs="Arial"/>
                <w:color w:val="000000"/>
                <w:sz w:val="18"/>
                <w:szCs w:val="18"/>
                <w:lang w:val="sv-FI" w:eastAsia="sv-FI"/>
              </w:rPr>
              <w:t>700</w:t>
            </w:r>
          </w:p>
        </w:tc>
        <w:tc>
          <w:tcPr>
            <w:tcW w:w="814" w:type="dxa"/>
            <w:tcBorders>
              <w:top w:val="single" w:sz="4" w:space="0" w:color="auto"/>
              <w:left w:val="nil"/>
              <w:bottom w:val="nil"/>
              <w:right w:val="nil"/>
            </w:tcBorders>
            <w:shd w:val="clear" w:color="auto" w:fill="auto"/>
            <w:noWrap/>
            <w:vAlign w:val="bottom"/>
            <w:hideMark/>
          </w:tcPr>
          <w:p w14:paraId="7521AAB9" w14:textId="414F43E4" w:rsidR="00DD25BC" w:rsidRPr="00DD25BC" w:rsidRDefault="00DD25BC" w:rsidP="0083665A">
            <w:pPr>
              <w:keepNext/>
              <w:jc w:val="right"/>
              <w:rPr>
                <w:rFonts w:ascii="Arial" w:hAnsi="Arial" w:cs="Arial"/>
                <w:color w:val="000000"/>
                <w:sz w:val="18"/>
                <w:szCs w:val="18"/>
                <w:lang w:val="sv-FI" w:eastAsia="sv-FI"/>
              </w:rPr>
            </w:pPr>
            <w:r w:rsidRPr="00DD25BC">
              <w:rPr>
                <w:rFonts w:ascii="Arial" w:hAnsi="Arial" w:cs="Arial"/>
                <w:color w:val="000000"/>
                <w:sz w:val="18"/>
                <w:szCs w:val="18"/>
                <w:lang w:val="sv-FI" w:eastAsia="sv-FI"/>
              </w:rPr>
              <w:t>184</w:t>
            </w:r>
            <w:r w:rsidR="00702457">
              <w:rPr>
                <w:rFonts w:ascii="Arial" w:hAnsi="Arial" w:cs="Arial"/>
                <w:color w:val="000000"/>
                <w:sz w:val="18"/>
                <w:szCs w:val="18"/>
                <w:lang w:val="sv-FI" w:eastAsia="sv-FI"/>
              </w:rPr>
              <w:t> </w:t>
            </w:r>
            <w:r w:rsidRPr="00DD25BC">
              <w:rPr>
                <w:rFonts w:ascii="Arial" w:hAnsi="Arial" w:cs="Arial"/>
                <w:color w:val="000000"/>
                <w:sz w:val="18"/>
                <w:szCs w:val="18"/>
                <w:lang w:val="sv-FI" w:eastAsia="sv-FI"/>
              </w:rPr>
              <w:t>700</w:t>
            </w:r>
          </w:p>
        </w:tc>
        <w:tc>
          <w:tcPr>
            <w:tcW w:w="815" w:type="dxa"/>
            <w:tcBorders>
              <w:top w:val="single" w:sz="4" w:space="0" w:color="auto"/>
              <w:left w:val="nil"/>
              <w:bottom w:val="nil"/>
              <w:right w:val="nil"/>
            </w:tcBorders>
            <w:shd w:val="clear" w:color="auto" w:fill="auto"/>
            <w:noWrap/>
            <w:vAlign w:val="bottom"/>
            <w:hideMark/>
          </w:tcPr>
          <w:p w14:paraId="279F721F" w14:textId="3DD9088E" w:rsidR="00DD25BC" w:rsidRPr="00DD25BC" w:rsidRDefault="00DD25BC" w:rsidP="0083665A">
            <w:pPr>
              <w:keepNext/>
              <w:jc w:val="right"/>
              <w:rPr>
                <w:rFonts w:ascii="Arial" w:hAnsi="Arial" w:cs="Arial"/>
                <w:color w:val="000000"/>
                <w:sz w:val="18"/>
                <w:szCs w:val="18"/>
                <w:lang w:val="sv-FI" w:eastAsia="sv-FI"/>
              </w:rPr>
            </w:pPr>
            <w:r w:rsidRPr="00DD25BC">
              <w:rPr>
                <w:rFonts w:ascii="Arial" w:hAnsi="Arial" w:cs="Arial"/>
                <w:color w:val="000000"/>
                <w:sz w:val="18"/>
                <w:szCs w:val="18"/>
                <w:lang w:val="sv-FI" w:eastAsia="sv-FI"/>
              </w:rPr>
              <w:t>184</w:t>
            </w:r>
            <w:r w:rsidR="00702457">
              <w:rPr>
                <w:rFonts w:ascii="Arial" w:hAnsi="Arial" w:cs="Arial"/>
                <w:color w:val="000000"/>
                <w:sz w:val="18"/>
                <w:szCs w:val="18"/>
                <w:lang w:val="sv-FI" w:eastAsia="sv-FI"/>
              </w:rPr>
              <w:t> </w:t>
            </w:r>
            <w:r w:rsidRPr="00DD25BC">
              <w:rPr>
                <w:rFonts w:ascii="Arial" w:hAnsi="Arial" w:cs="Arial"/>
                <w:color w:val="000000"/>
                <w:sz w:val="18"/>
                <w:szCs w:val="18"/>
                <w:lang w:val="sv-FI" w:eastAsia="sv-FI"/>
              </w:rPr>
              <w:t>700</w:t>
            </w:r>
          </w:p>
        </w:tc>
      </w:tr>
    </w:tbl>
    <w:p w14:paraId="74AE6A55" w14:textId="77777777" w:rsidR="00AE0A17" w:rsidRDefault="00AE0A17" w:rsidP="00AE0A17">
      <w:pPr>
        <w:pStyle w:val="ANormal"/>
      </w:pPr>
    </w:p>
    <w:p w14:paraId="3B9F867A" w14:textId="77777777" w:rsidR="00AE0A17" w:rsidRDefault="00AE0A17" w:rsidP="00AE0A17">
      <w:pPr>
        <w:pStyle w:val="ANormal"/>
      </w:pPr>
    </w:p>
    <w:p w14:paraId="312352BF" w14:textId="77777777" w:rsidR="00717B77" w:rsidRPr="00717B77" w:rsidRDefault="00717B77" w:rsidP="00717B77">
      <w:pPr>
        <w:pStyle w:val="RubrikC"/>
      </w:pPr>
      <w:bookmarkStart w:id="23" w:name="_Toc176160705"/>
      <w:bookmarkStart w:id="24" w:name="_Toc176334217"/>
      <w:r w:rsidRPr="00717B77">
        <w:t>4.5 Övriga effekter</w:t>
      </w:r>
      <w:bookmarkEnd w:id="23"/>
      <w:bookmarkEnd w:id="24"/>
    </w:p>
    <w:p w14:paraId="332A4074" w14:textId="77777777" w:rsidR="00717B77" w:rsidRPr="00717B77" w:rsidRDefault="00717B77" w:rsidP="00717B77">
      <w:pPr>
        <w:pStyle w:val="Rubrikmellanrum"/>
      </w:pPr>
    </w:p>
    <w:p w14:paraId="76F77E86" w14:textId="27C291D6" w:rsidR="00717B77" w:rsidRPr="00717B77" w:rsidRDefault="00717B77" w:rsidP="00717B77">
      <w:pPr>
        <w:pStyle w:val="ANormal"/>
      </w:pPr>
      <w:r w:rsidRPr="00717B77">
        <w:t>När det gäller förslagets konsekvenser för barn och för jämställdheten är de svåra att bedöma eftersom statistiken är svåranalyserad. Lagstiftningen saknar dessutom stöd gällande tolkningen vad som anses som sjukdomskostnader och vilka personer som anses vara familjemedlemmar.</w:t>
      </w:r>
    </w:p>
    <w:p w14:paraId="0FBDD976" w14:textId="77777777" w:rsidR="00717B77" w:rsidRPr="00717B77" w:rsidRDefault="00717B77" w:rsidP="00717B77">
      <w:pPr>
        <w:pStyle w:val="ANormal"/>
      </w:pPr>
      <w:r w:rsidRPr="00717B77">
        <w:tab/>
        <w:t xml:space="preserve">Statistiken för 2022 visar att barnfamiljer stod för en förhållandevis liten del av det totala avdragsbeloppet, cirka 13,6 procent (se tabell 3 i bilagan). </w:t>
      </w:r>
      <w:r w:rsidRPr="00717B77">
        <w:lastRenderedPageBreak/>
        <w:t>Samma statistik visar också att antalet beviljade avdrag i de lägre inkomst-klasserna har minskat över tid samtidigt som det totala antalet beviljade avdrag i de högre inkomstklasserna har ökat (se tabell 1 i bilagan).</w:t>
      </w:r>
    </w:p>
    <w:p w14:paraId="014C443C" w14:textId="77777777" w:rsidR="00717B77" w:rsidRPr="00717B77" w:rsidRDefault="00717B77" w:rsidP="00717B77">
      <w:pPr>
        <w:pStyle w:val="ANormal"/>
      </w:pPr>
      <w:r w:rsidRPr="00717B77">
        <w:tab/>
        <w:t>När det gäller konsekvenserna för jämställdheten mellan könen kan kon-stateras att det är fler kvinnor än män som gör sjukdomskostnadsavdrag, medan mäns avdrag i medeltal är högre än kvinnors. Det är dock svårt att dra några slutsatser utgående från statistikuppgifterna eftersom avdraget ofta görs för alla familjemedlemmar tillsammans.</w:t>
      </w:r>
    </w:p>
    <w:p w14:paraId="65E26665" w14:textId="543DF55E" w:rsidR="00717B77" w:rsidRPr="00717B77" w:rsidRDefault="00717B77" w:rsidP="00717B77">
      <w:pPr>
        <w:pStyle w:val="ANormal"/>
      </w:pPr>
      <w:r w:rsidRPr="00717B77">
        <w:tab/>
        <w:t>Beträffande de kompletterande åtgärderna som övervägs under kommande år är det centralt att beakta både jämställdhetskonsekvenser samt barnperspektiv.</w:t>
      </w:r>
    </w:p>
    <w:p w14:paraId="397F1E2A" w14:textId="77777777" w:rsidR="00717B77" w:rsidRDefault="00717B77" w:rsidP="00717B77">
      <w:pPr>
        <w:pStyle w:val="ANormal"/>
      </w:pPr>
      <w:r w:rsidRPr="00717B77">
        <w:tab/>
        <w:t>Förslaget torde inte ha några konsekvenser för miljön.</w:t>
      </w:r>
    </w:p>
    <w:p w14:paraId="49C12992" w14:textId="77777777" w:rsidR="00717B77" w:rsidRDefault="00717B77" w:rsidP="00AE0A17">
      <w:pPr>
        <w:pStyle w:val="ANormal"/>
      </w:pPr>
    </w:p>
    <w:p w14:paraId="26938FF0" w14:textId="306BF694" w:rsidR="00AE0A17" w:rsidRDefault="00AE0A17" w:rsidP="00AE0A17">
      <w:pPr>
        <w:pStyle w:val="RubrikB"/>
      </w:pPr>
      <w:bookmarkStart w:id="25" w:name="_Toc176334218"/>
      <w:r>
        <w:t>5. Beredning och ikraftträdande</w:t>
      </w:r>
      <w:bookmarkEnd w:id="25"/>
    </w:p>
    <w:p w14:paraId="6D49BCFA" w14:textId="77777777" w:rsidR="00AE0A17" w:rsidRDefault="00AE0A17" w:rsidP="00AE0A17">
      <w:pPr>
        <w:pStyle w:val="Rubrikmellanrum"/>
      </w:pPr>
    </w:p>
    <w:p w14:paraId="495F08BC" w14:textId="44C0B7ED" w:rsidR="00752A24" w:rsidRDefault="00DD25BC" w:rsidP="00DD25BC">
      <w:pPr>
        <w:pStyle w:val="ANormal"/>
      </w:pPr>
      <w:r>
        <w:t>Lagförslaget har beretts vid lagberedningen</w:t>
      </w:r>
      <w:r w:rsidR="00F25FF6">
        <w:t>. Beskrivningen av förslagets effekter baseras på statistikuppgifter och beräkningar framtagna av ÅSUB. Förslaget skicka</w:t>
      </w:r>
      <w:r w:rsidR="005D28B6">
        <w:t>de</w:t>
      </w:r>
      <w:r w:rsidR="00F25FF6">
        <w:t>s på remiss till kommunerna, Ålands kommunförbund</w:t>
      </w:r>
      <w:r w:rsidR="00A16A22">
        <w:t>, Ålands hälso- och sjukvård, Kommunernas socialtjänst</w:t>
      </w:r>
      <w:r w:rsidR="00E31281">
        <w:t xml:space="preserve"> k.f.</w:t>
      </w:r>
      <w:r w:rsidR="00A16A22">
        <w:t>, Funktionsrätt Åland</w:t>
      </w:r>
      <w:r w:rsidR="00F25FF6">
        <w:t xml:space="preserve"> </w:t>
      </w:r>
      <w:r w:rsidR="00A16A22">
        <w:t>r.f., Mariehamns Pensionärsförening r.f., Norra Ålands Pensionärer r.f., Rädda Barnen på Åland r.f., Folkhälsan på Åland r.f.</w:t>
      </w:r>
      <w:r w:rsidR="00581B39">
        <w:t>,</w:t>
      </w:r>
      <w:r w:rsidR="00A16A22">
        <w:t xml:space="preserve"> Ålands skattebyrå</w:t>
      </w:r>
      <w:r w:rsidR="00581B39">
        <w:t xml:space="preserve"> och internt till social- och miljöavdelningen samt finansavdelningen</w:t>
      </w:r>
      <w:r w:rsidR="00A16A22">
        <w:t>.</w:t>
      </w:r>
    </w:p>
    <w:p w14:paraId="709B811A" w14:textId="305CE2AE" w:rsidR="00DD25BC" w:rsidRPr="00533430" w:rsidRDefault="00752A24" w:rsidP="00DD25BC">
      <w:pPr>
        <w:pStyle w:val="ANormal"/>
      </w:pPr>
      <w:r>
        <w:tab/>
      </w:r>
      <w:r w:rsidR="005D28B6" w:rsidRPr="00533430">
        <w:t>Utlåtanden lämnades av tio kommuner, Ålands kommunförbund, Kommunernas socialtjänst k.f., Funktionsrätt Åland r.f., Mariehamns Pensionärsförening r.f., Norra Ålands Pensionärer r.f.</w:t>
      </w:r>
      <w:r w:rsidR="00581B39" w:rsidRPr="00533430">
        <w:t>,</w:t>
      </w:r>
      <w:r w:rsidR="005D28B6" w:rsidRPr="00533430">
        <w:t xml:space="preserve"> Ålands skattebyrå</w:t>
      </w:r>
      <w:r w:rsidR="00581B39" w:rsidRPr="00533430">
        <w:t xml:space="preserve"> samt social- och miljöavdelningen</w:t>
      </w:r>
      <w:r w:rsidR="005D28B6" w:rsidRPr="00533430">
        <w:t>. Rädda Barnen på Åland r.f. meddelade att de inte hade resurser att lämna ett utlåtande.</w:t>
      </w:r>
    </w:p>
    <w:p w14:paraId="7E2F261C" w14:textId="65B5D718" w:rsidR="005C285E" w:rsidRPr="00533430" w:rsidRDefault="005C285E" w:rsidP="005C285E">
      <w:pPr>
        <w:pStyle w:val="ANormal"/>
      </w:pPr>
      <w:r w:rsidRPr="00533430">
        <w:tab/>
      </w:r>
      <w:r w:rsidR="009978AE" w:rsidRPr="00533430">
        <w:t>Majoriteten av de</w:t>
      </w:r>
      <w:r w:rsidRPr="00533430">
        <w:t xml:space="preserve"> kommuner</w:t>
      </w:r>
      <w:r w:rsidR="009978AE" w:rsidRPr="00533430">
        <w:t xml:space="preserve"> som givit utlåtande</w:t>
      </w:r>
      <w:r w:rsidRPr="00533430">
        <w:t xml:space="preserve"> samt kommunförbundet är positiva eller har inget att invända mot att sjukdomskostnadsavdraget avskaffas. </w:t>
      </w:r>
      <w:r w:rsidR="003C57C7" w:rsidRPr="00533430">
        <w:t xml:space="preserve">En kommun avstår från att ge utlåtande med hänvisning till förslagets bristande konsekvensanalys. De flesta kommuner är negativa till </w:t>
      </w:r>
      <w:r w:rsidR="0053544A" w:rsidRPr="00533430">
        <w:t>den aviserade sänkningen av</w:t>
      </w:r>
      <w:r w:rsidR="003C57C7" w:rsidRPr="00533430">
        <w:t xml:space="preserve"> kompensationen till kommunerna samtidigt som de </w:t>
      </w:r>
      <w:r w:rsidR="0053544A" w:rsidRPr="00533430">
        <w:t xml:space="preserve">också </w:t>
      </w:r>
      <w:r w:rsidR="003C57C7" w:rsidRPr="00533430">
        <w:t xml:space="preserve">är kritiska till att det inte framgår av förslaget hur denna </w:t>
      </w:r>
      <w:r w:rsidR="0053544A" w:rsidRPr="00533430">
        <w:t>sänkning</w:t>
      </w:r>
      <w:r w:rsidR="003C57C7" w:rsidRPr="00533430">
        <w:t xml:space="preserve"> </w:t>
      </w:r>
      <w:r w:rsidR="0053544A" w:rsidRPr="00533430">
        <w:t>är tänkt att genomföras</w:t>
      </w:r>
      <w:r w:rsidR="003C57C7" w:rsidRPr="00533430">
        <w:t xml:space="preserve">. </w:t>
      </w:r>
      <w:r w:rsidRPr="00533430">
        <w:t>Två av kommunerna kan inte omfatta förslaget med hänvisning till att det bara är en del av en helhet. En av kommuner</w:t>
      </w:r>
      <w:r w:rsidR="003C57C7" w:rsidRPr="00533430">
        <w:t>na</w:t>
      </w:r>
      <w:r w:rsidRPr="00533430">
        <w:t xml:space="preserve"> mot</w:t>
      </w:r>
      <w:r w:rsidR="00702457">
        <w:t>-</w:t>
      </w:r>
      <w:r w:rsidRPr="00533430">
        <w:t>sätter sig</w:t>
      </w:r>
      <w:r w:rsidR="003C57C7" w:rsidRPr="00533430">
        <w:t xml:space="preserve"> också</w:t>
      </w:r>
      <w:r w:rsidRPr="00533430">
        <w:t xml:space="preserve"> utvidgningen av avdraget för nedsatt skattebetalningsförmåga och höjningen av grundavdraget.</w:t>
      </w:r>
    </w:p>
    <w:p w14:paraId="7CAC4FB3" w14:textId="0384201D" w:rsidR="00AE0A17" w:rsidRDefault="00847829" w:rsidP="005C285E">
      <w:pPr>
        <w:pStyle w:val="ANormal"/>
      </w:pPr>
      <w:r w:rsidRPr="00533430">
        <w:tab/>
      </w:r>
      <w:r w:rsidR="005C285E" w:rsidRPr="00533430">
        <w:t>Av de sex remissinstanser som inte är kommuner motsätter sig samtliga förutom Ålands skattebyrå att sjukdomskostnadsavdraget avskaffas</w:t>
      </w:r>
      <w:r w:rsidR="0053544A" w:rsidRPr="00533430">
        <w:t xml:space="preserve">. Motiveringen är att </w:t>
      </w:r>
      <w:r w:rsidR="00890B5B" w:rsidRPr="00533430">
        <w:t>förslaget</w:t>
      </w:r>
      <w:r w:rsidR="0053544A" w:rsidRPr="00533430">
        <w:t xml:space="preserve"> höjer skatten och därmed försämrar den ekonomiska situationen för låginkomsttagare som har höga sjukdomskostnader.</w:t>
      </w:r>
      <w:r w:rsidR="00890B5B" w:rsidRPr="00533430">
        <w:t xml:space="preserve"> </w:t>
      </w:r>
      <w:r w:rsidR="005C285E" w:rsidRPr="00533430">
        <w:t>Skattebyrån anser att avdraget behöver moderniseras men har för övrigt inga synpunkter på om det ska finnas kvar eller inte.</w:t>
      </w:r>
    </w:p>
    <w:p w14:paraId="40A630ED" w14:textId="1A5C9DE2" w:rsidR="000A75F3" w:rsidRDefault="006C6FF2" w:rsidP="00AE0A17">
      <w:pPr>
        <w:pStyle w:val="ANormal"/>
      </w:pPr>
      <w:r>
        <w:tab/>
        <w:t xml:space="preserve">Landskapsregeringen föreslår att sjukdomskostnadsavdraget avskaffas från och med beskattningen för skatteåret 2025. </w:t>
      </w:r>
      <w:r w:rsidR="00CF466B">
        <w:t>För att undvika att den föreslagna lagändringen får en retroaktiv verkan ska den träda i kraft senast den 1 januari 2025.</w:t>
      </w:r>
    </w:p>
    <w:p w14:paraId="1FF93739" w14:textId="77777777" w:rsidR="00F31C1E" w:rsidRPr="00AE0A17" w:rsidRDefault="00F31C1E" w:rsidP="00AE0A17">
      <w:pPr>
        <w:pStyle w:val="ANormal"/>
      </w:pPr>
    </w:p>
    <w:p w14:paraId="20EAF160" w14:textId="77777777" w:rsidR="00AF3004" w:rsidRDefault="00AF3004">
      <w:pPr>
        <w:pStyle w:val="RubrikA"/>
      </w:pPr>
      <w:r>
        <w:br w:type="page"/>
      </w:r>
      <w:bookmarkStart w:id="26" w:name="_Toc176334219"/>
      <w:r>
        <w:lastRenderedPageBreak/>
        <w:t>Lagtext</w:t>
      </w:r>
      <w:bookmarkEnd w:id="26"/>
    </w:p>
    <w:p w14:paraId="703AC6A4" w14:textId="77777777" w:rsidR="00AF3004" w:rsidRDefault="00AF3004">
      <w:pPr>
        <w:pStyle w:val="Rubrikmellanrum"/>
      </w:pPr>
    </w:p>
    <w:p w14:paraId="19E36875" w14:textId="77777777" w:rsidR="00AF3004" w:rsidRDefault="00AF3004">
      <w:pPr>
        <w:pStyle w:val="ANormal"/>
      </w:pPr>
      <w:r>
        <w:t>Landskapsregeringen föreslår att följande lag antas.</w:t>
      </w:r>
    </w:p>
    <w:p w14:paraId="442B131D" w14:textId="77777777" w:rsidR="00AF3004" w:rsidRDefault="00AF3004">
      <w:pPr>
        <w:pStyle w:val="ANormal"/>
      </w:pPr>
    </w:p>
    <w:p w14:paraId="005F89DE" w14:textId="2D82BF91" w:rsidR="00AF3004" w:rsidRDefault="00AF3004">
      <w:pPr>
        <w:pStyle w:val="LagHuvRubr"/>
        <w:rPr>
          <w:lang w:val="en-GB"/>
        </w:rPr>
      </w:pPr>
      <w:bookmarkStart w:id="27" w:name="_Toc176334220"/>
      <w:r>
        <w:rPr>
          <w:lang w:val="en-GB"/>
        </w:rPr>
        <w:t>L A N D S K A P S L A G</w:t>
      </w:r>
      <w:r>
        <w:rPr>
          <w:lang w:val="en-GB"/>
        </w:rPr>
        <w:br/>
        <w:t>om</w:t>
      </w:r>
      <w:r w:rsidR="000A75F3">
        <w:rPr>
          <w:lang w:val="en-GB"/>
        </w:rPr>
        <w:t xml:space="preserve"> ändring av kommunalskattelagen för landskapet Åland</w:t>
      </w:r>
      <w:bookmarkEnd w:id="27"/>
    </w:p>
    <w:p w14:paraId="6C38B075" w14:textId="77777777" w:rsidR="00AF3004" w:rsidRDefault="00AF3004">
      <w:pPr>
        <w:pStyle w:val="ANormal"/>
        <w:rPr>
          <w:lang w:val="en-GB"/>
        </w:rPr>
      </w:pPr>
    </w:p>
    <w:p w14:paraId="580F05C5" w14:textId="0C09B2BA" w:rsidR="000A75F3" w:rsidRDefault="00AF3004">
      <w:pPr>
        <w:pStyle w:val="ANormal"/>
      </w:pPr>
      <w:r>
        <w:tab/>
        <w:t>I enlighet med lagtingets beslut</w:t>
      </w:r>
    </w:p>
    <w:p w14:paraId="4751B9C3" w14:textId="7D9EBA90" w:rsidR="000A75F3" w:rsidRDefault="000A75F3">
      <w:pPr>
        <w:pStyle w:val="ANormal"/>
      </w:pPr>
      <w:r>
        <w:tab/>
      </w:r>
      <w:r w:rsidRPr="0084727D">
        <w:rPr>
          <w:b/>
          <w:bCs/>
        </w:rPr>
        <w:t>upphävs</w:t>
      </w:r>
      <w:r>
        <w:t xml:space="preserve"> 18</w:t>
      </w:r>
      <w:r w:rsidR="005A651F">
        <w:t> §</w:t>
      </w:r>
      <w:r>
        <w:t xml:space="preserve"> kommunalskattelagen (2011:119) för landskapet Åland</w:t>
      </w:r>
      <w:r w:rsidR="00230497">
        <w:t xml:space="preserve">, </w:t>
      </w:r>
      <w:r w:rsidR="00230497" w:rsidRPr="00022398">
        <w:t>sådan</w:t>
      </w:r>
      <w:r w:rsidR="00041B47">
        <w:t>t 18</w:t>
      </w:r>
      <w:r w:rsidR="005A651F">
        <w:t> §</w:t>
      </w:r>
      <w:r w:rsidR="00041B47">
        <w:t xml:space="preserve"> 1</w:t>
      </w:r>
      <w:r w:rsidR="005A651F">
        <w:t> mom.</w:t>
      </w:r>
      <w:r w:rsidR="00230497" w:rsidRPr="00022398">
        <w:t xml:space="preserve"> lyder </w:t>
      </w:r>
      <w:r w:rsidR="00DF13B7" w:rsidRPr="00022398">
        <w:t>i</w:t>
      </w:r>
      <w:r w:rsidR="00230497" w:rsidRPr="00022398">
        <w:t xml:space="preserve"> landskapslagen 2012/86,</w:t>
      </w:r>
    </w:p>
    <w:p w14:paraId="71604707" w14:textId="17F35764" w:rsidR="00230497" w:rsidRDefault="00230497">
      <w:pPr>
        <w:pStyle w:val="ANormal"/>
      </w:pPr>
      <w:r>
        <w:tab/>
      </w:r>
      <w:r w:rsidRPr="00230497">
        <w:rPr>
          <w:b/>
          <w:bCs/>
        </w:rPr>
        <w:t>ändras</w:t>
      </w:r>
      <w:r>
        <w:t xml:space="preserve"> lagens 23</w:t>
      </w:r>
      <w:r w:rsidR="005A651F">
        <w:t> §</w:t>
      </w:r>
      <w:r>
        <w:t>, sådan den lyder i landskapslagen 2023/137, samt</w:t>
      </w:r>
    </w:p>
    <w:p w14:paraId="55D67C27" w14:textId="31357548" w:rsidR="00AF3004" w:rsidRDefault="00230497">
      <w:pPr>
        <w:pStyle w:val="ANormal"/>
      </w:pPr>
      <w:r>
        <w:tab/>
      </w:r>
      <w:r w:rsidRPr="00230497">
        <w:rPr>
          <w:b/>
          <w:bCs/>
        </w:rPr>
        <w:t>fogas</w:t>
      </w:r>
      <w:r>
        <w:t xml:space="preserve"> till lagens 17</w:t>
      </w:r>
      <w:r w:rsidR="005A651F">
        <w:t> §</w:t>
      </w:r>
      <w:r>
        <w:t xml:space="preserve"> ett nytt 2</w:t>
      </w:r>
      <w:r w:rsidR="005A651F">
        <w:t> mom.</w:t>
      </w:r>
      <w:r>
        <w:t xml:space="preserve"> som följer:</w:t>
      </w:r>
    </w:p>
    <w:p w14:paraId="79193A53" w14:textId="77777777" w:rsidR="00982D40" w:rsidRDefault="00982D40">
      <w:pPr>
        <w:pStyle w:val="ANormal"/>
      </w:pPr>
    </w:p>
    <w:p w14:paraId="5642E213" w14:textId="0DA00382" w:rsidR="00982D40" w:rsidRDefault="00C17ED6" w:rsidP="00C17ED6">
      <w:pPr>
        <w:pStyle w:val="LagParagraf"/>
      </w:pPr>
      <w:r>
        <w:t>17</w:t>
      </w:r>
      <w:r w:rsidR="005A651F">
        <w:t> §</w:t>
      </w:r>
    </w:p>
    <w:p w14:paraId="3B55BC8B" w14:textId="4390B705" w:rsidR="00C17ED6" w:rsidRPr="00C17ED6" w:rsidRDefault="00230497" w:rsidP="00C17ED6">
      <w:pPr>
        <w:pStyle w:val="LagPararubrik"/>
      </w:pPr>
      <w:r>
        <w:t>Avdrag för nedsatt skattebetalningsförmåga</w:t>
      </w:r>
    </w:p>
    <w:p w14:paraId="52818EB0" w14:textId="77777777" w:rsidR="00230497" w:rsidRDefault="00230497">
      <w:pPr>
        <w:pStyle w:val="ANormal"/>
      </w:pPr>
      <w:r>
        <w:t>- - - - - - - - - - - - - - - - - - - - - - - - - - - - - - - - - - - - - - - - - - - - - - - - - - - -</w:t>
      </w:r>
    </w:p>
    <w:p w14:paraId="766FA34F" w14:textId="54B106D2" w:rsidR="00982D40" w:rsidRDefault="00982D40" w:rsidP="00982D40">
      <w:pPr>
        <w:pStyle w:val="ANormal"/>
      </w:pPr>
      <w:r>
        <w:tab/>
      </w:r>
      <w:r w:rsidRPr="00982D40">
        <w:t>På basis av kostnader som enbart beror på sjukdom kan den skattskyldiges skattebetalningsförmåga anses ha blivit väsentligt nedsatt endast om det totala beloppet av den skattskyldiges och hans familjs sjukdomskostnader under skatteåret uppgår till minst 700 euro och samtidigt utgör minst 10 procent av den skattskyldiges sammanlagda nettokapital- och nettoförvärvsinkomster. Som familjemedlemmar betraktas den skattskyldiges make och minderåriga barn.</w:t>
      </w:r>
    </w:p>
    <w:p w14:paraId="53143E6F" w14:textId="77777777" w:rsidR="00230497" w:rsidRDefault="00230497" w:rsidP="00982D40">
      <w:pPr>
        <w:pStyle w:val="ANormal"/>
      </w:pPr>
    </w:p>
    <w:p w14:paraId="430CE03E" w14:textId="4F8B704B" w:rsidR="00230497" w:rsidRDefault="00230497" w:rsidP="00230497">
      <w:pPr>
        <w:pStyle w:val="LagParagraf"/>
      </w:pPr>
      <w:r>
        <w:t>23</w:t>
      </w:r>
      <w:r w:rsidR="005A651F">
        <w:t> §</w:t>
      </w:r>
    </w:p>
    <w:p w14:paraId="4376958F" w14:textId="65274282" w:rsidR="00230497" w:rsidRDefault="00230497" w:rsidP="00230497">
      <w:pPr>
        <w:pStyle w:val="LagPararubrik"/>
      </w:pPr>
      <w:r>
        <w:t>Grundavdrag</w:t>
      </w:r>
    </w:p>
    <w:p w14:paraId="69913E7B" w14:textId="67F56EEB" w:rsidR="00230497" w:rsidRPr="00230497" w:rsidRDefault="00230497" w:rsidP="00230497">
      <w:pPr>
        <w:pStyle w:val="ANormal"/>
      </w:pPr>
      <w:r>
        <w:tab/>
      </w:r>
      <w:r w:rsidRPr="00230497">
        <w:t>Om en skattskyldig fysisk person har en nettoförvärvsinkomst som efter de ovan nämnda avdragen inte överstiger 3</w:t>
      </w:r>
      <w:r w:rsidR="00702457">
        <w:t> </w:t>
      </w:r>
      <w:r w:rsidR="00063394">
        <w:t>7</w:t>
      </w:r>
      <w:r w:rsidRPr="00230497">
        <w:t>00 euro, ska detta inkomstbelopp dras av från nettoförvärvsinkomsten. Om nettoförvärvsinkomstens belopp efter de nämnda avdragen överstiger fullt grundavdrag, ska avdraget minskas med 8,4 procent av den överskjutande inkomsten.</w:t>
      </w:r>
    </w:p>
    <w:p w14:paraId="7D33C1FF" w14:textId="77777777" w:rsidR="00AF3004" w:rsidRDefault="004F6816">
      <w:pPr>
        <w:pStyle w:val="ANormal"/>
        <w:jc w:val="center"/>
      </w:pPr>
      <w:hyperlink w:anchor="_top" w:tooltip="Klicka för att gå till toppen av dokumentet" w:history="1">
        <w:r w:rsidR="00AF3004">
          <w:rPr>
            <w:rStyle w:val="Hyperlnk"/>
          </w:rPr>
          <w:t>__________________</w:t>
        </w:r>
      </w:hyperlink>
    </w:p>
    <w:p w14:paraId="7BF328E1" w14:textId="77777777" w:rsidR="00DF13B7" w:rsidRDefault="00DF13B7">
      <w:pPr>
        <w:pStyle w:val="ANormal"/>
      </w:pPr>
    </w:p>
    <w:p w14:paraId="158CD7A7" w14:textId="2CFA9BF9" w:rsidR="00AF3004" w:rsidRDefault="00230497">
      <w:pPr>
        <w:pStyle w:val="ANormal"/>
      </w:pPr>
      <w:r>
        <w:tab/>
        <w:t>Denna lag träder i kraft den 1 januari 2025 och tillämpas första gången vid kommunalbeskattningen som gäller skatteåret 2025.</w:t>
      </w:r>
    </w:p>
    <w:p w14:paraId="1E6EA27C" w14:textId="77777777" w:rsidR="00230497" w:rsidRDefault="00230497">
      <w:pPr>
        <w:pStyle w:val="ANormal"/>
      </w:pPr>
    </w:p>
    <w:p w14:paraId="05199057" w14:textId="77777777" w:rsidR="00702457" w:rsidRDefault="00702457">
      <w:pPr>
        <w:pStyle w:val="ANormal"/>
      </w:pPr>
    </w:p>
    <w:p w14:paraId="0E31977D" w14:textId="77777777" w:rsidR="00230497" w:rsidRDefault="00230497">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AF3004" w14:paraId="62FA43DC" w14:textId="77777777">
        <w:trPr>
          <w:cantSplit/>
        </w:trPr>
        <w:tc>
          <w:tcPr>
            <w:tcW w:w="7931" w:type="dxa"/>
            <w:gridSpan w:val="2"/>
          </w:tcPr>
          <w:p w14:paraId="5739E45A" w14:textId="77777777" w:rsidR="00AF3004" w:rsidRDefault="00AF3004">
            <w:pPr>
              <w:pStyle w:val="ANormal"/>
              <w:keepNext/>
            </w:pPr>
            <w:r>
              <w:t xml:space="preserve">Mariehamn den </w:t>
            </w:r>
          </w:p>
        </w:tc>
      </w:tr>
      <w:tr w:rsidR="00AF3004" w14:paraId="7BC841BA" w14:textId="77777777">
        <w:tc>
          <w:tcPr>
            <w:tcW w:w="4454" w:type="dxa"/>
            <w:vAlign w:val="bottom"/>
          </w:tcPr>
          <w:p w14:paraId="360A2FBB" w14:textId="77777777" w:rsidR="00AF3004" w:rsidRDefault="00AF3004">
            <w:pPr>
              <w:pStyle w:val="ANormal"/>
              <w:keepNext/>
            </w:pPr>
          </w:p>
          <w:p w14:paraId="3FD5E67C" w14:textId="77777777" w:rsidR="00AF3004" w:rsidRDefault="00AF3004">
            <w:pPr>
              <w:pStyle w:val="ANormal"/>
              <w:keepNext/>
            </w:pPr>
          </w:p>
          <w:p w14:paraId="0BF7FCD1" w14:textId="77777777" w:rsidR="00AF3004" w:rsidRDefault="00AF3004">
            <w:pPr>
              <w:pStyle w:val="ANormal"/>
              <w:keepNext/>
            </w:pPr>
            <w:r>
              <w:t>L a n t r å d</w:t>
            </w:r>
          </w:p>
        </w:tc>
        <w:tc>
          <w:tcPr>
            <w:tcW w:w="3477" w:type="dxa"/>
            <w:vAlign w:val="bottom"/>
          </w:tcPr>
          <w:p w14:paraId="43AA8244" w14:textId="77777777" w:rsidR="00AF3004" w:rsidRDefault="00AF3004">
            <w:pPr>
              <w:pStyle w:val="ANormal"/>
              <w:keepNext/>
            </w:pPr>
          </w:p>
          <w:p w14:paraId="7F544836" w14:textId="77777777" w:rsidR="00AF3004" w:rsidRDefault="00AF3004">
            <w:pPr>
              <w:pStyle w:val="ANormal"/>
              <w:keepNext/>
            </w:pPr>
          </w:p>
          <w:p w14:paraId="5F6333D4" w14:textId="1942BEB8" w:rsidR="00AF3004" w:rsidRDefault="00DF13B7">
            <w:pPr>
              <w:pStyle w:val="ANormal"/>
              <w:keepNext/>
            </w:pPr>
            <w:r>
              <w:t>Katrin Sjögren</w:t>
            </w:r>
          </w:p>
        </w:tc>
      </w:tr>
      <w:tr w:rsidR="00AF3004" w14:paraId="691DAA94" w14:textId="77777777">
        <w:tc>
          <w:tcPr>
            <w:tcW w:w="4454" w:type="dxa"/>
            <w:vAlign w:val="bottom"/>
          </w:tcPr>
          <w:p w14:paraId="4C8E641F" w14:textId="77777777" w:rsidR="00AF3004" w:rsidRDefault="00AF3004">
            <w:pPr>
              <w:pStyle w:val="ANormal"/>
              <w:keepNext/>
            </w:pPr>
          </w:p>
          <w:p w14:paraId="0DA3D44E" w14:textId="77777777" w:rsidR="00AF3004" w:rsidRDefault="00AF3004">
            <w:pPr>
              <w:pStyle w:val="ANormal"/>
              <w:keepNext/>
            </w:pPr>
          </w:p>
          <w:p w14:paraId="61145C0C" w14:textId="3607FD78" w:rsidR="00AF3004" w:rsidRDefault="00AF3004">
            <w:pPr>
              <w:pStyle w:val="ANormal"/>
              <w:keepNext/>
            </w:pPr>
            <w:r>
              <w:t xml:space="preserve">Föredragande </w:t>
            </w:r>
            <w:r w:rsidR="002C5BFD">
              <w:t>minister</w:t>
            </w:r>
          </w:p>
        </w:tc>
        <w:tc>
          <w:tcPr>
            <w:tcW w:w="3477" w:type="dxa"/>
            <w:vAlign w:val="bottom"/>
          </w:tcPr>
          <w:p w14:paraId="651C1C89" w14:textId="77777777" w:rsidR="00AF3004" w:rsidRDefault="00AF3004">
            <w:pPr>
              <w:pStyle w:val="ANormal"/>
              <w:keepNext/>
            </w:pPr>
          </w:p>
          <w:p w14:paraId="027FAE5B" w14:textId="77777777" w:rsidR="00AF3004" w:rsidRDefault="00AF3004">
            <w:pPr>
              <w:pStyle w:val="ANormal"/>
              <w:keepNext/>
            </w:pPr>
          </w:p>
          <w:p w14:paraId="775092D3" w14:textId="67EC4FA8" w:rsidR="00AF3004" w:rsidRDefault="00DF13B7">
            <w:pPr>
              <w:pStyle w:val="ANormal"/>
              <w:keepNext/>
            </w:pPr>
            <w:r>
              <w:t>Mats Perämaa</w:t>
            </w:r>
          </w:p>
        </w:tc>
      </w:tr>
    </w:tbl>
    <w:p w14:paraId="3225DF56" w14:textId="77777777" w:rsidR="00AF3004" w:rsidRDefault="00AF3004">
      <w:pPr>
        <w:pStyle w:val="ANormal"/>
      </w:pPr>
    </w:p>
    <w:p w14:paraId="3E0C664B" w14:textId="77777777" w:rsidR="00F31C1E" w:rsidRDefault="00F31C1E">
      <w:pPr>
        <w:pStyle w:val="ANormal"/>
      </w:pPr>
    </w:p>
    <w:p w14:paraId="487E265F" w14:textId="77777777" w:rsidR="00F75985" w:rsidRDefault="00F75985" w:rsidP="00F75985">
      <w:pPr>
        <w:pStyle w:val="ANormal"/>
        <w:sectPr w:rsidR="00F75985">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pPr>
    </w:p>
    <w:p w14:paraId="4996D3A0" w14:textId="5451CCD6" w:rsidR="002E4B32" w:rsidRDefault="002E4B32" w:rsidP="002E4B32">
      <w:pPr>
        <w:pStyle w:val="RubrikA"/>
      </w:pPr>
      <w:bookmarkStart w:id="28" w:name="_Toc176334221"/>
      <w:r>
        <w:lastRenderedPageBreak/>
        <w:t>Bilaga</w:t>
      </w:r>
      <w:bookmarkEnd w:id="28"/>
    </w:p>
    <w:p w14:paraId="72A43FDB" w14:textId="77777777" w:rsidR="002E4B32" w:rsidRDefault="002E4B32" w:rsidP="002E4B32">
      <w:pPr>
        <w:pStyle w:val="Rubrikmellanrum"/>
      </w:pPr>
    </w:p>
    <w:p w14:paraId="10E4CED6" w14:textId="77777777" w:rsidR="002E4B32" w:rsidRPr="002E4B32" w:rsidRDefault="002E4B32" w:rsidP="002E4B32">
      <w:pPr>
        <w:pStyle w:val="ANormal"/>
      </w:pPr>
    </w:p>
    <w:p w14:paraId="581229D9" w14:textId="03598BA6" w:rsidR="002E4B32" w:rsidRPr="002E4B32" w:rsidRDefault="002E4B32" w:rsidP="002E4B32">
      <w:pPr>
        <w:pStyle w:val="Tabelltext"/>
        <w:rPr>
          <w:b/>
          <w:bCs/>
        </w:rPr>
      </w:pPr>
      <w:r w:rsidRPr="002E4B32">
        <w:rPr>
          <w:b/>
          <w:bCs/>
        </w:rPr>
        <w:t>Tabell 1: Sjukdomskostnadsavdrag 2020–2022, efter antal och inkomstklass (skattepliktiga inkomster</w:t>
      </w:r>
      <w:r w:rsidR="002D38C1">
        <w:rPr>
          <w:b/>
          <w:bCs/>
        </w:rPr>
        <w:t>)</w:t>
      </w:r>
    </w:p>
    <w:p w14:paraId="00180D35" w14:textId="77777777" w:rsidR="002E4B32" w:rsidRDefault="002E4B32">
      <w:pPr>
        <w:pStyle w:val="ANormal"/>
      </w:pPr>
    </w:p>
    <w:p w14:paraId="0B5BAB03" w14:textId="5ABB635B" w:rsidR="002E4B32" w:rsidRDefault="002E4B32">
      <w:pPr>
        <w:pStyle w:val="ANormal"/>
      </w:pPr>
      <w:r>
        <w:rPr>
          <w:noProof/>
        </w:rPr>
        <w:drawing>
          <wp:inline distT="0" distB="0" distL="0" distR="0" wp14:anchorId="74FD5352" wp14:editId="27FFBA52">
            <wp:extent cx="7291229" cy="1038225"/>
            <wp:effectExtent l="0" t="0" r="5080" b="0"/>
            <wp:docPr id="358368674"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00114" cy="1039490"/>
                    </a:xfrm>
                    <a:prstGeom prst="rect">
                      <a:avLst/>
                    </a:prstGeom>
                    <a:noFill/>
                  </pic:spPr>
                </pic:pic>
              </a:graphicData>
            </a:graphic>
          </wp:inline>
        </w:drawing>
      </w:r>
    </w:p>
    <w:p w14:paraId="1218A295" w14:textId="1C8419C0" w:rsidR="002E4B32" w:rsidRDefault="002E4B32" w:rsidP="002E4B32">
      <w:pPr>
        <w:pStyle w:val="Tabelltext"/>
      </w:pPr>
      <w:r>
        <w:t>Källa: Skatteförvaltningen, ÅSUB</w:t>
      </w:r>
    </w:p>
    <w:p w14:paraId="64D99AFA" w14:textId="77777777" w:rsidR="002E4B32" w:rsidRDefault="002E4B32">
      <w:pPr>
        <w:pStyle w:val="ANormal"/>
      </w:pPr>
    </w:p>
    <w:p w14:paraId="036C6A83" w14:textId="77777777" w:rsidR="002E4B32" w:rsidRDefault="002E4B32">
      <w:pPr>
        <w:pStyle w:val="ANormal"/>
      </w:pPr>
    </w:p>
    <w:p w14:paraId="2A5B4BEA" w14:textId="1D4F06DF" w:rsidR="002E4B32" w:rsidRPr="002E4B32" w:rsidRDefault="002E4B32" w:rsidP="002E4B32">
      <w:pPr>
        <w:pStyle w:val="Tabelltext"/>
        <w:rPr>
          <w:b/>
          <w:bCs/>
        </w:rPr>
      </w:pPr>
      <w:r w:rsidRPr="002E4B32">
        <w:rPr>
          <w:b/>
          <w:bCs/>
        </w:rPr>
        <w:t xml:space="preserve">Tabell </w:t>
      </w:r>
      <w:r>
        <w:rPr>
          <w:b/>
          <w:bCs/>
        </w:rPr>
        <w:t>2</w:t>
      </w:r>
      <w:r w:rsidRPr="002E4B32">
        <w:rPr>
          <w:b/>
          <w:bCs/>
        </w:rPr>
        <w:t xml:space="preserve">: Sjukdomskostnadsavdrag 2020–2022, efter </w:t>
      </w:r>
      <w:r>
        <w:rPr>
          <w:b/>
          <w:bCs/>
        </w:rPr>
        <w:t>belopp</w:t>
      </w:r>
      <w:r w:rsidRPr="002E4B32">
        <w:rPr>
          <w:b/>
          <w:bCs/>
        </w:rPr>
        <w:t xml:space="preserve"> och inkomstklass (skattepliktiga inkomster</w:t>
      </w:r>
      <w:r w:rsidR="002D38C1">
        <w:rPr>
          <w:b/>
          <w:bCs/>
        </w:rPr>
        <w:t>)</w:t>
      </w:r>
    </w:p>
    <w:p w14:paraId="1AC16F3F" w14:textId="77777777" w:rsidR="002E4B32" w:rsidRDefault="002E4B32">
      <w:pPr>
        <w:pStyle w:val="ANormal"/>
      </w:pPr>
    </w:p>
    <w:p w14:paraId="18F4F4C7" w14:textId="4BE9EE1E" w:rsidR="002E4B32" w:rsidRDefault="002E4B32">
      <w:pPr>
        <w:pStyle w:val="ANormal"/>
      </w:pPr>
      <w:r>
        <w:rPr>
          <w:noProof/>
        </w:rPr>
        <w:drawing>
          <wp:inline distT="0" distB="0" distL="0" distR="0" wp14:anchorId="13979A11" wp14:editId="74AF9A4F">
            <wp:extent cx="7362825" cy="1036181"/>
            <wp:effectExtent l="0" t="0" r="0" b="0"/>
            <wp:docPr id="1498053223"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422229" cy="1044541"/>
                    </a:xfrm>
                    <a:prstGeom prst="rect">
                      <a:avLst/>
                    </a:prstGeom>
                    <a:noFill/>
                  </pic:spPr>
                </pic:pic>
              </a:graphicData>
            </a:graphic>
          </wp:inline>
        </w:drawing>
      </w:r>
    </w:p>
    <w:p w14:paraId="3F287FB3" w14:textId="77777777" w:rsidR="002E4B32" w:rsidRDefault="002E4B32" w:rsidP="002E4B32">
      <w:pPr>
        <w:pStyle w:val="Tabelltext"/>
      </w:pPr>
      <w:r>
        <w:t>Källa: Skatteförvaltningen, ÅSUB</w:t>
      </w:r>
    </w:p>
    <w:p w14:paraId="45EEFAF2" w14:textId="77777777" w:rsidR="002E4B32" w:rsidRDefault="002E4B32">
      <w:pPr>
        <w:pStyle w:val="ANormal"/>
      </w:pPr>
    </w:p>
    <w:p w14:paraId="2305167A" w14:textId="77777777" w:rsidR="002E4B32" w:rsidRDefault="002E4B32">
      <w:pPr>
        <w:pStyle w:val="ANormal"/>
      </w:pPr>
    </w:p>
    <w:p w14:paraId="5897410E" w14:textId="77777777" w:rsidR="002431B7" w:rsidRDefault="002431B7">
      <w:pPr>
        <w:pStyle w:val="ANormal"/>
      </w:pPr>
    </w:p>
    <w:p w14:paraId="7CDF9A6E" w14:textId="62A9ED6E" w:rsidR="00087151" w:rsidRDefault="00087151" w:rsidP="00653B48">
      <w:pPr>
        <w:pStyle w:val="Tabelltext"/>
        <w:rPr>
          <w:b/>
          <w:bCs/>
        </w:rPr>
      </w:pPr>
      <w:r>
        <w:rPr>
          <w:b/>
          <w:bCs/>
        </w:rPr>
        <w:lastRenderedPageBreak/>
        <w:t>Tabell 3: S</w:t>
      </w:r>
      <w:r w:rsidRPr="00087151">
        <w:rPr>
          <w:b/>
          <w:bCs/>
        </w:rPr>
        <w:t>jukdomskostnadsavdrag 2022, efter familjetyp</w:t>
      </w:r>
    </w:p>
    <w:p w14:paraId="5E7A1D94" w14:textId="77777777" w:rsidR="00087151" w:rsidRPr="00087151" w:rsidRDefault="00087151" w:rsidP="00653B48">
      <w:pPr>
        <w:pStyle w:val="Tabelltext"/>
        <w:rPr>
          <w:b/>
          <w:bCs/>
        </w:rPr>
      </w:pPr>
    </w:p>
    <w:p w14:paraId="6354ADEF" w14:textId="3EB60282" w:rsidR="00087151" w:rsidRDefault="00087151" w:rsidP="00653B48">
      <w:pPr>
        <w:pStyle w:val="Tabelltext"/>
      </w:pPr>
      <w:r>
        <w:rPr>
          <w:noProof/>
        </w:rPr>
        <w:drawing>
          <wp:inline distT="0" distB="0" distL="0" distR="0" wp14:anchorId="58E6A472" wp14:editId="786A487F">
            <wp:extent cx="6381750" cy="2365637"/>
            <wp:effectExtent l="0" t="0" r="0" b="0"/>
            <wp:docPr id="290699930"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50031" cy="2390948"/>
                    </a:xfrm>
                    <a:prstGeom prst="rect">
                      <a:avLst/>
                    </a:prstGeom>
                    <a:noFill/>
                  </pic:spPr>
                </pic:pic>
              </a:graphicData>
            </a:graphic>
          </wp:inline>
        </w:drawing>
      </w:r>
    </w:p>
    <w:p w14:paraId="04D95477" w14:textId="77777777" w:rsidR="00087151" w:rsidRDefault="00087151" w:rsidP="00087151">
      <w:pPr>
        <w:pStyle w:val="Tabelltext"/>
      </w:pPr>
      <w:r>
        <w:t>Not: Med barn avses minderåriga</w:t>
      </w:r>
    </w:p>
    <w:p w14:paraId="4970007D" w14:textId="2089FCAC" w:rsidR="00087151" w:rsidRDefault="00087151" w:rsidP="00087151">
      <w:pPr>
        <w:pStyle w:val="Tabelltext"/>
      </w:pPr>
      <w:r>
        <w:t>Källa: Skatteförvaltningen, ÅSUB</w:t>
      </w:r>
    </w:p>
    <w:p w14:paraId="00C850F7" w14:textId="77777777" w:rsidR="00087151" w:rsidRDefault="00087151" w:rsidP="00653B48">
      <w:pPr>
        <w:pStyle w:val="Tabelltext"/>
      </w:pPr>
    </w:p>
    <w:p w14:paraId="0F1D9CFD" w14:textId="00DE7EB4" w:rsidR="00087151" w:rsidRPr="002D38C1" w:rsidRDefault="002D38C1" w:rsidP="00653B48">
      <w:pPr>
        <w:pStyle w:val="Tabelltext"/>
        <w:rPr>
          <w:b/>
          <w:bCs/>
        </w:rPr>
      </w:pPr>
      <w:r w:rsidRPr="002D38C1">
        <w:rPr>
          <w:b/>
          <w:bCs/>
        </w:rPr>
        <w:t>Tabell 4: Sjukdomskostnadsavdrag 2022, pensionärer</w:t>
      </w:r>
    </w:p>
    <w:p w14:paraId="4D471DCF" w14:textId="77777777" w:rsidR="002D38C1" w:rsidRDefault="002D38C1" w:rsidP="00653B48">
      <w:pPr>
        <w:pStyle w:val="Tabelltext"/>
      </w:pPr>
    </w:p>
    <w:p w14:paraId="4C1527CA" w14:textId="7F4A7808" w:rsidR="002D38C1" w:rsidRDefault="002D38C1" w:rsidP="00653B48">
      <w:pPr>
        <w:pStyle w:val="Tabelltext"/>
      </w:pPr>
      <w:r>
        <w:rPr>
          <w:noProof/>
        </w:rPr>
        <w:drawing>
          <wp:inline distT="0" distB="0" distL="0" distR="0" wp14:anchorId="0156DA00" wp14:editId="6605CD94">
            <wp:extent cx="6404787" cy="790575"/>
            <wp:effectExtent l="0" t="0" r="0" b="0"/>
            <wp:docPr id="399480645"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38916" cy="794788"/>
                    </a:xfrm>
                    <a:prstGeom prst="rect">
                      <a:avLst/>
                    </a:prstGeom>
                    <a:noFill/>
                  </pic:spPr>
                </pic:pic>
              </a:graphicData>
            </a:graphic>
          </wp:inline>
        </w:drawing>
      </w:r>
    </w:p>
    <w:p w14:paraId="374FF50A" w14:textId="77777777" w:rsidR="002D38C1" w:rsidRDefault="002D38C1" w:rsidP="002D38C1">
      <w:pPr>
        <w:pStyle w:val="Tabelltext"/>
      </w:pPr>
      <w:r>
        <w:t>Källa: Skatteförvaltningen, ÅSUB</w:t>
      </w:r>
    </w:p>
    <w:p w14:paraId="6A729A04" w14:textId="707B4998" w:rsidR="002E4B32" w:rsidRDefault="00702457" w:rsidP="00702457">
      <w:pPr>
        <w:pStyle w:val="RubrikA"/>
      </w:pPr>
      <w:bookmarkStart w:id="29" w:name="_Toc176334222"/>
      <w:r>
        <w:lastRenderedPageBreak/>
        <w:t>Parallelltexter</w:t>
      </w:r>
      <w:bookmarkEnd w:id="29"/>
    </w:p>
    <w:p w14:paraId="1226EAB1" w14:textId="77777777" w:rsidR="00702457" w:rsidRDefault="00702457" w:rsidP="00702457">
      <w:pPr>
        <w:pStyle w:val="Rubrikmellanrum"/>
      </w:pPr>
    </w:p>
    <w:p w14:paraId="5F634E1B" w14:textId="4147930D" w:rsidR="00702457" w:rsidRPr="00702457" w:rsidRDefault="00702457" w:rsidP="00702457">
      <w:pPr>
        <w:pStyle w:val="ArendeUnderRubrik"/>
      </w:pPr>
      <w:r>
        <w:t xml:space="preserve">Parallelltexter till landskapsregeringens lagförslag nr </w:t>
      </w:r>
      <w:r w:rsidR="00F31C1E">
        <w:t>24</w:t>
      </w:r>
      <w:r>
        <w:t>/2023-2024</w:t>
      </w:r>
    </w:p>
    <w:sectPr w:rsidR="00702457" w:rsidRPr="00702457" w:rsidSect="00F75985">
      <w:pgSz w:w="16838" w:h="11906" w:orient="landscape" w:code="9"/>
      <w:pgMar w:top="2041" w:right="1134" w:bottom="3175" w:left="1247"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50BD3" w14:textId="77777777" w:rsidR="002C5BFD" w:rsidRDefault="002C5BFD">
      <w:r>
        <w:separator/>
      </w:r>
    </w:p>
  </w:endnote>
  <w:endnote w:type="continuationSeparator" w:id="0">
    <w:p w14:paraId="71F914B9" w14:textId="77777777" w:rsidR="002C5BFD" w:rsidRDefault="002C5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6451E" w14:textId="77777777" w:rsidR="00AF3004" w:rsidRDefault="00AF3004">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20A1C" w14:textId="5356428B" w:rsidR="00AF3004" w:rsidRDefault="00702457">
    <w:pPr>
      <w:pStyle w:val="Sidfot"/>
      <w:rPr>
        <w:lang w:val="fi-FI"/>
      </w:rPr>
    </w:pPr>
    <w:r>
      <w:t>LF</w:t>
    </w:r>
    <w:r w:rsidR="00F31C1E">
      <w:t>24</w:t>
    </w:r>
    <w:r>
      <w:t>20232024.docx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EA9B5" w14:textId="77777777" w:rsidR="00AF3004" w:rsidRDefault="00AF30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21C32" w14:textId="77777777" w:rsidR="002C5BFD" w:rsidRDefault="002C5BFD">
      <w:r>
        <w:separator/>
      </w:r>
    </w:p>
  </w:footnote>
  <w:footnote w:type="continuationSeparator" w:id="0">
    <w:p w14:paraId="65ED1ABB" w14:textId="77777777" w:rsidR="002C5BFD" w:rsidRDefault="002C5BFD">
      <w:r>
        <w:continuationSeparator/>
      </w:r>
    </w:p>
  </w:footnote>
  <w:footnote w:id="1">
    <w:p w14:paraId="7CD08506" w14:textId="77777777" w:rsidR="00641E21" w:rsidRPr="0083289B" w:rsidRDefault="00641E21" w:rsidP="00641E21">
      <w:pPr>
        <w:pStyle w:val="Fotnotstext"/>
        <w:rPr>
          <w:lang w:val="sv-FI"/>
        </w:rPr>
      </w:pPr>
      <w:r>
        <w:rPr>
          <w:rStyle w:val="Fotnotsreferens"/>
        </w:rPr>
        <w:footnoteRef/>
      </w:r>
      <w:r>
        <w:t xml:space="preserve"> Framst. 18/1991–1992</w:t>
      </w:r>
    </w:p>
  </w:footnote>
  <w:footnote w:id="2">
    <w:p w14:paraId="617CE6EE" w14:textId="638C86F3" w:rsidR="0065441C" w:rsidRPr="0065441C" w:rsidRDefault="0065441C">
      <w:pPr>
        <w:pStyle w:val="Fotnotstext"/>
        <w:rPr>
          <w:lang w:val="sv-FI"/>
        </w:rPr>
      </w:pPr>
      <w:r>
        <w:rPr>
          <w:rStyle w:val="Fotnotsreferens"/>
        </w:rPr>
        <w:footnoteRef/>
      </w:r>
      <w:r>
        <w:t xml:space="preserve"> </w:t>
      </w:r>
      <w:r>
        <w:rPr>
          <w:lang w:val="sv-FI"/>
        </w:rPr>
        <w:t>Kommunalskattelagen (1993:37) för landskapet Åland</w:t>
      </w:r>
    </w:p>
  </w:footnote>
  <w:footnote w:id="3">
    <w:p w14:paraId="668C3967" w14:textId="156ECCC1" w:rsidR="00641E21" w:rsidRPr="0083289B" w:rsidRDefault="00641E21" w:rsidP="00641E21">
      <w:pPr>
        <w:pStyle w:val="Fotnotstext"/>
        <w:rPr>
          <w:lang w:val="sv-FI"/>
        </w:rPr>
      </w:pPr>
      <w:r>
        <w:rPr>
          <w:rStyle w:val="Fotnotsreferens"/>
        </w:rPr>
        <w:footnoteRef/>
      </w:r>
      <w:r>
        <w:t xml:space="preserve"> </w:t>
      </w:r>
      <w:r>
        <w:rPr>
          <w:lang w:val="sv-FI"/>
        </w:rPr>
        <w:t xml:space="preserve">Genom </w:t>
      </w:r>
      <w:r w:rsidR="001611BD">
        <w:rPr>
          <w:lang w:val="sv-FI"/>
        </w:rPr>
        <w:t>landskapslagen</w:t>
      </w:r>
      <w:r>
        <w:rPr>
          <w:lang w:val="sv-FI"/>
        </w:rPr>
        <w:t xml:space="preserve"> 2012/86, LF 1/2012–2013</w:t>
      </w:r>
    </w:p>
  </w:footnote>
  <w:footnote w:id="4">
    <w:p w14:paraId="2C8318EF" w14:textId="77777777" w:rsidR="00641E21" w:rsidRPr="002710EB" w:rsidRDefault="00641E21" w:rsidP="00641E21">
      <w:pPr>
        <w:pStyle w:val="Fotnotstext"/>
        <w:rPr>
          <w:lang w:val="sv-FI"/>
        </w:rPr>
      </w:pPr>
      <w:r>
        <w:rPr>
          <w:rStyle w:val="Fotnotsreferens"/>
        </w:rPr>
        <w:footnoteRef/>
      </w:r>
      <w:r>
        <w:t xml:space="preserve"> Rapport: </w:t>
      </w:r>
      <w:r>
        <w:rPr>
          <w:lang w:val="sv-FI"/>
        </w:rPr>
        <w:t>Förslag till framtida utformning av sjukdomskostnadsavdrag samt högkostnadsskydd och patientavgifter inom Ålands hälso- och sjukvård, dnr ÅLR 2013/2114</w:t>
      </w:r>
    </w:p>
  </w:footnote>
  <w:footnote w:id="5">
    <w:p w14:paraId="25BB88FC" w14:textId="2F75CD5B" w:rsidR="004B2C9A" w:rsidRPr="004B2C9A" w:rsidRDefault="004B2C9A">
      <w:pPr>
        <w:pStyle w:val="Fotnotstext"/>
        <w:rPr>
          <w:lang w:val="sv-FI"/>
        </w:rPr>
      </w:pPr>
      <w:r>
        <w:rPr>
          <w:rStyle w:val="Fotnotsreferens"/>
        </w:rPr>
        <w:footnoteRef/>
      </w:r>
      <w:r>
        <w:t xml:space="preserve"> </w:t>
      </w:r>
      <w:r w:rsidR="00306B10">
        <w:t>Ålands förvaltningsdomstol (81/2008)</w:t>
      </w:r>
    </w:p>
  </w:footnote>
  <w:footnote w:id="6">
    <w:p w14:paraId="2175DD4F" w14:textId="2BF615BC" w:rsidR="00D2620B" w:rsidRPr="00D2620B" w:rsidRDefault="00D2620B">
      <w:pPr>
        <w:pStyle w:val="Fotnotstext"/>
        <w:rPr>
          <w:lang w:val="sv-FI"/>
        </w:rPr>
      </w:pPr>
      <w:r>
        <w:rPr>
          <w:rStyle w:val="Fotnotsreferens"/>
        </w:rPr>
        <w:footnoteRef/>
      </w:r>
      <w:r>
        <w:t xml:space="preserve"> </w:t>
      </w:r>
      <w:r>
        <w:rPr>
          <w:lang w:val="sv-FI"/>
        </w:rPr>
        <w:t>Enligt landskapslagen (</w:t>
      </w:r>
      <w:r w:rsidR="00D86625">
        <w:rPr>
          <w:lang w:val="sv-FI"/>
        </w:rPr>
        <w:t>2023:12) om kompensation till kommunerna för förlust av skatteintäkter på grund av vissa avdrag</w:t>
      </w:r>
    </w:p>
  </w:footnote>
  <w:footnote w:id="7">
    <w:p w14:paraId="6E80E159" w14:textId="6D6597C3" w:rsidR="00FB16B9" w:rsidRPr="00FB16B9" w:rsidRDefault="00FB16B9">
      <w:pPr>
        <w:pStyle w:val="Fotnotstext"/>
        <w:rPr>
          <w:lang w:val="sv-FI"/>
        </w:rPr>
      </w:pPr>
      <w:r>
        <w:rPr>
          <w:rStyle w:val="Fotnotsreferens"/>
        </w:rPr>
        <w:footnoteRef/>
      </w:r>
      <w:r>
        <w:t xml:space="preserve"> </w:t>
      </w:r>
      <w:r>
        <w:rPr>
          <w:lang w:val="sv-FI"/>
        </w:rPr>
        <w:t>Republikens presidents förordning</w:t>
      </w:r>
      <w:r w:rsidR="000E5043" w:rsidRPr="000E5043">
        <w:t xml:space="preserve"> </w:t>
      </w:r>
      <w:r w:rsidR="000E5043" w:rsidRPr="000E5043">
        <w:rPr>
          <w:lang w:val="sv-FI"/>
        </w:rPr>
        <w:t>(2020:88) om verkställandet av beskattningen på Åland för skatter som betalas till landskapet Åland och kommunerna på Åland</w:t>
      </w:r>
      <w:r w:rsidR="000E5043">
        <w:rPr>
          <w:lang w:val="sv-F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61313" w14:textId="77777777" w:rsidR="00AF3004" w:rsidRDefault="00AF3004">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p w14:paraId="0BB6A0CA" w14:textId="77777777" w:rsidR="00AF3004" w:rsidRDefault="00AF30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44AA6" w14:textId="77777777" w:rsidR="00AF3004" w:rsidRDefault="00AF3004">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1" w15:restartNumberingAfterBreak="0">
    <w:nsid w:val="3D6D4BDF"/>
    <w:multiLevelType w:val="hybridMultilevel"/>
    <w:tmpl w:val="D0746DF8"/>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15:restartNumberingAfterBreak="0">
    <w:nsid w:val="41686C29"/>
    <w:multiLevelType w:val="hybridMultilevel"/>
    <w:tmpl w:val="7102CA2C"/>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4"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16cid:durableId="895972005">
    <w:abstractNumId w:val="0"/>
  </w:num>
  <w:num w:numId="2" w16cid:durableId="720252785">
    <w:abstractNumId w:val="4"/>
  </w:num>
  <w:num w:numId="3" w16cid:durableId="1006981368">
    <w:abstractNumId w:val="5"/>
  </w:num>
  <w:num w:numId="4" w16cid:durableId="2130319668">
    <w:abstractNumId w:val="3"/>
  </w:num>
  <w:num w:numId="5" w16cid:durableId="149829030">
    <w:abstractNumId w:val="3"/>
  </w:num>
  <w:num w:numId="6" w16cid:durableId="1307009024">
    <w:abstractNumId w:val="3"/>
  </w:num>
  <w:num w:numId="7" w16cid:durableId="638268036">
    <w:abstractNumId w:val="3"/>
  </w:num>
  <w:num w:numId="8" w16cid:durableId="998533456">
    <w:abstractNumId w:val="3"/>
  </w:num>
  <w:num w:numId="9" w16cid:durableId="1918436546">
    <w:abstractNumId w:val="3"/>
  </w:num>
  <w:num w:numId="10" w16cid:durableId="1133403815">
    <w:abstractNumId w:val="3"/>
  </w:num>
  <w:num w:numId="11" w16cid:durableId="2041271540">
    <w:abstractNumId w:val="3"/>
  </w:num>
  <w:num w:numId="12" w16cid:durableId="1383092807">
    <w:abstractNumId w:val="3"/>
  </w:num>
  <w:num w:numId="13" w16cid:durableId="258413894">
    <w:abstractNumId w:val="2"/>
  </w:num>
  <w:num w:numId="14" w16cid:durableId="115136686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ttachedTemplate r:id="rId1"/>
  <w:defaultTabStop w:val="1304"/>
  <w:autoHyphenation/>
  <w:hyphenationZone w:val="142"/>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BFD"/>
    <w:rsid w:val="00001979"/>
    <w:rsid w:val="00015F27"/>
    <w:rsid w:val="000179FD"/>
    <w:rsid w:val="00022398"/>
    <w:rsid w:val="000318C1"/>
    <w:rsid w:val="000328C7"/>
    <w:rsid w:val="000377A3"/>
    <w:rsid w:val="00041B47"/>
    <w:rsid w:val="00054195"/>
    <w:rsid w:val="00060E09"/>
    <w:rsid w:val="00063394"/>
    <w:rsid w:val="00070B25"/>
    <w:rsid w:val="00087151"/>
    <w:rsid w:val="00097320"/>
    <w:rsid w:val="000A0A59"/>
    <w:rsid w:val="000A75F3"/>
    <w:rsid w:val="000C1193"/>
    <w:rsid w:val="000D386E"/>
    <w:rsid w:val="000D3B62"/>
    <w:rsid w:val="000D4974"/>
    <w:rsid w:val="000E0DA1"/>
    <w:rsid w:val="000E5043"/>
    <w:rsid w:val="000F1F01"/>
    <w:rsid w:val="000F5A0D"/>
    <w:rsid w:val="00104804"/>
    <w:rsid w:val="00107BD5"/>
    <w:rsid w:val="00122E44"/>
    <w:rsid w:val="00124E5C"/>
    <w:rsid w:val="00132DD8"/>
    <w:rsid w:val="0015189B"/>
    <w:rsid w:val="001567DE"/>
    <w:rsid w:val="001611BD"/>
    <w:rsid w:val="0016670D"/>
    <w:rsid w:val="00166B46"/>
    <w:rsid w:val="00167E9C"/>
    <w:rsid w:val="0017083A"/>
    <w:rsid w:val="00180D20"/>
    <w:rsid w:val="00194CE7"/>
    <w:rsid w:val="001962A0"/>
    <w:rsid w:val="001A6DA0"/>
    <w:rsid w:val="001B2B29"/>
    <w:rsid w:val="001B448E"/>
    <w:rsid w:val="001B7044"/>
    <w:rsid w:val="001C3C06"/>
    <w:rsid w:val="001E55C0"/>
    <w:rsid w:val="001F16EF"/>
    <w:rsid w:val="00202894"/>
    <w:rsid w:val="002257B3"/>
    <w:rsid w:val="00230497"/>
    <w:rsid w:val="00241044"/>
    <w:rsid w:val="002431B7"/>
    <w:rsid w:val="00261E0A"/>
    <w:rsid w:val="00266A6E"/>
    <w:rsid w:val="002710EB"/>
    <w:rsid w:val="00273DA1"/>
    <w:rsid w:val="0028158A"/>
    <w:rsid w:val="00286692"/>
    <w:rsid w:val="00296526"/>
    <w:rsid w:val="002A0A9D"/>
    <w:rsid w:val="002A6D47"/>
    <w:rsid w:val="002A7DAD"/>
    <w:rsid w:val="002C03D7"/>
    <w:rsid w:val="002C06DE"/>
    <w:rsid w:val="002C17B8"/>
    <w:rsid w:val="002C5BFD"/>
    <w:rsid w:val="002C6E72"/>
    <w:rsid w:val="002C709A"/>
    <w:rsid w:val="002D149E"/>
    <w:rsid w:val="002D17EC"/>
    <w:rsid w:val="002D38C1"/>
    <w:rsid w:val="002E44B4"/>
    <w:rsid w:val="002E4B32"/>
    <w:rsid w:val="002E7CB6"/>
    <w:rsid w:val="002F023D"/>
    <w:rsid w:val="002F0E33"/>
    <w:rsid w:val="00300B7C"/>
    <w:rsid w:val="00306B10"/>
    <w:rsid w:val="0031138E"/>
    <w:rsid w:val="003173BF"/>
    <w:rsid w:val="003208BE"/>
    <w:rsid w:val="00322C1B"/>
    <w:rsid w:val="00342DF0"/>
    <w:rsid w:val="00342FC4"/>
    <w:rsid w:val="00365E43"/>
    <w:rsid w:val="0037576E"/>
    <w:rsid w:val="003A0368"/>
    <w:rsid w:val="003A0C38"/>
    <w:rsid w:val="003A44B2"/>
    <w:rsid w:val="003C005D"/>
    <w:rsid w:val="003C57C7"/>
    <w:rsid w:val="003D0B1C"/>
    <w:rsid w:val="003D2BA8"/>
    <w:rsid w:val="003D2C26"/>
    <w:rsid w:val="003D37B6"/>
    <w:rsid w:val="003E4484"/>
    <w:rsid w:val="0041614A"/>
    <w:rsid w:val="004226BC"/>
    <w:rsid w:val="00422824"/>
    <w:rsid w:val="00432692"/>
    <w:rsid w:val="0043781C"/>
    <w:rsid w:val="00445A35"/>
    <w:rsid w:val="00452B77"/>
    <w:rsid w:val="004550CB"/>
    <w:rsid w:val="00464E03"/>
    <w:rsid w:val="004659AB"/>
    <w:rsid w:val="004659B2"/>
    <w:rsid w:val="004705A6"/>
    <w:rsid w:val="004712E4"/>
    <w:rsid w:val="0047250E"/>
    <w:rsid w:val="00472785"/>
    <w:rsid w:val="00474F6B"/>
    <w:rsid w:val="004811D8"/>
    <w:rsid w:val="004A6BA1"/>
    <w:rsid w:val="004B2C9A"/>
    <w:rsid w:val="004B4D54"/>
    <w:rsid w:val="004B5C0E"/>
    <w:rsid w:val="004C3A49"/>
    <w:rsid w:val="004C3A77"/>
    <w:rsid w:val="004D5FF8"/>
    <w:rsid w:val="004E07EC"/>
    <w:rsid w:val="004E2997"/>
    <w:rsid w:val="004E2CE7"/>
    <w:rsid w:val="004F658C"/>
    <w:rsid w:val="004F67F8"/>
    <w:rsid w:val="004F6816"/>
    <w:rsid w:val="00503369"/>
    <w:rsid w:val="00505040"/>
    <w:rsid w:val="00511F63"/>
    <w:rsid w:val="00520E20"/>
    <w:rsid w:val="005249E9"/>
    <w:rsid w:val="00524F8D"/>
    <w:rsid w:val="00527799"/>
    <w:rsid w:val="005279E6"/>
    <w:rsid w:val="00531643"/>
    <w:rsid w:val="00533430"/>
    <w:rsid w:val="0053544A"/>
    <w:rsid w:val="00535CF8"/>
    <w:rsid w:val="00535F2C"/>
    <w:rsid w:val="005529D4"/>
    <w:rsid w:val="00553373"/>
    <w:rsid w:val="005658AD"/>
    <w:rsid w:val="0057017A"/>
    <w:rsid w:val="00570E86"/>
    <w:rsid w:val="00572D3C"/>
    <w:rsid w:val="00581B39"/>
    <w:rsid w:val="00595323"/>
    <w:rsid w:val="005A377E"/>
    <w:rsid w:val="005A651F"/>
    <w:rsid w:val="005B4FF5"/>
    <w:rsid w:val="005B5FC0"/>
    <w:rsid w:val="005C285E"/>
    <w:rsid w:val="005D0635"/>
    <w:rsid w:val="005D28B6"/>
    <w:rsid w:val="005E5D1E"/>
    <w:rsid w:val="005F1DF9"/>
    <w:rsid w:val="005F1E3F"/>
    <w:rsid w:val="005F2BD5"/>
    <w:rsid w:val="00600A4F"/>
    <w:rsid w:val="00603D0B"/>
    <w:rsid w:val="006055B6"/>
    <w:rsid w:val="00616F27"/>
    <w:rsid w:val="006212F0"/>
    <w:rsid w:val="00641E21"/>
    <w:rsid w:val="00644D70"/>
    <w:rsid w:val="0065234A"/>
    <w:rsid w:val="00653B48"/>
    <w:rsid w:val="0065441C"/>
    <w:rsid w:val="00654F34"/>
    <w:rsid w:val="00661049"/>
    <w:rsid w:val="00661295"/>
    <w:rsid w:val="006647C0"/>
    <w:rsid w:val="00677D43"/>
    <w:rsid w:val="0068786E"/>
    <w:rsid w:val="00690DA3"/>
    <w:rsid w:val="006943F8"/>
    <w:rsid w:val="006A19EC"/>
    <w:rsid w:val="006B19EA"/>
    <w:rsid w:val="006B227F"/>
    <w:rsid w:val="006B633C"/>
    <w:rsid w:val="006C6FF2"/>
    <w:rsid w:val="006D2DAF"/>
    <w:rsid w:val="006E0F92"/>
    <w:rsid w:val="00702457"/>
    <w:rsid w:val="00710709"/>
    <w:rsid w:val="007108AA"/>
    <w:rsid w:val="007110ED"/>
    <w:rsid w:val="00717918"/>
    <w:rsid w:val="00717B77"/>
    <w:rsid w:val="0072004F"/>
    <w:rsid w:val="00722128"/>
    <w:rsid w:val="00722EEC"/>
    <w:rsid w:val="00752A24"/>
    <w:rsid w:val="0075521F"/>
    <w:rsid w:val="0075737E"/>
    <w:rsid w:val="007670B5"/>
    <w:rsid w:val="00781005"/>
    <w:rsid w:val="00782586"/>
    <w:rsid w:val="00783392"/>
    <w:rsid w:val="007870F2"/>
    <w:rsid w:val="0078780F"/>
    <w:rsid w:val="00787C1C"/>
    <w:rsid w:val="007A3DD9"/>
    <w:rsid w:val="007A67CE"/>
    <w:rsid w:val="007B55F6"/>
    <w:rsid w:val="007C3B79"/>
    <w:rsid w:val="007D14A5"/>
    <w:rsid w:val="007D4F3D"/>
    <w:rsid w:val="007D6E57"/>
    <w:rsid w:val="007E07C0"/>
    <w:rsid w:val="007E4EF5"/>
    <w:rsid w:val="00800FC6"/>
    <w:rsid w:val="008016FA"/>
    <w:rsid w:val="00814149"/>
    <w:rsid w:val="00820115"/>
    <w:rsid w:val="00822B27"/>
    <w:rsid w:val="0083289B"/>
    <w:rsid w:val="0083665A"/>
    <w:rsid w:val="00837070"/>
    <w:rsid w:val="00840506"/>
    <w:rsid w:val="00843B25"/>
    <w:rsid w:val="008450DA"/>
    <w:rsid w:val="0084727D"/>
    <w:rsid w:val="00847829"/>
    <w:rsid w:val="00857E4A"/>
    <w:rsid w:val="00873FE6"/>
    <w:rsid w:val="00876893"/>
    <w:rsid w:val="00884520"/>
    <w:rsid w:val="00890B5B"/>
    <w:rsid w:val="008B4D66"/>
    <w:rsid w:val="008E56C1"/>
    <w:rsid w:val="008F2DFB"/>
    <w:rsid w:val="008F3E16"/>
    <w:rsid w:val="008F4F1E"/>
    <w:rsid w:val="00905961"/>
    <w:rsid w:val="00910D7F"/>
    <w:rsid w:val="0091228C"/>
    <w:rsid w:val="009209E0"/>
    <w:rsid w:val="00923C1D"/>
    <w:rsid w:val="00924BC0"/>
    <w:rsid w:val="00925D9F"/>
    <w:rsid w:val="00934C0C"/>
    <w:rsid w:val="0093536E"/>
    <w:rsid w:val="0095401C"/>
    <w:rsid w:val="009562E3"/>
    <w:rsid w:val="009756B9"/>
    <w:rsid w:val="009801E7"/>
    <w:rsid w:val="00982D40"/>
    <w:rsid w:val="00991DC3"/>
    <w:rsid w:val="009978AE"/>
    <w:rsid w:val="009A0E67"/>
    <w:rsid w:val="009B2397"/>
    <w:rsid w:val="009C3881"/>
    <w:rsid w:val="009C3F0C"/>
    <w:rsid w:val="009D1A9C"/>
    <w:rsid w:val="009E2AEE"/>
    <w:rsid w:val="00A10F8F"/>
    <w:rsid w:val="00A16A22"/>
    <w:rsid w:val="00A20DC9"/>
    <w:rsid w:val="00A32351"/>
    <w:rsid w:val="00A422E6"/>
    <w:rsid w:val="00A4282D"/>
    <w:rsid w:val="00A5202A"/>
    <w:rsid w:val="00A610B9"/>
    <w:rsid w:val="00A65CD6"/>
    <w:rsid w:val="00A83C72"/>
    <w:rsid w:val="00A90F4B"/>
    <w:rsid w:val="00A95C03"/>
    <w:rsid w:val="00AA2C5C"/>
    <w:rsid w:val="00AA5576"/>
    <w:rsid w:val="00AB07D5"/>
    <w:rsid w:val="00AB4A90"/>
    <w:rsid w:val="00AB5005"/>
    <w:rsid w:val="00AC0EDE"/>
    <w:rsid w:val="00AC3FCE"/>
    <w:rsid w:val="00AC64BF"/>
    <w:rsid w:val="00AC64E4"/>
    <w:rsid w:val="00AE0A17"/>
    <w:rsid w:val="00AE4C7D"/>
    <w:rsid w:val="00AF3004"/>
    <w:rsid w:val="00AF56DE"/>
    <w:rsid w:val="00B36D41"/>
    <w:rsid w:val="00B41746"/>
    <w:rsid w:val="00B55FDD"/>
    <w:rsid w:val="00B93B42"/>
    <w:rsid w:val="00B94EB2"/>
    <w:rsid w:val="00BA3065"/>
    <w:rsid w:val="00BA4F28"/>
    <w:rsid w:val="00BA583F"/>
    <w:rsid w:val="00BB0EEB"/>
    <w:rsid w:val="00BE0C04"/>
    <w:rsid w:val="00BE2306"/>
    <w:rsid w:val="00BF0989"/>
    <w:rsid w:val="00C061AE"/>
    <w:rsid w:val="00C06CE7"/>
    <w:rsid w:val="00C11205"/>
    <w:rsid w:val="00C13766"/>
    <w:rsid w:val="00C17ED6"/>
    <w:rsid w:val="00C25041"/>
    <w:rsid w:val="00C450C4"/>
    <w:rsid w:val="00C56BC1"/>
    <w:rsid w:val="00C65643"/>
    <w:rsid w:val="00C87C98"/>
    <w:rsid w:val="00C91DBA"/>
    <w:rsid w:val="00CB18DF"/>
    <w:rsid w:val="00CB2139"/>
    <w:rsid w:val="00CC58EA"/>
    <w:rsid w:val="00CD5C32"/>
    <w:rsid w:val="00CE361F"/>
    <w:rsid w:val="00CE60D2"/>
    <w:rsid w:val="00CF09F5"/>
    <w:rsid w:val="00CF466B"/>
    <w:rsid w:val="00CF5103"/>
    <w:rsid w:val="00CF558D"/>
    <w:rsid w:val="00CF677C"/>
    <w:rsid w:val="00D0088C"/>
    <w:rsid w:val="00D01122"/>
    <w:rsid w:val="00D01F6D"/>
    <w:rsid w:val="00D13A98"/>
    <w:rsid w:val="00D2620B"/>
    <w:rsid w:val="00D32903"/>
    <w:rsid w:val="00D414F9"/>
    <w:rsid w:val="00D41BFB"/>
    <w:rsid w:val="00D43C0D"/>
    <w:rsid w:val="00D470F6"/>
    <w:rsid w:val="00D5687A"/>
    <w:rsid w:val="00D57281"/>
    <w:rsid w:val="00D5766D"/>
    <w:rsid w:val="00D62AD5"/>
    <w:rsid w:val="00D70029"/>
    <w:rsid w:val="00D74BBE"/>
    <w:rsid w:val="00D86625"/>
    <w:rsid w:val="00D87E1E"/>
    <w:rsid w:val="00DA0BFF"/>
    <w:rsid w:val="00DA5E02"/>
    <w:rsid w:val="00DA6541"/>
    <w:rsid w:val="00DA786C"/>
    <w:rsid w:val="00DB365E"/>
    <w:rsid w:val="00DB39AB"/>
    <w:rsid w:val="00DB3A0D"/>
    <w:rsid w:val="00DB66EA"/>
    <w:rsid w:val="00DC0909"/>
    <w:rsid w:val="00DC3066"/>
    <w:rsid w:val="00DD25BC"/>
    <w:rsid w:val="00DD3ACF"/>
    <w:rsid w:val="00DD5E39"/>
    <w:rsid w:val="00DE46BD"/>
    <w:rsid w:val="00DE5109"/>
    <w:rsid w:val="00DF13B7"/>
    <w:rsid w:val="00DF722F"/>
    <w:rsid w:val="00E000CF"/>
    <w:rsid w:val="00E0227B"/>
    <w:rsid w:val="00E0448D"/>
    <w:rsid w:val="00E049A7"/>
    <w:rsid w:val="00E05F2A"/>
    <w:rsid w:val="00E06869"/>
    <w:rsid w:val="00E07907"/>
    <w:rsid w:val="00E128A4"/>
    <w:rsid w:val="00E17E43"/>
    <w:rsid w:val="00E206CA"/>
    <w:rsid w:val="00E20CC6"/>
    <w:rsid w:val="00E31281"/>
    <w:rsid w:val="00E37F0A"/>
    <w:rsid w:val="00E40C3B"/>
    <w:rsid w:val="00E46ADE"/>
    <w:rsid w:val="00E52817"/>
    <w:rsid w:val="00E55654"/>
    <w:rsid w:val="00E6308F"/>
    <w:rsid w:val="00E75189"/>
    <w:rsid w:val="00E75B87"/>
    <w:rsid w:val="00E76576"/>
    <w:rsid w:val="00E95BC6"/>
    <w:rsid w:val="00E96468"/>
    <w:rsid w:val="00EA3E89"/>
    <w:rsid w:val="00EB0492"/>
    <w:rsid w:val="00EB5C5F"/>
    <w:rsid w:val="00EC03CA"/>
    <w:rsid w:val="00EC6D52"/>
    <w:rsid w:val="00EF3236"/>
    <w:rsid w:val="00F10CB8"/>
    <w:rsid w:val="00F119E3"/>
    <w:rsid w:val="00F12092"/>
    <w:rsid w:val="00F25F21"/>
    <w:rsid w:val="00F25FF6"/>
    <w:rsid w:val="00F312D2"/>
    <w:rsid w:val="00F31413"/>
    <w:rsid w:val="00F31C1E"/>
    <w:rsid w:val="00F43CEC"/>
    <w:rsid w:val="00F5393B"/>
    <w:rsid w:val="00F5703D"/>
    <w:rsid w:val="00F65129"/>
    <w:rsid w:val="00F6730A"/>
    <w:rsid w:val="00F75985"/>
    <w:rsid w:val="00F9073B"/>
    <w:rsid w:val="00F97CDE"/>
    <w:rsid w:val="00F97F6C"/>
    <w:rsid w:val="00FB16B9"/>
    <w:rsid w:val="00FB2E5A"/>
    <w:rsid w:val="00FB4050"/>
    <w:rsid w:val="00FB7CB0"/>
    <w:rsid w:val="00FC17D8"/>
    <w:rsid w:val="00FC3FC9"/>
    <w:rsid w:val="00FD1CCF"/>
    <w:rsid w:val="00FD6449"/>
    <w:rsid w:val="00FE1694"/>
    <w:rsid w:val="00FF29BE"/>
    <w:rsid w:val="00FF5551"/>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5AF81"/>
  <w15:docId w15:val="{E658EA11-EC74-439E-9277-91ABAFB3B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4"/>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5"/>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6"/>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7"/>
      </w:numPr>
      <w:spacing w:before="240" w:after="60"/>
      <w:outlineLvl w:val="3"/>
    </w:pPr>
    <w:rPr>
      <w:b/>
      <w:bCs/>
      <w:sz w:val="28"/>
      <w:szCs w:val="28"/>
    </w:rPr>
  </w:style>
  <w:style w:type="paragraph" w:styleId="Rubrik5">
    <w:name w:val="heading 5"/>
    <w:basedOn w:val="Normal"/>
    <w:next w:val="Normal"/>
    <w:qFormat/>
    <w:pPr>
      <w:numPr>
        <w:ilvl w:val="4"/>
        <w:numId w:val="8"/>
      </w:numPr>
      <w:spacing w:before="240" w:after="60"/>
      <w:outlineLvl w:val="4"/>
    </w:pPr>
    <w:rPr>
      <w:b/>
      <w:bCs/>
      <w:i/>
      <w:iCs/>
      <w:sz w:val="26"/>
      <w:szCs w:val="26"/>
    </w:rPr>
  </w:style>
  <w:style w:type="paragraph" w:styleId="Rubrik6">
    <w:name w:val="heading 6"/>
    <w:basedOn w:val="Normal"/>
    <w:next w:val="Normal"/>
    <w:qFormat/>
    <w:pPr>
      <w:numPr>
        <w:ilvl w:val="5"/>
        <w:numId w:val="9"/>
      </w:numPr>
      <w:spacing w:before="240" w:after="60"/>
      <w:outlineLvl w:val="5"/>
    </w:pPr>
    <w:rPr>
      <w:b/>
      <w:bCs/>
      <w:sz w:val="22"/>
      <w:szCs w:val="22"/>
    </w:rPr>
  </w:style>
  <w:style w:type="paragraph" w:styleId="Rubrik7">
    <w:name w:val="heading 7"/>
    <w:basedOn w:val="Normal"/>
    <w:next w:val="Normal"/>
    <w:qFormat/>
    <w:pPr>
      <w:numPr>
        <w:ilvl w:val="6"/>
        <w:numId w:val="10"/>
      </w:numPr>
      <w:spacing w:before="240" w:after="60"/>
      <w:outlineLvl w:val="6"/>
    </w:pPr>
  </w:style>
  <w:style w:type="paragraph" w:styleId="Rubrik8">
    <w:name w:val="heading 8"/>
    <w:basedOn w:val="Normal"/>
    <w:next w:val="Normal"/>
    <w:qFormat/>
    <w:pPr>
      <w:numPr>
        <w:ilvl w:val="7"/>
        <w:numId w:val="11"/>
      </w:numPr>
      <w:spacing w:before="240" w:after="60"/>
      <w:outlineLvl w:val="7"/>
    </w:pPr>
    <w:rPr>
      <w:i/>
      <w:iCs/>
    </w:rPr>
  </w:style>
  <w:style w:type="paragraph" w:styleId="Rubrik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1"/>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2"/>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Fotnotstext">
    <w:name w:val="footnote text"/>
    <w:basedOn w:val="Normal"/>
    <w:link w:val="FotnotstextChar"/>
    <w:uiPriority w:val="99"/>
    <w:semiHidden/>
    <w:unhideWhenUsed/>
    <w:rsid w:val="0083289B"/>
    <w:rPr>
      <w:sz w:val="20"/>
      <w:szCs w:val="20"/>
    </w:rPr>
  </w:style>
  <w:style w:type="character" w:customStyle="1" w:styleId="FotnotstextChar">
    <w:name w:val="Fotnotstext Char"/>
    <w:basedOn w:val="Standardstycketeckensnitt"/>
    <w:link w:val="Fotnotstext"/>
    <w:uiPriority w:val="99"/>
    <w:semiHidden/>
    <w:rsid w:val="0083289B"/>
    <w:rPr>
      <w:lang w:val="sv-SE" w:eastAsia="sv-SE"/>
    </w:rPr>
  </w:style>
  <w:style w:type="character" w:styleId="Fotnotsreferens">
    <w:name w:val="footnote reference"/>
    <w:basedOn w:val="Standardstycketeckensnitt"/>
    <w:uiPriority w:val="99"/>
    <w:semiHidden/>
    <w:unhideWhenUsed/>
    <w:rsid w:val="0083289B"/>
    <w:rPr>
      <w:vertAlign w:val="superscript"/>
    </w:rPr>
  </w:style>
  <w:style w:type="paragraph" w:styleId="Liststycke">
    <w:name w:val="List Paragraph"/>
    <w:basedOn w:val="Normal"/>
    <w:uiPriority w:val="34"/>
    <w:qFormat/>
    <w:rsid w:val="00C87C98"/>
    <w:pPr>
      <w:ind w:left="720"/>
      <w:contextualSpacing/>
    </w:pPr>
  </w:style>
  <w:style w:type="table" w:styleId="Tabellrutnt">
    <w:name w:val="Table Grid"/>
    <w:basedOn w:val="Normaltabell"/>
    <w:uiPriority w:val="59"/>
    <w:rsid w:val="00C87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beredning\LS-Framst&#228;llning.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78330-94F1-45E2-ACC4-244D5078A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LS-Framställning.dot</Template>
  <TotalTime>1</TotalTime>
  <Pages>16</Pages>
  <Words>6220</Words>
  <Characters>32970</Characters>
  <Application>Microsoft Office Word</Application>
  <DocSecurity>0</DocSecurity>
  <Lines>274</Lines>
  <Paragraphs>78</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NyLS-Framställning</vt:lpstr>
      <vt:lpstr>NyLS-Framställning</vt:lpstr>
    </vt:vector>
  </TitlesOfParts>
  <Company>Ålands landskapsstyrelse</Company>
  <LinksUpToDate>false</LinksUpToDate>
  <CharactersWithSpaces>39112</CharactersWithSpaces>
  <SharedDoc>false</SharedDoc>
  <HLinks>
    <vt:vector size="60" baseType="variant">
      <vt:variant>
        <vt:i4>262192</vt:i4>
      </vt:variant>
      <vt:variant>
        <vt:i4>54</vt:i4>
      </vt:variant>
      <vt:variant>
        <vt:i4>0</vt:i4>
      </vt:variant>
      <vt:variant>
        <vt:i4>5</vt:i4>
      </vt:variant>
      <vt:variant>
        <vt:lpwstr/>
      </vt:variant>
      <vt:variant>
        <vt:lpwstr>_top</vt:lpwstr>
      </vt:variant>
      <vt:variant>
        <vt:i4>2031669</vt:i4>
      </vt:variant>
      <vt:variant>
        <vt:i4>47</vt:i4>
      </vt:variant>
      <vt:variant>
        <vt:i4>0</vt:i4>
      </vt:variant>
      <vt:variant>
        <vt:i4>5</vt:i4>
      </vt:variant>
      <vt:variant>
        <vt:lpwstr/>
      </vt:variant>
      <vt:variant>
        <vt:lpwstr>_Toc530915178</vt:lpwstr>
      </vt:variant>
      <vt:variant>
        <vt:i4>2031669</vt:i4>
      </vt:variant>
      <vt:variant>
        <vt:i4>41</vt:i4>
      </vt:variant>
      <vt:variant>
        <vt:i4>0</vt:i4>
      </vt:variant>
      <vt:variant>
        <vt:i4>5</vt:i4>
      </vt:variant>
      <vt:variant>
        <vt:lpwstr/>
      </vt:variant>
      <vt:variant>
        <vt:lpwstr>_Toc530915177</vt:lpwstr>
      </vt:variant>
      <vt:variant>
        <vt:i4>2031669</vt:i4>
      </vt:variant>
      <vt:variant>
        <vt:i4>35</vt:i4>
      </vt:variant>
      <vt:variant>
        <vt:i4>0</vt:i4>
      </vt:variant>
      <vt:variant>
        <vt:i4>5</vt:i4>
      </vt:variant>
      <vt:variant>
        <vt:lpwstr/>
      </vt:variant>
      <vt:variant>
        <vt:lpwstr>_Toc530915176</vt:lpwstr>
      </vt:variant>
      <vt:variant>
        <vt:i4>2031669</vt:i4>
      </vt:variant>
      <vt:variant>
        <vt:i4>29</vt:i4>
      </vt:variant>
      <vt:variant>
        <vt:i4>0</vt:i4>
      </vt:variant>
      <vt:variant>
        <vt:i4>5</vt:i4>
      </vt:variant>
      <vt:variant>
        <vt:lpwstr/>
      </vt:variant>
      <vt:variant>
        <vt:lpwstr>_Toc530915175</vt:lpwstr>
      </vt:variant>
      <vt:variant>
        <vt:i4>2031669</vt:i4>
      </vt:variant>
      <vt:variant>
        <vt:i4>23</vt:i4>
      </vt:variant>
      <vt:variant>
        <vt:i4>0</vt:i4>
      </vt:variant>
      <vt:variant>
        <vt:i4>5</vt:i4>
      </vt:variant>
      <vt:variant>
        <vt:lpwstr/>
      </vt:variant>
      <vt:variant>
        <vt:lpwstr>_Toc530915174</vt:lpwstr>
      </vt:variant>
      <vt:variant>
        <vt:i4>2031669</vt:i4>
      </vt:variant>
      <vt:variant>
        <vt:i4>17</vt:i4>
      </vt:variant>
      <vt:variant>
        <vt:i4>0</vt:i4>
      </vt:variant>
      <vt:variant>
        <vt:i4>5</vt:i4>
      </vt:variant>
      <vt:variant>
        <vt:lpwstr/>
      </vt:variant>
      <vt:variant>
        <vt:lpwstr>_Toc530915173</vt:lpwstr>
      </vt:variant>
      <vt:variant>
        <vt:i4>2031669</vt:i4>
      </vt:variant>
      <vt:variant>
        <vt:i4>11</vt:i4>
      </vt:variant>
      <vt:variant>
        <vt:i4>0</vt:i4>
      </vt:variant>
      <vt:variant>
        <vt:i4>5</vt:i4>
      </vt:variant>
      <vt:variant>
        <vt:lpwstr/>
      </vt:variant>
      <vt:variant>
        <vt:lpwstr>_Toc530915172</vt:lpwstr>
      </vt:variant>
      <vt:variant>
        <vt:i4>2031669</vt:i4>
      </vt:variant>
      <vt:variant>
        <vt:i4>5</vt:i4>
      </vt:variant>
      <vt:variant>
        <vt:i4>0</vt:i4>
      </vt:variant>
      <vt:variant>
        <vt:i4>5</vt:i4>
      </vt:variant>
      <vt:variant>
        <vt:lpwstr/>
      </vt:variant>
      <vt:variant>
        <vt:lpwstr>_Toc530915171</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NyLS-Framställning</dc:title>
  <dc:subject>Framställningsmall</dc:subject>
  <dc:creator>Diana Lönngren</dc:creator>
  <cp:keywords/>
  <dc:description/>
  <cp:lastModifiedBy>Jessica Laaksonen</cp:lastModifiedBy>
  <cp:revision>2</cp:revision>
  <cp:lastPrinted>2024-09-04T05:48:00Z</cp:lastPrinted>
  <dcterms:created xsi:type="dcterms:W3CDTF">2024-09-04T07:18:00Z</dcterms:created>
  <dcterms:modified xsi:type="dcterms:W3CDTF">2024-09-04T07:18:00Z</dcterms:modified>
</cp:coreProperties>
</file>