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337A19" w14:paraId="20AFC2E4" w14:textId="77777777">
        <w:trPr>
          <w:cantSplit/>
          <w:trHeight w:val="20"/>
        </w:trPr>
        <w:tc>
          <w:tcPr>
            <w:tcW w:w="861" w:type="dxa"/>
            <w:vMerge w:val="restart"/>
          </w:tcPr>
          <w:p w14:paraId="4B345BE7" w14:textId="0E2430BB" w:rsidR="00337A19" w:rsidRDefault="00520FE2">
            <w:pPr>
              <w:pStyle w:val="xLedtext"/>
              <w:rPr>
                <w:noProof/>
              </w:rPr>
            </w:pPr>
            <w:bookmarkStart w:id="0" w:name="_top"/>
            <w:bookmarkEnd w:id="0"/>
            <w:r>
              <w:rPr>
                <w:noProof/>
              </w:rPr>
              <w:drawing>
                <wp:inline distT="0" distB="0" distL="0" distR="0" wp14:anchorId="1F42C76A" wp14:editId="1D6E3C25">
                  <wp:extent cx="476250" cy="6858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85800"/>
                          </a:xfrm>
                          <a:prstGeom prst="rect">
                            <a:avLst/>
                          </a:prstGeom>
                          <a:noFill/>
                          <a:ln>
                            <a:noFill/>
                          </a:ln>
                        </pic:spPr>
                      </pic:pic>
                    </a:graphicData>
                  </a:graphic>
                </wp:inline>
              </w:drawing>
            </w:r>
          </w:p>
        </w:tc>
        <w:tc>
          <w:tcPr>
            <w:tcW w:w="8736" w:type="dxa"/>
            <w:gridSpan w:val="3"/>
            <w:vAlign w:val="bottom"/>
          </w:tcPr>
          <w:p w14:paraId="32B68F9A" w14:textId="61CE31E0" w:rsidR="00337A19" w:rsidRDefault="00520FE2">
            <w:pPr>
              <w:pStyle w:val="xMellanrum"/>
            </w:pPr>
            <w:r>
              <w:rPr>
                <w:noProof/>
              </w:rPr>
              <w:drawing>
                <wp:inline distT="0" distB="0" distL="0" distR="0" wp14:anchorId="5FE8E960" wp14:editId="273CC7EA">
                  <wp:extent cx="47625" cy="476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337A19" w14:paraId="144C0592" w14:textId="77777777">
        <w:trPr>
          <w:cantSplit/>
          <w:trHeight w:val="299"/>
        </w:trPr>
        <w:tc>
          <w:tcPr>
            <w:tcW w:w="861" w:type="dxa"/>
            <w:vMerge/>
          </w:tcPr>
          <w:p w14:paraId="11D4644C" w14:textId="77777777" w:rsidR="00337A19" w:rsidRDefault="00337A19">
            <w:pPr>
              <w:pStyle w:val="xLedtext"/>
            </w:pPr>
          </w:p>
        </w:tc>
        <w:tc>
          <w:tcPr>
            <w:tcW w:w="4448" w:type="dxa"/>
            <w:vAlign w:val="bottom"/>
          </w:tcPr>
          <w:p w14:paraId="1C186551" w14:textId="77777777" w:rsidR="00337A19" w:rsidRDefault="00337A19">
            <w:pPr>
              <w:pStyle w:val="xAvsandare1"/>
            </w:pPr>
            <w:r>
              <w:t>Ålands lagting</w:t>
            </w:r>
          </w:p>
        </w:tc>
        <w:tc>
          <w:tcPr>
            <w:tcW w:w="4288" w:type="dxa"/>
            <w:gridSpan w:val="2"/>
            <w:vAlign w:val="bottom"/>
          </w:tcPr>
          <w:p w14:paraId="6EF3A69F" w14:textId="200C39E0" w:rsidR="00337A19" w:rsidRDefault="00337A19" w:rsidP="009F1162">
            <w:pPr>
              <w:pStyle w:val="xDokTypNr"/>
            </w:pPr>
            <w:r>
              <w:t xml:space="preserve">BESLUT LTB </w:t>
            </w:r>
            <w:r w:rsidR="00520FE2">
              <w:t>49</w:t>
            </w:r>
            <w:r>
              <w:t>/20</w:t>
            </w:r>
            <w:r w:rsidR="00520FE2">
              <w:t>24</w:t>
            </w:r>
          </w:p>
        </w:tc>
      </w:tr>
      <w:tr w:rsidR="00337A19" w14:paraId="2E45BD22" w14:textId="77777777">
        <w:trPr>
          <w:cantSplit/>
          <w:trHeight w:val="238"/>
        </w:trPr>
        <w:tc>
          <w:tcPr>
            <w:tcW w:w="861" w:type="dxa"/>
            <w:vMerge/>
          </w:tcPr>
          <w:p w14:paraId="437E636B" w14:textId="77777777" w:rsidR="00337A19" w:rsidRDefault="00337A19">
            <w:pPr>
              <w:pStyle w:val="xLedtext"/>
            </w:pPr>
          </w:p>
        </w:tc>
        <w:tc>
          <w:tcPr>
            <w:tcW w:w="4448" w:type="dxa"/>
            <w:vAlign w:val="bottom"/>
          </w:tcPr>
          <w:p w14:paraId="62B8CE3F" w14:textId="77777777" w:rsidR="00337A19" w:rsidRDefault="00337A19">
            <w:pPr>
              <w:pStyle w:val="xLedtext"/>
            </w:pPr>
          </w:p>
        </w:tc>
        <w:tc>
          <w:tcPr>
            <w:tcW w:w="1725" w:type="dxa"/>
            <w:vAlign w:val="bottom"/>
          </w:tcPr>
          <w:p w14:paraId="66CD2093" w14:textId="77777777" w:rsidR="00337A19" w:rsidRDefault="00337A19">
            <w:pPr>
              <w:pStyle w:val="xLedtext"/>
            </w:pPr>
            <w:r>
              <w:t>Datum</w:t>
            </w:r>
          </w:p>
        </w:tc>
        <w:tc>
          <w:tcPr>
            <w:tcW w:w="2563" w:type="dxa"/>
            <w:vAlign w:val="bottom"/>
          </w:tcPr>
          <w:p w14:paraId="66679180" w14:textId="77777777" w:rsidR="00337A19" w:rsidRDefault="00337A19">
            <w:pPr>
              <w:pStyle w:val="xLedtext"/>
            </w:pPr>
            <w:r>
              <w:t>Ärende</w:t>
            </w:r>
          </w:p>
        </w:tc>
      </w:tr>
      <w:tr w:rsidR="00337A19" w14:paraId="26BDE8D2" w14:textId="77777777">
        <w:trPr>
          <w:cantSplit/>
          <w:trHeight w:val="238"/>
        </w:trPr>
        <w:tc>
          <w:tcPr>
            <w:tcW w:w="861" w:type="dxa"/>
            <w:vMerge/>
          </w:tcPr>
          <w:p w14:paraId="44758ED4" w14:textId="77777777" w:rsidR="00337A19" w:rsidRDefault="00337A19">
            <w:pPr>
              <w:pStyle w:val="xAvsandare2"/>
            </w:pPr>
          </w:p>
        </w:tc>
        <w:tc>
          <w:tcPr>
            <w:tcW w:w="4448" w:type="dxa"/>
            <w:vAlign w:val="center"/>
          </w:tcPr>
          <w:p w14:paraId="6CF52DCF" w14:textId="77777777" w:rsidR="00337A19" w:rsidRDefault="00337A19">
            <w:pPr>
              <w:pStyle w:val="xAvsandare2"/>
            </w:pPr>
          </w:p>
        </w:tc>
        <w:tc>
          <w:tcPr>
            <w:tcW w:w="1725" w:type="dxa"/>
            <w:vAlign w:val="center"/>
          </w:tcPr>
          <w:p w14:paraId="14EB5364" w14:textId="38DAA787" w:rsidR="00337A19" w:rsidRDefault="00337A19">
            <w:pPr>
              <w:pStyle w:val="xDatum1"/>
            </w:pPr>
            <w:r>
              <w:t>20</w:t>
            </w:r>
            <w:r w:rsidR="00520FE2">
              <w:t>24-12-11</w:t>
            </w:r>
          </w:p>
        </w:tc>
        <w:tc>
          <w:tcPr>
            <w:tcW w:w="2563" w:type="dxa"/>
            <w:vAlign w:val="center"/>
          </w:tcPr>
          <w:p w14:paraId="22EADA1A" w14:textId="02D356FD" w:rsidR="00337A19" w:rsidRDefault="00520FE2">
            <w:pPr>
              <w:pStyle w:val="xBeteckning1"/>
            </w:pPr>
            <w:r>
              <w:t>LF 22/</w:t>
            </w:r>
            <w:proofErr w:type="gramStart"/>
            <w:r>
              <w:t>2023-2024</w:t>
            </w:r>
            <w:proofErr w:type="gramEnd"/>
          </w:p>
        </w:tc>
      </w:tr>
      <w:tr w:rsidR="00337A19" w14:paraId="4BE06929" w14:textId="77777777">
        <w:trPr>
          <w:cantSplit/>
          <w:trHeight w:val="238"/>
        </w:trPr>
        <w:tc>
          <w:tcPr>
            <w:tcW w:w="861" w:type="dxa"/>
            <w:vMerge/>
          </w:tcPr>
          <w:p w14:paraId="5E997DCE" w14:textId="77777777" w:rsidR="00337A19" w:rsidRDefault="00337A19">
            <w:pPr>
              <w:pStyle w:val="xLedtext"/>
            </w:pPr>
          </w:p>
        </w:tc>
        <w:tc>
          <w:tcPr>
            <w:tcW w:w="4448" w:type="dxa"/>
            <w:vAlign w:val="bottom"/>
          </w:tcPr>
          <w:p w14:paraId="417C268C" w14:textId="77777777" w:rsidR="00337A19" w:rsidRDefault="00337A19">
            <w:pPr>
              <w:pStyle w:val="xLedtext"/>
            </w:pPr>
          </w:p>
        </w:tc>
        <w:tc>
          <w:tcPr>
            <w:tcW w:w="1725" w:type="dxa"/>
            <w:vAlign w:val="bottom"/>
          </w:tcPr>
          <w:p w14:paraId="52DF931D" w14:textId="77777777" w:rsidR="00337A19" w:rsidRDefault="00337A19">
            <w:pPr>
              <w:pStyle w:val="xLedtext"/>
            </w:pPr>
          </w:p>
        </w:tc>
        <w:tc>
          <w:tcPr>
            <w:tcW w:w="2563" w:type="dxa"/>
            <w:vAlign w:val="bottom"/>
          </w:tcPr>
          <w:p w14:paraId="661B9999" w14:textId="77777777" w:rsidR="00337A19" w:rsidRDefault="00337A19">
            <w:pPr>
              <w:pStyle w:val="xLedtext"/>
            </w:pPr>
          </w:p>
        </w:tc>
      </w:tr>
      <w:tr w:rsidR="00337A19" w14:paraId="1F87ACFA" w14:textId="77777777">
        <w:trPr>
          <w:cantSplit/>
          <w:trHeight w:val="238"/>
        </w:trPr>
        <w:tc>
          <w:tcPr>
            <w:tcW w:w="861" w:type="dxa"/>
            <w:vMerge/>
            <w:tcBorders>
              <w:bottom w:val="single" w:sz="4" w:space="0" w:color="auto"/>
            </w:tcBorders>
          </w:tcPr>
          <w:p w14:paraId="7B2F16EB" w14:textId="77777777" w:rsidR="00337A19" w:rsidRDefault="00337A19">
            <w:pPr>
              <w:pStyle w:val="xAvsandare3"/>
            </w:pPr>
          </w:p>
        </w:tc>
        <w:tc>
          <w:tcPr>
            <w:tcW w:w="4448" w:type="dxa"/>
            <w:tcBorders>
              <w:bottom w:val="single" w:sz="4" w:space="0" w:color="auto"/>
            </w:tcBorders>
            <w:vAlign w:val="center"/>
          </w:tcPr>
          <w:p w14:paraId="588F2B15" w14:textId="77777777" w:rsidR="00337A19" w:rsidRDefault="00337A19">
            <w:pPr>
              <w:pStyle w:val="xAvsandare3"/>
            </w:pPr>
          </w:p>
        </w:tc>
        <w:tc>
          <w:tcPr>
            <w:tcW w:w="1725" w:type="dxa"/>
            <w:tcBorders>
              <w:bottom w:val="single" w:sz="4" w:space="0" w:color="auto"/>
            </w:tcBorders>
            <w:vAlign w:val="center"/>
          </w:tcPr>
          <w:p w14:paraId="0774AC42" w14:textId="77777777" w:rsidR="00337A19" w:rsidRDefault="00337A19">
            <w:pPr>
              <w:pStyle w:val="xDatum2"/>
            </w:pPr>
          </w:p>
        </w:tc>
        <w:tc>
          <w:tcPr>
            <w:tcW w:w="2563" w:type="dxa"/>
            <w:tcBorders>
              <w:bottom w:val="single" w:sz="4" w:space="0" w:color="auto"/>
            </w:tcBorders>
            <w:vAlign w:val="center"/>
          </w:tcPr>
          <w:p w14:paraId="22011B79" w14:textId="77777777" w:rsidR="00337A19" w:rsidRDefault="00337A19">
            <w:pPr>
              <w:pStyle w:val="xBeteckning2"/>
            </w:pPr>
          </w:p>
        </w:tc>
      </w:tr>
      <w:tr w:rsidR="00337A19" w14:paraId="123A1E63" w14:textId="77777777">
        <w:trPr>
          <w:cantSplit/>
          <w:trHeight w:val="238"/>
        </w:trPr>
        <w:tc>
          <w:tcPr>
            <w:tcW w:w="861" w:type="dxa"/>
            <w:tcBorders>
              <w:top w:val="single" w:sz="4" w:space="0" w:color="auto"/>
            </w:tcBorders>
            <w:vAlign w:val="bottom"/>
          </w:tcPr>
          <w:p w14:paraId="3303B941" w14:textId="77777777" w:rsidR="00337A19" w:rsidRDefault="00337A19">
            <w:pPr>
              <w:pStyle w:val="xLedtext"/>
            </w:pPr>
          </w:p>
        </w:tc>
        <w:tc>
          <w:tcPr>
            <w:tcW w:w="4448" w:type="dxa"/>
            <w:tcBorders>
              <w:top w:val="single" w:sz="4" w:space="0" w:color="auto"/>
            </w:tcBorders>
            <w:vAlign w:val="bottom"/>
          </w:tcPr>
          <w:p w14:paraId="30E6C290" w14:textId="77777777" w:rsidR="00337A19" w:rsidRDefault="00337A19">
            <w:pPr>
              <w:pStyle w:val="xLedtext"/>
            </w:pPr>
          </w:p>
        </w:tc>
        <w:tc>
          <w:tcPr>
            <w:tcW w:w="4288" w:type="dxa"/>
            <w:gridSpan w:val="2"/>
            <w:tcBorders>
              <w:top w:val="single" w:sz="4" w:space="0" w:color="auto"/>
            </w:tcBorders>
            <w:vAlign w:val="bottom"/>
          </w:tcPr>
          <w:p w14:paraId="1FC2E0E3" w14:textId="77777777" w:rsidR="00337A19" w:rsidRDefault="00337A19">
            <w:pPr>
              <w:pStyle w:val="xLedtext"/>
            </w:pPr>
          </w:p>
        </w:tc>
      </w:tr>
      <w:tr w:rsidR="00337A19" w14:paraId="2A0C2B30" w14:textId="77777777">
        <w:trPr>
          <w:cantSplit/>
          <w:trHeight w:val="238"/>
        </w:trPr>
        <w:tc>
          <w:tcPr>
            <w:tcW w:w="861" w:type="dxa"/>
          </w:tcPr>
          <w:p w14:paraId="5AAC7F19" w14:textId="77777777" w:rsidR="00337A19" w:rsidRDefault="00337A19">
            <w:pPr>
              <w:pStyle w:val="xCelltext"/>
            </w:pPr>
          </w:p>
        </w:tc>
        <w:tc>
          <w:tcPr>
            <w:tcW w:w="4448" w:type="dxa"/>
            <w:vAlign w:val="center"/>
          </w:tcPr>
          <w:p w14:paraId="2694D8B2" w14:textId="77777777" w:rsidR="00337A19" w:rsidRDefault="00337A19">
            <w:pPr>
              <w:pStyle w:val="xCelltext"/>
            </w:pPr>
          </w:p>
        </w:tc>
        <w:tc>
          <w:tcPr>
            <w:tcW w:w="4288" w:type="dxa"/>
            <w:gridSpan w:val="2"/>
            <w:vAlign w:val="center"/>
          </w:tcPr>
          <w:p w14:paraId="3749ECBF" w14:textId="77777777" w:rsidR="00337A19" w:rsidRDefault="00337A19">
            <w:pPr>
              <w:pStyle w:val="xCelltext"/>
            </w:pPr>
          </w:p>
        </w:tc>
      </w:tr>
    </w:tbl>
    <w:p w14:paraId="2FE19513" w14:textId="77777777" w:rsidR="00337A19" w:rsidRDefault="00337A19">
      <w:pPr>
        <w:rPr>
          <w:b/>
          <w:bCs/>
        </w:rPr>
        <w:sectPr w:rsidR="00337A19">
          <w:footerReference w:type="even" r:id="rId9"/>
          <w:footerReference w:type="default" r:id="rId10"/>
          <w:pgSz w:w="11906" w:h="16838" w:code="9"/>
          <w:pgMar w:top="567" w:right="1134" w:bottom="1134" w:left="1191" w:header="624" w:footer="737" w:gutter="0"/>
          <w:cols w:space="708"/>
          <w:docGrid w:linePitch="360"/>
        </w:sectPr>
      </w:pPr>
    </w:p>
    <w:p w14:paraId="7C20BC10" w14:textId="77777777" w:rsidR="00337A19" w:rsidRDefault="00337A19">
      <w:pPr>
        <w:pStyle w:val="ArendeOverRubrik"/>
      </w:pPr>
      <w:r>
        <w:t>Ålands lagtings beslut om antagande av</w:t>
      </w:r>
    </w:p>
    <w:p w14:paraId="414C5C1E" w14:textId="057EEC19" w:rsidR="00520FE2" w:rsidRPr="00520FE2" w:rsidRDefault="00337A19" w:rsidP="00520FE2">
      <w:pPr>
        <w:pStyle w:val="ArendeRubrik"/>
        <w:outlineLvl w:val="0"/>
      </w:pPr>
      <w:bookmarkStart w:id="1" w:name="_Toc65564307"/>
      <w:r>
        <w:t>Landskapslag</w:t>
      </w:r>
      <w:bookmarkEnd w:id="1"/>
      <w:r w:rsidR="00520FE2">
        <w:t xml:space="preserve"> </w:t>
      </w:r>
      <w:r w:rsidR="00520FE2" w:rsidRPr="00C84795">
        <w:t>om ändring av landskapslagen om tillgängliga digitala tjänster</w:t>
      </w:r>
    </w:p>
    <w:p w14:paraId="19C55DC2" w14:textId="77777777" w:rsidR="00337A19" w:rsidRDefault="00337A19">
      <w:pPr>
        <w:pStyle w:val="ANormal"/>
      </w:pPr>
    </w:p>
    <w:p w14:paraId="43AA8DFA" w14:textId="77777777" w:rsidR="00337A19" w:rsidRDefault="00337A19" w:rsidP="005C5E44">
      <w:pPr>
        <w:pStyle w:val="ANormal"/>
        <w:suppressAutoHyphens/>
        <w:outlineLvl w:val="0"/>
      </w:pPr>
      <w:r>
        <w:tab/>
        <w:t xml:space="preserve">I enlighet med lagtingets beslut </w:t>
      </w:r>
    </w:p>
    <w:p w14:paraId="34D3578C" w14:textId="77777777" w:rsidR="00520FE2" w:rsidRPr="00C84795" w:rsidRDefault="00337A19" w:rsidP="00520FE2">
      <w:pPr>
        <w:pStyle w:val="ANormal"/>
        <w:rPr>
          <w:b/>
          <w:bCs/>
        </w:rPr>
      </w:pPr>
      <w:r>
        <w:tab/>
      </w:r>
      <w:r w:rsidR="00520FE2" w:rsidRPr="00C84795">
        <w:rPr>
          <w:b/>
          <w:bCs/>
        </w:rPr>
        <w:t>ändras</w:t>
      </w:r>
      <w:r w:rsidR="00520FE2" w:rsidRPr="00C84795">
        <w:t xml:space="preserve"> 2 § 3 punkten och rubriken till 2 kap. landskapslagen (2019:7) om digitala tjänster samt</w:t>
      </w:r>
    </w:p>
    <w:p w14:paraId="2AD25ACC" w14:textId="77777777" w:rsidR="00520FE2" w:rsidRDefault="00520FE2" w:rsidP="00520FE2">
      <w:pPr>
        <w:pStyle w:val="ANormal"/>
      </w:pPr>
      <w:r w:rsidRPr="00C84795">
        <w:rPr>
          <w:b/>
          <w:bCs/>
        </w:rPr>
        <w:tab/>
        <w:t>fogas</w:t>
      </w:r>
      <w:r w:rsidRPr="00C84795">
        <w:t xml:space="preserve"> till lagens 2 § nya 10–13 punkter, ett nytt 1a kap. och nya 3a–c §§ som följer:</w:t>
      </w:r>
    </w:p>
    <w:p w14:paraId="62F1FBC7" w14:textId="77777777" w:rsidR="00520FE2" w:rsidRPr="00C84795" w:rsidRDefault="00520FE2" w:rsidP="00520FE2">
      <w:pPr>
        <w:pStyle w:val="ANormal"/>
      </w:pPr>
    </w:p>
    <w:p w14:paraId="7854FFEB" w14:textId="77777777" w:rsidR="00520FE2" w:rsidRPr="00C84795" w:rsidRDefault="00520FE2" w:rsidP="00520FE2">
      <w:pPr>
        <w:pStyle w:val="ANormal"/>
      </w:pPr>
    </w:p>
    <w:p w14:paraId="6FEAD986" w14:textId="77777777" w:rsidR="00520FE2" w:rsidRDefault="00520FE2" w:rsidP="00520FE2">
      <w:pPr>
        <w:pStyle w:val="LagParagraf"/>
      </w:pPr>
      <w:r>
        <w:t>2 §</w:t>
      </w:r>
    </w:p>
    <w:p w14:paraId="1FA7CCF6" w14:textId="77777777" w:rsidR="00520FE2" w:rsidRDefault="00520FE2" w:rsidP="00520FE2">
      <w:pPr>
        <w:pStyle w:val="LagPararubrik"/>
      </w:pPr>
      <w:r>
        <w:t>Definitioner</w:t>
      </w:r>
    </w:p>
    <w:p w14:paraId="036EC6C6" w14:textId="77777777" w:rsidR="00520FE2" w:rsidRPr="00175561" w:rsidRDefault="00520FE2" w:rsidP="00520FE2">
      <w:pPr>
        <w:pStyle w:val="ANormal"/>
      </w:pPr>
      <w:r>
        <w:tab/>
      </w:r>
      <w:r w:rsidRPr="00175561">
        <w:t>I denna lag avses med</w:t>
      </w:r>
    </w:p>
    <w:p w14:paraId="4BCC3F65" w14:textId="77777777" w:rsidR="00520FE2" w:rsidRDefault="00520FE2" w:rsidP="00520FE2">
      <w:pPr>
        <w:pStyle w:val="ANormal"/>
      </w:pPr>
      <w:r>
        <w:t>- - - - - - - - - - - - - - - - - - - - - - - - - - - - - - - - - - - - - - - - - - - - - - - - - - - -</w:t>
      </w:r>
    </w:p>
    <w:p w14:paraId="75A8D8A2" w14:textId="77777777" w:rsidR="00520FE2" w:rsidRDefault="00520FE2" w:rsidP="00520FE2">
      <w:pPr>
        <w:pStyle w:val="ANormal"/>
      </w:pPr>
      <w:r>
        <w:tab/>
        <w:t xml:space="preserve">3) </w:t>
      </w:r>
      <w:r>
        <w:rPr>
          <w:i/>
          <w:iCs/>
        </w:rPr>
        <w:t>myndighet</w:t>
      </w:r>
      <w:r>
        <w:t xml:space="preserve"> de myndigheter som avses i </w:t>
      </w:r>
      <w:r w:rsidRPr="00047403">
        <w:t>4</w:t>
      </w:r>
      <w:r>
        <w:t> §</w:t>
      </w:r>
      <w:r w:rsidRPr="00047403">
        <w:t xml:space="preserve"> i offentlighetslagen (2021:79) för Åland, inkluderande Ålands polismyndighet,</w:t>
      </w:r>
    </w:p>
    <w:p w14:paraId="698BC1F9" w14:textId="77777777" w:rsidR="00520FE2" w:rsidRPr="00EF44DC" w:rsidRDefault="00520FE2" w:rsidP="00520FE2">
      <w:pPr>
        <w:pStyle w:val="ANormal"/>
      </w:pPr>
      <w:r w:rsidRPr="00EF44DC">
        <w:t>- - - - - - - - - - - - - - - - - - - - - - - - - - - - - - - - - - - - - - - - - - - - - - - - - - - -</w:t>
      </w:r>
    </w:p>
    <w:p w14:paraId="319D68DD" w14:textId="77777777" w:rsidR="00520FE2" w:rsidRPr="00C56BFD" w:rsidRDefault="00520FE2" w:rsidP="00520FE2">
      <w:pPr>
        <w:pStyle w:val="ANormal"/>
      </w:pPr>
      <w:r w:rsidRPr="00EF44DC">
        <w:tab/>
        <w:t xml:space="preserve">10) </w:t>
      </w:r>
      <w:r w:rsidRPr="00EF44DC">
        <w:rPr>
          <w:i/>
          <w:iCs/>
        </w:rPr>
        <w:t>digital tjänst</w:t>
      </w:r>
      <w:r w:rsidRPr="00EF44DC">
        <w:t xml:space="preserve"> </w:t>
      </w:r>
      <w:r>
        <w:t xml:space="preserve">en </w:t>
      </w:r>
      <w:r w:rsidRPr="00EF44DC">
        <w:t xml:space="preserve">webbplats </w:t>
      </w:r>
      <w:r>
        <w:t>eller</w:t>
      </w:r>
      <w:r w:rsidRPr="00EF44DC">
        <w:t xml:space="preserve"> mobilapplikation samt </w:t>
      </w:r>
      <w:r w:rsidRPr="00C56BFD">
        <w:t>funktioner i anslutning till dem,</w:t>
      </w:r>
    </w:p>
    <w:p w14:paraId="7ECCC657" w14:textId="77777777" w:rsidR="00520FE2" w:rsidRPr="00C56BFD" w:rsidRDefault="00520FE2" w:rsidP="00520FE2">
      <w:pPr>
        <w:pStyle w:val="ANormal"/>
      </w:pPr>
      <w:r w:rsidRPr="00C56BFD">
        <w:tab/>
        <w:t xml:space="preserve">11) </w:t>
      </w:r>
      <w:r w:rsidRPr="00C56BFD">
        <w:rPr>
          <w:i/>
          <w:iCs/>
        </w:rPr>
        <w:t>identifieringstjänst</w:t>
      </w:r>
      <w:r w:rsidRPr="00C56BFD">
        <w:t xml:space="preserve"> </w:t>
      </w:r>
      <w:r>
        <w:t xml:space="preserve">en </w:t>
      </w:r>
      <w:r w:rsidRPr="00C56BFD">
        <w:t>tjänst för identifiering av användare av digitala tjänster genom identifieringsverktyg,</w:t>
      </w:r>
    </w:p>
    <w:p w14:paraId="10E1F291" w14:textId="77777777" w:rsidR="00520FE2" w:rsidRPr="00C56BFD" w:rsidRDefault="00520FE2" w:rsidP="00520FE2">
      <w:pPr>
        <w:pStyle w:val="ANormal"/>
      </w:pPr>
      <w:r w:rsidRPr="00C56BFD">
        <w:tab/>
        <w:t xml:space="preserve">12) </w:t>
      </w:r>
      <w:r w:rsidRPr="00C56BFD">
        <w:rPr>
          <w:i/>
          <w:iCs/>
        </w:rPr>
        <w:t>identifieringsverktyg</w:t>
      </w:r>
      <w:r w:rsidRPr="00C56BFD">
        <w:t xml:space="preserve"> ett sådant medel för elektronisk identifiering som avses i artikel 3.2 i Europaparlamentets och rådets förordning (EU) nr 910/2014 om elektronisk identifiering och betrodda tjänster för elektroniska transaktioner på den inre marknaden och om upphävande av direktiv 1999/93/EG (</w:t>
      </w:r>
      <w:r w:rsidRPr="00AC3E12">
        <w:rPr>
          <w:i/>
          <w:iCs/>
        </w:rPr>
        <w:t>förordningen om elektronisk identifiering</w:t>
      </w:r>
      <w:r w:rsidRPr="00C56BFD">
        <w:t>), och</w:t>
      </w:r>
    </w:p>
    <w:p w14:paraId="47235B00" w14:textId="77777777" w:rsidR="00520FE2" w:rsidRPr="00C56BFD" w:rsidRDefault="00520FE2" w:rsidP="00520FE2">
      <w:pPr>
        <w:pStyle w:val="ANormal"/>
      </w:pPr>
      <w:r w:rsidRPr="00C56BFD">
        <w:tab/>
        <w:t xml:space="preserve">13) </w:t>
      </w:r>
      <w:r w:rsidRPr="00C56BFD">
        <w:rPr>
          <w:i/>
          <w:iCs/>
        </w:rPr>
        <w:t>stark autentisering</w:t>
      </w:r>
      <w:r w:rsidRPr="00C56BFD">
        <w:t xml:space="preserve"> identifiering av en person, av en juridisk person eller av en fysisk person som företräder en juridisk person och verifiering av identifikatorns autenticitet och riktighet genom tillämpning av en elektronisk metod som motsvarar tillitsnivån väsentlig enligt artikel 8.2 a eller tillitsnivån hög enligt artikel </w:t>
      </w:r>
      <w:proofErr w:type="gramStart"/>
      <w:r w:rsidRPr="00C56BFD">
        <w:t>8.2</w:t>
      </w:r>
      <w:proofErr w:type="gramEnd"/>
      <w:r>
        <w:t> </w:t>
      </w:r>
      <w:r w:rsidRPr="00C56BFD">
        <w:t>c i förordningen om elektronisk identifiering.</w:t>
      </w:r>
    </w:p>
    <w:p w14:paraId="3266DCED" w14:textId="77777777" w:rsidR="00520FE2" w:rsidRDefault="00520FE2" w:rsidP="00520FE2">
      <w:pPr>
        <w:pStyle w:val="ANormal"/>
      </w:pPr>
    </w:p>
    <w:p w14:paraId="28E6EF90" w14:textId="77777777" w:rsidR="00520FE2" w:rsidRPr="00C56BFD" w:rsidRDefault="00520FE2" w:rsidP="00520FE2">
      <w:pPr>
        <w:pStyle w:val="LagKapitel"/>
      </w:pPr>
      <w:r w:rsidRPr="00C56BFD">
        <w:t>1a</w:t>
      </w:r>
      <w:r>
        <w:t> kap.</w:t>
      </w:r>
      <w:r w:rsidRPr="00C56BFD">
        <w:br/>
        <w:t>Allmänna digitala tjänster</w:t>
      </w:r>
    </w:p>
    <w:p w14:paraId="3E81238E" w14:textId="77777777" w:rsidR="00520FE2" w:rsidRPr="00C56BFD" w:rsidRDefault="00520FE2" w:rsidP="00520FE2">
      <w:pPr>
        <w:pStyle w:val="ANormal"/>
      </w:pPr>
    </w:p>
    <w:p w14:paraId="7B3DD9EC" w14:textId="77777777" w:rsidR="00520FE2" w:rsidRPr="003403D2" w:rsidRDefault="00520FE2" w:rsidP="00520FE2">
      <w:pPr>
        <w:pStyle w:val="LagParagraf"/>
      </w:pPr>
      <w:r w:rsidRPr="003403D2">
        <w:t>3a</w:t>
      </w:r>
      <w:r>
        <w:t> §</w:t>
      </w:r>
    </w:p>
    <w:p w14:paraId="0EDE1CB0" w14:textId="77777777" w:rsidR="00520FE2" w:rsidRPr="00C56BFD" w:rsidRDefault="00520FE2" w:rsidP="00520FE2">
      <w:pPr>
        <w:pStyle w:val="LagPararubrik"/>
      </w:pPr>
      <w:r w:rsidRPr="00C56BFD">
        <w:t>Planering och underhåll av digitala tjänster</w:t>
      </w:r>
    </w:p>
    <w:p w14:paraId="79FF396A" w14:textId="77777777" w:rsidR="00520FE2" w:rsidRPr="00C56BFD" w:rsidRDefault="00520FE2" w:rsidP="00520FE2">
      <w:pPr>
        <w:pStyle w:val="ANormal"/>
      </w:pPr>
      <w:r w:rsidRPr="00C56BFD">
        <w:tab/>
        <w:t xml:space="preserve">Myndigheterna ska planera och underhålla sina digitala tjänster på ett sådant sätt att tjänsternas informationssäkerhet och dataskydd säkerställs och så att det säkerställs att tjänsterna är lätta att hitta och använda. Dessutom ska myndigheterna se till att deras digitala tjänster är </w:t>
      </w:r>
      <w:r>
        <w:t>interoperabla</w:t>
      </w:r>
      <w:r w:rsidRPr="00C56BFD">
        <w:t xml:space="preserve"> med den programvara och de kommunikationsförbindelser som används allmänt.</w:t>
      </w:r>
    </w:p>
    <w:p w14:paraId="4F4AA186" w14:textId="77777777" w:rsidR="00520FE2" w:rsidRPr="00C56BFD" w:rsidRDefault="00520FE2" w:rsidP="00520FE2">
      <w:pPr>
        <w:pStyle w:val="ANormal"/>
      </w:pPr>
      <w:r w:rsidRPr="00C56BFD">
        <w:tab/>
        <w:t>Myndigheterna ska se till att de digitala tjänster som de ansvarar för och de andra elektroniska dataöverföringsmetoder som de använder också finns tillgängliga vid andra tider än under myndigheternas servicepunkters öppettider. Avbrott i de digitala tjänsterna och i andra elektroniska dataöverföringsmetoder ska förläggas till tidpunkter då de används i ringa omfattning. Allmänheten ska på lämpligt sätt informeras om avbrotten i förväg. Myndigheterna ska vid avbrott offentliggöra anvisningar om hur var och en kan få sina ärenden skötta på ett alternativt sätt.</w:t>
      </w:r>
    </w:p>
    <w:p w14:paraId="7D2381FE" w14:textId="77777777" w:rsidR="00520FE2" w:rsidRPr="00C56BFD" w:rsidRDefault="00520FE2" w:rsidP="00520FE2">
      <w:pPr>
        <w:pStyle w:val="ANormal"/>
      </w:pPr>
      <w:r w:rsidRPr="00C56BFD">
        <w:lastRenderedPageBreak/>
        <w:tab/>
        <w:t xml:space="preserve">Myndigheterna ska säkerställa att deras digitala tjänster är tillräckligt interoperabla med </w:t>
      </w:r>
      <w:r>
        <w:t xml:space="preserve">den offentliga förvaltningens </w:t>
      </w:r>
      <w:r w:rsidRPr="00C56BFD">
        <w:t>gemensamma informations- och kom</w:t>
      </w:r>
      <w:r>
        <w:t>mu</w:t>
      </w:r>
      <w:r w:rsidRPr="00C56BFD">
        <w:t>nikationstekniska tjänster och med andra myndigheters digitala tjänster.</w:t>
      </w:r>
    </w:p>
    <w:p w14:paraId="563EF831" w14:textId="77777777" w:rsidR="00520FE2" w:rsidRPr="00C56BFD" w:rsidRDefault="00520FE2" w:rsidP="00520FE2">
      <w:pPr>
        <w:pStyle w:val="ANormal"/>
      </w:pPr>
    </w:p>
    <w:p w14:paraId="48C440A6" w14:textId="77777777" w:rsidR="00520FE2" w:rsidRPr="00C56BFD" w:rsidRDefault="00520FE2" w:rsidP="00520FE2">
      <w:pPr>
        <w:pStyle w:val="LagParagraf"/>
      </w:pPr>
      <w:r w:rsidRPr="00C56BFD">
        <w:t>3b</w:t>
      </w:r>
      <w:r>
        <w:t> §</w:t>
      </w:r>
    </w:p>
    <w:p w14:paraId="2BF0F9C5" w14:textId="77777777" w:rsidR="00520FE2" w:rsidRPr="00C56BFD" w:rsidRDefault="00520FE2" w:rsidP="00520FE2">
      <w:pPr>
        <w:pStyle w:val="LagPararubrik"/>
      </w:pPr>
      <w:r w:rsidRPr="00C56BFD">
        <w:t>Tillhandahållande av digitala tjänster</w:t>
      </w:r>
    </w:p>
    <w:p w14:paraId="56AACFC2" w14:textId="77777777" w:rsidR="00520FE2" w:rsidRPr="00C56BFD" w:rsidRDefault="00520FE2" w:rsidP="00520FE2">
      <w:pPr>
        <w:pStyle w:val="ANormal"/>
      </w:pPr>
      <w:r w:rsidRPr="00C56BFD">
        <w:tab/>
        <w:t>Myndigheterna ska ge alla en möjlighet att med hjälp av digitala tjänster eller andra elektroniska dataöverföringsmetoder sända elektroniska meddelanden och handlingar som hänför sig till deras behov att uträtta ärenden. Myndigheterna ska ge alla en möjlighet att i sina ärenden för mottagande av elektroniska meddelanden och handlingar från en myndighet använda en meddelandeförmedlingstjänst eller någon annan tillräckligt informationssäker elektronisk dataöverföringsmetod, om myndigheten kan sända meddelandet eller handlingen i elektronisk form.</w:t>
      </w:r>
    </w:p>
    <w:p w14:paraId="71F13378" w14:textId="77777777" w:rsidR="00520FE2" w:rsidRPr="00C56BFD" w:rsidRDefault="00520FE2" w:rsidP="00520FE2">
      <w:pPr>
        <w:pStyle w:val="ANormal"/>
      </w:pPr>
      <w:r w:rsidRPr="00C56BFD">
        <w:tab/>
        <w:t>Myndigheterna ska i sina digitala tjänster ge tydlig information om hur var och en elektroniskt kan sköta sina ärenden hos myndigheterna. Myndigheterna ska i sina digitala tjänster offentliggöra kontaktuppgifter av vilka det framgår var allmänheten har möjlighet att få råd i användningen av en myndighets digitala tjänster.</w:t>
      </w:r>
    </w:p>
    <w:p w14:paraId="4D50754F" w14:textId="77777777" w:rsidR="00520FE2" w:rsidRPr="00C56BFD" w:rsidRDefault="00520FE2" w:rsidP="00520FE2">
      <w:pPr>
        <w:pStyle w:val="ANormal"/>
      </w:pPr>
      <w:r w:rsidRPr="00C56BFD">
        <w:tab/>
        <w:t>En myndighet kan temporärt begränsa användningen av en digital tjänst till vissa användargrupper eller till e</w:t>
      </w:r>
      <w:r>
        <w:t>tt</w:t>
      </w:r>
      <w:r w:rsidRPr="00C56BFD">
        <w:t xml:space="preserve"> viss</w:t>
      </w:r>
      <w:r>
        <w:t>t</w:t>
      </w:r>
      <w:r w:rsidRPr="00C56BFD">
        <w:t xml:space="preserve"> </w:t>
      </w:r>
      <w:r>
        <w:t>område</w:t>
      </w:r>
      <w:r w:rsidRPr="00C56BFD">
        <w:t xml:space="preserve">, om det är nödvändigt för att utveckla eller </w:t>
      </w:r>
      <w:r>
        <w:t>kontroller</w:t>
      </w:r>
      <w:r w:rsidRPr="00C56BFD">
        <w:t>a tjänsten.</w:t>
      </w:r>
    </w:p>
    <w:p w14:paraId="22B13523" w14:textId="77777777" w:rsidR="00520FE2" w:rsidRPr="00C56BFD" w:rsidRDefault="00520FE2" w:rsidP="00520FE2">
      <w:pPr>
        <w:pStyle w:val="ANormal"/>
      </w:pPr>
    </w:p>
    <w:p w14:paraId="0350469A" w14:textId="77777777" w:rsidR="00520FE2" w:rsidRPr="00C56BFD" w:rsidRDefault="00520FE2" w:rsidP="00520FE2">
      <w:pPr>
        <w:pStyle w:val="LagParagraf"/>
      </w:pPr>
      <w:r w:rsidRPr="00C56BFD">
        <w:t>3c</w:t>
      </w:r>
      <w:r>
        <w:t> §</w:t>
      </w:r>
    </w:p>
    <w:p w14:paraId="39B12EFA" w14:textId="77777777" w:rsidR="00520FE2" w:rsidRPr="00C56BFD" w:rsidRDefault="00520FE2" w:rsidP="00520FE2">
      <w:pPr>
        <w:pStyle w:val="LagPararubrik"/>
      </w:pPr>
      <w:r w:rsidRPr="00C56BFD">
        <w:t>Elektronisk identifiering av tjänsteanvändar</w:t>
      </w:r>
      <w:r>
        <w:t>e</w:t>
      </w:r>
    </w:p>
    <w:p w14:paraId="5D640D07" w14:textId="77777777" w:rsidR="00520FE2" w:rsidRPr="00C56BFD" w:rsidRDefault="00520FE2" w:rsidP="00520FE2">
      <w:pPr>
        <w:pStyle w:val="ANormal"/>
      </w:pPr>
      <w:r w:rsidRPr="00C56BFD">
        <w:tab/>
        <w:t>Myndigheterna kan kräva elektronisk identifiering av en användare av digitala tjänster om det behövs för att säkerställa användarens åtkomsträttigheter i anslutning till en tjänst eller dess innehåll eller på grund av rättsverkningarna av en åtgärd som utförs i tjänsten.</w:t>
      </w:r>
    </w:p>
    <w:p w14:paraId="6254BF13" w14:textId="19DB45D9" w:rsidR="00520FE2" w:rsidRPr="00C56BFD" w:rsidRDefault="00520FE2" w:rsidP="00520FE2">
      <w:pPr>
        <w:pStyle w:val="ANormal"/>
      </w:pPr>
      <w:r w:rsidRPr="00C56BFD">
        <w:tab/>
        <w:t>Om det är möjligt att ta del av och hantera sekretessbelagda uppgifter i en digital tjänst ska användaren identifieras med hjälp av en identifieringstjänst med stark autentisering, eller av vägande och motiverade skäl med hjälp av någon annan motsvarande informationssäker identifieringstjänst.</w:t>
      </w:r>
    </w:p>
    <w:p w14:paraId="68332D91" w14:textId="77777777" w:rsidR="00520FE2" w:rsidRDefault="00520FE2" w:rsidP="00520FE2">
      <w:pPr>
        <w:pStyle w:val="ANormal"/>
      </w:pPr>
    </w:p>
    <w:p w14:paraId="0E680293" w14:textId="77777777" w:rsidR="00520FE2" w:rsidRDefault="00520FE2" w:rsidP="00520FE2">
      <w:pPr>
        <w:pStyle w:val="ANormal"/>
      </w:pPr>
    </w:p>
    <w:p w14:paraId="47376E49" w14:textId="77777777" w:rsidR="00520FE2" w:rsidRDefault="00520FE2" w:rsidP="00520FE2">
      <w:pPr>
        <w:pStyle w:val="LagKapitel"/>
      </w:pPr>
      <w:r>
        <w:t>2 kap.</w:t>
      </w:r>
      <w:r>
        <w:br/>
        <w:t>Digitala tjänsters tillgänglighet</w:t>
      </w:r>
    </w:p>
    <w:p w14:paraId="348EB8CB" w14:textId="77777777" w:rsidR="00520FE2" w:rsidRPr="006D41F8" w:rsidRDefault="00520FE2" w:rsidP="00520FE2">
      <w:pPr>
        <w:pStyle w:val="ANormal"/>
      </w:pPr>
    </w:p>
    <w:p w14:paraId="62540827" w14:textId="77777777" w:rsidR="00520FE2" w:rsidRDefault="00520FE2" w:rsidP="00520FE2">
      <w:pPr>
        <w:pStyle w:val="ANormal"/>
        <w:jc w:val="center"/>
      </w:pPr>
      <w:hyperlink r:id="rId11" w:anchor="_top" w:tooltip="Klicka för att gå till toppen av dokumentet" w:history="1">
        <w:r>
          <w:rPr>
            <w:rStyle w:val="Hyperlnk"/>
          </w:rPr>
          <w:t>__________________</w:t>
        </w:r>
      </w:hyperlink>
    </w:p>
    <w:p w14:paraId="4CC9BA27" w14:textId="77777777" w:rsidR="00520FE2" w:rsidRPr="007E088D" w:rsidRDefault="00520FE2" w:rsidP="00520FE2">
      <w:pPr>
        <w:pStyle w:val="ANormal"/>
      </w:pPr>
    </w:p>
    <w:p w14:paraId="71F738EA" w14:textId="5BCF865D" w:rsidR="00520FE2" w:rsidRPr="00C84795" w:rsidRDefault="00520FE2" w:rsidP="00520FE2">
      <w:pPr>
        <w:pStyle w:val="ANormal"/>
      </w:pPr>
      <w:r w:rsidRPr="00C84795">
        <w:t xml:space="preserve">Denna lag träder i kraft den </w:t>
      </w:r>
    </w:p>
    <w:p w14:paraId="344F658A" w14:textId="77777777" w:rsidR="00520FE2" w:rsidRPr="00C84795" w:rsidRDefault="00520FE2" w:rsidP="00520FE2">
      <w:pPr>
        <w:pStyle w:val="ANormal"/>
      </w:pPr>
      <w:r w:rsidRPr="00C84795">
        <w:tab/>
        <w:t>En myndighet ska försätta sin verksamhet i överensstämmelse med 3a och 3b §§ inom 24 månader efter det att lagen har trätt i kraft.</w:t>
      </w:r>
    </w:p>
    <w:p w14:paraId="64F734C6" w14:textId="77777777" w:rsidR="00520FE2" w:rsidRDefault="00520FE2" w:rsidP="00520FE2">
      <w:pPr>
        <w:pStyle w:val="ANormal"/>
      </w:pPr>
    </w:p>
    <w:p w14:paraId="7AB0815E" w14:textId="77777777" w:rsidR="00520FE2" w:rsidRDefault="00520FE2" w:rsidP="00520FE2">
      <w:pPr>
        <w:pStyle w:val="ANormal"/>
        <w:jc w:val="center"/>
      </w:pPr>
      <w:hyperlink r:id="rId12" w:anchor="_top" w:tooltip="Klicka för att gå till toppen av dokumentet" w:history="1">
        <w:r>
          <w:rPr>
            <w:rStyle w:val="Hyperlnk"/>
          </w:rPr>
          <w:t>__________________</w:t>
        </w:r>
      </w:hyperlink>
    </w:p>
    <w:p w14:paraId="011599FF" w14:textId="605FF380" w:rsidR="00337A19" w:rsidRDefault="00337A19">
      <w:pPr>
        <w:pStyle w:val="ANormal"/>
      </w:pPr>
    </w:p>
    <w:p w14:paraId="34C18DE0" w14:textId="77777777" w:rsidR="00337A19" w:rsidRDefault="00337A19">
      <w:pPr>
        <w:pStyle w:val="ANormal"/>
      </w:pPr>
    </w:p>
    <w:p w14:paraId="006C93BC" w14:textId="77777777" w:rsidR="00337A19" w:rsidRDefault="00337A19">
      <w:pPr>
        <w:pStyle w:val="ANormal"/>
      </w:pPr>
    </w:p>
    <w:tbl>
      <w:tblPr>
        <w:tblW w:w="5000" w:type="pct"/>
        <w:tblCellMar>
          <w:left w:w="0" w:type="dxa"/>
          <w:right w:w="0" w:type="dxa"/>
        </w:tblCellMar>
        <w:tblLook w:val="0000" w:firstRow="0" w:lastRow="0" w:firstColumn="0" w:lastColumn="0" w:noHBand="0" w:noVBand="0"/>
      </w:tblPr>
      <w:tblGrid>
        <w:gridCol w:w="3345"/>
        <w:gridCol w:w="3345"/>
      </w:tblGrid>
      <w:tr w:rsidR="00337A19" w14:paraId="359D5343" w14:textId="77777777">
        <w:trPr>
          <w:cantSplit/>
        </w:trPr>
        <w:tc>
          <w:tcPr>
            <w:tcW w:w="6706" w:type="dxa"/>
            <w:gridSpan w:val="2"/>
          </w:tcPr>
          <w:p w14:paraId="606C4B9B" w14:textId="6589B6FD" w:rsidR="00337A19" w:rsidRDefault="00337A19">
            <w:pPr>
              <w:pStyle w:val="ANormal"/>
              <w:keepNext/>
            </w:pPr>
            <w:r>
              <w:lastRenderedPageBreak/>
              <w:tab/>
              <w:t xml:space="preserve">Mariehamn den </w:t>
            </w:r>
            <w:r w:rsidR="00520FE2">
              <w:t>11 december 2024</w:t>
            </w:r>
          </w:p>
        </w:tc>
      </w:tr>
      <w:tr w:rsidR="00337A19" w14:paraId="627B3DF9" w14:textId="77777777">
        <w:trPr>
          <w:cantSplit/>
        </w:trPr>
        <w:tc>
          <w:tcPr>
            <w:tcW w:w="6706" w:type="dxa"/>
            <w:gridSpan w:val="2"/>
            <w:vAlign w:val="bottom"/>
          </w:tcPr>
          <w:p w14:paraId="6F9005C8" w14:textId="77777777" w:rsidR="00337A19" w:rsidRDefault="00337A19">
            <w:pPr>
              <w:pStyle w:val="ANormal"/>
              <w:keepNext/>
            </w:pPr>
          </w:p>
          <w:p w14:paraId="033ABEB3" w14:textId="77777777" w:rsidR="00337A19" w:rsidRDefault="00337A19">
            <w:pPr>
              <w:pStyle w:val="ANormal"/>
              <w:keepNext/>
            </w:pPr>
          </w:p>
          <w:p w14:paraId="7FB28202" w14:textId="77777777" w:rsidR="00337A19" w:rsidRDefault="00337A19">
            <w:pPr>
              <w:pStyle w:val="ANormal"/>
              <w:keepNext/>
            </w:pPr>
          </w:p>
          <w:p w14:paraId="7E3294A4" w14:textId="2752AB62" w:rsidR="00337A19" w:rsidRDefault="00520FE2">
            <w:pPr>
              <w:pStyle w:val="ANormal"/>
              <w:keepNext/>
              <w:jc w:val="center"/>
            </w:pPr>
            <w:r>
              <w:t>Jörgen Pettersson</w:t>
            </w:r>
            <w:r w:rsidR="00D636DC">
              <w:t xml:space="preserve">  </w:t>
            </w:r>
          </w:p>
          <w:p w14:paraId="757D498B" w14:textId="77777777" w:rsidR="00337A19" w:rsidRDefault="00337A19">
            <w:pPr>
              <w:pStyle w:val="ANormal"/>
              <w:keepNext/>
              <w:jc w:val="center"/>
            </w:pPr>
            <w:r>
              <w:t>talman</w:t>
            </w:r>
          </w:p>
        </w:tc>
      </w:tr>
      <w:tr w:rsidR="00337A19" w14:paraId="33CE8112" w14:textId="77777777">
        <w:tc>
          <w:tcPr>
            <w:tcW w:w="3353" w:type="dxa"/>
            <w:vAlign w:val="bottom"/>
          </w:tcPr>
          <w:p w14:paraId="2D0569A0" w14:textId="77777777" w:rsidR="00337A19" w:rsidRDefault="00337A19">
            <w:pPr>
              <w:pStyle w:val="ANormal"/>
              <w:keepNext/>
              <w:jc w:val="center"/>
            </w:pPr>
          </w:p>
          <w:p w14:paraId="43B1F5BE" w14:textId="77777777" w:rsidR="00337A19" w:rsidRDefault="00337A19">
            <w:pPr>
              <w:pStyle w:val="ANormal"/>
              <w:keepNext/>
              <w:jc w:val="center"/>
            </w:pPr>
          </w:p>
          <w:p w14:paraId="1D2D52F7" w14:textId="1FB29818" w:rsidR="00337A19" w:rsidRDefault="00520FE2">
            <w:pPr>
              <w:pStyle w:val="ANormal"/>
              <w:keepNext/>
              <w:jc w:val="center"/>
            </w:pPr>
            <w:r>
              <w:t xml:space="preserve">Marcus </w:t>
            </w:r>
            <w:proofErr w:type="spellStart"/>
            <w:r>
              <w:t>Måtar</w:t>
            </w:r>
            <w:proofErr w:type="spellEnd"/>
            <w:r w:rsidR="00D636DC">
              <w:t xml:space="preserve">  </w:t>
            </w:r>
          </w:p>
          <w:p w14:paraId="6ED49882" w14:textId="77777777" w:rsidR="00337A19" w:rsidRDefault="00337A19">
            <w:pPr>
              <w:pStyle w:val="ANormal"/>
              <w:keepNext/>
              <w:jc w:val="center"/>
            </w:pPr>
            <w:r>
              <w:t>vicetalman</w:t>
            </w:r>
          </w:p>
        </w:tc>
        <w:tc>
          <w:tcPr>
            <w:tcW w:w="3353" w:type="dxa"/>
            <w:vAlign w:val="bottom"/>
          </w:tcPr>
          <w:p w14:paraId="6CEB97B4" w14:textId="77777777" w:rsidR="00337A19" w:rsidRDefault="00337A19">
            <w:pPr>
              <w:pStyle w:val="ANormal"/>
              <w:keepNext/>
              <w:jc w:val="center"/>
            </w:pPr>
          </w:p>
          <w:p w14:paraId="2527C48F" w14:textId="77777777" w:rsidR="00337A19" w:rsidRDefault="00337A19">
            <w:pPr>
              <w:pStyle w:val="ANormal"/>
              <w:keepNext/>
              <w:jc w:val="center"/>
            </w:pPr>
          </w:p>
          <w:p w14:paraId="01AC78A5" w14:textId="4522E24D" w:rsidR="00337A19" w:rsidRDefault="00520FE2">
            <w:pPr>
              <w:pStyle w:val="ANormal"/>
              <w:keepNext/>
              <w:jc w:val="center"/>
            </w:pPr>
            <w:r>
              <w:t xml:space="preserve">Pernilla </w:t>
            </w:r>
            <w:proofErr w:type="spellStart"/>
            <w:r>
              <w:t>Söderlud</w:t>
            </w:r>
            <w:proofErr w:type="spellEnd"/>
          </w:p>
          <w:p w14:paraId="509D0B7C" w14:textId="77777777" w:rsidR="00337A19" w:rsidRDefault="00337A19">
            <w:pPr>
              <w:pStyle w:val="ANormal"/>
              <w:keepNext/>
              <w:jc w:val="center"/>
            </w:pPr>
            <w:r>
              <w:t>vicetalman</w:t>
            </w:r>
          </w:p>
        </w:tc>
      </w:tr>
    </w:tbl>
    <w:p w14:paraId="143A6509" w14:textId="77777777" w:rsidR="00337A19" w:rsidRDefault="00337A19">
      <w:pPr>
        <w:pStyle w:val="ANormal"/>
      </w:pPr>
    </w:p>
    <w:sectPr w:rsidR="00337A19" w:rsidSect="005C5E44">
      <w:headerReference w:type="even" r:id="rId13"/>
      <w:headerReference w:type="default" r:id="rId14"/>
      <w:footerReference w:type="default" r:id="rId15"/>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DD227" w14:textId="77777777" w:rsidR="00520FE2" w:rsidRDefault="00520FE2">
      <w:r>
        <w:separator/>
      </w:r>
    </w:p>
  </w:endnote>
  <w:endnote w:type="continuationSeparator" w:id="0">
    <w:p w14:paraId="21956C45" w14:textId="77777777" w:rsidR="00520FE2" w:rsidRDefault="0052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CDB6E3" w14:textId="77777777" w:rsidR="00867707" w:rsidRDefault="00867707">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9F7FED" w14:textId="6CC58E31" w:rsidR="00867707" w:rsidRDefault="00867707">
    <w:pPr>
      <w:pStyle w:val="Sidfot"/>
      <w:rPr>
        <w:lang w:val="fi-FI"/>
      </w:rPr>
    </w:pPr>
    <w:r>
      <w:fldChar w:fldCharType="begin"/>
    </w:r>
    <w:r>
      <w:rPr>
        <w:lang w:val="fi-FI"/>
      </w:rPr>
      <w:instrText xml:space="preserve"> FILENAME  \* MERGEFORMAT </w:instrText>
    </w:r>
    <w:r>
      <w:fldChar w:fldCharType="separate"/>
    </w:r>
    <w:r w:rsidR="005B3FCB">
      <w:rPr>
        <w:noProof/>
        <w:lang w:val="fi-FI"/>
      </w:rPr>
      <w:t>LTB492024.docx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3C385" w14:textId="77777777" w:rsidR="00867707" w:rsidRDefault="0086770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9927D" w14:textId="77777777" w:rsidR="00520FE2" w:rsidRDefault="00520FE2">
      <w:r>
        <w:separator/>
      </w:r>
    </w:p>
  </w:footnote>
  <w:footnote w:type="continuationSeparator" w:id="0">
    <w:p w14:paraId="43D799C3" w14:textId="77777777" w:rsidR="00520FE2" w:rsidRDefault="00520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292ADB" w14:textId="77777777" w:rsidR="00867707" w:rsidRDefault="00867707">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135DEFF3" w14:textId="77777777" w:rsidR="00867707" w:rsidRDefault="0086770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C503F" w14:textId="77777777" w:rsidR="00867707" w:rsidRDefault="00867707">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5"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633877387">
    <w:abstractNumId w:val="6"/>
  </w:num>
  <w:num w:numId="2" w16cid:durableId="53478421">
    <w:abstractNumId w:val="3"/>
  </w:num>
  <w:num w:numId="3" w16cid:durableId="1275092241">
    <w:abstractNumId w:val="2"/>
  </w:num>
  <w:num w:numId="4" w16cid:durableId="979456707">
    <w:abstractNumId w:val="1"/>
  </w:num>
  <w:num w:numId="5" w16cid:durableId="306709525">
    <w:abstractNumId w:val="0"/>
  </w:num>
  <w:num w:numId="6" w16cid:durableId="1346861477">
    <w:abstractNumId w:val="7"/>
  </w:num>
  <w:num w:numId="7" w16cid:durableId="981732191">
    <w:abstractNumId w:val="5"/>
  </w:num>
  <w:num w:numId="8" w16cid:durableId="1503542734">
    <w:abstractNumId w:val="4"/>
  </w:num>
  <w:num w:numId="9" w16cid:durableId="2065060304">
    <w:abstractNumId w:val="10"/>
  </w:num>
  <w:num w:numId="10" w16cid:durableId="1469736004">
    <w:abstractNumId w:val="13"/>
  </w:num>
  <w:num w:numId="11" w16cid:durableId="2028099251">
    <w:abstractNumId w:val="12"/>
  </w:num>
  <w:num w:numId="12" w16cid:durableId="1415933666">
    <w:abstractNumId w:val="16"/>
  </w:num>
  <w:num w:numId="13" w16cid:durableId="1002660559">
    <w:abstractNumId w:val="11"/>
  </w:num>
  <w:num w:numId="14" w16cid:durableId="2010211177">
    <w:abstractNumId w:val="15"/>
  </w:num>
  <w:num w:numId="15" w16cid:durableId="1328288533">
    <w:abstractNumId w:val="9"/>
  </w:num>
  <w:num w:numId="16" w16cid:durableId="1848403853">
    <w:abstractNumId w:val="21"/>
  </w:num>
  <w:num w:numId="17" w16cid:durableId="229731607">
    <w:abstractNumId w:val="8"/>
  </w:num>
  <w:num w:numId="18" w16cid:durableId="1824154952">
    <w:abstractNumId w:val="17"/>
  </w:num>
  <w:num w:numId="19" w16cid:durableId="1810005314">
    <w:abstractNumId w:val="20"/>
  </w:num>
  <w:num w:numId="20" w16cid:durableId="450436293">
    <w:abstractNumId w:val="23"/>
  </w:num>
  <w:num w:numId="21" w16cid:durableId="818154688">
    <w:abstractNumId w:val="22"/>
  </w:num>
  <w:num w:numId="22" w16cid:durableId="1060709883">
    <w:abstractNumId w:val="14"/>
  </w:num>
  <w:num w:numId="23" w16cid:durableId="775055604">
    <w:abstractNumId w:val="18"/>
  </w:num>
  <w:num w:numId="24" w16cid:durableId="1762335275">
    <w:abstractNumId w:val="18"/>
  </w:num>
  <w:num w:numId="25" w16cid:durableId="689527747">
    <w:abstractNumId w:val="19"/>
  </w:num>
  <w:num w:numId="26" w16cid:durableId="1060861252">
    <w:abstractNumId w:val="14"/>
  </w:num>
  <w:num w:numId="27" w16cid:durableId="81033144">
    <w:abstractNumId w:val="14"/>
  </w:num>
  <w:num w:numId="28" w16cid:durableId="1951428367">
    <w:abstractNumId w:val="14"/>
  </w:num>
  <w:num w:numId="29" w16cid:durableId="1744911776">
    <w:abstractNumId w:val="14"/>
  </w:num>
  <w:num w:numId="30" w16cid:durableId="47922219">
    <w:abstractNumId w:val="14"/>
  </w:num>
  <w:num w:numId="31" w16cid:durableId="689717303">
    <w:abstractNumId w:val="14"/>
  </w:num>
  <w:num w:numId="32" w16cid:durableId="1707096494">
    <w:abstractNumId w:val="14"/>
  </w:num>
  <w:num w:numId="33" w16cid:durableId="2007977002">
    <w:abstractNumId w:val="14"/>
  </w:num>
  <w:num w:numId="34" w16cid:durableId="32775711">
    <w:abstractNumId w:val="14"/>
  </w:num>
  <w:num w:numId="35" w16cid:durableId="1140345685">
    <w:abstractNumId w:val="18"/>
  </w:num>
  <w:num w:numId="36" w16cid:durableId="1845899077">
    <w:abstractNumId w:val="19"/>
  </w:num>
  <w:num w:numId="37" w16cid:durableId="337733598">
    <w:abstractNumId w:val="14"/>
  </w:num>
  <w:num w:numId="38" w16cid:durableId="2033870438">
    <w:abstractNumId w:val="14"/>
  </w:num>
  <w:num w:numId="39" w16cid:durableId="313222239">
    <w:abstractNumId w:val="14"/>
  </w:num>
  <w:num w:numId="40" w16cid:durableId="889420155">
    <w:abstractNumId w:val="14"/>
  </w:num>
  <w:num w:numId="41" w16cid:durableId="1153332694">
    <w:abstractNumId w:val="14"/>
  </w:num>
  <w:num w:numId="42" w16cid:durableId="1041320721">
    <w:abstractNumId w:val="14"/>
  </w:num>
  <w:num w:numId="43" w16cid:durableId="189027988">
    <w:abstractNumId w:val="14"/>
  </w:num>
  <w:num w:numId="44" w16cid:durableId="469325178">
    <w:abstractNumId w:val="14"/>
  </w:num>
  <w:num w:numId="45" w16cid:durableId="20733107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FE2"/>
    <w:rsid w:val="00004B5B"/>
    <w:rsid w:val="00284C7A"/>
    <w:rsid w:val="002E1682"/>
    <w:rsid w:val="00337A19"/>
    <w:rsid w:val="0038180C"/>
    <w:rsid w:val="004D7ED5"/>
    <w:rsid w:val="004E7D01"/>
    <w:rsid w:val="004F64FE"/>
    <w:rsid w:val="00520FE2"/>
    <w:rsid w:val="005A7AEB"/>
    <w:rsid w:val="005B3FCB"/>
    <w:rsid w:val="005C5E44"/>
    <w:rsid w:val="005E1BD9"/>
    <w:rsid w:val="005F6898"/>
    <w:rsid w:val="00641BB7"/>
    <w:rsid w:val="006538ED"/>
    <w:rsid w:val="006E2A0A"/>
    <w:rsid w:val="008414E5"/>
    <w:rsid w:val="00867707"/>
    <w:rsid w:val="008B5FA2"/>
    <w:rsid w:val="009E1423"/>
    <w:rsid w:val="009F1162"/>
    <w:rsid w:val="00B5110A"/>
    <w:rsid w:val="00BA3751"/>
    <w:rsid w:val="00BD48EF"/>
    <w:rsid w:val="00BE2983"/>
    <w:rsid w:val="00D636DC"/>
    <w:rsid w:val="00DD3988"/>
    <w:rsid w:val="00E6237B"/>
    <w:rsid w:val="00F94A35"/>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83F6E6"/>
  <w15:docId w15:val="{A7BB5D36-3823-4EE6-A9CF-3738EE019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0FE2"/>
    <w:rPr>
      <w:sz w:val="24"/>
      <w:szCs w:val="24"/>
      <w:lang w:val="sv-SE" w:eastAsia="sv-SE"/>
    </w:rPr>
  </w:style>
  <w:style w:type="paragraph" w:styleId="Rubrik1">
    <w:name w:val="heading 1"/>
    <w:basedOn w:val="Normal"/>
    <w:next w:val="Normal"/>
    <w:qFormat/>
    <w:pPr>
      <w:keepNext/>
      <w:numPr>
        <w:numId w:val="37"/>
      </w:numPr>
      <w:spacing w:before="240" w:after="60"/>
      <w:outlineLvl w:val="0"/>
    </w:pPr>
    <w:rPr>
      <w:rFonts w:ascii="Arial" w:hAnsi="Arial" w:cs="Arial"/>
      <w:b/>
      <w:bCs/>
      <w:kern w:val="32"/>
      <w:sz w:val="32"/>
      <w:szCs w:val="32"/>
    </w:rPr>
  </w:style>
  <w:style w:type="paragraph" w:styleId="Rubrik2">
    <w:name w:val="heading 2"/>
    <w:basedOn w:val="Normal"/>
    <w:next w:val="Normal"/>
    <w:qFormat/>
    <w:pPr>
      <w:keepNext/>
      <w:numPr>
        <w:ilvl w:val="1"/>
        <w:numId w:val="38"/>
      </w:numPr>
      <w:spacing w:before="240" w:after="60"/>
      <w:outlineLvl w:val="1"/>
    </w:pPr>
    <w:rPr>
      <w:rFonts w:ascii="Arial" w:hAnsi="Arial" w:cs="Arial"/>
      <w:b/>
      <w:bCs/>
      <w:i/>
      <w:iCs/>
      <w:sz w:val="28"/>
      <w:szCs w:val="28"/>
    </w:rPr>
  </w:style>
  <w:style w:type="paragraph" w:styleId="Rubrik3">
    <w:name w:val="heading 3"/>
    <w:basedOn w:val="Normal"/>
    <w:next w:val="Normal"/>
    <w:qFormat/>
    <w:pPr>
      <w:keepNext/>
      <w:numPr>
        <w:ilvl w:val="2"/>
        <w:numId w:val="39"/>
      </w:numPr>
      <w:spacing w:before="240" w:after="60"/>
      <w:outlineLvl w:val="2"/>
    </w:pPr>
    <w:rPr>
      <w:rFonts w:ascii="Arial" w:hAnsi="Arial" w:cs="Arial"/>
      <w:b/>
      <w:bCs/>
      <w:sz w:val="26"/>
      <w:szCs w:val="26"/>
    </w:rPr>
  </w:style>
  <w:style w:type="paragraph" w:styleId="Rubrik4">
    <w:name w:val="heading 4"/>
    <w:basedOn w:val="Normal"/>
    <w:next w:val="Normal"/>
    <w:qFormat/>
    <w:pPr>
      <w:keepNext/>
      <w:numPr>
        <w:ilvl w:val="3"/>
        <w:numId w:val="40"/>
      </w:numPr>
      <w:spacing w:before="240" w:after="60"/>
      <w:outlineLvl w:val="3"/>
    </w:pPr>
    <w:rPr>
      <w:b/>
      <w:bCs/>
      <w:sz w:val="28"/>
      <w:szCs w:val="28"/>
    </w:rPr>
  </w:style>
  <w:style w:type="paragraph" w:styleId="Rubrik5">
    <w:name w:val="heading 5"/>
    <w:basedOn w:val="Normal"/>
    <w:next w:val="Normal"/>
    <w:qFormat/>
    <w:pPr>
      <w:numPr>
        <w:ilvl w:val="4"/>
        <w:numId w:val="41"/>
      </w:numPr>
      <w:spacing w:before="240" w:after="60"/>
      <w:outlineLvl w:val="4"/>
    </w:pPr>
    <w:rPr>
      <w:b/>
      <w:bCs/>
      <w:i/>
      <w:iCs/>
      <w:sz w:val="26"/>
      <w:szCs w:val="26"/>
    </w:rPr>
  </w:style>
  <w:style w:type="paragraph" w:styleId="Rubrik6">
    <w:name w:val="heading 6"/>
    <w:basedOn w:val="Normal"/>
    <w:next w:val="Normal"/>
    <w:qFormat/>
    <w:pPr>
      <w:numPr>
        <w:ilvl w:val="5"/>
        <w:numId w:val="42"/>
      </w:numPr>
      <w:spacing w:before="240" w:after="60"/>
      <w:outlineLvl w:val="5"/>
    </w:pPr>
    <w:rPr>
      <w:b/>
      <w:bCs/>
      <w:sz w:val="22"/>
      <w:szCs w:val="22"/>
    </w:rPr>
  </w:style>
  <w:style w:type="paragraph" w:styleId="Rubrik7">
    <w:name w:val="heading 7"/>
    <w:basedOn w:val="Normal"/>
    <w:next w:val="Normal"/>
    <w:qFormat/>
    <w:pPr>
      <w:numPr>
        <w:ilvl w:val="6"/>
        <w:numId w:val="43"/>
      </w:numPr>
      <w:spacing w:before="240" w:after="60"/>
      <w:outlineLvl w:val="6"/>
    </w:pPr>
  </w:style>
  <w:style w:type="paragraph" w:styleId="Rubrik8">
    <w:name w:val="heading 8"/>
    <w:basedOn w:val="Normal"/>
    <w:next w:val="Normal"/>
    <w:qFormat/>
    <w:pPr>
      <w:numPr>
        <w:ilvl w:val="7"/>
        <w:numId w:val="44"/>
      </w:numPr>
      <w:spacing w:before="240" w:after="60"/>
      <w:outlineLvl w:val="7"/>
    </w:pPr>
    <w:rPr>
      <w:i/>
      <w:iCs/>
    </w:rPr>
  </w:style>
  <w:style w:type="paragraph" w:styleId="Rubrik9">
    <w:name w:val="heading 9"/>
    <w:basedOn w:val="Normal"/>
    <w:next w:val="Normal"/>
    <w:qFormat/>
    <w:pPr>
      <w:numPr>
        <w:ilvl w:val="8"/>
        <w:numId w:val="45"/>
      </w:numPr>
      <w:spacing w:before="240" w:after="60"/>
      <w:outlineLvl w:val="8"/>
    </w:pPr>
    <w:rPr>
      <w:rFonts w:ascii="Arial" w:hAnsi="Arial" w:cs="Arial"/>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uiPriority w:val="99"/>
    <w:rPr>
      <w:dstrike w:val="0"/>
      <w:color w:val="0000FF"/>
      <w:u w:val="none"/>
      <w:effect w:val="none"/>
    </w:rPr>
  </w:style>
  <w:style w:type="paragraph" w:styleId="Punktlista3">
    <w:name w:val="List Bullet 3"/>
    <w:basedOn w:val="Normal"/>
    <w:autoRedefine/>
    <w:pPr>
      <w:numPr>
        <w:numId w:val="8"/>
      </w:numPr>
    </w:pPr>
  </w:style>
  <w:style w:type="paragraph" w:styleId="Brdtextmedindrag">
    <w:name w:val="Body Text Indent"/>
    <w:basedOn w:val="Normal"/>
    <w:pPr>
      <w:spacing w:after="120"/>
      <w:ind w:left="283"/>
    </w:pPr>
  </w:style>
  <w:style w:type="paragraph" w:styleId="Brdtextmedfrstaindrag2">
    <w:name w:val="Body Text First Indent 2"/>
    <w:basedOn w:val="Brdtextmedindrag"/>
    <w:pPr>
      <w:ind w:firstLine="210"/>
    </w:pPr>
  </w:style>
  <w:style w:type="paragraph" w:styleId="Sidhuvud">
    <w:name w:val="header"/>
    <w:basedOn w:val="Normal"/>
    <w:pPr>
      <w:tabs>
        <w:tab w:val="right" w:pos="8732"/>
      </w:tabs>
    </w:pPr>
    <w:rPr>
      <w:rFonts w:ascii="Arial" w:hAnsi="Arial" w:cs="Arial"/>
      <w:sz w:val="16"/>
    </w:rPr>
  </w:style>
  <w:style w:type="paragraph" w:styleId="Sidfot">
    <w:name w:val="footer"/>
    <w:basedOn w:val="Normal"/>
    <w:pPr>
      <w:tabs>
        <w:tab w:val="right" w:pos="8165"/>
      </w:tabs>
    </w:pPr>
    <w:rPr>
      <w:rFonts w:ascii="Verdana" w:hAnsi="Verdana" w:cs="Arial"/>
      <w:sz w:val="14"/>
    </w:rPr>
  </w:style>
  <w:style w:type="paragraph" w:customStyle="1" w:styleId="Klam">
    <w:name w:val="Klam"/>
    <w:basedOn w:val="ANormal"/>
    <w:next w:val="ANormal"/>
    <w:pPr>
      <w:tabs>
        <w:tab w:val="clear" w:pos="283"/>
      </w:tabs>
      <w:ind w:left="851"/>
    </w:pPr>
  </w:style>
  <w:style w:type="paragraph" w:customStyle="1" w:styleId="ANormal">
    <w:name w:val="ANormal"/>
    <w:link w:val="ANormalChar"/>
    <w:pPr>
      <w:tabs>
        <w:tab w:val="left" w:pos="283"/>
      </w:tabs>
      <w:jc w:val="both"/>
    </w:pPr>
    <w:rPr>
      <w:sz w:val="22"/>
      <w:lang w:val="sv-SE" w:eastAsia="sv-SE"/>
    </w:rPr>
  </w:style>
  <w:style w:type="paragraph" w:customStyle="1" w:styleId="xLedtext">
    <w:name w:val="xLedtext"/>
    <w:rPr>
      <w:rFonts w:ascii="Verdana" w:hAnsi="Verdana" w:cs="Arial"/>
      <w:sz w:val="14"/>
      <w:szCs w:val="15"/>
      <w:lang w:val="sv-SE" w:eastAsia="sv-SE"/>
    </w:rPr>
  </w:style>
  <w:style w:type="paragraph" w:customStyle="1" w:styleId="xDatum1">
    <w:name w:val="xDatum1"/>
    <w:basedOn w:val="xCelltext"/>
  </w:style>
  <w:style w:type="paragraph" w:customStyle="1" w:styleId="xCelltext">
    <w:name w:val="xCelltext"/>
    <w:rPr>
      <w:rFonts w:ascii="Arial" w:hAnsi="Arial"/>
      <w:sz w:val="18"/>
      <w:lang w:val="sv-SE" w:eastAsia="sv-SE"/>
    </w:rPr>
  </w:style>
  <w:style w:type="paragraph" w:customStyle="1" w:styleId="xBeteckning2">
    <w:name w:val="xBeteckning2"/>
    <w:basedOn w:val="xCelltext"/>
  </w:style>
  <w:style w:type="paragraph" w:customStyle="1" w:styleId="xDatum2">
    <w:name w:val="xDatum2"/>
    <w:basedOn w:val="xCelltext"/>
  </w:style>
  <w:style w:type="paragraph" w:customStyle="1" w:styleId="xAvsandare2">
    <w:name w:val="xAvsandare2"/>
    <w:basedOn w:val="xCelltext"/>
    <w:next w:val="xCelltext"/>
    <w:rPr>
      <w:rFonts w:cs="Arial"/>
      <w:b/>
      <w:bCs/>
      <w:sz w:val="20"/>
    </w:rPr>
  </w:style>
  <w:style w:type="paragraph" w:customStyle="1" w:styleId="xAvsandare1">
    <w:name w:val="xAvsandare1"/>
    <w:basedOn w:val="xCelltext"/>
    <w:next w:val="xAvsandare2"/>
    <w:pPr>
      <w:spacing w:before="100" w:beforeAutospacing="1" w:after="100" w:afterAutospacing="1"/>
    </w:pPr>
    <w:rPr>
      <w:rFonts w:cs="Arial"/>
      <w:b/>
      <w:bCs/>
      <w:sz w:val="26"/>
      <w:szCs w:val="22"/>
    </w:rPr>
  </w:style>
  <w:style w:type="paragraph" w:customStyle="1" w:styleId="xAvsandare3">
    <w:name w:val="xAvsandare3"/>
    <w:basedOn w:val="xCelltext"/>
    <w:next w:val="xCelltext"/>
  </w:style>
  <w:style w:type="paragraph" w:customStyle="1" w:styleId="xDokTypNr">
    <w:name w:val="xDokTypNr"/>
    <w:basedOn w:val="xCelltext"/>
    <w:rPr>
      <w:b/>
      <w:sz w:val="20"/>
    </w:rPr>
  </w:style>
  <w:style w:type="paragraph" w:customStyle="1" w:styleId="xBeteckning1">
    <w:name w:val="xBeteckning1"/>
    <w:basedOn w:val="xCelltext"/>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pPr>
      <w:outlineLvl w:val="1"/>
    </w:pPr>
    <w:rPr>
      <w:sz w:val="26"/>
    </w:rPr>
  </w:style>
  <w:style w:type="paragraph" w:customStyle="1" w:styleId="RubrikA">
    <w:name w:val="RubrikA"/>
    <w:next w:val="Rubrikmellanrum"/>
    <w:pPr>
      <w:keepNext/>
      <w:keepLines/>
      <w:suppressAutoHyphens/>
      <w:outlineLvl w:val="0"/>
    </w:pPr>
    <w:rPr>
      <w:sz w:val="30"/>
      <w:lang w:val="sv-SE" w:eastAsia="sv-SE"/>
    </w:rPr>
  </w:style>
  <w:style w:type="character" w:styleId="Sidnummer">
    <w:name w:val="page number"/>
    <w:rPr>
      <w:rFonts w:ascii="Verdana" w:hAnsi="Verdana"/>
    </w:rPr>
  </w:style>
  <w:style w:type="paragraph" w:customStyle="1" w:styleId="xMottagare1">
    <w:name w:val="xMottagare1"/>
    <w:basedOn w:val="xCelltext"/>
    <w:next w:val="xMottagare2"/>
    <w:rPr>
      <w:rFonts w:cs="Arial"/>
      <w:b/>
      <w:bCs/>
      <w:sz w:val="20"/>
    </w:rPr>
  </w:style>
  <w:style w:type="paragraph" w:customStyle="1" w:styleId="ArendeOverRubrik">
    <w:name w:val="ArendeOverRubrik"/>
    <w:next w:val="Normal"/>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pPr>
      <w:numPr>
        <w:numId w:val="35"/>
      </w:numPr>
      <w:suppressAutoHyphens/>
    </w:pPr>
    <w:rPr>
      <w:rFonts w:ascii="Verdana" w:hAnsi="Verdana" w:cs="Arial"/>
      <w:sz w:val="16"/>
      <w:lang w:val="sv-SE" w:eastAsia="sv-SE"/>
    </w:rPr>
  </w:style>
  <w:style w:type="paragraph" w:customStyle="1" w:styleId="Rubrikmellanrum">
    <w:name w:val="Rubrikmellanrum"/>
    <w:basedOn w:val="ANormal"/>
    <w:next w:val="ANormal"/>
    <w:pPr>
      <w:keepNext/>
    </w:pPr>
    <w:rPr>
      <w:sz w:val="10"/>
    </w:rPr>
  </w:style>
  <w:style w:type="paragraph" w:customStyle="1" w:styleId="xMellanrum">
    <w:name w:val="xMellanrum"/>
    <w:basedOn w:val="xCelltext"/>
    <w:rPr>
      <w:sz w:val="4"/>
    </w:rPr>
  </w:style>
  <w:style w:type="character" w:styleId="AnvndHyperlnk">
    <w:name w:val="FollowedHyperlink"/>
    <w:rPr>
      <w:dstrike w:val="0"/>
      <w:color w:val="800080"/>
      <w:u w:val="none"/>
      <w:effect w:val="none"/>
      <w:lang w:val="sv-SE"/>
    </w:rPr>
  </w:style>
  <w:style w:type="paragraph" w:customStyle="1" w:styleId="ArendeUnderRubrikSiffra">
    <w:name w:val="ArendeUnderRubrikSiffra"/>
    <w:basedOn w:val="ArendeUnderRubrik"/>
    <w:pPr>
      <w:numPr>
        <w:numId w:val="36"/>
      </w:numPr>
      <w:tabs>
        <w:tab w:val="clear" w:pos="360"/>
      </w:tabs>
      <w:ind w:left="284" w:hanging="284"/>
    </w:pPr>
  </w:style>
  <w:style w:type="paragraph" w:styleId="Brdtext">
    <w:name w:val="Body Text"/>
    <w:basedOn w:val="Normal"/>
    <w:pPr>
      <w:widowControl w:val="0"/>
      <w:tabs>
        <w:tab w:val="left" w:pos="0"/>
        <w:tab w:val="left" w:pos="453"/>
        <w:tab w:val="left" w:pos="2592"/>
        <w:tab w:val="left" w:pos="3888"/>
        <w:tab w:val="left" w:pos="5184"/>
        <w:tab w:val="left" w:pos="6480"/>
        <w:tab w:val="left" w:pos="7776"/>
      </w:tabs>
      <w:autoSpaceDE w:val="0"/>
      <w:autoSpaceDN w:val="0"/>
      <w:adjustRightInd w:val="0"/>
      <w:spacing w:line="288" w:lineRule="auto"/>
      <w:jc w:val="both"/>
    </w:p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ind w:left="960"/>
    </w:pPr>
  </w:style>
  <w:style w:type="paragraph" w:styleId="Innehll6">
    <w:name w:val="toc 6"/>
    <w:basedOn w:val="Normal"/>
    <w:next w:val="Normal"/>
    <w:autoRedefine/>
    <w:semiHidden/>
    <w:pPr>
      <w:ind w:left="1200"/>
    </w:pPr>
  </w:style>
  <w:style w:type="paragraph" w:styleId="Innehll7">
    <w:name w:val="toc 7"/>
    <w:basedOn w:val="Normal"/>
    <w:next w:val="Normal"/>
    <w:autoRedefine/>
    <w:semiHidden/>
    <w:pPr>
      <w:ind w:left="1440"/>
    </w:pPr>
  </w:style>
  <w:style w:type="paragraph" w:styleId="Innehll8">
    <w:name w:val="toc 8"/>
    <w:basedOn w:val="Normal"/>
    <w:next w:val="Normal"/>
    <w:autoRedefine/>
    <w:semiHidden/>
    <w:pPr>
      <w:ind w:left="1680"/>
    </w:pPr>
  </w:style>
  <w:style w:type="paragraph" w:styleId="Innehll9">
    <w:name w:val="toc 9"/>
    <w:basedOn w:val="Normal"/>
    <w:next w:val="Normal"/>
    <w:autoRedefine/>
    <w:semiHidden/>
    <w:pPr>
      <w:ind w:left="1920"/>
    </w:pPr>
  </w:style>
  <w:style w:type="paragraph" w:customStyle="1" w:styleId="LagHuvRubr">
    <w:name w:val="LagHuvRubr"/>
    <w:basedOn w:val="ANormal"/>
    <w:next w:val="ANormal"/>
    <w:pPr>
      <w:keepNext/>
      <w:keepLines/>
      <w:suppressAutoHyphens/>
      <w:jc w:val="center"/>
      <w:outlineLvl w:val="1"/>
    </w:pPr>
    <w:rPr>
      <w:b/>
      <w:bCs/>
      <w:sz w:val="24"/>
    </w:rPr>
  </w:style>
  <w:style w:type="paragraph" w:customStyle="1" w:styleId="LagKapitel">
    <w:name w:val="LagKapitel"/>
    <w:basedOn w:val="LagHuvRubr"/>
    <w:next w:val="ANormal"/>
    <w:pPr>
      <w:outlineLvl w:val="2"/>
    </w:pPr>
    <w:rPr>
      <w:bCs w:val="0"/>
      <w:sz w:val="22"/>
    </w:rPr>
  </w:style>
  <w:style w:type="paragraph" w:customStyle="1" w:styleId="LagParagraf">
    <w:name w:val="LagParagraf"/>
    <w:basedOn w:val="LagKapitel"/>
    <w:next w:val="LagPararubrik"/>
    <w:pPr>
      <w:keepNext w:val="0"/>
      <w:outlineLvl w:val="9"/>
    </w:pPr>
    <w:rPr>
      <w:b w:val="0"/>
    </w:rPr>
  </w:style>
  <w:style w:type="paragraph" w:customStyle="1" w:styleId="LagPararubrik">
    <w:name w:val="LagPararubrik"/>
    <w:basedOn w:val="LagKapitel"/>
    <w:next w:val="ANormal"/>
    <w:pPr>
      <w:outlineLvl w:val="9"/>
    </w:pPr>
    <w:rPr>
      <w:b w:val="0"/>
      <w:i/>
      <w:iCs/>
    </w:rPr>
  </w:style>
  <w:style w:type="paragraph" w:customStyle="1" w:styleId="RubrikC">
    <w:name w:val="RubrikC"/>
    <w:basedOn w:val="RubrikB"/>
    <w:next w:val="Rubrikmellanrum"/>
    <w:pPr>
      <w:outlineLvl w:val="2"/>
    </w:pPr>
    <w:rPr>
      <w:b/>
      <w:bCs/>
      <w:sz w:val="22"/>
    </w:rPr>
  </w:style>
  <w:style w:type="paragraph" w:customStyle="1" w:styleId="RubrikD">
    <w:name w:val="RubrikD"/>
    <w:basedOn w:val="RubrikC"/>
    <w:next w:val="Rubrikmellanrum"/>
    <w:pPr>
      <w:outlineLvl w:val="3"/>
    </w:pPr>
    <w:rPr>
      <w:b w:val="0"/>
      <w:bCs w:val="0"/>
      <w:i/>
      <w:iCs/>
    </w:rPr>
  </w:style>
  <w:style w:type="paragraph" w:customStyle="1" w:styleId="Tabelltext">
    <w:name w:val="Tabelltext"/>
    <w:rPr>
      <w:rFonts w:ascii="Arial" w:hAnsi="Arial" w:cs="Arial"/>
      <w:sz w:val="18"/>
      <w:lang w:val="sv-SE" w:eastAsia="sv-SE"/>
    </w:rPr>
  </w:style>
  <w:style w:type="paragraph" w:customStyle="1" w:styleId="xAdressfot">
    <w:name w:val="xAdressfot"/>
    <w:basedOn w:val="Sidfot"/>
    <w:pPr>
      <w:tabs>
        <w:tab w:val="clear" w:pos="8165"/>
        <w:tab w:val="left" w:pos="2608"/>
        <w:tab w:val="left" w:pos="5216"/>
        <w:tab w:val="left" w:pos="7825"/>
      </w:tabs>
    </w:pPr>
  </w:style>
  <w:style w:type="paragraph" w:customStyle="1" w:styleId="xMottagare2">
    <w:name w:val="xMottagare2"/>
    <w:basedOn w:val="xMottagare1"/>
    <w:next w:val="xMottagare3"/>
    <w:rPr>
      <w:b w:val="0"/>
    </w:rPr>
  </w:style>
  <w:style w:type="paragraph" w:customStyle="1" w:styleId="xMottagare3">
    <w:name w:val="xMottagare3"/>
    <w:basedOn w:val="xMottagare2"/>
    <w:next w:val="xMottagare4"/>
    <w:rPr>
      <w:bCs w:val="0"/>
      <w:szCs w:val="22"/>
    </w:rPr>
  </w:style>
  <w:style w:type="paragraph" w:customStyle="1" w:styleId="xMottagare4">
    <w:name w:val="xMottagare4"/>
    <w:basedOn w:val="xMottagare3"/>
    <w:rPr>
      <w:bCs/>
    </w:rPr>
  </w:style>
  <w:style w:type="paragraph" w:styleId="Dokumentversikt">
    <w:name w:val="Document Map"/>
    <w:basedOn w:val="Normal"/>
    <w:semiHidden/>
    <w:rsid w:val="005C5E44"/>
    <w:pPr>
      <w:shd w:val="clear" w:color="auto" w:fill="000080"/>
    </w:pPr>
    <w:rPr>
      <w:rFonts w:ascii="Tahoma" w:hAnsi="Tahoma" w:cs="Tahoma"/>
      <w:sz w:val="20"/>
      <w:szCs w:val="20"/>
    </w:rPr>
  </w:style>
  <w:style w:type="character" w:customStyle="1" w:styleId="ANormalChar">
    <w:name w:val="ANormal Char"/>
    <w:link w:val="ANormal"/>
    <w:rsid w:val="00520FE2"/>
    <w:rPr>
      <w:sz w:val="2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file:///C:\Users\RickardS\Desktop\LF0820202021%20(1).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RickardS\Desktop\LF0820202021%20(1).docx"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W:\Lagtinget\Kansli\Mallar\LT-Beslut.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LT-Beslut.dotx</Template>
  <TotalTime>173</TotalTime>
  <Pages>3</Pages>
  <Words>778</Words>
  <Characters>4631</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Ålands lagting - Beslut LTB 49/2024</vt:lpstr>
    </vt:vector>
  </TitlesOfParts>
  <Company>Ålands lagting</Company>
  <LinksUpToDate>false</LinksUpToDate>
  <CharactersWithSpaces>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Ålands lagting - Beslut LTB 49/2024</dc:title>
  <dc:creator>Jessica Laaksonen</dc:creator>
  <cp:lastModifiedBy>Jessica Laaksonen</cp:lastModifiedBy>
  <cp:revision>2</cp:revision>
  <cp:lastPrinted>2024-12-12T10:41:00Z</cp:lastPrinted>
  <dcterms:created xsi:type="dcterms:W3CDTF">2024-12-09T13:02:00Z</dcterms:created>
  <dcterms:modified xsi:type="dcterms:W3CDTF">2024-12-12T13:20:00Z</dcterms:modified>
</cp:coreProperties>
</file>