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2B160369" w14:textId="77777777">
        <w:trPr>
          <w:cantSplit/>
          <w:trHeight w:val="20"/>
        </w:trPr>
        <w:tc>
          <w:tcPr>
            <w:tcW w:w="861" w:type="dxa"/>
            <w:vMerge w:val="restart"/>
          </w:tcPr>
          <w:p w14:paraId="477E4FF3" w14:textId="034FAFAE" w:rsidR="008A3400" w:rsidRDefault="008A3400" w:rsidP="008A3400">
            <w:pPr>
              <w:pStyle w:val="ANormal"/>
              <w:jc w:val="center"/>
            </w:pPr>
          </w:p>
          <w:p w14:paraId="6905A6AB" w14:textId="782339A9" w:rsidR="002401D0" w:rsidRDefault="006B636F">
            <w:pPr>
              <w:pStyle w:val="xLedtext"/>
              <w:rPr>
                <w:noProof/>
              </w:rPr>
            </w:pPr>
            <w:r>
              <w:rPr>
                <w:noProof/>
              </w:rPr>
              <w:drawing>
                <wp:inline distT="0" distB="0" distL="0" distR="0" wp14:anchorId="31F8DCAA" wp14:editId="7A6807EB">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18D7D513" w14:textId="2361C0B8" w:rsidR="002401D0" w:rsidRDefault="006B636F">
            <w:pPr>
              <w:pStyle w:val="xMellanrum"/>
            </w:pPr>
            <w:r>
              <w:rPr>
                <w:noProof/>
              </w:rPr>
              <w:drawing>
                <wp:inline distT="0" distB="0" distL="0" distR="0" wp14:anchorId="33364238" wp14:editId="3FB52539">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401D0" w14:paraId="31147886" w14:textId="77777777">
        <w:trPr>
          <w:cantSplit/>
          <w:trHeight w:val="299"/>
        </w:trPr>
        <w:tc>
          <w:tcPr>
            <w:tcW w:w="861" w:type="dxa"/>
            <w:vMerge/>
          </w:tcPr>
          <w:p w14:paraId="068D8DE4" w14:textId="77777777" w:rsidR="002401D0" w:rsidRDefault="002401D0">
            <w:pPr>
              <w:pStyle w:val="xLedtext"/>
            </w:pPr>
          </w:p>
        </w:tc>
        <w:tc>
          <w:tcPr>
            <w:tcW w:w="4448" w:type="dxa"/>
            <w:vAlign w:val="bottom"/>
          </w:tcPr>
          <w:p w14:paraId="7F8926E3" w14:textId="77777777" w:rsidR="002401D0" w:rsidRDefault="002401D0">
            <w:pPr>
              <w:pStyle w:val="xAvsandare1"/>
            </w:pPr>
            <w:r>
              <w:t>Ålands lagting</w:t>
            </w:r>
          </w:p>
        </w:tc>
        <w:tc>
          <w:tcPr>
            <w:tcW w:w="4288" w:type="dxa"/>
            <w:gridSpan w:val="2"/>
            <w:vAlign w:val="bottom"/>
          </w:tcPr>
          <w:p w14:paraId="4BA5C21C" w14:textId="7407F259" w:rsidR="002401D0" w:rsidRDefault="002401D0" w:rsidP="00B36A8F">
            <w:pPr>
              <w:pStyle w:val="xDokTypNr"/>
            </w:pPr>
            <w:r>
              <w:t xml:space="preserve">BETÄNKANDE nr </w:t>
            </w:r>
            <w:r w:rsidR="00BD658B">
              <w:t>0</w:t>
            </w:r>
            <w:r w:rsidR="00D34F6F">
              <w:t>6</w:t>
            </w:r>
            <w:r>
              <w:t>/</w:t>
            </w:r>
            <w:proofErr w:type="gramStart"/>
            <w:r>
              <w:t>20</w:t>
            </w:r>
            <w:r w:rsidR="00723B93">
              <w:t>1</w:t>
            </w:r>
            <w:r w:rsidR="00B36A8F">
              <w:t>4</w:t>
            </w:r>
            <w:r w:rsidR="0015337C">
              <w:t>-20</w:t>
            </w:r>
            <w:r w:rsidR="009F7CE2">
              <w:t>1</w:t>
            </w:r>
            <w:r w:rsidR="00B36A8F">
              <w:t>5</w:t>
            </w:r>
            <w:proofErr w:type="gramEnd"/>
          </w:p>
        </w:tc>
      </w:tr>
      <w:tr w:rsidR="002401D0" w14:paraId="3F2F9884" w14:textId="77777777">
        <w:trPr>
          <w:cantSplit/>
          <w:trHeight w:val="238"/>
        </w:trPr>
        <w:tc>
          <w:tcPr>
            <w:tcW w:w="861" w:type="dxa"/>
            <w:vMerge/>
          </w:tcPr>
          <w:p w14:paraId="79608A0A" w14:textId="77777777" w:rsidR="002401D0" w:rsidRDefault="002401D0">
            <w:pPr>
              <w:pStyle w:val="xLedtext"/>
            </w:pPr>
          </w:p>
        </w:tc>
        <w:tc>
          <w:tcPr>
            <w:tcW w:w="4448" w:type="dxa"/>
            <w:vAlign w:val="bottom"/>
          </w:tcPr>
          <w:p w14:paraId="079C87EA" w14:textId="77777777" w:rsidR="002401D0" w:rsidRDefault="002401D0">
            <w:pPr>
              <w:pStyle w:val="xLedtext"/>
            </w:pPr>
          </w:p>
        </w:tc>
        <w:tc>
          <w:tcPr>
            <w:tcW w:w="1725" w:type="dxa"/>
            <w:vAlign w:val="bottom"/>
          </w:tcPr>
          <w:p w14:paraId="1B16CD3D" w14:textId="77777777" w:rsidR="002401D0" w:rsidRDefault="002401D0">
            <w:pPr>
              <w:pStyle w:val="xLedtext"/>
            </w:pPr>
            <w:r>
              <w:t>Datum</w:t>
            </w:r>
          </w:p>
        </w:tc>
        <w:tc>
          <w:tcPr>
            <w:tcW w:w="2563" w:type="dxa"/>
            <w:vAlign w:val="bottom"/>
          </w:tcPr>
          <w:p w14:paraId="54CC5D99" w14:textId="77777777" w:rsidR="002401D0" w:rsidRDefault="002401D0">
            <w:pPr>
              <w:pStyle w:val="xLedtext"/>
            </w:pPr>
          </w:p>
        </w:tc>
      </w:tr>
      <w:tr w:rsidR="002401D0" w14:paraId="6B0032E2" w14:textId="77777777">
        <w:trPr>
          <w:cantSplit/>
          <w:trHeight w:val="238"/>
        </w:trPr>
        <w:tc>
          <w:tcPr>
            <w:tcW w:w="861" w:type="dxa"/>
            <w:vMerge/>
          </w:tcPr>
          <w:p w14:paraId="1FFAC2F1" w14:textId="77777777" w:rsidR="002401D0" w:rsidRDefault="002401D0">
            <w:pPr>
              <w:pStyle w:val="xAvsandare2"/>
            </w:pPr>
          </w:p>
        </w:tc>
        <w:tc>
          <w:tcPr>
            <w:tcW w:w="4448" w:type="dxa"/>
            <w:vAlign w:val="center"/>
          </w:tcPr>
          <w:p w14:paraId="721559DC" w14:textId="71EB1EDE" w:rsidR="002401D0" w:rsidRDefault="000B7375">
            <w:pPr>
              <w:pStyle w:val="xAvsandare2"/>
            </w:pPr>
            <w:r>
              <w:t>Social- och miljö</w:t>
            </w:r>
            <w:r w:rsidR="002401D0">
              <w:t>utskottet</w:t>
            </w:r>
          </w:p>
        </w:tc>
        <w:tc>
          <w:tcPr>
            <w:tcW w:w="1725" w:type="dxa"/>
            <w:vAlign w:val="center"/>
          </w:tcPr>
          <w:p w14:paraId="3825439C" w14:textId="3AB0C1C0" w:rsidR="002401D0" w:rsidRDefault="002401D0">
            <w:pPr>
              <w:pStyle w:val="xDatum1"/>
            </w:pPr>
            <w:r>
              <w:t>20</w:t>
            </w:r>
            <w:r w:rsidR="000B7375">
              <w:t>24-09-</w:t>
            </w:r>
            <w:r w:rsidR="00D34F6F">
              <w:t>24</w:t>
            </w:r>
          </w:p>
        </w:tc>
        <w:tc>
          <w:tcPr>
            <w:tcW w:w="2563" w:type="dxa"/>
            <w:vAlign w:val="center"/>
          </w:tcPr>
          <w:p w14:paraId="089F86BA" w14:textId="77777777" w:rsidR="002401D0" w:rsidRDefault="002401D0">
            <w:pPr>
              <w:pStyle w:val="xBeteckning1"/>
            </w:pPr>
          </w:p>
        </w:tc>
      </w:tr>
      <w:tr w:rsidR="002401D0" w14:paraId="71C4604B" w14:textId="77777777">
        <w:trPr>
          <w:cantSplit/>
          <w:trHeight w:val="238"/>
        </w:trPr>
        <w:tc>
          <w:tcPr>
            <w:tcW w:w="861" w:type="dxa"/>
            <w:vMerge/>
          </w:tcPr>
          <w:p w14:paraId="01ACF37A" w14:textId="77777777" w:rsidR="002401D0" w:rsidRDefault="002401D0">
            <w:pPr>
              <w:pStyle w:val="xLedtext"/>
            </w:pPr>
          </w:p>
        </w:tc>
        <w:tc>
          <w:tcPr>
            <w:tcW w:w="4448" w:type="dxa"/>
            <w:vAlign w:val="bottom"/>
          </w:tcPr>
          <w:p w14:paraId="63054E09" w14:textId="77777777" w:rsidR="002401D0" w:rsidRDefault="002401D0">
            <w:pPr>
              <w:pStyle w:val="xLedtext"/>
            </w:pPr>
          </w:p>
        </w:tc>
        <w:tc>
          <w:tcPr>
            <w:tcW w:w="1725" w:type="dxa"/>
            <w:vAlign w:val="bottom"/>
          </w:tcPr>
          <w:p w14:paraId="5D8F8A62" w14:textId="77777777" w:rsidR="002401D0" w:rsidRDefault="002401D0">
            <w:pPr>
              <w:pStyle w:val="xLedtext"/>
            </w:pPr>
          </w:p>
        </w:tc>
        <w:tc>
          <w:tcPr>
            <w:tcW w:w="2563" w:type="dxa"/>
            <w:vAlign w:val="bottom"/>
          </w:tcPr>
          <w:p w14:paraId="66BCBDA5" w14:textId="77777777" w:rsidR="002401D0" w:rsidRDefault="002401D0">
            <w:pPr>
              <w:pStyle w:val="xLedtext"/>
            </w:pPr>
          </w:p>
        </w:tc>
      </w:tr>
      <w:tr w:rsidR="002401D0" w14:paraId="71F8BBA1" w14:textId="77777777">
        <w:trPr>
          <w:cantSplit/>
          <w:trHeight w:val="238"/>
        </w:trPr>
        <w:tc>
          <w:tcPr>
            <w:tcW w:w="861" w:type="dxa"/>
            <w:vMerge/>
            <w:tcBorders>
              <w:bottom w:val="single" w:sz="4" w:space="0" w:color="auto"/>
            </w:tcBorders>
          </w:tcPr>
          <w:p w14:paraId="15AF1908" w14:textId="77777777" w:rsidR="002401D0" w:rsidRDefault="002401D0">
            <w:pPr>
              <w:pStyle w:val="xAvsandare3"/>
            </w:pPr>
          </w:p>
        </w:tc>
        <w:tc>
          <w:tcPr>
            <w:tcW w:w="4448" w:type="dxa"/>
            <w:tcBorders>
              <w:bottom w:val="single" w:sz="4" w:space="0" w:color="auto"/>
            </w:tcBorders>
            <w:vAlign w:val="center"/>
          </w:tcPr>
          <w:p w14:paraId="795FFE14" w14:textId="77777777" w:rsidR="002401D0" w:rsidRDefault="002401D0">
            <w:pPr>
              <w:pStyle w:val="xAvsandare3"/>
            </w:pPr>
          </w:p>
        </w:tc>
        <w:tc>
          <w:tcPr>
            <w:tcW w:w="1725" w:type="dxa"/>
            <w:tcBorders>
              <w:bottom w:val="single" w:sz="4" w:space="0" w:color="auto"/>
            </w:tcBorders>
            <w:vAlign w:val="center"/>
          </w:tcPr>
          <w:p w14:paraId="72A32B9D" w14:textId="77777777" w:rsidR="002401D0" w:rsidRDefault="002401D0">
            <w:pPr>
              <w:pStyle w:val="xDatum2"/>
            </w:pPr>
          </w:p>
        </w:tc>
        <w:tc>
          <w:tcPr>
            <w:tcW w:w="2563" w:type="dxa"/>
            <w:tcBorders>
              <w:bottom w:val="single" w:sz="4" w:space="0" w:color="auto"/>
            </w:tcBorders>
            <w:vAlign w:val="center"/>
          </w:tcPr>
          <w:p w14:paraId="78CD2B08" w14:textId="77777777" w:rsidR="002401D0" w:rsidRDefault="002401D0">
            <w:pPr>
              <w:pStyle w:val="xBeteckning2"/>
            </w:pPr>
          </w:p>
        </w:tc>
      </w:tr>
      <w:tr w:rsidR="002401D0" w14:paraId="679A52D2" w14:textId="77777777">
        <w:trPr>
          <w:cantSplit/>
          <w:trHeight w:val="238"/>
        </w:trPr>
        <w:tc>
          <w:tcPr>
            <w:tcW w:w="861" w:type="dxa"/>
            <w:tcBorders>
              <w:top w:val="single" w:sz="4" w:space="0" w:color="auto"/>
            </w:tcBorders>
            <w:vAlign w:val="bottom"/>
          </w:tcPr>
          <w:p w14:paraId="6E42F4B7" w14:textId="77777777" w:rsidR="002401D0" w:rsidRDefault="002401D0">
            <w:pPr>
              <w:pStyle w:val="xLedtext"/>
            </w:pPr>
          </w:p>
        </w:tc>
        <w:tc>
          <w:tcPr>
            <w:tcW w:w="4448" w:type="dxa"/>
            <w:tcBorders>
              <w:top w:val="single" w:sz="4" w:space="0" w:color="auto"/>
            </w:tcBorders>
            <w:vAlign w:val="bottom"/>
          </w:tcPr>
          <w:p w14:paraId="19B2F99C" w14:textId="77777777" w:rsidR="002401D0" w:rsidRDefault="002401D0">
            <w:pPr>
              <w:pStyle w:val="xLedtext"/>
            </w:pPr>
          </w:p>
        </w:tc>
        <w:tc>
          <w:tcPr>
            <w:tcW w:w="4288" w:type="dxa"/>
            <w:gridSpan w:val="2"/>
            <w:tcBorders>
              <w:top w:val="single" w:sz="4" w:space="0" w:color="auto"/>
            </w:tcBorders>
            <w:vAlign w:val="bottom"/>
          </w:tcPr>
          <w:p w14:paraId="021E8328" w14:textId="77777777" w:rsidR="002401D0" w:rsidRDefault="002401D0">
            <w:pPr>
              <w:pStyle w:val="xLedtext"/>
            </w:pPr>
          </w:p>
        </w:tc>
      </w:tr>
      <w:tr w:rsidR="002401D0" w14:paraId="3CA8E91A" w14:textId="77777777">
        <w:trPr>
          <w:cantSplit/>
          <w:trHeight w:val="238"/>
        </w:trPr>
        <w:tc>
          <w:tcPr>
            <w:tcW w:w="861" w:type="dxa"/>
          </w:tcPr>
          <w:p w14:paraId="26683276" w14:textId="77777777" w:rsidR="002401D0" w:rsidRDefault="002401D0">
            <w:pPr>
              <w:pStyle w:val="xCelltext"/>
            </w:pPr>
          </w:p>
        </w:tc>
        <w:tc>
          <w:tcPr>
            <w:tcW w:w="4448" w:type="dxa"/>
            <w:vMerge w:val="restart"/>
          </w:tcPr>
          <w:p w14:paraId="0664A021" w14:textId="77777777" w:rsidR="002401D0" w:rsidRDefault="002401D0">
            <w:pPr>
              <w:pStyle w:val="xMottagare1"/>
            </w:pPr>
            <w:r>
              <w:t>Till Ålands lagting</w:t>
            </w:r>
          </w:p>
        </w:tc>
        <w:tc>
          <w:tcPr>
            <w:tcW w:w="4288" w:type="dxa"/>
            <w:gridSpan w:val="2"/>
            <w:vMerge w:val="restart"/>
          </w:tcPr>
          <w:p w14:paraId="5D5FBB7F" w14:textId="77777777" w:rsidR="002401D0" w:rsidRDefault="002401D0">
            <w:pPr>
              <w:pStyle w:val="xMottagare1"/>
              <w:tabs>
                <w:tab w:val="left" w:pos="2349"/>
              </w:tabs>
            </w:pPr>
          </w:p>
        </w:tc>
      </w:tr>
      <w:tr w:rsidR="002401D0" w14:paraId="74CA659D" w14:textId="77777777">
        <w:trPr>
          <w:cantSplit/>
          <w:trHeight w:val="238"/>
        </w:trPr>
        <w:tc>
          <w:tcPr>
            <w:tcW w:w="861" w:type="dxa"/>
          </w:tcPr>
          <w:p w14:paraId="37036EDA" w14:textId="77777777" w:rsidR="002401D0" w:rsidRDefault="002401D0">
            <w:pPr>
              <w:pStyle w:val="xCelltext"/>
            </w:pPr>
          </w:p>
        </w:tc>
        <w:tc>
          <w:tcPr>
            <w:tcW w:w="4448" w:type="dxa"/>
            <w:vMerge/>
            <w:vAlign w:val="center"/>
          </w:tcPr>
          <w:p w14:paraId="19C063F6" w14:textId="77777777" w:rsidR="002401D0" w:rsidRDefault="002401D0">
            <w:pPr>
              <w:pStyle w:val="xCelltext"/>
            </w:pPr>
          </w:p>
        </w:tc>
        <w:tc>
          <w:tcPr>
            <w:tcW w:w="4288" w:type="dxa"/>
            <w:gridSpan w:val="2"/>
            <w:vMerge/>
            <w:vAlign w:val="center"/>
          </w:tcPr>
          <w:p w14:paraId="04C781C7" w14:textId="77777777" w:rsidR="002401D0" w:rsidRDefault="002401D0">
            <w:pPr>
              <w:pStyle w:val="xCelltext"/>
            </w:pPr>
          </w:p>
        </w:tc>
      </w:tr>
      <w:tr w:rsidR="002401D0" w14:paraId="164C2C8E" w14:textId="77777777">
        <w:trPr>
          <w:cantSplit/>
          <w:trHeight w:val="238"/>
        </w:trPr>
        <w:tc>
          <w:tcPr>
            <w:tcW w:w="861" w:type="dxa"/>
          </w:tcPr>
          <w:p w14:paraId="13A92C54" w14:textId="77777777" w:rsidR="002401D0" w:rsidRDefault="002401D0">
            <w:pPr>
              <w:pStyle w:val="xCelltext"/>
            </w:pPr>
          </w:p>
        </w:tc>
        <w:tc>
          <w:tcPr>
            <w:tcW w:w="4448" w:type="dxa"/>
            <w:vMerge/>
            <w:vAlign w:val="center"/>
          </w:tcPr>
          <w:p w14:paraId="5C164265" w14:textId="77777777" w:rsidR="002401D0" w:rsidRDefault="002401D0">
            <w:pPr>
              <w:pStyle w:val="xCelltext"/>
            </w:pPr>
          </w:p>
        </w:tc>
        <w:tc>
          <w:tcPr>
            <w:tcW w:w="4288" w:type="dxa"/>
            <w:gridSpan w:val="2"/>
            <w:vMerge/>
            <w:vAlign w:val="center"/>
          </w:tcPr>
          <w:p w14:paraId="5CFDF927" w14:textId="77777777" w:rsidR="002401D0" w:rsidRDefault="002401D0">
            <w:pPr>
              <w:pStyle w:val="xCelltext"/>
            </w:pPr>
          </w:p>
        </w:tc>
      </w:tr>
      <w:tr w:rsidR="002401D0" w14:paraId="73F036A2" w14:textId="77777777">
        <w:trPr>
          <w:cantSplit/>
          <w:trHeight w:val="238"/>
        </w:trPr>
        <w:tc>
          <w:tcPr>
            <w:tcW w:w="861" w:type="dxa"/>
          </w:tcPr>
          <w:p w14:paraId="0355FFD5" w14:textId="77777777" w:rsidR="002401D0" w:rsidRDefault="002401D0">
            <w:pPr>
              <w:pStyle w:val="xCelltext"/>
            </w:pPr>
          </w:p>
        </w:tc>
        <w:tc>
          <w:tcPr>
            <w:tcW w:w="4448" w:type="dxa"/>
            <w:vMerge/>
            <w:vAlign w:val="center"/>
          </w:tcPr>
          <w:p w14:paraId="1544435B" w14:textId="77777777" w:rsidR="002401D0" w:rsidRDefault="002401D0">
            <w:pPr>
              <w:pStyle w:val="xCelltext"/>
            </w:pPr>
          </w:p>
        </w:tc>
        <w:tc>
          <w:tcPr>
            <w:tcW w:w="4288" w:type="dxa"/>
            <w:gridSpan w:val="2"/>
            <w:vMerge/>
            <w:vAlign w:val="center"/>
          </w:tcPr>
          <w:p w14:paraId="76D8BDA4" w14:textId="77777777" w:rsidR="002401D0" w:rsidRDefault="002401D0">
            <w:pPr>
              <w:pStyle w:val="xCelltext"/>
            </w:pPr>
          </w:p>
        </w:tc>
      </w:tr>
      <w:tr w:rsidR="002401D0" w14:paraId="7EF823D0" w14:textId="77777777">
        <w:trPr>
          <w:cantSplit/>
          <w:trHeight w:val="238"/>
        </w:trPr>
        <w:tc>
          <w:tcPr>
            <w:tcW w:w="861" w:type="dxa"/>
          </w:tcPr>
          <w:p w14:paraId="616CE102" w14:textId="77777777" w:rsidR="002401D0" w:rsidRDefault="002401D0">
            <w:pPr>
              <w:pStyle w:val="xCelltext"/>
            </w:pPr>
          </w:p>
        </w:tc>
        <w:tc>
          <w:tcPr>
            <w:tcW w:w="4448" w:type="dxa"/>
            <w:vMerge/>
            <w:vAlign w:val="center"/>
          </w:tcPr>
          <w:p w14:paraId="2900E2D1" w14:textId="77777777" w:rsidR="002401D0" w:rsidRDefault="002401D0">
            <w:pPr>
              <w:pStyle w:val="xCelltext"/>
            </w:pPr>
          </w:p>
        </w:tc>
        <w:tc>
          <w:tcPr>
            <w:tcW w:w="4288" w:type="dxa"/>
            <w:gridSpan w:val="2"/>
            <w:vMerge/>
            <w:vAlign w:val="center"/>
          </w:tcPr>
          <w:p w14:paraId="220A44A5" w14:textId="77777777" w:rsidR="002401D0" w:rsidRDefault="002401D0">
            <w:pPr>
              <w:pStyle w:val="xCelltext"/>
            </w:pPr>
          </w:p>
        </w:tc>
      </w:tr>
    </w:tbl>
    <w:p w14:paraId="1082D368"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05F5058A" w14:textId="40E83276" w:rsidR="002401D0" w:rsidRDefault="000B7375">
      <w:pPr>
        <w:pStyle w:val="ArendeOverRubrik"/>
      </w:pPr>
      <w:r>
        <w:t>Social- och miljö</w:t>
      </w:r>
      <w:r w:rsidR="002401D0">
        <w:t>utskottets betänkande</w:t>
      </w:r>
    </w:p>
    <w:p w14:paraId="23E240EC" w14:textId="2236C43E" w:rsidR="002401D0" w:rsidRDefault="000B7375">
      <w:pPr>
        <w:pStyle w:val="ArendeRubrik"/>
      </w:pPr>
      <w:r>
        <w:t>Ny blankettlag om transport av farliga ämnen</w:t>
      </w:r>
    </w:p>
    <w:p w14:paraId="39E163A5" w14:textId="53CBEFFD" w:rsidR="002401D0" w:rsidRDefault="000B7375">
      <w:pPr>
        <w:pStyle w:val="ArendeUnderRubrik"/>
      </w:pPr>
      <w:r>
        <w:t>Landskapsregeringens lagförslag LF 20/</w:t>
      </w:r>
      <w:proofErr w:type="gramStart"/>
      <w:r>
        <w:t>2023-2024</w:t>
      </w:r>
      <w:proofErr w:type="gramEnd"/>
    </w:p>
    <w:p w14:paraId="16B8767A" w14:textId="77777777" w:rsidR="002401D0" w:rsidRDefault="002401D0">
      <w:pPr>
        <w:pStyle w:val="ANormal"/>
      </w:pPr>
    </w:p>
    <w:p w14:paraId="3DA5EF60" w14:textId="77777777" w:rsidR="002401D0" w:rsidRDefault="002401D0">
      <w:pPr>
        <w:pStyle w:val="Innehll1"/>
      </w:pPr>
      <w:r>
        <w:t>INNEHÅLL</w:t>
      </w:r>
    </w:p>
    <w:p w14:paraId="1D098999" w14:textId="02D99963" w:rsidR="00D34F6F"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78066537" w:history="1">
        <w:r w:rsidR="00D34F6F" w:rsidRPr="00665D74">
          <w:rPr>
            <w:rStyle w:val="Hyperlnk"/>
          </w:rPr>
          <w:t>Sammanfattning</w:t>
        </w:r>
        <w:r w:rsidR="00D34F6F">
          <w:rPr>
            <w:webHidden/>
          </w:rPr>
          <w:tab/>
        </w:r>
        <w:r w:rsidR="00D34F6F">
          <w:rPr>
            <w:webHidden/>
          </w:rPr>
          <w:fldChar w:fldCharType="begin"/>
        </w:r>
        <w:r w:rsidR="00D34F6F">
          <w:rPr>
            <w:webHidden/>
          </w:rPr>
          <w:instrText xml:space="preserve"> PAGEREF _Toc178066537 \h </w:instrText>
        </w:r>
        <w:r w:rsidR="00D34F6F">
          <w:rPr>
            <w:webHidden/>
          </w:rPr>
        </w:r>
        <w:r w:rsidR="00D34F6F">
          <w:rPr>
            <w:webHidden/>
          </w:rPr>
          <w:fldChar w:fldCharType="separate"/>
        </w:r>
        <w:r w:rsidR="00BD658B">
          <w:rPr>
            <w:webHidden/>
          </w:rPr>
          <w:t>1</w:t>
        </w:r>
        <w:r w:rsidR="00D34F6F">
          <w:rPr>
            <w:webHidden/>
          </w:rPr>
          <w:fldChar w:fldCharType="end"/>
        </w:r>
      </w:hyperlink>
    </w:p>
    <w:p w14:paraId="11F06982" w14:textId="594F7C2E" w:rsidR="00D34F6F" w:rsidRDefault="00884032">
      <w:pPr>
        <w:pStyle w:val="Innehll2"/>
        <w:rPr>
          <w:rFonts w:asciiTheme="minorHAnsi" w:eastAsiaTheme="minorEastAsia" w:hAnsiTheme="minorHAnsi" w:cstheme="minorBidi"/>
          <w:kern w:val="2"/>
          <w:sz w:val="24"/>
          <w:szCs w:val="24"/>
          <w:lang w:val="sv-FI" w:eastAsia="sv-FI"/>
          <w14:ligatures w14:val="standardContextual"/>
        </w:rPr>
      </w:pPr>
      <w:hyperlink w:anchor="_Toc178066538" w:history="1">
        <w:r w:rsidR="00D34F6F" w:rsidRPr="00665D74">
          <w:rPr>
            <w:rStyle w:val="Hyperlnk"/>
          </w:rPr>
          <w:t>Landskapsregeringens förslag</w:t>
        </w:r>
        <w:r w:rsidR="00D34F6F">
          <w:rPr>
            <w:webHidden/>
          </w:rPr>
          <w:tab/>
        </w:r>
        <w:r w:rsidR="00D34F6F">
          <w:rPr>
            <w:webHidden/>
          </w:rPr>
          <w:fldChar w:fldCharType="begin"/>
        </w:r>
        <w:r w:rsidR="00D34F6F">
          <w:rPr>
            <w:webHidden/>
          </w:rPr>
          <w:instrText xml:space="preserve"> PAGEREF _Toc178066538 \h </w:instrText>
        </w:r>
        <w:r w:rsidR="00D34F6F">
          <w:rPr>
            <w:webHidden/>
          </w:rPr>
        </w:r>
        <w:r w:rsidR="00D34F6F">
          <w:rPr>
            <w:webHidden/>
          </w:rPr>
          <w:fldChar w:fldCharType="separate"/>
        </w:r>
        <w:r w:rsidR="00BD658B">
          <w:rPr>
            <w:webHidden/>
          </w:rPr>
          <w:t>1</w:t>
        </w:r>
        <w:r w:rsidR="00D34F6F">
          <w:rPr>
            <w:webHidden/>
          </w:rPr>
          <w:fldChar w:fldCharType="end"/>
        </w:r>
      </w:hyperlink>
    </w:p>
    <w:p w14:paraId="4F0C592C" w14:textId="31C3F167" w:rsidR="00D34F6F" w:rsidRDefault="00884032">
      <w:pPr>
        <w:pStyle w:val="Innehll2"/>
        <w:rPr>
          <w:rFonts w:asciiTheme="minorHAnsi" w:eastAsiaTheme="minorEastAsia" w:hAnsiTheme="minorHAnsi" w:cstheme="minorBidi"/>
          <w:kern w:val="2"/>
          <w:sz w:val="24"/>
          <w:szCs w:val="24"/>
          <w:lang w:val="sv-FI" w:eastAsia="sv-FI"/>
          <w14:ligatures w14:val="standardContextual"/>
        </w:rPr>
      </w:pPr>
      <w:hyperlink w:anchor="_Toc178066539" w:history="1">
        <w:r w:rsidR="00D34F6F" w:rsidRPr="00665D74">
          <w:rPr>
            <w:rStyle w:val="Hyperlnk"/>
          </w:rPr>
          <w:t>Utskottets förslag</w:t>
        </w:r>
        <w:r w:rsidR="00D34F6F">
          <w:rPr>
            <w:webHidden/>
          </w:rPr>
          <w:tab/>
        </w:r>
        <w:r w:rsidR="00D34F6F">
          <w:rPr>
            <w:webHidden/>
          </w:rPr>
          <w:fldChar w:fldCharType="begin"/>
        </w:r>
        <w:r w:rsidR="00D34F6F">
          <w:rPr>
            <w:webHidden/>
          </w:rPr>
          <w:instrText xml:space="preserve"> PAGEREF _Toc178066539 \h </w:instrText>
        </w:r>
        <w:r w:rsidR="00D34F6F">
          <w:rPr>
            <w:webHidden/>
          </w:rPr>
        </w:r>
        <w:r w:rsidR="00D34F6F">
          <w:rPr>
            <w:webHidden/>
          </w:rPr>
          <w:fldChar w:fldCharType="separate"/>
        </w:r>
        <w:r w:rsidR="00BD658B">
          <w:rPr>
            <w:webHidden/>
          </w:rPr>
          <w:t>1</w:t>
        </w:r>
        <w:r w:rsidR="00D34F6F">
          <w:rPr>
            <w:webHidden/>
          </w:rPr>
          <w:fldChar w:fldCharType="end"/>
        </w:r>
      </w:hyperlink>
    </w:p>
    <w:p w14:paraId="27C5C8A0" w14:textId="3279CDD4" w:rsidR="00D34F6F" w:rsidRDefault="00884032">
      <w:pPr>
        <w:pStyle w:val="Innehll1"/>
        <w:rPr>
          <w:rFonts w:asciiTheme="minorHAnsi" w:eastAsiaTheme="minorEastAsia" w:hAnsiTheme="minorHAnsi" w:cstheme="minorBidi"/>
          <w:kern w:val="2"/>
          <w:sz w:val="24"/>
          <w:szCs w:val="24"/>
          <w:lang w:val="sv-FI" w:eastAsia="sv-FI"/>
          <w14:ligatures w14:val="standardContextual"/>
        </w:rPr>
      </w:pPr>
      <w:hyperlink w:anchor="_Toc178066540" w:history="1">
        <w:r w:rsidR="00D34F6F" w:rsidRPr="00665D74">
          <w:rPr>
            <w:rStyle w:val="Hyperlnk"/>
          </w:rPr>
          <w:t>Utskottets synpunkter</w:t>
        </w:r>
        <w:r w:rsidR="00D34F6F">
          <w:rPr>
            <w:webHidden/>
          </w:rPr>
          <w:tab/>
        </w:r>
        <w:r w:rsidR="00D34F6F">
          <w:rPr>
            <w:webHidden/>
          </w:rPr>
          <w:fldChar w:fldCharType="begin"/>
        </w:r>
        <w:r w:rsidR="00D34F6F">
          <w:rPr>
            <w:webHidden/>
          </w:rPr>
          <w:instrText xml:space="preserve"> PAGEREF _Toc178066540 \h </w:instrText>
        </w:r>
        <w:r w:rsidR="00D34F6F">
          <w:rPr>
            <w:webHidden/>
          </w:rPr>
        </w:r>
        <w:r w:rsidR="00D34F6F">
          <w:rPr>
            <w:webHidden/>
          </w:rPr>
          <w:fldChar w:fldCharType="separate"/>
        </w:r>
        <w:r w:rsidR="00BD658B">
          <w:rPr>
            <w:webHidden/>
          </w:rPr>
          <w:t>1</w:t>
        </w:r>
        <w:r w:rsidR="00D34F6F">
          <w:rPr>
            <w:webHidden/>
          </w:rPr>
          <w:fldChar w:fldCharType="end"/>
        </w:r>
      </w:hyperlink>
    </w:p>
    <w:p w14:paraId="69AE5B38" w14:textId="1BB51404" w:rsidR="00D34F6F" w:rsidRDefault="00884032">
      <w:pPr>
        <w:pStyle w:val="Innehll1"/>
        <w:rPr>
          <w:rFonts w:asciiTheme="minorHAnsi" w:eastAsiaTheme="minorEastAsia" w:hAnsiTheme="minorHAnsi" w:cstheme="minorBidi"/>
          <w:kern w:val="2"/>
          <w:sz w:val="24"/>
          <w:szCs w:val="24"/>
          <w:lang w:val="sv-FI" w:eastAsia="sv-FI"/>
          <w14:ligatures w14:val="standardContextual"/>
        </w:rPr>
      </w:pPr>
      <w:hyperlink w:anchor="_Toc178066541" w:history="1">
        <w:r w:rsidR="00D34F6F" w:rsidRPr="00665D74">
          <w:rPr>
            <w:rStyle w:val="Hyperlnk"/>
          </w:rPr>
          <w:t>Ärendets behandling</w:t>
        </w:r>
        <w:r w:rsidR="00D34F6F">
          <w:rPr>
            <w:webHidden/>
          </w:rPr>
          <w:tab/>
        </w:r>
        <w:r w:rsidR="00D34F6F">
          <w:rPr>
            <w:webHidden/>
          </w:rPr>
          <w:fldChar w:fldCharType="begin"/>
        </w:r>
        <w:r w:rsidR="00D34F6F">
          <w:rPr>
            <w:webHidden/>
          </w:rPr>
          <w:instrText xml:space="preserve"> PAGEREF _Toc178066541 \h </w:instrText>
        </w:r>
        <w:r w:rsidR="00D34F6F">
          <w:rPr>
            <w:webHidden/>
          </w:rPr>
        </w:r>
        <w:r w:rsidR="00D34F6F">
          <w:rPr>
            <w:webHidden/>
          </w:rPr>
          <w:fldChar w:fldCharType="separate"/>
        </w:r>
        <w:r w:rsidR="00BD658B">
          <w:rPr>
            <w:webHidden/>
          </w:rPr>
          <w:t>2</w:t>
        </w:r>
        <w:r w:rsidR="00D34F6F">
          <w:rPr>
            <w:webHidden/>
          </w:rPr>
          <w:fldChar w:fldCharType="end"/>
        </w:r>
      </w:hyperlink>
    </w:p>
    <w:p w14:paraId="60EE5CEB" w14:textId="48208AE5" w:rsidR="00D34F6F" w:rsidRDefault="00884032">
      <w:pPr>
        <w:pStyle w:val="Innehll1"/>
        <w:rPr>
          <w:rFonts w:asciiTheme="minorHAnsi" w:eastAsiaTheme="minorEastAsia" w:hAnsiTheme="minorHAnsi" w:cstheme="minorBidi"/>
          <w:kern w:val="2"/>
          <w:sz w:val="24"/>
          <w:szCs w:val="24"/>
          <w:lang w:val="sv-FI" w:eastAsia="sv-FI"/>
          <w14:ligatures w14:val="standardContextual"/>
        </w:rPr>
      </w:pPr>
      <w:hyperlink w:anchor="_Toc178066542" w:history="1">
        <w:r w:rsidR="00D34F6F" w:rsidRPr="00665D74">
          <w:rPr>
            <w:rStyle w:val="Hyperlnk"/>
          </w:rPr>
          <w:t>Utskottets förslag</w:t>
        </w:r>
        <w:r w:rsidR="00D34F6F">
          <w:rPr>
            <w:webHidden/>
          </w:rPr>
          <w:tab/>
        </w:r>
        <w:r w:rsidR="00D34F6F">
          <w:rPr>
            <w:webHidden/>
          </w:rPr>
          <w:fldChar w:fldCharType="begin"/>
        </w:r>
        <w:r w:rsidR="00D34F6F">
          <w:rPr>
            <w:webHidden/>
          </w:rPr>
          <w:instrText xml:space="preserve"> PAGEREF _Toc178066542 \h </w:instrText>
        </w:r>
        <w:r w:rsidR="00D34F6F">
          <w:rPr>
            <w:webHidden/>
          </w:rPr>
        </w:r>
        <w:r w:rsidR="00D34F6F">
          <w:rPr>
            <w:webHidden/>
          </w:rPr>
          <w:fldChar w:fldCharType="separate"/>
        </w:r>
        <w:r w:rsidR="00BD658B">
          <w:rPr>
            <w:webHidden/>
          </w:rPr>
          <w:t>2</w:t>
        </w:r>
        <w:r w:rsidR="00D34F6F">
          <w:rPr>
            <w:webHidden/>
          </w:rPr>
          <w:fldChar w:fldCharType="end"/>
        </w:r>
      </w:hyperlink>
    </w:p>
    <w:p w14:paraId="204F39A7" w14:textId="336F7A97" w:rsidR="002401D0" w:rsidRDefault="002401D0">
      <w:pPr>
        <w:pStyle w:val="ANormal"/>
        <w:rPr>
          <w:noProof/>
        </w:rPr>
      </w:pPr>
      <w:r>
        <w:rPr>
          <w:rFonts w:ascii="Verdana" w:hAnsi="Verdana"/>
          <w:noProof/>
          <w:sz w:val="16"/>
          <w:szCs w:val="36"/>
        </w:rPr>
        <w:fldChar w:fldCharType="end"/>
      </w:r>
    </w:p>
    <w:p w14:paraId="1A6388FF" w14:textId="77777777" w:rsidR="002401D0" w:rsidRDefault="002401D0">
      <w:pPr>
        <w:pStyle w:val="ANormal"/>
      </w:pPr>
    </w:p>
    <w:p w14:paraId="778B637E" w14:textId="77777777" w:rsidR="002401D0" w:rsidRDefault="002401D0">
      <w:pPr>
        <w:pStyle w:val="RubrikA"/>
      </w:pPr>
      <w:bookmarkStart w:id="0" w:name="_Toc529800932"/>
      <w:bookmarkStart w:id="1" w:name="_Toc178066537"/>
      <w:r>
        <w:t>Sammanfattning</w:t>
      </w:r>
      <w:bookmarkEnd w:id="0"/>
      <w:bookmarkEnd w:id="1"/>
    </w:p>
    <w:p w14:paraId="3974D634" w14:textId="77777777" w:rsidR="002401D0" w:rsidRDefault="002401D0">
      <w:pPr>
        <w:pStyle w:val="Rubrikmellanrum"/>
      </w:pPr>
    </w:p>
    <w:p w14:paraId="524A656D" w14:textId="16EB5BAC" w:rsidR="002401D0" w:rsidRDefault="006B636F">
      <w:pPr>
        <w:pStyle w:val="RubrikB"/>
      </w:pPr>
      <w:bookmarkStart w:id="2" w:name="_Toc529800933"/>
      <w:bookmarkStart w:id="3" w:name="_Toc178066538"/>
      <w:r>
        <w:t>Landskapsregeringens</w:t>
      </w:r>
      <w:r w:rsidR="002401D0">
        <w:t xml:space="preserve"> förslag</w:t>
      </w:r>
      <w:bookmarkEnd w:id="2"/>
      <w:bookmarkEnd w:id="3"/>
    </w:p>
    <w:p w14:paraId="0B21ECF4" w14:textId="77777777" w:rsidR="002401D0" w:rsidRDefault="002401D0">
      <w:pPr>
        <w:pStyle w:val="Rubrikmellanrum"/>
      </w:pPr>
    </w:p>
    <w:p w14:paraId="6E39817F" w14:textId="77777777" w:rsidR="006B636F" w:rsidRDefault="006B636F" w:rsidP="006B636F">
      <w:pPr>
        <w:pStyle w:val="ANormal"/>
      </w:pPr>
      <w:r>
        <w:t>Landskapsregeringen föreslår att lagtinget antar en helt ny landskapslag om tillämpning på Åland av rikets lagstiftning om transport av farliga ämnen. Förslaget som innehåller den nya landskapslagen i fråga, vilken är en blankettlag, innehåller även ett mindre antal tekniska följdändringar i andra landskapslagar.</w:t>
      </w:r>
    </w:p>
    <w:p w14:paraId="2F29C738" w14:textId="77777777" w:rsidR="006B636F" w:rsidRDefault="006B636F" w:rsidP="006B636F">
      <w:pPr>
        <w:pStyle w:val="ANormal"/>
      </w:pPr>
      <w:r>
        <w:tab/>
        <w:t xml:space="preserve">Förslaget innebär att 2023 års </w:t>
      </w:r>
      <w:proofErr w:type="spellStart"/>
      <w:r>
        <w:t>rikslag</w:t>
      </w:r>
      <w:proofErr w:type="spellEnd"/>
      <w:r>
        <w:t xml:space="preserve"> om transport av farliga ämnen, med vissa avvikelser som bland annat beaktar den åländska myndighetsstrukturen och landskapslagstiftningen till den del dessa tangerar rättsområdet för transport av farliga ämnen, görs tillämplig på Åland. Förslaget innebär att blankettlagen om transport av farliga ämnen från år 1976 upphävs.</w:t>
      </w:r>
    </w:p>
    <w:p w14:paraId="2F8C04C3" w14:textId="0E019839" w:rsidR="002401D0" w:rsidRDefault="002401D0">
      <w:pPr>
        <w:pStyle w:val="ANormal"/>
      </w:pPr>
    </w:p>
    <w:p w14:paraId="299F888E" w14:textId="77777777" w:rsidR="002401D0" w:rsidRDefault="002401D0">
      <w:pPr>
        <w:pStyle w:val="ANormal"/>
      </w:pPr>
    </w:p>
    <w:p w14:paraId="68466FA6" w14:textId="77777777" w:rsidR="002401D0" w:rsidRDefault="002401D0">
      <w:pPr>
        <w:pStyle w:val="RubrikB"/>
      </w:pPr>
      <w:bookmarkStart w:id="4" w:name="_Toc529800934"/>
      <w:bookmarkStart w:id="5" w:name="_Toc178066539"/>
      <w:r>
        <w:t>Utskottets förslag</w:t>
      </w:r>
      <w:bookmarkEnd w:id="4"/>
      <w:bookmarkEnd w:id="5"/>
    </w:p>
    <w:p w14:paraId="713618C1" w14:textId="77777777" w:rsidR="002401D0" w:rsidRDefault="002401D0">
      <w:pPr>
        <w:pStyle w:val="Rubrikmellanrum"/>
      </w:pPr>
    </w:p>
    <w:p w14:paraId="4360A211" w14:textId="1C3E7A07" w:rsidR="002401D0" w:rsidRDefault="00C009FE">
      <w:pPr>
        <w:pStyle w:val="ANormal"/>
      </w:pPr>
      <w:r>
        <w:t xml:space="preserve">Utskottet föreslår att lagen antas. </w:t>
      </w:r>
    </w:p>
    <w:p w14:paraId="6D364D0D" w14:textId="77777777" w:rsidR="002401D0" w:rsidRDefault="002401D0">
      <w:pPr>
        <w:pStyle w:val="ANormal"/>
      </w:pPr>
    </w:p>
    <w:p w14:paraId="5736D49F" w14:textId="77777777" w:rsidR="002401D0" w:rsidRDefault="002401D0">
      <w:pPr>
        <w:pStyle w:val="RubrikA"/>
      </w:pPr>
      <w:bookmarkStart w:id="6" w:name="_Toc529800935"/>
      <w:bookmarkStart w:id="7" w:name="_Toc178066540"/>
      <w:r>
        <w:t>Utskottets synpunkter</w:t>
      </w:r>
      <w:bookmarkEnd w:id="6"/>
      <w:bookmarkEnd w:id="7"/>
    </w:p>
    <w:p w14:paraId="6D87BCFD" w14:textId="77777777" w:rsidR="002401D0" w:rsidRDefault="002401D0">
      <w:pPr>
        <w:pStyle w:val="Rubrikmellanrum"/>
      </w:pPr>
    </w:p>
    <w:p w14:paraId="64DD4F4D" w14:textId="77777777" w:rsidR="00601C7A" w:rsidRDefault="00561CD8">
      <w:pPr>
        <w:pStyle w:val="ANormal"/>
      </w:pPr>
      <w:r>
        <w:t>Lagen syftar till</w:t>
      </w:r>
      <w:r w:rsidR="00C009FE">
        <w:t xml:space="preserve"> att säkerställa att Åland efterlever </w:t>
      </w:r>
      <w:r>
        <w:t xml:space="preserve">de internationella </w:t>
      </w:r>
      <w:r w:rsidR="00C009FE">
        <w:t xml:space="preserve">regelverken </w:t>
      </w:r>
      <w:r>
        <w:t xml:space="preserve">och säkerställer en sömlös transport- och hanteringskedja för </w:t>
      </w:r>
      <w:r w:rsidR="00601C7A">
        <w:t xml:space="preserve">rättsområdet </w:t>
      </w:r>
      <w:r>
        <w:t>transport av farliga ämnen. Detta är relevant både för hantering av befintliga ämnen så som bränsle, gaser eller kemikalier samt för nya ämnen som till exempel vätgas.</w:t>
      </w:r>
      <w:r w:rsidR="00C91876">
        <w:t xml:space="preserve"> </w:t>
      </w:r>
    </w:p>
    <w:p w14:paraId="545BB68A" w14:textId="19381D68" w:rsidR="00092CC7" w:rsidRDefault="00601C7A">
      <w:pPr>
        <w:pStyle w:val="ANormal"/>
      </w:pPr>
      <w:r>
        <w:tab/>
      </w:r>
      <w:r w:rsidR="00561CD8">
        <w:t xml:space="preserve">Utskottet konstaterar att en uppdatering av lagstiftningen från 1976 är behövlig för att säkerställa ett modernt regelverk för säker hantering av dessa farliga ämnen. </w:t>
      </w:r>
    </w:p>
    <w:p w14:paraId="3A27409D" w14:textId="103794BA" w:rsidR="00092CC7" w:rsidRDefault="00092CC7">
      <w:pPr>
        <w:pStyle w:val="ANormal"/>
      </w:pPr>
      <w:r>
        <w:tab/>
      </w:r>
      <w:r w:rsidR="00C91876">
        <w:t xml:space="preserve">Utskottet </w:t>
      </w:r>
      <w:r>
        <w:t>konstaterar</w:t>
      </w:r>
      <w:r w:rsidR="00C91876">
        <w:t xml:space="preserve"> att</w:t>
      </w:r>
      <w:r>
        <w:t xml:space="preserve"> rättsområdet är dels inom rikets lagstiftningsbehörighet, dels inom Ålands lagstiftningsbehörighet. Trots att stor del av regelverket tillfaller Ålands lagstiftningsbehörighet konstaterar utskottet att rättsområdet är internationellt till sin natur, </w:t>
      </w:r>
      <w:r w:rsidR="00601C7A">
        <w:t>samt</w:t>
      </w:r>
      <w:r>
        <w:t xml:space="preserve"> att både aktörer och tillsynsmyndigheter gynnas av enhetligt genomförande</w:t>
      </w:r>
      <w:r w:rsidR="00601C7A">
        <w:t xml:space="preserve"> mellan länder</w:t>
      </w:r>
      <w:r>
        <w:t xml:space="preserve">, varför en blankettlag är motiverat. </w:t>
      </w:r>
      <w:r w:rsidR="00C91876">
        <w:t xml:space="preserve"> </w:t>
      </w:r>
    </w:p>
    <w:p w14:paraId="4AEED2B1" w14:textId="5C3F69B2" w:rsidR="00561CD8" w:rsidRDefault="00092CC7">
      <w:pPr>
        <w:pStyle w:val="ANormal"/>
      </w:pPr>
      <w:r>
        <w:lastRenderedPageBreak/>
        <w:tab/>
      </w:r>
      <w:r w:rsidR="00C91876">
        <w:t>Utskottet har erfarit att de aktörer som berörs av lagförslaget troligen inte kommer påverkas negativt då regelverket</w:t>
      </w:r>
      <w:r w:rsidR="00601C7A">
        <w:t>s</w:t>
      </w:r>
      <w:r w:rsidR="00C91876">
        <w:t xml:space="preserve"> innehåll i stort är detsamma som idag. Utskottet välkomnar att befintliga ärendehanteringssystem som idag används kan tillämpas för de uppgifter som den nya lagen medför. </w:t>
      </w:r>
    </w:p>
    <w:p w14:paraId="592EBA8C" w14:textId="0E67DFFC" w:rsidR="002C1C4A" w:rsidRDefault="00561CD8">
      <w:pPr>
        <w:pStyle w:val="ANormal"/>
      </w:pPr>
      <w:r>
        <w:tab/>
        <w:t xml:space="preserve">Utskottet konstaterar att lagen påför landskapsregeringen och polisen </w:t>
      </w:r>
      <w:r w:rsidR="00934B94">
        <w:t xml:space="preserve">ansvar att sköta tillsynen över att lagen efterlevs. Utskottet har erfarit att tillsynsutövningen kommer kräva extra resurser för att säkerställa efterlevnaden av regelverket. </w:t>
      </w:r>
    </w:p>
    <w:p w14:paraId="0B6A1EF7" w14:textId="243A2BEC" w:rsidR="002401D0" w:rsidRDefault="00CC343E">
      <w:pPr>
        <w:pStyle w:val="ANormal"/>
      </w:pPr>
      <w:r>
        <w:tab/>
      </w:r>
      <w:r w:rsidR="00934B94">
        <w:t xml:space="preserve">Utskottet anser att transport </w:t>
      </w:r>
      <w:r w:rsidR="00C91876">
        <w:t xml:space="preserve">eller tillfällig förvaring av </w:t>
      </w:r>
      <w:r w:rsidR="00934B94">
        <w:t xml:space="preserve">farliga ämnen är nära kopplat till beredskapsfrågor och anser att </w:t>
      </w:r>
      <w:r w:rsidR="009368F4">
        <w:t xml:space="preserve">landskapsregeringen </w:t>
      </w:r>
      <w:r w:rsidR="00934B94">
        <w:t xml:space="preserve">bör </w:t>
      </w:r>
      <w:r w:rsidR="002C1C4A">
        <w:t xml:space="preserve">säkerställa </w:t>
      </w:r>
      <w:r w:rsidR="009368F4">
        <w:t xml:space="preserve">lämpliga </w:t>
      </w:r>
      <w:r w:rsidR="002C1C4A">
        <w:t xml:space="preserve">resurser för beredskap, där efterlevnad av </w:t>
      </w:r>
      <w:r w:rsidR="009368F4">
        <w:t xml:space="preserve">regelverket för </w:t>
      </w:r>
      <w:r w:rsidR="002C1C4A">
        <w:t xml:space="preserve">transport av farligt gods kan ingå. </w:t>
      </w:r>
      <w:r w:rsidR="00C91876">
        <w:t>Det är i utskottets mening viktigt att prioritera beredskapsfrågor</w:t>
      </w:r>
      <w:r w:rsidR="009368F4">
        <w:t>.</w:t>
      </w:r>
    </w:p>
    <w:p w14:paraId="01329053" w14:textId="77777777" w:rsidR="002401D0" w:rsidRDefault="002401D0">
      <w:pPr>
        <w:pStyle w:val="ANormal"/>
      </w:pPr>
    </w:p>
    <w:p w14:paraId="0BD7622C" w14:textId="77777777" w:rsidR="002401D0" w:rsidRDefault="002401D0">
      <w:pPr>
        <w:pStyle w:val="RubrikA"/>
      </w:pPr>
      <w:bookmarkStart w:id="8" w:name="_Toc529800936"/>
      <w:bookmarkStart w:id="9" w:name="_Toc178066541"/>
      <w:r>
        <w:t>Ärendets behandling</w:t>
      </w:r>
      <w:bookmarkEnd w:id="8"/>
      <w:bookmarkEnd w:id="9"/>
    </w:p>
    <w:p w14:paraId="60DDF74B" w14:textId="77777777" w:rsidR="002401D0" w:rsidRDefault="002401D0">
      <w:pPr>
        <w:pStyle w:val="Rubrikmellanrum"/>
      </w:pPr>
    </w:p>
    <w:p w14:paraId="724F0F74" w14:textId="399E1615" w:rsidR="006B636F" w:rsidRDefault="006B636F" w:rsidP="006B636F">
      <w:pPr>
        <w:pStyle w:val="ANormal"/>
      </w:pPr>
      <w:r>
        <w:t xml:space="preserve">Lagtinget har den </w:t>
      </w:r>
      <w:r w:rsidR="00C009FE">
        <w:t>4</w:t>
      </w:r>
      <w:r>
        <w:t xml:space="preserve"> s</w:t>
      </w:r>
      <w:r w:rsidR="00C009FE">
        <w:t>eptember</w:t>
      </w:r>
      <w:r>
        <w:t xml:space="preserve"> 2024 </w:t>
      </w:r>
      <w:proofErr w:type="spellStart"/>
      <w:r>
        <w:t>inbegärt</w:t>
      </w:r>
      <w:proofErr w:type="spellEnd"/>
      <w:r>
        <w:t xml:space="preserve"> social- och miljöutskottets yttrande i ärendet. </w:t>
      </w:r>
    </w:p>
    <w:p w14:paraId="5E10D7D0" w14:textId="7D0E0AD7" w:rsidR="006B636F" w:rsidRDefault="006B636F" w:rsidP="006B636F">
      <w:pPr>
        <w:pStyle w:val="ANormal"/>
      </w:pPr>
      <w:r>
        <w:tab/>
        <w:t>Utskottet har i ärendet hört</w:t>
      </w:r>
      <w:r w:rsidR="008A3400">
        <w:t xml:space="preserve"> infrastrukturminister Camilla Gunell och byråchef Gustav Blomberg. </w:t>
      </w:r>
      <w:r>
        <w:t xml:space="preserve"> </w:t>
      </w:r>
    </w:p>
    <w:p w14:paraId="47343E5F" w14:textId="4087BC58" w:rsidR="006B636F" w:rsidRDefault="006B636F" w:rsidP="006B636F">
      <w:pPr>
        <w:pStyle w:val="ANormal"/>
        <w:rPr>
          <w:color w:val="000000"/>
        </w:rPr>
      </w:pPr>
      <w:r>
        <w:tab/>
      </w:r>
      <w:r w:rsidRPr="00CA0EA6">
        <w:rPr>
          <w:color w:val="000000"/>
        </w:rPr>
        <w:t xml:space="preserve">I ärendets avgörande behandling deltog ordföranden </w:t>
      </w:r>
      <w:r>
        <w:rPr>
          <w:color w:val="000000"/>
        </w:rPr>
        <w:t>Christian Wikström</w:t>
      </w:r>
      <w:r w:rsidRPr="00CA0EA6">
        <w:rPr>
          <w:color w:val="000000"/>
        </w:rPr>
        <w:t>,</w:t>
      </w:r>
      <w:r>
        <w:rPr>
          <w:color w:val="000000"/>
        </w:rPr>
        <w:t xml:space="preserve"> viceordföranden Pernilla Söderlund, </w:t>
      </w:r>
      <w:r w:rsidRPr="00CA0EA6">
        <w:rPr>
          <w:color w:val="000000"/>
        </w:rPr>
        <w:t>ledamöterna</w:t>
      </w:r>
      <w:r>
        <w:rPr>
          <w:color w:val="000000"/>
        </w:rPr>
        <w:t xml:space="preserve"> Annette Holmberg-Jansson, Mogens Lindén, </w:t>
      </w:r>
      <w:r w:rsidR="00C009FE">
        <w:rPr>
          <w:color w:val="000000"/>
        </w:rPr>
        <w:t>Liz Mattsson</w:t>
      </w:r>
      <w:r>
        <w:rPr>
          <w:color w:val="000000"/>
        </w:rPr>
        <w:t xml:space="preserve">, Robert </w:t>
      </w:r>
      <w:proofErr w:type="spellStart"/>
      <w:r>
        <w:rPr>
          <w:color w:val="000000"/>
        </w:rPr>
        <w:t>Mansén</w:t>
      </w:r>
      <w:proofErr w:type="spellEnd"/>
      <w:r>
        <w:rPr>
          <w:color w:val="000000"/>
        </w:rPr>
        <w:t xml:space="preserve"> och Benny Pettersson.</w:t>
      </w:r>
    </w:p>
    <w:p w14:paraId="3E64DE43" w14:textId="05C85AC6" w:rsidR="002401D0" w:rsidRDefault="002401D0">
      <w:pPr>
        <w:pStyle w:val="ANormal"/>
      </w:pPr>
    </w:p>
    <w:p w14:paraId="3EAF829D" w14:textId="77777777" w:rsidR="002401D0" w:rsidRDefault="002401D0">
      <w:pPr>
        <w:pStyle w:val="ANormal"/>
      </w:pPr>
    </w:p>
    <w:p w14:paraId="6E328571" w14:textId="77777777" w:rsidR="002401D0" w:rsidRDefault="002401D0">
      <w:pPr>
        <w:pStyle w:val="RubrikA"/>
      </w:pPr>
      <w:bookmarkStart w:id="10" w:name="_Toc529800937"/>
      <w:bookmarkStart w:id="11" w:name="_Toc178066542"/>
      <w:r>
        <w:t>Utskottets förslag</w:t>
      </w:r>
      <w:bookmarkEnd w:id="10"/>
      <w:bookmarkEnd w:id="11"/>
    </w:p>
    <w:p w14:paraId="23363A09" w14:textId="77777777" w:rsidR="002401D0" w:rsidRDefault="002401D0">
      <w:pPr>
        <w:pStyle w:val="Rubrikmellanrum"/>
      </w:pPr>
    </w:p>
    <w:p w14:paraId="725D3A04" w14:textId="77777777" w:rsidR="002401D0" w:rsidRDefault="002401D0">
      <w:pPr>
        <w:pStyle w:val="ANormal"/>
      </w:pPr>
      <w:r>
        <w:t>Med hänvisning till det anförda föreslår utskottet</w:t>
      </w:r>
    </w:p>
    <w:p w14:paraId="7D87A7FB" w14:textId="77777777" w:rsidR="002401D0" w:rsidRDefault="002401D0">
      <w:pPr>
        <w:pStyle w:val="ANormal"/>
      </w:pPr>
    </w:p>
    <w:p w14:paraId="58444430" w14:textId="332EE019" w:rsidR="002401D0" w:rsidRDefault="002401D0">
      <w:pPr>
        <w:pStyle w:val="Klam"/>
      </w:pPr>
      <w:r>
        <w:t>att lagtinget</w:t>
      </w:r>
      <w:r w:rsidR="008F4BEF">
        <w:t xml:space="preserve"> antar lagförslagen</w:t>
      </w:r>
      <w:r w:rsidR="008A3400">
        <w:t>.</w:t>
      </w:r>
    </w:p>
    <w:p w14:paraId="306EF65E" w14:textId="77777777" w:rsidR="008F4BEF" w:rsidRPr="008F4BEF" w:rsidRDefault="008F4BEF" w:rsidP="008F4BEF">
      <w:pPr>
        <w:pStyle w:val="ANormal"/>
      </w:pPr>
    </w:p>
    <w:p w14:paraId="4DF8D6F4" w14:textId="53CE080D" w:rsidR="002401D0" w:rsidRDefault="002401D0">
      <w:pPr>
        <w:pStyle w:val="ANormal"/>
        <w:jc w:val="center"/>
      </w:pPr>
    </w:p>
    <w:p w14:paraId="06A64197" w14:textId="77777777" w:rsidR="008A3400" w:rsidRDefault="00884032" w:rsidP="008A3400">
      <w:pPr>
        <w:pStyle w:val="ANormal"/>
        <w:jc w:val="center"/>
      </w:pPr>
      <w:hyperlink w:anchor="_top" w:tooltip="Klicka för att gå till toppen av dokumentet" w:history="1">
        <w:r w:rsidR="008A3400">
          <w:rPr>
            <w:rStyle w:val="Hyperlnk"/>
          </w:rPr>
          <w:t>__________________</w:t>
        </w:r>
      </w:hyperlink>
    </w:p>
    <w:p w14:paraId="615B4D02" w14:textId="77777777" w:rsidR="008A3400" w:rsidRDefault="008A3400">
      <w:pPr>
        <w:pStyle w:val="ANormal"/>
        <w:jc w:val="center"/>
      </w:pPr>
    </w:p>
    <w:p w14:paraId="5E5B2F99" w14:textId="77777777" w:rsidR="002401D0" w:rsidRDefault="002401D0">
      <w:pPr>
        <w:pStyle w:val="ANormal"/>
      </w:pPr>
    </w:p>
    <w:p w14:paraId="6B3DDC11"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4047E144" w14:textId="77777777">
        <w:trPr>
          <w:cantSplit/>
        </w:trPr>
        <w:tc>
          <w:tcPr>
            <w:tcW w:w="7931" w:type="dxa"/>
            <w:gridSpan w:val="2"/>
          </w:tcPr>
          <w:p w14:paraId="3F307010" w14:textId="5E6C667C" w:rsidR="002401D0" w:rsidRDefault="002401D0">
            <w:pPr>
              <w:pStyle w:val="ANormal"/>
              <w:keepNext/>
            </w:pPr>
            <w:r>
              <w:t xml:space="preserve">Mariehamn den </w:t>
            </w:r>
            <w:r w:rsidR="00A92CB8">
              <w:t>24</w:t>
            </w:r>
            <w:r w:rsidR="008F4BEF">
              <w:t xml:space="preserve"> september 2024</w:t>
            </w:r>
          </w:p>
        </w:tc>
      </w:tr>
      <w:tr w:rsidR="002401D0" w14:paraId="1989ADDF" w14:textId="77777777">
        <w:tc>
          <w:tcPr>
            <w:tcW w:w="4454" w:type="dxa"/>
            <w:vAlign w:val="bottom"/>
          </w:tcPr>
          <w:p w14:paraId="2099C42C" w14:textId="77777777" w:rsidR="002401D0" w:rsidRDefault="002401D0">
            <w:pPr>
              <w:pStyle w:val="ANormal"/>
              <w:keepNext/>
            </w:pPr>
          </w:p>
          <w:p w14:paraId="460796FD" w14:textId="77777777" w:rsidR="002401D0" w:rsidRDefault="002401D0">
            <w:pPr>
              <w:pStyle w:val="ANormal"/>
              <w:keepNext/>
            </w:pPr>
          </w:p>
          <w:p w14:paraId="2C383AEF" w14:textId="77777777" w:rsidR="002401D0" w:rsidRDefault="002401D0">
            <w:pPr>
              <w:pStyle w:val="ANormal"/>
              <w:keepNext/>
            </w:pPr>
            <w:r>
              <w:t>Ordförande</w:t>
            </w:r>
          </w:p>
        </w:tc>
        <w:tc>
          <w:tcPr>
            <w:tcW w:w="3477" w:type="dxa"/>
            <w:vAlign w:val="bottom"/>
          </w:tcPr>
          <w:p w14:paraId="0439A032" w14:textId="77777777" w:rsidR="002401D0" w:rsidRDefault="002401D0">
            <w:pPr>
              <w:pStyle w:val="ANormal"/>
              <w:keepNext/>
            </w:pPr>
          </w:p>
          <w:p w14:paraId="31C34893" w14:textId="77777777" w:rsidR="002401D0" w:rsidRDefault="002401D0">
            <w:pPr>
              <w:pStyle w:val="ANormal"/>
              <w:keepNext/>
            </w:pPr>
          </w:p>
          <w:p w14:paraId="2BC401E6" w14:textId="3F3FC033" w:rsidR="002401D0" w:rsidRDefault="008F4BEF">
            <w:pPr>
              <w:pStyle w:val="ANormal"/>
              <w:keepNext/>
            </w:pPr>
            <w:r>
              <w:t>Christian Wikström</w:t>
            </w:r>
          </w:p>
        </w:tc>
      </w:tr>
      <w:tr w:rsidR="002401D0" w14:paraId="411EEC3B" w14:textId="77777777">
        <w:tc>
          <w:tcPr>
            <w:tcW w:w="4454" w:type="dxa"/>
            <w:vAlign w:val="bottom"/>
          </w:tcPr>
          <w:p w14:paraId="51E00B45" w14:textId="77777777" w:rsidR="002401D0" w:rsidRDefault="002401D0">
            <w:pPr>
              <w:pStyle w:val="ANormal"/>
              <w:keepNext/>
            </w:pPr>
          </w:p>
          <w:p w14:paraId="1B1D25F1" w14:textId="77777777" w:rsidR="002401D0" w:rsidRDefault="002401D0">
            <w:pPr>
              <w:pStyle w:val="ANormal"/>
              <w:keepNext/>
            </w:pPr>
          </w:p>
          <w:p w14:paraId="48455A27" w14:textId="77777777" w:rsidR="002401D0" w:rsidRDefault="002401D0">
            <w:pPr>
              <w:pStyle w:val="ANormal"/>
              <w:keepNext/>
            </w:pPr>
            <w:r>
              <w:t>Sekreterare</w:t>
            </w:r>
          </w:p>
        </w:tc>
        <w:tc>
          <w:tcPr>
            <w:tcW w:w="3477" w:type="dxa"/>
            <w:vAlign w:val="bottom"/>
          </w:tcPr>
          <w:p w14:paraId="27A06E93" w14:textId="77777777" w:rsidR="002401D0" w:rsidRDefault="002401D0">
            <w:pPr>
              <w:pStyle w:val="ANormal"/>
              <w:keepNext/>
            </w:pPr>
          </w:p>
          <w:p w14:paraId="50BEC02A" w14:textId="77777777" w:rsidR="002401D0" w:rsidRDefault="002401D0">
            <w:pPr>
              <w:pStyle w:val="ANormal"/>
              <w:keepNext/>
            </w:pPr>
          </w:p>
          <w:p w14:paraId="40DEDF07" w14:textId="6B5E997D" w:rsidR="002401D0" w:rsidRDefault="008F4BEF">
            <w:pPr>
              <w:pStyle w:val="ANormal"/>
              <w:keepNext/>
            </w:pPr>
            <w:r>
              <w:t>Julia Lindholm</w:t>
            </w:r>
          </w:p>
        </w:tc>
      </w:tr>
    </w:tbl>
    <w:p w14:paraId="5A59615C"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ED399" w14:textId="77777777" w:rsidR="000B7375" w:rsidRDefault="000B7375">
      <w:r>
        <w:separator/>
      </w:r>
    </w:p>
  </w:endnote>
  <w:endnote w:type="continuationSeparator" w:id="0">
    <w:p w14:paraId="60B64692" w14:textId="77777777" w:rsidR="000B7375" w:rsidRDefault="000B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EC6CE"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809F" w14:textId="0C9E3F6D" w:rsidR="002401D0" w:rsidRDefault="002401D0">
    <w:pPr>
      <w:pStyle w:val="Sidfot"/>
      <w:rPr>
        <w:lang w:val="fi-FI"/>
      </w:rPr>
    </w:pPr>
    <w:r>
      <w:fldChar w:fldCharType="begin"/>
    </w:r>
    <w:r>
      <w:rPr>
        <w:lang w:val="fi-FI"/>
      </w:rPr>
      <w:instrText xml:space="preserve"> FILENAME  \* MERGEFORMAT </w:instrText>
    </w:r>
    <w:r>
      <w:fldChar w:fldCharType="separate"/>
    </w:r>
    <w:r w:rsidR="00BD658B">
      <w:rPr>
        <w:noProof/>
        <w:lang w:val="fi-FI"/>
      </w:rPr>
      <w:t>SMU620232024.docx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A24A1"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7EB2E" w14:textId="77777777" w:rsidR="000B7375" w:rsidRDefault="000B7375">
      <w:r>
        <w:separator/>
      </w:r>
    </w:p>
  </w:footnote>
  <w:footnote w:type="continuationSeparator" w:id="0">
    <w:p w14:paraId="42D23B86" w14:textId="77777777" w:rsidR="000B7375" w:rsidRDefault="000B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77A2"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082662E3"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ED5A"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60922273">
    <w:abstractNumId w:val="6"/>
  </w:num>
  <w:num w:numId="2" w16cid:durableId="269746453">
    <w:abstractNumId w:val="3"/>
  </w:num>
  <w:num w:numId="3" w16cid:durableId="1011251217">
    <w:abstractNumId w:val="2"/>
  </w:num>
  <w:num w:numId="4" w16cid:durableId="1856308445">
    <w:abstractNumId w:val="1"/>
  </w:num>
  <w:num w:numId="5" w16cid:durableId="939289930">
    <w:abstractNumId w:val="0"/>
  </w:num>
  <w:num w:numId="6" w16cid:durableId="2006005401">
    <w:abstractNumId w:val="7"/>
  </w:num>
  <w:num w:numId="7" w16cid:durableId="1250967612">
    <w:abstractNumId w:val="5"/>
  </w:num>
  <w:num w:numId="8" w16cid:durableId="18316295">
    <w:abstractNumId w:val="4"/>
  </w:num>
  <w:num w:numId="9" w16cid:durableId="1905679221">
    <w:abstractNumId w:val="10"/>
  </w:num>
  <w:num w:numId="10" w16cid:durableId="1685940326">
    <w:abstractNumId w:val="13"/>
  </w:num>
  <w:num w:numId="11" w16cid:durableId="1337222241">
    <w:abstractNumId w:val="12"/>
  </w:num>
  <w:num w:numId="12" w16cid:durableId="878125097">
    <w:abstractNumId w:val="16"/>
  </w:num>
  <w:num w:numId="13" w16cid:durableId="2143380333">
    <w:abstractNumId w:val="11"/>
  </w:num>
  <w:num w:numId="14" w16cid:durableId="239295832">
    <w:abstractNumId w:val="15"/>
  </w:num>
  <w:num w:numId="15" w16cid:durableId="1057558268">
    <w:abstractNumId w:val="9"/>
  </w:num>
  <w:num w:numId="16" w16cid:durableId="257911594">
    <w:abstractNumId w:val="21"/>
  </w:num>
  <w:num w:numId="17" w16cid:durableId="1918393721">
    <w:abstractNumId w:val="8"/>
  </w:num>
  <w:num w:numId="18" w16cid:durableId="1093817503">
    <w:abstractNumId w:val="17"/>
  </w:num>
  <w:num w:numId="19" w16cid:durableId="238100529">
    <w:abstractNumId w:val="20"/>
  </w:num>
  <w:num w:numId="20" w16cid:durableId="677659569">
    <w:abstractNumId w:val="23"/>
  </w:num>
  <w:num w:numId="21" w16cid:durableId="573706263">
    <w:abstractNumId w:val="22"/>
  </w:num>
  <w:num w:numId="22" w16cid:durableId="1857881666">
    <w:abstractNumId w:val="14"/>
  </w:num>
  <w:num w:numId="23" w16cid:durableId="1120495149">
    <w:abstractNumId w:val="18"/>
  </w:num>
  <w:num w:numId="24" w16cid:durableId="272399942">
    <w:abstractNumId w:val="18"/>
  </w:num>
  <w:num w:numId="25" w16cid:durableId="302396628">
    <w:abstractNumId w:val="19"/>
  </w:num>
  <w:num w:numId="26" w16cid:durableId="1935631851">
    <w:abstractNumId w:val="14"/>
  </w:num>
  <w:num w:numId="27" w16cid:durableId="1166941960">
    <w:abstractNumId w:val="14"/>
  </w:num>
  <w:num w:numId="28" w16cid:durableId="483855717">
    <w:abstractNumId w:val="14"/>
  </w:num>
  <w:num w:numId="29" w16cid:durableId="484665600">
    <w:abstractNumId w:val="14"/>
  </w:num>
  <w:num w:numId="30" w16cid:durableId="1841657775">
    <w:abstractNumId w:val="14"/>
  </w:num>
  <w:num w:numId="31" w16cid:durableId="1401976491">
    <w:abstractNumId w:val="14"/>
  </w:num>
  <w:num w:numId="32" w16cid:durableId="1161845804">
    <w:abstractNumId w:val="14"/>
  </w:num>
  <w:num w:numId="33" w16cid:durableId="1156649670">
    <w:abstractNumId w:val="14"/>
  </w:num>
  <w:num w:numId="34" w16cid:durableId="1977568055">
    <w:abstractNumId w:val="14"/>
  </w:num>
  <w:num w:numId="35" w16cid:durableId="1125081330">
    <w:abstractNumId w:val="18"/>
  </w:num>
  <w:num w:numId="36" w16cid:durableId="1789818503">
    <w:abstractNumId w:val="19"/>
  </w:num>
  <w:num w:numId="37" w16cid:durableId="1574048332">
    <w:abstractNumId w:val="14"/>
  </w:num>
  <w:num w:numId="38" w16cid:durableId="855463594">
    <w:abstractNumId w:val="14"/>
  </w:num>
  <w:num w:numId="39" w16cid:durableId="2075463784">
    <w:abstractNumId w:val="14"/>
  </w:num>
  <w:num w:numId="40" w16cid:durableId="387337869">
    <w:abstractNumId w:val="14"/>
  </w:num>
  <w:num w:numId="41" w16cid:durableId="1307053752">
    <w:abstractNumId w:val="14"/>
  </w:num>
  <w:num w:numId="42" w16cid:durableId="1378117978">
    <w:abstractNumId w:val="14"/>
  </w:num>
  <w:num w:numId="43" w16cid:durableId="1986397631">
    <w:abstractNumId w:val="14"/>
  </w:num>
  <w:num w:numId="44" w16cid:durableId="420183543">
    <w:abstractNumId w:val="14"/>
  </w:num>
  <w:num w:numId="45" w16cid:durableId="1208565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75"/>
    <w:rsid w:val="00015E9C"/>
    <w:rsid w:val="00051556"/>
    <w:rsid w:val="00092CC7"/>
    <w:rsid w:val="000B2DC9"/>
    <w:rsid w:val="000B7375"/>
    <w:rsid w:val="000D6353"/>
    <w:rsid w:val="000F7417"/>
    <w:rsid w:val="00107EAE"/>
    <w:rsid w:val="0015337C"/>
    <w:rsid w:val="001C7A7F"/>
    <w:rsid w:val="001D0CDD"/>
    <w:rsid w:val="001D22A1"/>
    <w:rsid w:val="002401D0"/>
    <w:rsid w:val="002C1C4A"/>
    <w:rsid w:val="0036359C"/>
    <w:rsid w:val="00561CD8"/>
    <w:rsid w:val="00601C7A"/>
    <w:rsid w:val="006B2E9E"/>
    <w:rsid w:val="006B636F"/>
    <w:rsid w:val="00723B93"/>
    <w:rsid w:val="0078287E"/>
    <w:rsid w:val="007913B2"/>
    <w:rsid w:val="00811D50"/>
    <w:rsid w:val="00817B04"/>
    <w:rsid w:val="00884032"/>
    <w:rsid w:val="008A3400"/>
    <w:rsid w:val="008F4BEF"/>
    <w:rsid w:val="00934B94"/>
    <w:rsid w:val="009368F4"/>
    <w:rsid w:val="00957C36"/>
    <w:rsid w:val="009D73B2"/>
    <w:rsid w:val="009F6BA9"/>
    <w:rsid w:val="009F7CE2"/>
    <w:rsid w:val="00A92CB8"/>
    <w:rsid w:val="00B32E91"/>
    <w:rsid w:val="00B36A8F"/>
    <w:rsid w:val="00B90DEC"/>
    <w:rsid w:val="00BD658B"/>
    <w:rsid w:val="00C009FE"/>
    <w:rsid w:val="00C91876"/>
    <w:rsid w:val="00CB087E"/>
    <w:rsid w:val="00CC343E"/>
    <w:rsid w:val="00CF700E"/>
    <w:rsid w:val="00D34F6F"/>
    <w:rsid w:val="00DC45B2"/>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9D347"/>
  <w15:chartTrackingRefBased/>
  <w15:docId w15:val="{42CBF445-C402-4FBC-B4C0-1538A535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BEF"/>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6B636F"/>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464</Words>
  <Characters>3735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Social-och miljöutskottets betänkande nr x/2023-2024</vt:lpstr>
    </vt:vector>
  </TitlesOfParts>
  <Company>Ålands lagting</Company>
  <LinksUpToDate>false</LinksUpToDate>
  <CharactersWithSpaces>4191</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Social-och miljöutskottets betänkande nr x/2023-2024</dc:title>
  <dc:subject/>
  <dc:creator>Jessica Laaksonen</dc:creator>
  <cp:keywords/>
  <cp:lastModifiedBy>Jessica Laaksonen</cp:lastModifiedBy>
  <cp:revision>2</cp:revision>
  <cp:lastPrinted>2024-09-24T07:38:00Z</cp:lastPrinted>
  <dcterms:created xsi:type="dcterms:W3CDTF">2024-09-24T12:03:00Z</dcterms:created>
  <dcterms:modified xsi:type="dcterms:W3CDTF">2024-09-24T12:03:00Z</dcterms:modified>
</cp:coreProperties>
</file>