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2B215B8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258796D" w14:textId="3B09F089" w:rsidR="002401D0" w:rsidRDefault="00B17FA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4325168" wp14:editId="075D78F6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7372F60" w14:textId="647DC66A" w:rsidR="002401D0" w:rsidRDefault="00B17FA1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96A042F" wp14:editId="73001049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4F3DF067" w14:textId="77777777">
        <w:trPr>
          <w:cantSplit/>
          <w:trHeight w:val="299"/>
        </w:trPr>
        <w:tc>
          <w:tcPr>
            <w:tcW w:w="861" w:type="dxa"/>
            <w:vMerge/>
          </w:tcPr>
          <w:p w14:paraId="39C21CB8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6D49948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5094237" w14:textId="7E55BBFF" w:rsidR="002401D0" w:rsidRDefault="002401D0" w:rsidP="00B36A8F">
            <w:pPr>
              <w:pStyle w:val="xDokTypNr"/>
            </w:pPr>
            <w:r>
              <w:t xml:space="preserve">BETÄNKANDE nr </w:t>
            </w:r>
            <w:r w:rsidR="008B6F89">
              <w:t>0</w:t>
            </w:r>
            <w:r w:rsidR="00A4436A">
              <w:t>5</w:t>
            </w:r>
            <w:r>
              <w:t>/</w:t>
            </w:r>
            <w:proofErr w:type="gramStart"/>
            <w:r>
              <w:t>20</w:t>
            </w:r>
            <w:r w:rsidR="002B1906">
              <w:t>23</w:t>
            </w:r>
            <w:r w:rsidR="0015337C">
              <w:t>-20</w:t>
            </w:r>
            <w:r w:rsidR="002B1906">
              <w:t>24</w:t>
            </w:r>
            <w:proofErr w:type="gramEnd"/>
          </w:p>
        </w:tc>
      </w:tr>
      <w:tr w:rsidR="002401D0" w14:paraId="1B7C1C26" w14:textId="77777777">
        <w:trPr>
          <w:cantSplit/>
          <w:trHeight w:val="238"/>
        </w:trPr>
        <w:tc>
          <w:tcPr>
            <w:tcW w:w="861" w:type="dxa"/>
            <w:vMerge/>
          </w:tcPr>
          <w:p w14:paraId="163C70A5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BA1986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971EA45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352293" w14:textId="77777777" w:rsidR="002401D0" w:rsidRDefault="002401D0">
            <w:pPr>
              <w:pStyle w:val="xLedtext"/>
            </w:pPr>
          </w:p>
        </w:tc>
      </w:tr>
      <w:tr w:rsidR="002401D0" w14:paraId="32B05787" w14:textId="77777777">
        <w:trPr>
          <w:cantSplit/>
          <w:trHeight w:val="238"/>
        </w:trPr>
        <w:tc>
          <w:tcPr>
            <w:tcW w:w="861" w:type="dxa"/>
            <w:vMerge/>
          </w:tcPr>
          <w:p w14:paraId="0350A0DF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7382DEE" w14:textId="61C8088D" w:rsidR="002401D0" w:rsidRDefault="002B1906">
            <w:pPr>
              <w:pStyle w:val="xAvsandare2"/>
            </w:pPr>
            <w:r>
              <w:t>Social-och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5146CFAA" w14:textId="6106A793" w:rsidR="002401D0" w:rsidRDefault="002401D0">
            <w:pPr>
              <w:pStyle w:val="xDatum1"/>
            </w:pPr>
            <w:r>
              <w:t>20</w:t>
            </w:r>
            <w:r w:rsidR="002B1906">
              <w:t>2</w:t>
            </w:r>
            <w:r w:rsidR="00BF2402">
              <w:t>4</w:t>
            </w:r>
            <w:r w:rsidR="002B1906">
              <w:t>-</w:t>
            </w:r>
            <w:r w:rsidR="00660F24">
              <w:t>09</w:t>
            </w:r>
            <w:r w:rsidR="002B1906">
              <w:t>-</w:t>
            </w:r>
            <w:r w:rsidR="00660F24">
              <w:t>19</w:t>
            </w:r>
          </w:p>
        </w:tc>
        <w:tc>
          <w:tcPr>
            <w:tcW w:w="2563" w:type="dxa"/>
            <w:vAlign w:val="center"/>
          </w:tcPr>
          <w:p w14:paraId="24999330" w14:textId="77777777" w:rsidR="002401D0" w:rsidRDefault="002401D0">
            <w:pPr>
              <w:pStyle w:val="xBeteckning1"/>
            </w:pPr>
          </w:p>
        </w:tc>
      </w:tr>
      <w:tr w:rsidR="002401D0" w14:paraId="1B489723" w14:textId="77777777">
        <w:trPr>
          <w:cantSplit/>
          <w:trHeight w:val="238"/>
        </w:trPr>
        <w:tc>
          <w:tcPr>
            <w:tcW w:w="861" w:type="dxa"/>
            <w:vMerge/>
          </w:tcPr>
          <w:p w14:paraId="321AADA3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48406A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800169A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66FD4EE" w14:textId="77777777" w:rsidR="002401D0" w:rsidRDefault="002401D0">
            <w:pPr>
              <w:pStyle w:val="xLedtext"/>
            </w:pPr>
          </w:p>
        </w:tc>
      </w:tr>
      <w:tr w:rsidR="002401D0" w14:paraId="14086FC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ADAEA0A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B5150AF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9911541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E923A0" w14:textId="77777777" w:rsidR="002401D0" w:rsidRDefault="002401D0">
            <w:pPr>
              <w:pStyle w:val="xBeteckning2"/>
            </w:pPr>
          </w:p>
        </w:tc>
      </w:tr>
      <w:tr w:rsidR="002401D0" w14:paraId="0785C06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2B4865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292DD80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74830D2" w14:textId="77777777" w:rsidR="002401D0" w:rsidRDefault="002401D0">
            <w:pPr>
              <w:pStyle w:val="xLedtext"/>
            </w:pPr>
          </w:p>
        </w:tc>
      </w:tr>
      <w:tr w:rsidR="002401D0" w14:paraId="5E53E766" w14:textId="77777777">
        <w:trPr>
          <w:cantSplit/>
          <w:trHeight w:val="238"/>
        </w:trPr>
        <w:tc>
          <w:tcPr>
            <w:tcW w:w="861" w:type="dxa"/>
          </w:tcPr>
          <w:p w14:paraId="313337A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4EA4A99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B3C9603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582EBD6C" w14:textId="77777777">
        <w:trPr>
          <w:cantSplit/>
          <w:trHeight w:val="238"/>
        </w:trPr>
        <w:tc>
          <w:tcPr>
            <w:tcW w:w="861" w:type="dxa"/>
          </w:tcPr>
          <w:p w14:paraId="53E12D1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08AA611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2119930" w14:textId="77777777" w:rsidR="002401D0" w:rsidRDefault="002401D0">
            <w:pPr>
              <w:pStyle w:val="xCelltext"/>
            </w:pPr>
          </w:p>
        </w:tc>
      </w:tr>
      <w:tr w:rsidR="002401D0" w14:paraId="4044EB3A" w14:textId="77777777">
        <w:trPr>
          <w:cantSplit/>
          <w:trHeight w:val="238"/>
        </w:trPr>
        <w:tc>
          <w:tcPr>
            <w:tcW w:w="861" w:type="dxa"/>
          </w:tcPr>
          <w:p w14:paraId="1425CEA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74834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5DDFD22" w14:textId="77777777" w:rsidR="002401D0" w:rsidRDefault="002401D0">
            <w:pPr>
              <w:pStyle w:val="xCelltext"/>
            </w:pPr>
          </w:p>
        </w:tc>
      </w:tr>
      <w:tr w:rsidR="002401D0" w14:paraId="6DD001AA" w14:textId="77777777">
        <w:trPr>
          <w:cantSplit/>
          <w:trHeight w:val="238"/>
        </w:trPr>
        <w:tc>
          <w:tcPr>
            <w:tcW w:w="861" w:type="dxa"/>
          </w:tcPr>
          <w:p w14:paraId="2F00DCC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F2357F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9F1D6F4" w14:textId="77777777" w:rsidR="002401D0" w:rsidRDefault="002401D0">
            <w:pPr>
              <w:pStyle w:val="xCelltext"/>
            </w:pPr>
          </w:p>
        </w:tc>
      </w:tr>
      <w:tr w:rsidR="002401D0" w14:paraId="72FB0EF9" w14:textId="77777777">
        <w:trPr>
          <w:cantSplit/>
          <w:trHeight w:val="238"/>
        </w:trPr>
        <w:tc>
          <w:tcPr>
            <w:tcW w:w="861" w:type="dxa"/>
          </w:tcPr>
          <w:p w14:paraId="5FDCCB58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71E11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FD4D4F9" w14:textId="77777777" w:rsidR="002401D0" w:rsidRDefault="002401D0">
            <w:pPr>
              <w:pStyle w:val="xCelltext"/>
            </w:pPr>
          </w:p>
        </w:tc>
      </w:tr>
    </w:tbl>
    <w:p w14:paraId="247A6157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5F51C41" w14:textId="55F8029E" w:rsidR="002401D0" w:rsidRDefault="002B1906">
      <w:pPr>
        <w:pStyle w:val="ArendeOverRubrik"/>
      </w:pPr>
      <w:r>
        <w:t>Social-och miljö</w:t>
      </w:r>
      <w:r w:rsidR="002401D0">
        <w:t>utskottets betänkande</w:t>
      </w:r>
    </w:p>
    <w:p w14:paraId="27498E54" w14:textId="05FC7F0A" w:rsidR="002401D0" w:rsidRDefault="00BF2402">
      <w:pPr>
        <w:pStyle w:val="ArendeRubrik"/>
      </w:pPr>
      <w:r>
        <w:t>Registerbaserad kvalitetssäkring och preciserade regler om vårdgarantin inom hälso- och sjukvården</w:t>
      </w:r>
    </w:p>
    <w:p w14:paraId="4BE60681" w14:textId="42A24E04" w:rsidR="002401D0" w:rsidRDefault="002B1906">
      <w:pPr>
        <w:pStyle w:val="ArendeUnderRubrik"/>
      </w:pPr>
      <w:r>
        <w:t>Landskapsregeringens lagförslag LF 1</w:t>
      </w:r>
      <w:r w:rsidR="00BF2402">
        <w:t>7</w:t>
      </w:r>
      <w:r>
        <w:t>/</w:t>
      </w:r>
      <w:proofErr w:type="gramStart"/>
      <w:r>
        <w:t>2023-2024</w:t>
      </w:r>
      <w:proofErr w:type="gramEnd"/>
    </w:p>
    <w:p w14:paraId="52946279" w14:textId="77777777" w:rsidR="002401D0" w:rsidRDefault="002401D0">
      <w:pPr>
        <w:pStyle w:val="ANormal"/>
      </w:pPr>
    </w:p>
    <w:p w14:paraId="21928D1B" w14:textId="77777777" w:rsidR="002401D0" w:rsidRDefault="002401D0">
      <w:pPr>
        <w:pStyle w:val="Innehll1"/>
      </w:pPr>
      <w:r>
        <w:t>INNEHÅLL</w:t>
      </w:r>
    </w:p>
    <w:p w14:paraId="6BDA33D4" w14:textId="6191C1B7" w:rsidR="009B2D13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77742661" w:history="1">
        <w:r w:rsidR="009B2D13" w:rsidRPr="00CB383D">
          <w:rPr>
            <w:rStyle w:val="Hyperlnk"/>
          </w:rPr>
          <w:t>Sammanfattning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_Toc177742661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1</w:t>
        </w:r>
        <w:r w:rsidR="009B2D13">
          <w:rPr>
            <w:webHidden/>
          </w:rPr>
          <w:fldChar w:fldCharType="end"/>
        </w:r>
      </w:hyperlink>
    </w:p>
    <w:p w14:paraId="2D033810" w14:textId="75D4D44F" w:rsidR="009B2D13" w:rsidRDefault="00551C56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2" w:history="1">
        <w:r w:rsidR="009B2D13" w:rsidRPr="00CB383D">
          <w:rPr>
            <w:rStyle w:val="Hyperlnk"/>
          </w:rPr>
          <w:t>Landskapsregeringens förslag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_Toc177742662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1</w:t>
        </w:r>
        <w:r w:rsidR="009B2D13">
          <w:rPr>
            <w:webHidden/>
          </w:rPr>
          <w:fldChar w:fldCharType="end"/>
        </w:r>
      </w:hyperlink>
    </w:p>
    <w:p w14:paraId="6F8A94F4" w14:textId="71BD5713" w:rsidR="009B2D13" w:rsidRDefault="00551C56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3" w:history="1">
        <w:r w:rsidR="009B2D13" w:rsidRPr="00CB383D">
          <w:rPr>
            <w:rStyle w:val="Hyperlnk"/>
          </w:rPr>
          <w:t>Utskottets förslag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_Toc177742663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1</w:t>
        </w:r>
        <w:r w:rsidR="009B2D13">
          <w:rPr>
            <w:webHidden/>
          </w:rPr>
          <w:fldChar w:fldCharType="end"/>
        </w:r>
      </w:hyperlink>
    </w:p>
    <w:p w14:paraId="328137FF" w14:textId="4A5D27FA" w:rsidR="009B2D13" w:rsidRDefault="00551C56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4" w:history="1">
        <w:r w:rsidR="009B2D13" w:rsidRPr="00CB383D">
          <w:rPr>
            <w:rStyle w:val="Hyperlnk"/>
          </w:rPr>
          <w:t>Utskottets synpunkter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_Toc177742664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1</w:t>
        </w:r>
        <w:r w:rsidR="009B2D13">
          <w:rPr>
            <w:webHidden/>
          </w:rPr>
          <w:fldChar w:fldCharType="end"/>
        </w:r>
      </w:hyperlink>
    </w:p>
    <w:p w14:paraId="224E0615" w14:textId="34EB8333" w:rsidR="009B2D13" w:rsidRDefault="00551C56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5" w:history="1">
        <w:r w:rsidR="009B2D13" w:rsidRPr="00CB383D">
          <w:rPr>
            <w:rStyle w:val="Hyperlnk"/>
          </w:rPr>
          <w:t>Allmän motivering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_Toc177742665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1</w:t>
        </w:r>
        <w:r w:rsidR="009B2D13">
          <w:rPr>
            <w:webHidden/>
          </w:rPr>
          <w:fldChar w:fldCharType="end"/>
        </w:r>
      </w:hyperlink>
    </w:p>
    <w:p w14:paraId="264C224E" w14:textId="2357E60D" w:rsidR="009B2D13" w:rsidRDefault="00551C56">
      <w:pPr>
        <w:pStyle w:val="Innehll3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6" w:history="1">
        <w:r w:rsidR="009B2D13" w:rsidRPr="00CB383D">
          <w:rPr>
            <w:rStyle w:val="Hyperlnk"/>
          </w:rPr>
          <w:t>Kvalitetsregister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_Toc177742666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1</w:t>
        </w:r>
        <w:r w:rsidR="009B2D13">
          <w:rPr>
            <w:webHidden/>
          </w:rPr>
          <w:fldChar w:fldCharType="end"/>
        </w:r>
      </w:hyperlink>
    </w:p>
    <w:p w14:paraId="51CCD989" w14:textId="5C63489C" w:rsidR="009B2D13" w:rsidRDefault="00551C56">
      <w:pPr>
        <w:pStyle w:val="Innehll3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7" w:history="1">
        <w:r w:rsidR="009B2D13" w:rsidRPr="00CB383D">
          <w:rPr>
            <w:rStyle w:val="Hyperlnk"/>
          </w:rPr>
          <w:t>Vårdgaranti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_Toc177742667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3</w:t>
        </w:r>
        <w:r w:rsidR="009B2D13">
          <w:rPr>
            <w:webHidden/>
          </w:rPr>
          <w:fldChar w:fldCharType="end"/>
        </w:r>
      </w:hyperlink>
    </w:p>
    <w:p w14:paraId="3AC23662" w14:textId="683473E9" w:rsidR="009B2D13" w:rsidRDefault="00551C56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8" w:history="1">
        <w:r w:rsidR="009B2D13" w:rsidRPr="00CB383D">
          <w:rPr>
            <w:rStyle w:val="Hyperlnk"/>
          </w:rPr>
          <w:t>Ärendets behandling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_Toc177742668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4</w:t>
        </w:r>
        <w:r w:rsidR="009B2D13">
          <w:rPr>
            <w:webHidden/>
          </w:rPr>
          <w:fldChar w:fldCharType="end"/>
        </w:r>
      </w:hyperlink>
    </w:p>
    <w:p w14:paraId="47AD30BB" w14:textId="6F04E7E6" w:rsidR="009B2D13" w:rsidRDefault="00551C56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742669" w:history="1">
        <w:r w:rsidR="009B2D13" w:rsidRPr="00CB383D">
          <w:rPr>
            <w:rStyle w:val="Hyperlnk"/>
          </w:rPr>
          <w:t>Utskottets förslag</w:t>
        </w:r>
        <w:r w:rsidR="009B2D13">
          <w:rPr>
            <w:webHidden/>
          </w:rPr>
          <w:tab/>
        </w:r>
        <w:r w:rsidR="009B2D13">
          <w:rPr>
            <w:webHidden/>
          </w:rPr>
          <w:fldChar w:fldCharType="begin"/>
        </w:r>
        <w:r w:rsidR="009B2D13">
          <w:rPr>
            <w:webHidden/>
          </w:rPr>
          <w:instrText xml:space="preserve"> PAGEREF _Toc177742669 \h </w:instrText>
        </w:r>
        <w:r w:rsidR="009B2D13">
          <w:rPr>
            <w:webHidden/>
          </w:rPr>
        </w:r>
        <w:r w:rsidR="009B2D13">
          <w:rPr>
            <w:webHidden/>
          </w:rPr>
          <w:fldChar w:fldCharType="separate"/>
        </w:r>
        <w:r w:rsidR="009B2D13">
          <w:rPr>
            <w:webHidden/>
          </w:rPr>
          <w:t>5</w:t>
        </w:r>
        <w:r w:rsidR="009B2D13">
          <w:rPr>
            <w:webHidden/>
          </w:rPr>
          <w:fldChar w:fldCharType="end"/>
        </w:r>
      </w:hyperlink>
    </w:p>
    <w:p w14:paraId="2A6E5741" w14:textId="5A335BAF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616100F" w14:textId="77777777" w:rsidR="002401D0" w:rsidRDefault="002401D0">
      <w:pPr>
        <w:pStyle w:val="ANormal"/>
      </w:pPr>
    </w:p>
    <w:p w14:paraId="7772F92C" w14:textId="77777777" w:rsidR="002401D0" w:rsidRDefault="002401D0">
      <w:pPr>
        <w:pStyle w:val="RubrikA"/>
      </w:pPr>
      <w:bookmarkStart w:id="1" w:name="_Toc529800932"/>
      <w:bookmarkStart w:id="2" w:name="_Toc177742661"/>
      <w:r>
        <w:t>Sammanfattning</w:t>
      </w:r>
      <w:bookmarkEnd w:id="1"/>
      <w:bookmarkEnd w:id="2"/>
    </w:p>
    <w:p w14:paraId="10CDF224" w14:textId="77777777" w:rsidR="002401D0" w:rsidRDefault="002401D0">
      <w:pPr>
        <w:pStyle w:val="Rubrikmellanrum"/>
      </w:pPr>
    </w:p>
    <w:p w14:paraId="47CF0AF2" w14:textId="0FDCB580" w:rsidR="002401D0" w:rsidRDefault="002B1906">
      <w:pPr>
        <w:pStyle w:val="RubrikB"/>
      </w:pPr>
      <w:bookmarkStart w:id="3" w:name="_Toc529800933"/>
      <w:bookmarkStart w:id="4" w:name="_Toc177742662"/>
      <w:r>
        <w:t>Landskapsregeringens</w:t>
      </w:r>
      <w:r w:rsidR="002401D0">
        <w:t xml:space="preserve"> förslag</w:t>
      </w:r>
      <w:bookmarkEnd w:id="3"/>
      <w:bookmarkEnd w:id="4"/>
    </w:p>
    <w:p w14:paraId="6CE3C4C5" w14:textId="77777777" w:rsidR="002401D0" w:rsidRDefault="002401D0">
      <w:pPr>
        <w:pStyle w:val="Rubrikmellanrum"/>
      </w:pPr>
    </w:p>
    <w:p w14:paraId="551F65CE" w14:textId="28481A0C" w:rsidR="00BF2402" w:rsidRDefault="00BF2402">
      <w:pPr>
        <w:pStyle w:val="ANormal"/>
      </w:pPr>
      <w:r w:rsidRPr="00BF2402">
        <w:t xml:space="preserve">Landskapsregeringen föreslår att landskapslagen om hälso- och sjukvård ändras för </w:t>
      </w:r>
      <w:r>
        <w:t xml:space="preserve">att säkerställa att </w:t>
      </w:r>
      <w:r w:rsidRPr="00BF2402">
        <w:t xml:space="preserve">Ålands hälso- och sjukvård (ÅHS) </w:t>
      </w:r>
      <w:r>
        <w:t>kan</w:t>
      </w:r>
      <w:r w:rsidRPr="00BF2402">
        <w:t xml:space="preserve"> behandla hälsouppgifter i kvalitetsregister</w:t>
      </w:r>
      <w:r w:rsidR="00393FBA">
        <w:t xml:space="preserve"> samt </w:t>
      </w:r>
      <w:r w:rsidR="00422BE7">
        <w:t xml:space="preserve">att </w:t>
      </w:r>
      <w:r w:rsidR="00422BE7" w:rsidRPr="00CE265E">
        <w:rPr>
          <w:szCs w:val="22"/>
        </w:rPr>
        <w:t>tydliggöra tidsgränserna för bedömning av remisser, bedömning av vårdbehov och ordnande av vård</w:t>
      </w:r>
      <w:r w:rsidR="00422BE7">
        <w:rPr>
          <w:szCs w:val="22"/>
        </w:rPr>
        <w:t xml:space="preserve">. </w:t>
      </w:r>
    </w:p>
    <w:p w14:paraId="7900B81E" w14:textId="2418591D" w:rsidR="002401D0" w:rsidRDefault="002B1906">
      <w:pPr>
        <w:pStyle w:val="ANormal"/>
      </w:pPr>
      <w:r>
        <w:tab/>
      </w:r>
    </w:p>
    <w:p w14:paraId="597D9FE6" w14:textId="77777777" w:rsidR="002401D0" w:rsidRDefault="002401D0">
      <w:pPr>
        <w:pStyle w:val="RubrikB"/>
      </w:pPr>
      <w:bookmarkStart w:id="5" w:name="_Toc529800934"/>
      <w:bookmarkStart w:id="6" w:name="_Toc177742663"/>
      <w:r>
        <w:t>Utskottets förslag</w:t>
      </w:r>
      <w:bookmarkEnd w:id="5"/>
      <w:bookmarkEnd w:id="6"/>
    </w:p>
    <w:p w14:paraId="436C29C0" w14:textId="77777777" w:rsidR="002401D0" w:rsidRDefault="002401D0">
      <w:pPr>
        <w:pStyle w:val="Rubrikmellanrum"/>
      </w:pPr>
    </w:p>
    <w:p w14:paraId="278A7382" w14:textId="2DA83262" w:rsidR="002401D0" w:rsidRDefault="002E291D">
      <w:pPr>
        <w:pStyle w:val="ANormal"/>
      </w:pPr>
      <w:r>
        <w:t xml:space="preserve">Utskottet föreslår att lagförslaget antas </w:t>
      </w:r>
      <w:r w:rsidR="0083375E" w:rsidRPr="00EA5D9C">
        <w:t>utan ändringar</w:t>
      </w:r>
      <w:r w:rsidR="00393FBA">
        <w:t xml:space="preserve">. </w:t>
      </w:r>
    </w:p>
    <w:p w14:paraId="057E0404" w14:textId="77777777" w:rsidR="002401D0" w:rsidRDefault="002401D0">
      <w:pPr>
        <w:pStyle w:val="ANormal"/>
      </w:pPr>
    </w:p>
    <w:p w14:paraId="4E6CD35C" w14:textId="77777777" w:rsidR="002401D0" w:rsidRDefault="002401D0">
      <w:pPr>
        <w:pStyle w:val="RubrikA"/>
      </w:pPr>
      <w:bookmarkStart w:id="7" w:name="_Toc529800935"/>
      <w:bookmarkStart w:id="8" w:name="_Toc177742664"/>
      <w:r>
        <w:t>Utskottets synpunkter</w:t>
      </w:r>
      <w:bookmarkEnd w:id="7"/>
      <w:bookmarkEnd w:id="8"/>
    </w:p>
    <w:p w14:paraId="3FF55C52" w14:textId="77777777" w:rsidR="002401D0" w:rsidRDefault="002401D0">
      <w:pPr>
        <w:pStyle w:val="Rubrikmellanrum"/>
      </w:pPr>
    </w:p>
    <w:p w14:paraId="42E37ED8" w14:textId="5820EBB8" w:rsidR="002401D0" w:rsidRDefault="00787877" w:rsidP="00787877">
      <w:pPr>
        <w:pStyle w:val="RubrikB"/>
      </w:pPr>
      <w:bookmarkStart w:id="9" w:name="_Toc177742665"/>
      <w:r>
        <w:t>Allmän motivering</w:t>
      </w:r>
      <w:bookmarkEnd w:id="9"/>
    </w:p>
    <w:p w14:paraId="3451ECA8" w14:textId="77777777" w:rsidR="00380663" w:rsidRDefault="00380663" w:rsidP="00380663">
      <w:pPr>
        <w:pStyle w:val="Rubrikmellanrum"/>
      </w:pPr>
    </w:p>
    <w:p w14:paraId="4053F7FA" w14:textId="69092F6E" w:rsidR="00380663" w:rsidRDefault="00380663" w:rsidP="00380663">
      <w:pPr>
        <w:pStyle w:val="ANormal"/>
        <w:rPr>
          <w:i/>
          <w:iCs/>
        </w:rPr>
      </w:pPr>
      <w:r>
        <w:rPr>
          <w:i/>
          <w:iCs/>
        </w:rPr>
        <w:t>Allmänt</w:t>
      </w:r>
    </w:p>
    <w:p w14:paraId="4D5DE6E8" w14:textId="37C66A44" w:rsidR="0083375E" w:rsidRDefault="0083375E" w:rsidP="00380663">
      <w:pPr>
        <w:pStyle w:val="ANormal"/>
      </w:pPr>
      <w:r>
        <w:t xml:space="preserve">Lagförslaget omfattar ett tillägg om kvalitetsregister samt en ändring gällande vårdgarantin av landskapslagen (2011:114) om hälso- och sjukvård. </w:t>
      </w:r>
      <w:r w:rsidR="00725FFF">
        <w:t xml:space="preserve">Idag finns inget tydligt lagligt stöd för </w:t>
      </w:r>
      <w:r w:rsidR="003D3F14">
        <w:t>offentlig sjukvård på Åland</w:t>
      </w:r>
      <w:r w:rsidR="00725FFF">
        <w:t xml:space="preserve"> att föra</w:t>
      </w:r>
      <w:r w:rsidR="003D3F14">
        <w:t xml:space="preserve"> kvalitetsregister trots att hälso- och sjukvårdslagen föreskriver kvalitativ vård samt att ÅHS ska rapportera in data till nationella system och register som tillhandahålls av Institutet för hälsa och välfärd (THL).</w:t>
      </w:r>
      <w:r w:rsidR="00EA5D9C">
        <w:t xml:space="preserve"> </w:t>
      </w:r>
      <w:r w:rsidR="00393FBA" w:rsidRPr="00393FBA">
        <w:t xml:space="preserve">Landskapsregeringen föreslår </w:t>
      </w:r>
      <w:r w:rsidR="00393FBA">
        <w:t>även</w:t>
      </w:r>
      <w:r w:rsidR="00393FBA" w:rsidRPr="00393FBA">
        <w:t xml:space="preserve"> en ändring av lagen för att tydliggöra tidsgränserna för bedömning av remisser, bedömning av vårdbehov och ordnande av vård.</w:t>
      </w:r>
    </w:p>
    <w:p w14:paraId="2A36EF61" w14:textId="77777777" w:rsidR="00576A87" w:rsidRDefault="00576A87" w:rsidP="00380663">
      <w:pPr>
        <w:pStyle w:val="ANormal"/>
      </w:pPr>
    </w:p>
    <w:p w14:paraId="061913AB" w14:textId="6F626C76" w:rsidR="00576A87" w:rsidRPr="0083375E" w:rsidRDefault="00576A87" w:rsidP="00852332">
      <w:pPr>
        <w:pStyle w:val="RubrikC"/>
      </w:pPr>
      <w:bookmarkStart w:id="10" w:name="_Toc177742666"/>
      <w:r>
        <w:t>Kvalitetsregister</w:t>
      </w:r>
      <w:bookmarkEnd w:id="10"/>
      <w:r>
        <w:t xml:space="preserve"> </w:t>
      </w:r>
    </w:p>
    <w:p w14:paraId="20ECEB8D" w14:textId="77777777" w:rsidR="00380663" w:rsidRDefault="00380663" w:rsidP="00380663">
      <w:pPr>
        <w:pStyle w:val="ANormal"/>
        <w:rPr>
          <w:i/>
          <w:iCs/>
          <w:sz w:val="10"/>
          <w:szCs w:val="10"/>
        </w:rPr>
      </w:pPr>
    </w:p>
    <w:p w14:paraId="4E005E79" w14:textId="77777777" w:rsidR="00546F32" w:rsidRDefault="00546F32" w:rsidP="00546F32">
      <w:pPr>
        <w:pStyle w:val="Rubrikmellanrum"/>
      </w:pPr>
    </w:p>
    <w:p w14:paraId="34E59744" w14:textId="1270411D" w:rsidR="00C15CCF" w:rsidRDefault="006A33A9" w:rsidP="00852332">
      <w:pPr>
        <w:pStyle w:val="RubrikD"/>
      </w:pPr>
      <w:r>
        <w:t>B</w:t>
      </w:r>
      <w:r w:rsidR="007338E9">
        <w:t xml:space="preserve">estämmelser </w:t>
      </w:r>
      <w:r w:rsidR="00393FBA">
        <w:t xml:space="preserve">om register </w:t>
      </w:r>
      <w:r w:rsidR="007338E9">
        <w:t>som avviker från rikets lagstiftning på området</w:t>
      </w:r>
    </w:p>
    <w:p w14:paraId="10561030" w14:textId="77777777" w:rsidR="00C15CCF" w:rsidRDefault="00C15CCF" w:rsidP="00546F32">
      <w:pPr>
        <w:pStyle w:val="ANormal"/>
        <w:rPr>
          <w:i/>
          <w:iCs/>
          <w:sz w:val="10"/>
          <w:szCs w:val="10"/>
        </w:rPr>
      </w:pPr>
    </w:p>
    <w:p w14:paraId="4532C101" w14:textId="4A06F092" w:rsidR="00D26134" w:rsidRDefault="00CA7CC7" w:rsidP="00C15CCF">
      <w:pPr>
        <w:pStyle w:val="ANormal"/>
        <w:rPr>
          <w:szCs w:val="22"/>
        </w:rPr>
      </w:pPr>
      <w:r>
        <w:rPr>
          <w:szCs w:val="22"/>
        </w:rPr>
        <w:t xml:space="preserve">Av lagförslaget framgår att </w:t>
      </w:r>
      <w:r w:rsidR="00D26134">
        <w:rPr>
          <w:szCs w:val="22"/>
        </w:rPr>
        <w:t xml:space="preserve">EU:s dataskyddsförordning och den åländska dataskyddslagen (2019:9) varit utgångspunkt för lagförslaget om kvalitetsregister. </w:t>
      </w:r>
      <w:r w:rsidR="00215286">
        <w:rPr>
          <w:szCs w:val="22"/>
        </w:rPr>
        <w:t>För vårdgivare i riket reglera</w:t>
      </w:r>
      <w:r w:rsidR="006B7B60">
        <w:rPr>
          <w:szCs w:val="22"/>
        </w:rPr>
        <w:t>s</w:t>
      </w:r>
      <w:r w:rsidR="00215286">
        <w:rPr>
          <w:szCs w:val="22"/>
        </w:rPr>
        <w:t xml:space="preserve"> sedan den 1 januari 2024 lagen </w:t>
      </w:r>
      <w:r w:rsidR="00215286" w:rsidRPr="00215286">
        <w:rPr>
          <w:szCs w:val="22"/>
        </w:rPr>
        <w:t xml:space="preserve">(FFS 703/2023) </w:t>
      </w:r>
      <w:r w:rsidR="00215286">
        <w:rPr>
          <w:szCs w:val="22"/>
        </w:rPr>
        <w:t xml:space="preserve">om behandling av kunduppgifter inom social- och hälsovården </w:t>
      </w:r>
      <w:r w:rsidR="00215286">
        <w:rPr>
          <w:szCs w:val="22"/>
        </w:rPr>
        <w:lastRenderedPageBreak/>
        <w:t xml:space="preserve">användningen av </w:t>
      </w:r>
      <w:r w:rsidR="004D6C8F">
        <w:rPr>
          <w:szCs w:val="22"/>
        </w:rPr>
        <w:t>känsliga personuppgifter</w:t>
      </w:r>
      <w:r w:rsidR="00215286">
        <w:rPr>
          <w:szCs w:val="22"/>
        </w:rPr>
        <w:t xml:space="preserve"> och hälsouppgifter i </w:t>
      </w:r>
      <w:r w:rsidR="004D6C8F">
        <w:rPr>
          <w:szCs w:val="22"/>
        </w:rPr>
        <w:t>informationssystemen</w:t>
      </w:r>
      <w:r w:rsidR="00215286">
        <w:rPr>
          <w:szCs w:val="22"/>
        </w:rPr>
        <w:t>. Lagen tillämpas inte på Åland</w:t>
      </w:r>
      <w:r w:rsidR="004D6C8F">
        <w:rPr>
          <w:szCs w:val="22"/>
        </w:rPr>
        <w:t xml:space="preserve"> och en landskapslag med motsvariga bestämmelser är under beredning. </w:t>
      </w:r>
    </w:p>
    <w:p w14:paraId="4D0EA30E" w14:textId="77777777" w:rsidR="006B7B60" w:rsidRDefault="00A7461A" w:rsidP="00C15CCF">
      <w:pPr>
        <w:pStyle w:val="ANormal"/>
        <w:rPr>
          <w:szCs w:val="22"/>
        </w:rPr>
      </w:pPr>
      <w:r>
        <w:rPr>
          <w:szCs w:val="22"/>
        </w:rPr>
        <w:t xml:space="preserve"> </w:t>
      </w:r>
    </w:p>
    <w:p w14:paraId="30782DAF" w14:textId="5A130432" w:rsidR="00531290" w:rsidRDefault="006B7B60" w:rsidP="00852332">
      <w:pPr>
        <w:pStyle w:val="RubrikD"/>
      </w:pPr>
      <w:r w:rsidRPr="006B7B60">
        <w:t>Kvalitetsregister</w:t>
      </w:r>
      <w:r>
        <w:t xml:space="preserve"> </w:t>
      </w:r>
      <w:r w:rsidR="00531290" w:rsidRPr="00531290">
        <w:t>inom den privata hälso- och sjukvården</w:t>
      </w:r>
    </w:p>
    <w:p w14:paraId="2DBE8144" w14:textId="77777777" w:rsidR="00852332" w:rsidRPr="00852332" w:rsidRDefault="00852332" w:rsidP="00852332">
      <w:pPr>
        <w:pStyle w:val="Rubrikmellanrum"/>
      </w:pPr>
    </w:p>
    <w:p w14:paraId="6937B159" w14:textId="59B394C2" w:rsidR="00215286" w:rsidRDefault="00D94999" w:rsidP="00C15CCF">
      <w:pPr>
        <w:pStyle w:val="ANormal"/>
        <w:rPr>
          <w:szCs w:val="22"/>
        </w:rPr>
      </w:pPr>
      <w:r>
        <w:rPr>
          <w:szCs w:val="22"/>
        </w:rPr>
        <w:t xml:space="preserve">Den föreslagna lagändringen gäller </w:t>
      </w:r>
      <w:r w:rsidR="006971E7">
        <w:rPr>
          <w:szCs w:val="22"/>
        </w:rPr>
        <w:t>landskapslagen</w:t>
      </w:r>
      <w:r>
        <w:rPr>
          <w:szCs w:val="22"/>
        </w:rPr>
        <w:t xml:space="preserve"> om hälso- och sjukvård, som enbart tillämpas på den offentliga sjukvården. </w:t>
      </w:r>
      <w:r w:rsidR="0052511F">
        <w:rPr>
          <w:szCs w:val="22"/>
        </w:rPr>
        <w:t xml:space="preserve">Landskapsregeringen konstaterar i sin allmänna motivering till lagförslaget att </w:t>
      </w:r>
      <w:r w:rsidR="00215286">
        <w:rPr>
          <w:szCs w:val="22"/>
        </w:rPr>
        <w:t>det grundläggande rättsliga ramverket</w:t>
      </w:r>
      <w:r w:rsidR="0052511F">
        <w:rPr>
          <w:szCs w:val="22"/>
        </w:rPr>
        <w:t xml:space="preserve"> för sammanhållen, elektronisk journalföring (</w:t>
      </w:r>
      <w:proofErr w:type="gramStart"/>
      <w:r w:rsidR="006B7B60">
        <w:rPr>
          <w:szCs w:val="22"/>
        </w:rPr>
        <w:t>t.ex.</w:t>
      </w:r>
      <w:proofErr w:type="gramEnd"/>
      <w:r w:rsidR="006B7B60">
        <w:rPr>
          <w:szCs w:val="22"/>
        </w:rPr>
        <w:t xml:space="preserve"> </w:t>
      </w:r>
      <w:r w:rsidR="004D580B">
        <w:rPr>
          <w:szCs w:val="22"/>
        </w:rPr>
        <w:t xml:space="preserve">anslutning till </w:t>
      </w:r>
      <w:r w:rsidR="0052511F">
        <w:rPr>
          <w:szCs w:val="22"/>
        </w:rPr>
        <w:t xml:space="preserve">Kanta-tjänsten) bör vara på plats inom den </w:t>
      </w:r>
      <w:r w:rsidR="00215286">
        <w:rPr>
          <w:szCs w:val="22"/>
        </w:rPr>
        <w:t>offentliga</w:t>
      </w:r>
      <w:r w:rsidR="0052511F">
        <w:rPr>
          <w:szCs w:val="22"/>
        </w:rPr>
        <w:t xml:space="preserve"> sjukvården innan kvalitetsregistren </w:t>
      </w:r>
      <w:r w:rsidR="00215286">
        <w:rPr>
          <w:szCs w:val="22"/>
        </w:rPr>
        <w:t>utvidgas</w:t>
      </w:r>
      <w:r w:rsidR="0052511F">
        <w:rPr>
          <w:szCs w:val="22"/>
        </w:rPr>
        <w:t xml:space="preserve"> till att omfatta även socialvård och den privata hälso- och sjukvården. Av den orsaken </w:t>
      </w:r>
      <w:r>
        <w:rPr>
          <w:szCs w:val="22"/>
        </w:rPr>
        <w:t>omfattar lagstiftningsförslaget inte den privata hälso- och sjukvården</w:t>
      </w:r>
      <w:r w:rsidR="004D580B">
        <w:rPr>
          <w:szCs w:val="22"/>
        </w:rPr>
        <w:t xml:space="preserve"> i det här skedet</w:t>
      </w:r>
      <w:r>
        <w:rPr>
          <w:szCs w:val="22"/>
        </w:rPr>
        <w:t xml:space="preserve">. </w:t>
      </w:r>
      <w:r w:rsidR="004D580B">
        <w:rPr>
          <w:szCs w:val="22"/>
        </w:rPr>
        <w:t xml:space="preserve">Utskottet konstaterar att likabehandling av patientuppgifter oavsett vilken aktör </w:t>
      </w:r>
      <w:r w:rsidR="006B7B60">
        <w:rPr>
          <w:szCs w:val="22"/>
        </w:rPr>
        <w:t xml:space="preserve">som utför </w:t>
      </w:r>
      <w:r w:rsidR="004D580B">
        <w:rPr>
          <w:szCs w:val="22"/>
        </w:rPr>
        <w:t>vården är centralt, och uppmanar landskapsregering att ta kvalitetsregister för den privata hälso- och sjukvården samt socialvården i beaktande i en kommande revidering av landskapslag (2011:114) om åländska hälso- och sjukvårdslagen</w:t>
      </w:r>
      <w:r w:rsidR="006B7B60">
        <w:rPr>
          <w:szCs w:val="22"/>
        </w:rPr>
        <w:t>.</w:t>
      </w:r>
      <w:r w:rsidR="004D580B">
        <w:rPr>
          <w:szCs w:val="22"/>
        </w:rPr>
        <w:t xml:space="preserve"> </w:t>
      </w:r>
    </w:p>
    <w:p w14:paraId="450D8336" w14:textId="51489C46" w:rsidR="00215286" w:rsidRDefault="00852332" w:rsidP="00C15CCF">
      <w:pPr>
        <w:pStyle w:val="ANormal"/>
        <w:rPr>
          <w:szCs w:val="22"/>
        </w:rPr>
      </w:pPr>
      <w:r>
        <w:rPr>
          <w:szCs w:val="22"/>
        </w:rPr>
        <w:tab/>
      </w:r>
      <w:r w:rsidR="000A47B0">
        <w:rPr>
          <w:szCs w:val="22"/>
        </w:rPr>
        <w:t xml:space="preserve">Utskottet har erfarit att </w:t>
      </w:r>
      <w:r w:rsidR="004D6C8F">
        <w:rPr>
          <w:szCs w:val="22"/>
        </w:rPr>
        <w:t xml:space="preserve">bestämmelser som finns i kunduppgiftslagen (FFS 703/2023) </w:t>
      </w:r>
      <w:r w:rsidR="00E01BE0">
        <w:rPr>
          <w:szCs w:val="22"/>
        </w:rPr>
        <w:t>samt</w:t>
      </w:r>
      <w:r w:rsidR="004D580B">
        <w:rPr>
          <w:szCs w:val="22"/>
        </w:rPr>
        <w:t xml:space="preserve"> i den svenska patientdatalagen (2008:335) </w:t>
      </w:r>
      <w:r w:rsidR="0052511F">
        <w:rPr>
          <w:szCs w:val="22"/>
        </w:rPr>
        <w:t xml:space="preserve">är ett viktigt </w:t>
      </w:r>
      <w:r w:rsidR="00215286">
        <w:rPr>
          <w:szCs w:val="22"/>
        </w:rPr>
        <w:t>element</w:t>
      </w:r>
      <w:r w:rsidR="0052511F">
        <w:rPr>
          <w:szCs w:val="22"/>
        </w:rPr>
        <w:t xml:space="preserve"> för att bygga en rättslig </w:t>
      </w:r>
      <w:r w:rsidR="00215286">
        <w:rPr>
          <w:szCs w:val="22"/>
        </w:rPr>
        <w:t xml:space="preserve">grund för IT-infrastruktur för elektronisk överföring av hälsodata, varför utskottet understryker vikten av att landskapsregeringen prioriterar att skyndsamt färdigställa </w:t>
      </w:r>
      <w:r w:rsidR="004D6C8F">
        <w:rPr>
          <w:szCs w:val="22"/>
        </w:rPr>
        <w:t>den åländska lagstiftning på området</w:t>
      </w:r>
      <w:r w:rsidR="00182DFC">
        <w:rPr>
          <w:szCs w:val="22"/>
        </w:rPr>
        <w:t>, särskilt kunduppgiftslagen</w:t>
      </w:r>
      <w:r w:rsidR="004D6C8F">
        <w:rPr>
          <w:szCs w:val="22"/>
        </w:rPr>
        <w:t xml:space="preserve">. </w:t>
      </w:r>
    </w:p>
    <w:p w14:paraId="7097BA81" w14:textId="77777777" w:rsidR="004D6C8F" w:rsidRDefault="004D6C8F" w:rsidP="00C15CCF">
      <w:pPr>
        <w:pStyle w:val="ANormal"/>
        <w:rPr>
          <w:szCs w:val="22"/>
        </w:rPr>
      </w:pPr>
    </w:p>
    <w:p w14:paraId="4B78FFF7" w14:textId="3153A4DB" w:rsidR="00717517" w:rsidRDefault="005E1982" w:rsidP="00852332">
      <w:pPr>
        <w:pStyle w:val="RubrikD"/>
      </w:pPr>
      <w:r w:rsidRPr="005E1982">
        <w:t>TBE vaccin</w:t>
      </w:r>
      <w:r>
        <w:t xml:space="preserve">ationsregister </w:t>
      </w:r>
    </w:p>
    <w:p w14:paraId="1E8BD87C" w14:textId="77777777" w:rsidR="00852332" w:rsidRPr="00852332" w:rsidRDefault="00852332" w:rsidP="00852332">
      <w:pPr>
        <w:pStyle w:val="Rubrikmellanrum"/>
      </w:pPr>
    </w:p>
    <w:p w14:paraId="3F306B12" w14:textId="260770A7" w:rsidR="005D6CF9" w:rsidRDefault="004D580B" w:rsidP="00C15CCF">
      <w:pPr>
        <w:pStyle w:val="ANormal"/>
        <w:rPr>
          <w:szCs w:val="22"/>
        </w:rPr>
      </w:pPr>
      <w:r>
        <w:rPr>
          <w:szCs w:val="22"/>
        </w:rPr>
        <w:t>Vidare konstaterar utskottet att e</w:t>
      </w:r>
      <w:r w:rsidR="004D6C8F">
        <w:rPr>
          <w:szCs w:val="22"/>
        </w:rPr>
        <w:t xml:space="preserve">n åländsk kunddatalag även </w:t>
      </w:r>
      <w:r w:rsidR="005E1982">
        <w:rPr>
          <w:szCs w:val="22"/>
        </w:rPr>
        <w:t xml:space="preserve">skulle </w:t>
      </w:r>
      <w:r>
        <w:rPr>
          <w:szCs w:val="22"/>
        </w:rPr>
        <w:t xml:space="preserve">möjliggöra registerföring </w:t>
      </w:r>
      <w:r w:rsidR="002962B7">
        <w:rPr>
          <w:szCs w:val="22"/>
        </w:rPr>
        <w:t xml:space="preserve">av vaccinationsstatus </w:t>
      </w:r>
      <w:r>
        <w:rPr>
          <w:szCs w:val="22"/>
        </w:rPr>
        <w:t xml:space="preserve">för virusinfektionen TBE som </w:t>
      </w:r>
      <w:r w:rsidR="00494553">
        <w:rPr>
          <w:szCs w:val="22"/>
        </w:rPr>
        <w:t>är vanligt förekommande på</w:t>
      </w:r>
      <w:r>
        <w:rPr>
          <w:szCs w:val="22"/>
        </w:rPr>
        <w:t xml:space="preserve"> Åland. Utskottet noterar att </w:t>
      </w:r>
      <w:r w:rsidR="00717517">
        <w:rPr>
          <w:szCs w:val="22"/>
        </w:rPr>
        <w:t>landskapsregeringen berörd</w:t>
      </w:r>
      <w:r w:rsidR="005E1982">
        <w:rPr>
          <w:szCs w:val="22"/>
        </w:rPr>
        <w:t>e</w:t>
      </w:r>
      <w:r w:rsidR="00717517">
        <w:rPr>
          <w:szCs w:val="22"/>
        </w:rPr>
        <w:t xml:space="preserve"> frågan om </w:t>
      </w:r>
      <w:r w:rsidR="001046DE">
        <w:rPr>
          <w:szCs w:val="22"/>
        </w:rPr>
        <w:t>lagstiftningsbehörighet</w:t>
      </w:r>
      <w:r w:rsidR="00717517">
        <w:rPr>
          <w:szCs w:val="22"/>
        </w:rPr>
        <w:t xml:space="preserve"> för behandling av vaccinations</w:t>
      </w:r>
      <w:r w:rsidR="00E01BE0">
        <w:rPr>
          <w:szCs w:val="22"/>
        </w:rPr>
        <w:t>uppgifter</w:t>
      </w:r>
      <w:r w:rsidR="00717517">
        <w:rPr>
          <w:szCs w:val="22"/>
        </w:rPr>
        <w:t xml:space="preserve"> i sin beredning av lagförslaget. Landskapsregeringen menar att i </w:t>
      </w:r>
      <w:r w:rsidR="00717517" w:rsidRPr="00717517">
        <w:rPr>
          <w:szCs w:val="22"/>
        </w:rPr>
        <w:t xml:space="preserve">14 § i lagen (FFS 1227/2016) om smittsamma sjukdomar </w:t>
      </w:r>
      <w:r w:rsidR="005E1982">
        <w:rPr>
          <w:szCs w:val="22"/>
        </w:rPr>
        <w:t xml:space="preserve">kan hänföra </w:t>
      </w:r>
      <w:r w:rsidR="00717517">
        <w:rPr>
          <w:szCs w:val="22"/>
        </w:rPr>
        <w:t xml:space="preserve">att vaccinering är nära anknutet till smittsamma sjukdomar, vilket enligt </w:t>
      </w:r>
      <w:r w:rsidR="00717517" w:rsidRPr="00717517">
        <w:rPr>
          <w:szCs w:val="22"/>
        </w:rPr>
        <w:t>27 § 29 punkten i självstyrelselagen</w:t>
      </w:r>
      <w:r w:rsidR="00717517">
        <w:rPr>
          <w:szCs w:val="22"/>
        </w:rPr>
        <w:t xml:space="preserve"> hör till rikets lagstiftningsbehörighet. </w:t>
      </w:r>
      <w:r w:rsidR="00E01BE0">
        <w:rPr>
          <w:szCs w:val="22"/>
        </w:rPr>
        <w:t>Landskapsregeringen</w:t>
      </w:r>
      <w:r w:rsidR="00717517">
        <w:rPr>
          <w:szCs w:val="22"/>
        </w:rPr>
        <w:t xml:space="preserve"> noterar att uppföljning </w:t>
      </w:r>
      <w:r w:rsidR="00E01BE0">
        <w:rPr>
          <w:szCs w:val="22"/>
        </w:rPr>
        <w:t xml:space="preserve">av </w:t>
      </w:r>
      <w:r w:rsidR="00717517">
        <w:rPr>
          <w:szCs w:val="22"/>
        </w:rPr>
        <w:t xml:space="preserve">smittsamma sjukdomar och vaccinering sker </w:t>
      </w:r>
      <w:r w:rsidR="00E01BE0">
        <w:rPr>
          <w:szCs w:val="22"/>
        </w:rPr>
        <w:t>genom</w:t>
      </w:r>
      <w:r w:rsidR="00717517">
        <w:rPr>
          <w:szCs w:val="22"/>
        </w:rPr>
        <w:t xml:space="preserve"> riksomfattande register, eller nationella register, och inte kvalitetsregister. </w:t>
      </w:r>
      <w:r w:rsidR="005D6CF9">
        <w:rPr>
          <w:szCs w:val="22"/>
        </w:rPr>
        <w:t>L</w:t>
      </w:r>
      <w:r w:rsidR="005D6CF9" w:rsidRPr="005D6CF9">
        <w:rPr>
          <w:szCs w:val="22"/>
        </w:rPr>
        <w:t xml:space="preserve">andskapsregeringen </w:t>
      </w:r>
      <w:r w:rsidR="005D6CF9">
        <w:rPr>
          <w:szCs w:val="22"/>
        </w:rPr>
        <w:t xml:space="preserve">bedömer </w:t>
      </w:r>
      <w:r w:rsidR="005D6CF9" w:rsidRPr="005D6CF9">
        <w:rPr>
          <w:szCs w:val="22"/>
        </w:rPr>
        <w:t xml:space="preserve">att det i nuläget inte är möjligt för ÅHS att med stöd av 30 § 9 punkten i självstyrelselagen behandla uppgifter om vaccination i ett kvalitetsregister. </w:t>
      </w:r>
    </w:p>
    <w:p w14:paraId="73E7E89B" w14:textId="3899B82E" w:rsidR="004D6C8F" w:rsidRDefault="00852332" w:rsidP="00C15CCF">
      <w:pPr>
        <w:pStyle w:val="ANormal"/>
        <w:rPr>
          <w:szCs w:val="22"/>
        </w:rPr>
      </w:pPr>
      <w:r>
        <w:rPr>
          <w:szCs w:val="22"/>
        </w:rPr>
        <w:tab/>
      </w:r>
      <w:r w:rsidR="00717517">
        <w:rPr>
          <w:szCs w:val="22"/>
        </w:rPr>
        <w:t>Utskottet</w:t>
      </w:r>
      <w:r w:rsidR="005D6CF9">
        <w:rPr>
          <w:szCs w:val="22"/>
        </w:rPr>
        <w:t xml:space="preserve"> noterar att TBE inte är en sjukdom som smittar mellan människor, samt att vaccinering mot TBE i Finland inte utförs inom ramen för ett nationellt </w:t>
      </w:r>
      <w:r w:rsidR="005E1982">
        <w:rPr>
          <w:szCs w:val="22"/>
        </w:rPr>
        <w:t>vaccinationsprogram</w:t>
      </w:r>
      <w:r w:rsidR="00A64654">
        <w:rPr>
          <w:szCs w:val="22"/>
        </w:rPr>
        <w:t xml:space="preserve">. Grundimmunisering är </w:t>
      </w:r>
      <w:r w:rsidR="005D6CF9">
        <w:rPr>
          <w:szCs w:val="22"/>
        </w:rPr>
        <w:t xml:space="preserve">enbart </w:t>
      </w:r>
      <w:r w:rsidR="00A64654">
        <w:rPr>
          <w:szCs w:val="22"/>
        </w:rPr>
        <w:t>kostnadsfri för</w:t>
      </w:r>
      <w:r w:rsidR="005D6CF9">
        <w:rPr>
          <w:szCs w:val="22"/>
        </w:rPr>
        <w:t xml:space="preserve"> personer med hemkommun i och som stadigvarande bor i riskområden i Finland. Även personer som </w:t>
      </w:r>
      <w:r w:rsidR="005E1982">
        <w:rPr>
          <w:szCs w:val="22"/>
        </w:rPr>
        <w:t>långvarigt</w:t>
      </w:r>
      <w:r w:rsidR="005D6CF9">
        <w:rPr>
          <w:szCs w:val="22"/>
        </w:rPr>
        <w:t xml:space="preserve"> vistas i fritidsbostäder i dessa riskområden omfattas av </w:t>
      </w:r>
      <w:r w:rsidR="005E1982">
        <w:rPr>
          <w:szCs w:val="22"/>
        </w:rPr>
        <w:t>programmet</w:t>
      </w:r>
      <w:r w:rsidR="005D6CF9">
        <w:rPr>
          <w:szCs w:val="22"/>
        </w:rPr>
        <w:t xml:space="preserve"> och kan få </w:t>
      </w:r>
      <w:r w:rsidR="00A64654">
        <w:rPr>
          <w:szCs w:val="22"/>
        </w:rPr>
        <w:t>kostnadsfritt vaccin</w:t>
      </w:r>
      <w:r w:rsidR="005D6CF9">
        <w:rPr>
          <w:szCs w:val="22"/>
        </w:rPr>
        <w:t xml:space="preserve">. På Åland har TBE-vaccinationer </w:t>
      </w:r>
      <w:r w:rsidR="005E1982">
        <w:rPr>
          <w:szCs w:val="22"/>
        </w:rPr>
        <w:t>administrerats</w:t>
      </w:r>
      <w:r w:rsidR="005D6CF9">
        <w:rPr>
          <w:szCs w:val="22"/>
        </w:rPr>
        <w:t xml:space="preserve"> som en del av det nationella vaccinationsprogrammet sedan 2006.</w:t>
      </w:r>
    </w:p>
    <w:p w14:paraId="073D824E" w14:textId="09024EE7" w:rsidR="005D6CF9" w:rsidRDefault="00852332" w:rsidP="00C15CCF">
      <w:pPr>
        <w:pStyle w:val="ANormal"/>
        <w:rPr>
          <w:szCs w:val="22"/>
        </w:rPr>
      </w:pPr>
      <w:r>
        <w:rPr>
          <w:szCs w:val="22"/>
        </w:rPr>
        <w:tab/>
      </w:r>
      <w:r w:rsidR="005D6CF9">
        <w:rPr>
          <w:szCs w:val="22"/>
        </w:rPr>
        <w:t xml:space="preserve">Utskottet har erfarit att det finns ett </w:t>
      </w:r>
      <w:r w:rsidR="00E01BE0">
        <w:rPr>
          <w:szCs w:val="22"/>
        </w:rPr>
        <w:t>behov</w:t>
      </w:r>
      <w:r w:rsidR="005D6CF9">
        <w:rPr>
          <w:szCs w:val="22"/>
        </w:rPr>
        <w:t xml:space="preserve"> inom den åländska hälso- och </w:t>
      </w:r>
      <w:r w:rsidR="005E1982">
        <w:rPr>
          <w:szCs w:val="22"/>
        </w:rPr>
        <w:t>sjukvården</w:t>
      </w:r>
      <w:r w:rsidR="005D6CF9">
        <w:rPr>
          <w:szCs w:val="22"/>
        </w:rPr>
        <w:t xml:space="preserve"> </w:t>
      </w:r>
      <w:r w:rsidR="00560169">
        <w:rPr>
          <w:szCs w:val="22"/>
        </w:rPr>
        <w:t xml:space="preserve">av </w:t>
      </w:r>
      <w:r w:rsidR="005D6CF9">
        <w:rPr>
          <w:szCs w:val="22"/>
        </w:rPr>
        <w:t xml:space="preserve">ett gemensamt register över TBE-vaccinationer för att säkerställa </w:t>
      </w:r>
      <w:r w:rsidR="00560169">
        <w:rPr>
          <w:szCs w:val="22"/>
        </w:rPr>
        <w:t>ett fullgott</w:t>
      </w:r>
      <w:r w:rsidR="005D6CF9">
        <w:rPr>
          <w:szCs w:val="22"/>
        </w:rPr>
        <w:t xml:space="preserve"> skydd </w:t>
      </w:r>
      <w:r w:rsidR="00560169">
        <w:rPr>
          <w:szCs w:val="22"/>
        </w:rPr>
        <w:t xml:space="preserve">mot TBE </w:t>
      </w:r>
      <w:r w:rsidR="005E1982">
        <w:rPr>
          <w:szCs w:val="22"/>
        </w:rPr>
        <w:t>för den åländska b</w:t>
      </w:r>
      <w:r w:rsidR="00E01BE0">
        <w:rPr>
          <w:szCs w:val="22"/>
        </w:rPr>
        <w:t>efol</w:t>
      </w:r>
      <w:r w:rsidR="005E1982">
        <w:rPr>
          <w:szCs w:val="22"/>
        </w:rPr>
        <w:t xml:space="preserve">kningen. Utan den rättsliga ramen att dela patientdata mellan den privata och den offentliga </w:t>
      </w:r>
      <w:r w:rsidR="00E01BE0">
        <w:rPr>
          <w:szCs w:val="22"/>
        </w:rPr>
        <w:t>hälso</w:t>
      </w:r>
      <w:r w:rsidR="005E1982">
        <w:rPr>
          <w:szCs w:val="22"/>
        </w:rPr>
        <w:t xml:space="preserve">- </w:t>
      </w:r>
      <w:r w:rsidR="00E01BE0">
        <w:rPr>
          <w:szCs w:val="22"/>
        </w:rPr>
        <w:t>och</w:t>
      </w:r>
      <w:r w:rsidR="005E1982">
        <w:rPr>
          <w:szCs w:val="22"/>
        </w:rPr>
        <w:t xml:space="preserve"> </w:t>
      </w:r>
      <w:r w:rsidR="00E01BE0">
        <w:rPr>
          <w:szCs w:val="22"/>
        </w:rPr>
        <w:t>sjukvården</w:t>
      </w:r>
      <w:r w:rsidR="005E1982">
        <w:rPr>
          <w:szCs w:val="22"/>
        </w:rPr>
        <w:t xml:space="preserve"> bedöms detta idag inte vara möjligt. Utskottet </w:t>
      </w:r>
      <w:r w:rsidR="00E01BE0">
        <w:rPr>
          <w:szCs w:val="22"/>
        </w:rPr>
        <w:t>konstaterar</w:t>
      </w:r>
      <w:r w:rsidR="005E1982">
        <w:rPr>
          <w:szCs w:val="22"/>
        </w:rPr>
        <w:t xml:space="preserve"> att den föreliggande lagändringen är begränsad och syftar till att möjliggöra </w:t>
      </w:r>
      <w:r w:rsidR="00E01BE0">
        <w:rPr>
          <w:szCs w:val="22"/>
        </w:rPr>
        <w:t xml:space="preserve">upprättande av </w:t>
      </w:r>
      <w:r w:rsidR="005E1982">
        <w:rPr>
          <w:szCs w:val="22"/>
        </w:rPr>
        <w:t>kvalitetsregister för den offentliga sjukvården. Utskottet har erfarit att införande</w:t>
      </w:r>
      <w:r w:rsidR="00A9066D">
        <w:rPr>
          <w:szCs w:val="22"/>
        </w:rPr>
        <w:t>t</w:t>
      </w:r>
      <w:r w:rsidR="005E1982">
        <w:rPr>
          <w:szCs w:val="22"/>
        </w:rPr>
        <w:t xml:space="preserve"> av en </w:t>
      </w:r>
      <w:r w:rsidR="00E01BE0">
        <w:rPr>
          <w:szCs w:val="22"/>
        </w:rPr>
        <w:t>åländsk</w:t>
      </w:r>
      <w:r w:rsidR="005E1982">
        <w:rPr>
          <w:szCs w:val="22"/>
        </w:rPr>
        <w:t xml:space="preserve"> kunduppgiftslag </w:t>
      </w:r>
      <w:r w:rsidR="00E01BE0">
        <w:rPr>
          <w:szCs w:val="22"/>
        </w:rPr>
        <w:t>tekniskt kan</w:t>
      </w:r>
      <w:r w:rsidR="005E1982">
        <w:rPr>
          <w:szCs w:val="22"/>
        </w:rPr>
        <w:t xml:space="preserve"> möjliggöra ett register för TBE vaccin, och uppmuntrar </w:t>
      </w:r>
      <w:r w:rsidR="00E01BE0">
        <w:rPr>
          <w:szCs w:val="22"/>
        </w:rPr>
        <w:t>landskapsregeringen</w:t>
      </w:r>
      <w:r w:rsidR="005E1982">
        <w:rPr>
          <w:szCs w:val="22"/>
        </w:rPr>
        <w:t xml:space="preserve"> </w:t>
      </w:r>
      <w:r w:rsidR="005E1982">
        <w:rPr>
          <w:szCs w:val="22"/>
        </w:rPr>
        <w:lastRenderedPageBreak/>
        <w:t xml:space="preserve">att </w:t>
      </w:r>
      <w:r w:rsidR="00E01BE0">
        <w:rPr>
          <w:szCs w:val="22"/>
        </w:rPr>
        <w:t xml:space="preserve">på nytt utreda </w:t>
      </w:r>
      <w:r w:rsidR="00A9066D">
        <w:rPr>
          <w:szCs w:val="22"/>
        </w:rPr>
        <w:t>möjligheten</w:t>
      </w:r>
      <w:r w:rsidR="00E01BE0">
        <w:rPr>
          <w:szCs w:val="22"/>
        </w:rPr>
        <w:t xml:space="preserve"> för </w:t>
      </w:r>
      <w:r w:rsidR="0069057F">
        <w:rPr>
          <w:szCs w:val="22"/>
        </w:rPr>
        <w:t xml:space="preserve">ett åländskt </w:t>
      </w:r>
      <w:r w:rsidR="00E01BE0">
        <w:rPr>
          <w:szCs w:val="22"/>
        </w:rPr>
        <w:t>TBE vaccinationsregister</w:t>
      </w:r>
      <w:r w:rsidR="005E1982">
        <w:rPr>
          <w:szCs w:val="22"/>
        </w:rPr>
        <w:t xml:space="preserve"> </w:t>
      </w:r>
      <w:r w:rsidR="00E01BE0">
        <w:rPr>
          <w:szCs w:val="22"/>
        </w:rPr>
        <w:t>vid framtida översyn av hälso- och sjukvårdslagen.</w:t>
      </w:r>
    </w:p>
    <w:p w14:paraId="7E9BA219" w14:textId="77777777" w:rsidR="00215286" w:rsidRDefault="00215286" w:rsidP="00C15CCF">
      <w:pPr>
        <w:pStyle w:val="ANormal"/>
        <w:rPr>
          <w:szCs w:val="22"/>
        </w:rPr>
      </w:pPr>
    </w:p>
    <w:p w14:paraId="699FBF43" w14:textId="5A6BF82E" w:rsidR="00546F32" w:rsidRDefault="00546F32" w:rsidP="00852332">
      <w:pPr>
        <w:pStyle w:val="RubrikD"/>
      </w:pPr>
      <w:r>
        <w:t>Resursbehovet</w:t>
      </w:r>
    </w:p>
    <w:p w14:paraId="44907506" w14:textId="77777777" w:rsidR="00546F32" w:rsidRDefault="00546F32" w:rsidP="00546F32">
      <w:pPr>
        <w:pStyle w:val="ANormal"/>
        <w:rPr>
          <w:i/>
          <w:iCs/>
          <w:sz w:val="10"/>
          <w:szCs w:val="10"/>
        </w:rPr>
      </w:pPr>
    </w:p>
    <w:p w14:paraId="708353AF" w14:textId="23AED10B" w:rsidR="00D071C4" w:rsidRDefault="007423D7" w:rsidP="001C6A2F">
      <w:pPr>
        <w:pStyle w:val="ANormal"/>
        <w:rPr>
          <w:szCs w:val="22"/>
        </w:rPr>
      </w:pPr>
      <w:r>
        <w:rPr>
          <w:szCs w:val="22"/>
        </w:rPr>
        <w:t xml:space="preserve">Utskottet har erfarit att kompetens och resurser för att hantera kvalitetsregistren redan idag finns inom ÅHS. </w:t>
      </w:r>
      <w:r w:rsidR="00D071C4" w:rsidRPr="00D071C4">
        <w:rPr>
          <w:szCs w:val="22"/>
        </w:rPr>
        <w:t xml:space="preserve">Landskapsregeringen bedömer att den föreslagna registerförvaltningsmodellen med en registerstyrgrupp och registerhållare för varje register som upprättas kan implementeras i verksamheten inom ramen för ÅHS befintliga personalresurser. </w:t>
      </w:r>
      <w:r w:rsidR="00D071C4">
        <w:rPr>
          <w:szCs w:val="22"/>
        </w:rPr>
        <w:t>Landskapsregeringen bedömer vidare att d</w:t>
      </w:r>
      <w:r w:rsidR="00D071C4" w:rsidRPr="00D071C4">
        <w:rPr>
          <w:szCs w:val="22"/>
        </w:rPr>
        <w:t>en föreslagna bestämmelsen om biståndsskyldighet i 15b § 7 mom. kan innebära ett visst merarbete för personalen vid landskapsregeringens allmänna förvaltning, och då i synnerhet dess digitaliseringsenhet.</w:t>
      </w:r>
    </w:p>
    <w:p w14:paraId="70D7A0B0" w14:textId="7C09D512" w:rsidR="00D071C4" w:rsidRDefault="00852332" w:rsidP="001C6A2F">
      <w:pPr>
        <w:pStyle w:val="ANormal"/>
        <w:rPr>
          <w:szCs w:val="22"/>
        </w:rPr>
      </w:pPr>
      <w:r>
        <w:rPr>
          <w:szCs w:val="22"/>
        </w:rPr>
        <w:tab/>
        <w:t>U</w:t>
      </w:r>
      <w:r w:rsidR="00D071C4">
        <w:rPr>
          <w:szCs w:val="22"/>
        </w:rPr>
        <w:t>tskott</w:t>
      </w:r>
      <w:r w:rsidR="002962B7">
        <w:rPr>
          <w:szCs w:val="22"/>
        </w:rPr>
        <w:t>e</w:t>
      </w:r>
      <w:r w:rsidR="00D071C4">
        <w:rPr>
          <w:szCs w:val="22"/>
        </w:rPr>
        <w:t xml:space="preserve">t konstaterar att det är troligt att inga ytterligare resurser krävs för införande av kvalitetsregister. </w:t>
      </w:r>
      <w:r w:rsidR="00D071C4" w:rsidRPr="00D071C4">
        <w:rPr>
          <w:szCs w:val="22"/>
        </w:rPr>
        <w:t xml:space="preserve">Eftersom kvalitetsregistrens informationsinnehåll kan läggas till grund för detaljerade analyser om </w:t>
      </w:r>
      <w:proofErr w:type="gramStart"/>
      <w:r w:rsidR="00D071C4" w:rsidRPr="00D071C4">
        <w:rPr>
          <w:szCs w:val="22"/>
        </w:rPr>
        <w:t>t.ex.</w:t>
      </w:r>
      <w:proofErr w:type="gramEnd"/>
      <w:r w:rsidR="00D071C4" w:rsidRPr="00D071C4">
        <w:rPr>
          <w:szCs w:val="22"/>
        </w:rPr>
        <w:t xml:space="preserve"> olika vårdformers kostnadseffektivitet, torde registren på sikt också kunna bidra till inbesparingar inom hälso- och sjukvården. </w:t>
      </w:r>
      <w:r w:rsidR="00D071C4">
        <w:rPr>
          <w:szCs w:val="22"/>
        </w:rPr>
        <w:t>Utskottet understryker dock att det är upp till ÅHS att avgöra hur många register som upprättas, varför det idag inte säkert går att avgöra om de befintliga resurserna räcker</w:t>
      </w:r>
      <w:r w:rsidR="00E01BE0">
        <w:rPr>
          <w:szCs w:val="22"/>
        </w:rPr>
        <w:t xml:space="preserve"> innan registren börjar sättas upp.</w:t>
      </w:r>
    </w:p>
    <w:p w14:paraId="0CF83611" w14:textId="77777777" w:rsidR="00D071C4" w:rsidRDefault="00D071C4" w:rsidP="001C6A2F">
      <w:pPr>
        <w:pStyle w:val="ANormal"/>
        <w:rPr>
          <w:szCs w:val="22"/>
        </w:rPr>
      </w:pPr>
    </w:p>
    <w:p w14:paraId="6C8D988B" w14:textId="77E4F416" w:rsidR="00D071C4" w:rsidRDefault="00233730" w:rsidP="00852332">
      <w:pPr>
        <w:pStyle w:val="RubrikD"/>
      </w:pPr>
      <w:r>
        <w:t>Vetenskaplig f</w:t>
      </w:r>
      <w:r w:rsidR="00D071C4" w:rsidRPr="0040002B">
        <w:t>orskning</w:t>
      </w:r>
      <w:r w:rsidR="0040002B" w:rsidRPr="0040002B">
        <w:t xml:space="preserve"> inom hälso- och sjukvård</w:t>
      </w:r>
    </w:p>
    <w:p w14:paraId="7F6D6B00" w14:textId="77777777" w:rsidR="00852332" w:rsidRPr="00852332" w:rsidRDefault="00852332" w:rsidP="00852332">
      <w:pPr>
        <w:pStyle w:val="Rubrikmellanrum"/>
      </w:pPr>
    </w:p>
    <w:p w14:paraId="1ECE355F" w14:textId="238EFC55" w:rsidR="00393FBA" w:rsidRDefault="00233730" w:rsidP="001C6A2F">
      <w:pPr>
        <w:pStyle w:val="ANormal"/>
        <w:rPr>
          <w:szCs w:val="22"/>
        </w:rPr>
      </w:pPr>
      <w:r>
        <w:rPr>
          <w:szCs w:val="22"/>
        </w:rPr>
        <w:t xml:space="preserve">Av 15d § 3 </w:t>
      </w:r>
      <w:proofErr w:type="spellStart"/>
      <w:r>
        <w:rPr>
          <w:szCs w:val="22"/>
        </w:rPr>
        <w:t>mom</w:t>
      </w:r>
      <w:proofErr w:type="spellEnd"/>
      <w:r>
        <w:rPr>
          <w:szCs w:val="22"/>
        </w:rPr>
        <w:t xml:space="preserve"> framgår att</w:t>
      </w:r>
      <w:r w:rsidR="00695B84">
        <w:rPr>
          <w:szCs w:val="22"/>
        </w:rPr>
        <w:t xml:space="preserve"> </w:t>
      </w:r>
      <w:r w:rsidR="00695B84" w:rsidRPr="00695B84">
        <w:rPr>
          <w:szCs w:val="22"/>
        </w:rPr>
        <w:t>uppgifter ur ett kvalitetsregister får lämnas ut för vetenskapliga forskningsändamål, förutsatt att vissa kriterier uppfylls.</w:t>
      </w:r>
      <w:r w:rsidR="00695B84">
        <w:rPr>
          <w:szCs w:val="22"/>
        </w:rPr>
        <w:t xml:space="preserve"> Utskottet konstaterar att </w:t>
      </w:r>
      <w:r w:rsidR="00E01BE0">
        <w:rPr>
          <w:szCs w:val="22"/>
        </w:rPr>
        <w:t>vetenskaplig</w:t>
      </w:r>
      <w:r w:rsidR="00695B84">
        <w:rPr>
          <w:szCs w:val="22"/>
        </w:rPr>
        <w:t xml:space="preserve"> forskning inom hälso- och sjukvård ä</w:t>
      </w:r>
      <w:r w:rsidR="00E01BE0">
        <w:rPr>
          <w:szCs w:val="22"/>
        </w:rPr>
        <w:t>r</w:t>
      </w:r>
      <w:r w:rsidR="00695B84">
        <w:rPr>
          <w:szCs w:val="22"/>
        </w:rPr>
        <w:t xml:space="preserve"> mycket viktigt för att följa med folkhälsotillståndet för olika populationer. Kvalitetsregister är en viktig del för att </w:t>
      </w:r>
      <w:proofErr w:type="gramStart"/>
      <w:r w:rsidR="00695B84">
        <w:rPr>
          <w:szCs w:val="22"/>
        </w:rPr>
        <w:t xml:space="preserve">åländsk </w:t>
      </w:r>
      <w:r w:rsidR="00E01BE0">
        <w:rPr>
          <w:szCs w:val="22"/>
        </w:rPr>
        <w:t>hälso</w:t>
      </w:r>
      <w:r w:rsidR="00695B84">
        <w:rPr>
          <w:szCs w:val="22"/>
        </w:rPr>
        <w:t>data</w:t>
      </w:r>
      <w:proofErr w:type="gramEnd"/>
      <w:r w:rsidR="00695B84">
        <w:rPr>
          <w:szCs w:val="22"/>
        </w:rPr>
        <w:t xml:space="preserve"> ska ingå </w:t>
      </w:r>
      <w:r w:rsidR="00393FBA">
        <w:rPr>
          <w:szCs w:val="22"/>
        </w:rPr>
        <w:t xml:space="preserve">i </w:t>
      </w:r>
      <w:r w:rsidR="00695B84">
        <w:rPr>
          <w:szCs w:val="22"/>
        </w:rPr>
        <w:t>internationella och nationella forskningsstudier.</w:t>
      </w:r>
    </w:p>
    <w:p w14:paraId="4350D07D" w14:textId="5318490F" w:rsidR="00A51EC1" w:rsidRDefault="00852332" w:rsidP="001C6A2F">
      <w:pPr>
        <w:pStyle w:val="ANormal"/>
        <w:rPr>
          <w:szCs w:val="22"/>
        </w:rPr>
      </w:pPr>
      <w:r>
        <w:rPr>
          <w:szCs w:val="22"/>
        </w:rPr>
        <w:tab/>
      </w:r>
      <w:r w:rsidR="00A51EC1">
        <w:rPr>
          <w:szCs w:val="22"/>
        </w:rPr>
        <w:t xml:space="preserve">Utskottet konstaterar att det </w:t>
      </w:r>
      <w:r w:rsidR="00D47071">
        <w:rPr>
          <w:szCs w:val="22"/>
        </w:rPr>
        <w:t xml:space="preserve">i lagförslaget </w:t>
      </w:r>
      <w:r w:rsidR="00A51EC1">
        <w:rPr>
          <w:szCs w:val="22"/>
        </w:rPr>
        <w:t>inte specificeras vem som räknas som forskare</w:t>
      </w:r>
      <w:r w:rsidR="00545FCD">
        <w:rPr>
          <w:szCs w:val="22"/>
        </w:rPr>
        <w:t>.</w:t>
      </w:r>
      <w:r w:rsidR="00A51EC1">
        <w:rPr>
          <w:szCs w:val="22"/>
        </w:rPr>
        <w:t xml:space="preserve"> </w:t>
      </w:r>
      <w:r w:rsidR="00545FCD">
        <w:rPr>
          <w:szCs w:val="22"/>
        </w:rPr>
        <w:t>Utskottet</w:t>
      </w:r>
      <w:r w:rsidR="00A51EC1">
        <w:rPr>
          <w:szCs w:val="22"/>
        </w:rPr>
        <w:t xml:space="preserve"> menar att det i direktiv </w:t>
      </w:r>
      <w:r w:rsidR="00545FCD">
        <w:rPr>
          <w:szCs w:val="22"/>
        </w:rPr>
        <w:t>från</w:t>
      </w:r>
      <w:r w:rsidR="00393FBA">
        <w:rPr>
          <w:szCs w:val="22"/>
        </w:rPr>
        <w:t xml:space="preserve"> ÅHS</w:t>
      </w:r>
      <w:r w:rsidR="00A51EC1">
        <w:rPr>
          <w:szCs w:val="22"/>
        </w:rPr>
        <w:t xml:space="preserve"> </w:t>
      </w:r>
      <w:r w:rsidR="00545FCD">
        <w:rPr>
          <w:szCs w:val="22"/>
        </w:rPr>
        <w:t xml:space="preserve">styrelse </w:t>
      </w:r>
      <w:r w:rsidR="00A51EC1">
        <w:rPr>
          <w:szCs w:val="22"/>
        </w:rPr>
        <w:t xml:space="preserve">bör anges </w:t>
      </w:r>
      <w:r w:rsidR="00545FCD">
        <w:rPr>
          <w:szCs w:val="22"/>
        </w:rPr>
        <w:t>hur u</w:t>
      </w:r>
      <w:r w:rsidR="00A51EC1">
        <w:rPr>
          <w:szCs w:val="22"/>
        </w:rPr>
        <w:t xml:space="preserve">ppgifter från kvalitetsregister för forskning </w:t>
      </w:r>
      <w:r w:rsidR="00545FCD">
        <w:rPr>
          <w:szCs w:val="22"/>
        </w:rPr>
        <w:t>ska hanteras.</w:t>
      </w:r>
    </w:p>
    <w:p w14:paraId="5AB94E06" w14:textId="77777777" w:rsidR="00A51EC1" w:rsidRDefault="00A51EC1" w:rsidP="001C6A2F">
      <w:pPr>
        <w:pStyle w:val="ANormal"/>
        <w:rPr>
          <w:szCs w:val="22"/>
        </w:rPr>
      </w:pPr>
    </w:p>
    <w:p w14:paraId="715B69B3" w14:textId="51427D9D" w:rsidR="00393FBA" w:rsidRDefault="00393FBA" w:rsidP="00852332">
      <w:pPr>
        <w:pStyle w:val="RubrikD"/>
      </w:pPr>
      <w:r w:rsidRPr="00393FBA">
        <w:t>Inhämtande av samtycke</w:t>
      </w:r>
    </w:p>
    <w:p w14:paraId="05A74616" w14:textId="77777777" w:rsidR="00852332" w:rsidRPr="00852332" w:rsidRDefault="00852332" w:rsidP="00852332">
      <w:pPr>
        <w:pStyle w:val="Rubrikmellanrum"/>
      </w:pPr>
    </w:p>
    <w:p w14:paraId="4C5F8BF0" w14:textId="67073436" w:rsidR="00D071C4" w:rsidRDefault="00A51EC1" w:rsidP="001C6A2F">
      <w:pPr>
        <w:pStyle w:val="ANormal"/>
        <w:rPr>
          <w:szCs w:val="22"/>
        </w:rPr>
      </w:pPr>
      <w:r>
        <w:rPr>
          <w:szCs w:val="22"/>
        </w:rPr>
        <w:t>Vidare konstaterar utskottet att utlämnande av</w:t>
      </w:r>
      <w:r w:rsidR="00CE52EC">
        <w:rPr>
          <w:szCs w:val="22"/>
        </w:rPr>
        <w:t xml:space="preserve"> uppgifter</w:t>
      </w:r>
      <w:r>
        <w:rPr>
          <w:szCs w:val="22"/>
        </w:rPr>
        <w:t xml:space="preserve"> från kvalitetsregister är sammankopplat med inhämtande av samtycke för att personuppgifter</w:t>
      </w:r>
      <w:r w:rsidR="006740E4">
        <w:rPr>
          <w:szCs w:val="22"/>
        </w:rPr>
        <w:t xml:space="preserve"> ska ingå i kvalitetsregister. Om uppgifterna är anonymiserade behövs inget specifikt samtycke, men </w:t>
      </w:r>
      <w:r w:rsidR="00393FBA">
        <w:rPr>
          <w:szCs w:val="22"/>
        </w:rPr>
        <w:t xml:space="preserve">om </w:t>
      </w:r>
      <w:r w:rsidR="006740E4">
        <w:rPr>
          <w:szCs w:val="22"/>
        </w:rPr>
        <w:t xml:space="preserve">personuppgifter går att läsa ut ur hälsodata ska ett explicit samtycke ges. Idag </w:t>
      </w:r>
      <w:r w:rsidR="00576A87">
        <w:rPr>
          <w:szCs w:val="22"/>
        </w:rPr>
        <w:t>inhämtas</w:t>
      </w:r>
      <w:r w:rsidR="006740E4">
        <w:rPr>
          <w:szCs w:val="22"/>
        </w:rPr>
        <w:t xml:space="preserve"> samtycke muntligen och journalförs. Utskottet understryker vikten av att Kanta-tjänsten kommer på plats inom ÅHS </w:t>
      </w:r>
      <w:r w:rsidR="00CE52EC">
        <w:rPr>
          <w:szCs w:val="22"/>
        </w:rPr>
        <w:t>i vilken</w:t>
      </w:r>
      <w:r w:rsidR="006740E4">
        <w:rPr>
          <w:szCs w:val="22"/>
        </w:rPr>
        <w:t xml:space="preserve"> möjligheten för den enskilda patienten att ge</w:t>
      </w:r>
      <w:r w:rsidR="00CE52EC">
        <w:rPr>
          <w:szCs w:val="22"/>
        </w:rPr>
        <w:t>,</w:t>
      </w:r>
      <w:r w:rsidR="006740E4">
        <w:rPr>
          <w:szCs w:val="22"/>
        </w:rPr>
        <w:t xml:space="preserve"> samt neka</w:t>
      </w:r>
      <w:r w:rsidR="00CE52EC">
        <w:rPr>
          <w:szCs w:val="22"/>
        </w:rPr>
        <w:t>,</w:t>
      </w:r>
      <w:r w:rsidR="006740E4">
        <w:rPr>
          <w:szCs w:val="22"/>
        </w:rPr>
        <w:t xml:space="preserve"> samtycke säkerställs. </w:t>
      </w:r>
      <w:r w:rsidR="00ED2289">
        <w:rPr>
          <w:szCs w:val="22"/>
        </w:rPr>
        <w:t>Tydliga förfaranden</w:t>
      </w:r>
      <w:r w:rsidR="006740E4">
        <w:rPr>
          <w:szCs w:val="22"/>
        </w:rPr>
        <w:t xml:space="preserve"> kring samtycke till hantering av personuppgifter och hälsodata är viktigt både för att stärka </w:t>
      </w:r>
      <w:r w:rsidR="00393FBA">
        <w:rPr>
          <w:szCs w:val="22"/>
        </w:rPr>
        <w:t xml:space="preserve">den enskilde </w:t>
      </w:r>
      <w:r w:rsidR="006740E4">
        <w:rPr>
          <w:szCs w:val="22"/>
        </w:rPr>
        <w:t>patientens rättigheter samt att möjliggöra forskning inom hälso- och sjukvård.</w:t>
      </w:r>
    </w:p>
    <w:p w14:paraId="12E777A3" w14:textId="77777777" w:rsidR="00233730" w:rsidRDefault="00233730" w:rsidP="001C6A2F">
      <w:pPr>
        <w:pStyle w:val="ANormal"/>
        <w:rPr>
          <w:szCs w:val="22"/>
        </w:rPr>
      </w:pPr>
    </w:p>
    <w:p w14:paraId="683FE002" w14:textId="322CA627" w:rsidR="00576A87" w:rsidRDefault="00576A87" w:rsidP="00852332">
      <w:pPr>
        <w:pStyle w:val="RubrikC"/>
      </w:pPr>
      <w:bookmarkStart w:id="11" w:name="_Toc177742667"/>
      <w:r>
        <w:t>Vårdgaranti</w:t>
      </w:r>
      <w:bookmarkEnd w:id="11"/>
    </w:p>
    <w:p w14:paraId="14EC9D3B" w14:textId="77777777" w:rsidR="00576A87" w:rsidRDefault="00576A87" w:rsidP="001C6A2F">
      <w:pPr>
        <w:pStyle w:val="ANormal"/>
        <w:rPr>
          <w:szCs w:val="22"/>
        </w:rPr>
      </w:pPr>
    </w:p>
    <w:p w14:paraId="59F3F0F0" w14:textId="2D958AD2" w:rsidR="00CE265E" w:rsidRDefault="00ED2289" w:rsidP="00852332">
      <w:pPr>
        <w:pStyle w:val="RubrikD"/>
      </w:pPr>
      <w:r w:rsidRPr="00ED2289">
        <w:t>V</w:t>
      </w:r>
      <w:r w:rsidR="006740E4" w:rsidRPr="00ED2289">
        <w:t>årdgarantin inom den specialiserade sjukvården</w:t>
      </w:r>
    </w:p>
    <w:p w14:paraId="6B332E16" w14:textId="77777777" w:rsidR="00852332" w:rsidRPr="00852332" w:rsidRDefault="00852332" w:rsidP="00852332">
      <w:pPr>
        <w:pStyle w:val="Rubrikmellanrum"/>
      </w:pPr>
    </w:p>
    <w:p w14:paraId="29520152" w14:textId="49C545B7" w:rsidR="0040002B" w:rsidRDefault="00CE265E" w:rsidP="00CE265E">
      <w:pPr>
        <w:pStyle w:val="ANormal"/>
        <w:rPr>
          <w:szCs w:val="22"/>
        </w:rPr>
      </w:pPr>
      <w:r w:rsidRPr="00CE265E">
        <w:rPr>
          <w:szCs w:val="22"/>
        </w:rPr>
        <w:t xml:space="preserve">Landskapsregeringen föreslår </w:t>
      </w:r>
      <w:r>
        <w:rPr>
          <w:szCs w:val="22"/>
        </w:rPr>
        <w:t xml:space="preserve">i lagförslaget </w:t>
      </w:r>
      <w:r w:rsidRPr="00CE265E">
        <w:rPr>
          <w:szCs w:val="22"/>
        </w:rPr>
        <w:t>en ändring av lagen</w:t>
      </w:r>
      <w:r>
        <w:rPr>
          <w:szCs w:val="22"/>
        </w:rPr>
        <w:t xml:space="preserve"> om hälso- </w:t>
      </w:r>
      <w:r w:rsidR="00EA5D9C">
        <w:rPr>
          <w:szCs w:val="22"/>
        </w:rPr>
        <w:t>och</w:t>
      </w:r>
      <w:r>
        <w:rPr>
          <w:szCs w:val="22"/>
        </w:rPr>
        <w:t xml:space="preserve"> sjukvård 20 § 3 </w:t>
      </w:r>
      <w:proofErr w:type="spellStart"/>
      <w:r>
        <w:rPr>
          <w:szCs w:val="22"/>
        </w:rPr>
        <w:t>mom</w:t>
      </w:r>
      <w:proofErr w:type="spellEnd"/>
      <w:r w:rsidRPr="00CE265E">
        <w:rPr>
          <w:szCs w:val="22"/>
        </w:rPr>
        <w:t xml:space="preserve"> för att tydliggöra tidsgränserna för bedömning av remisser, bedömning av vårdbehov och ordnande av vård. </w:t>
      </w:r>
      <w:r>
        <w:rPr>
          <w:szCs w:val="22"/>
        </w:rPr>
        <w:t xml:space="preserve">Ändringen syftar till att efterleva </w:t>
      </w:r>
      <w:r w:rsidR="00EA5D9C">
        <w:rPr>
          <w:szCs w:val="22"/>
        </w:rPr>
        <w:t xml:space="preserve">en rekommendation från </w:t>
      </w:r>
      <w:r>
        <w:rPr>
          <w:szCs w:val="22"/>
        </w:rPr>
        <w:t xml:space="preserve">biträdande </w:t>
      </w:r>
      <w:proofErr w:type="gramStart"/>
      <w:r w:rsidR="00EA5D9C">
        <w:rPr>
          <w:szCs w:val="22"/>
        </w:rPr>
        <w:t>justitieombudsmannen</w:t>
      </w:r>
      <w:proofErr w:type="gramEnd"/>
      <w:r>
        <w:rPr>
          <w:szCs w:val="22"/>
        </w:rPr>
        <w:t xml:space="preserve"> (BJO)</w:t>
      </w:r>
      <w:r w:rsidR="00EA5D9C">
        <w:rPr>
          <w:szCs w:val="22"/>
        </w:rPr>
        <w:t xml:space="preserve">. BJO </w:t>
      </w:r>
      <w:r w:rsidR="00EA5D9C" w:rsidRPr="00CE265E">
        <w:rPr>
          <w:szCs w:val="22"/>
        </w:rPr>
        <w:t xml:space="preserve">påpekade </w:t>
      </w:r>
      <w:r w:rsidR="00EA5D9C">
        <w:rPr>
          <w:szCs w:val="22"/>
        </w:rPr>
        <w:t xml:space="preserve">efter en utredning </w:t>
      </w:r>
      <w:r w:rsidR="00EA5D9C" w:rsidRPr="00CE265E">
        <w:rPr>
          <w:szCs w:val="22"/>
        </w:rPr>
        <w:t xml:space="preserve">att den nuvarande treveckorsfristen för bedömning av </w:t>
      </w:r>
      <w:r w:rsidR="004B2907">
        <w:rPr>
          <w:szCs w:val="22"/>
        </w:rPr>
        <w:t>vårdbehovet</w:t>
      </w:r>
      <w:r w:rsidR="00EA5D9C" w:rsidRPr="00CE265E">
        <w:rPr>
          <w:szCs w:val="22"/>
        </w:rPr>
        <w:t xml:space="preserve"> inte räcker för att genomföra nödvändiga specialistundersökningar, och föreslog att denna tidsfrist bör förlängas till tre månader för att förbättra bedömningsprocessen.</w:t>
      </w:r>
      <w:r w:rsidR="00623820">
        <w:rPr>
          <w:szCs w:val="22"/>
        </w:rPr>
        <w:t xml:space="preserve"> </w:t>
      </w:r>
      <w:r w:rsidRPr="00CE265E">
        <w:rPr>
          <w:szCs w:val="22"/>
        </w:rPr>
        <w:t xml:space="preserve">Den föreslagna ändringen, </w:t>
      </w:r>
      <w:r w:rsidRPr="00CE265E">
        <w:rPr>
          <w:szCs w:val="22"/>
        </w:rPr>
        <w:lastRenderedPageBreak/>
        <w:t>som innebär en tre månaders tidsfrist för bedömning där särskilda undersökningar krävs, skulle ge ÅHS bättre möjlighet att hantera remisser och stärka rättssäkerheten för patienter.</w:t>
      </w:r>
    </w:p>
    <w:p w14:paraId="261FF5FB" w14:textId="3D00563E" w:rsidR="00EA5D9C" w:rsidRDefault="00852332" w:rsidP="00CE265E">
      <w:pPr>
        <w:pStyle w:val="ANormal"/>
        <w:rPr>
          <w:szCs w:val="22"/>
        </w:rPr>
      </w:pPr>
      <w:r>
        <w:rPr>
          <w:szCs w:val="22"/>
        </w:rPr>
        <w:tab/>
      </w:r>
      <w:r w:rsidR="00EA5D9C">
        <w:rPr>
          <w:szCs w:val="22"/>
        </w:rPr>
        <w:t xml:space="preserve">Utskottet konstaterar att den begränsade ändringen i föreliggande lagförslag är nödvändigt för att åtgärda de </w:t>
      </w:r>
      <w:r w:rsidR="00393FBA">
        <w:rPr>
          <w:szCs w:val="22"/>
        </w:rPr>
        <w:t>rättsliga svagheter</w:t>
      </w:r>
      <w:r w:rsidR="00EA5D9C">
        <w:rPr>
          <w:szCs w:val="22"/>
        </w:rPr>
        <w:t xml:space="preserve"> BJO pekat på. Vidare välkomnar utskottet en </w:t>
      </w:r>
      <w:r w:rsidR="004B2907">
        <w:rPr>
          <w:szCs w:val="22"/>
        </w:rPr>
        <w:t xml:space="preserve">kommande </w:t>
      </w:r>
      <w:r w:rsidR="00EA5D9C">
        <w:rPr>
          <w:szCs w:val="22"/>
        </w:rPr>
        <w:t>grundlig översyn av hälso- och sjukvårdslage</w:t>
      </w:r>
      <w:r w:rsidR="004B2907">
        <w:rPr>
          <w:szCs w:val="22"/>
        </w:rPr>
        <w:t>n. Utskottet har erfarit att</w:t>
      </w:r>
      <w:r w:rsidR="00EA5D9C">
        <w:rPr>
          <w:szCs w:val="22"/>
        </w:rPr>
        <w:t xml:space="preserve"> </w:t>
      </w:r>
      <w:r w:rsidR="004B2907">
        <w:rPr>
          <w:szCs w:val="22"/>
        </w:rPr>
        <w:t xml:space="preserve">bekräftelse på remissen och tydliggörande av vårdansvaret är en viktig del av </w:t>
      </w:r>
      <w:r w:rsidR="00EA5D9C">
        <w:rPr>
          <w:szCs w:val="22"/>
        </w:rPr>
        <w:t xml:space="preserve">remissförfarandet </w:t>
      </w:r>
      <w:r w:rsidR="004B2907">
        <w:rPr>
          <w:szCs w:val="22"/>
        </w:rPr>
        <w:t xml:space="preserve">och bör </w:t>
      </w:r>
      <w:r w:rsidR="00EA5D9C">
        <w:rPr>
          <w:szCs w:val="22"/>
        </w:rPr>
        <w:t>ses över.</w:t>
      </w:r>
    </w:p>
    <w:p w14:paraId="6A03CF93" w14:textId="77777777" w:rsidR="00ED2289" w:rsidRDefault="00ED2289" w:rsidP="001C6A2F">
      <w:pPr>
        <w:pStyle w:val="ANormal"/>
        <w:rPr>
          <w:szCs w:val="22"/>
        </w:rPr>
      </w:pPr>
    </w:p>
    <w:p w14:paraId="4FAD17B0" w14:textId="3617533E" w:rsidR="001C6A2F" w:rsidRDefault="001C6A2F" w:rsidP="00852332">
      <w:pPr>
        <w:pStyle w:val="RubrikD"/>
      </w:pPr>
      <w:r w:rsidRPr="001C6A2F">
        <w:t>Utskottets ställningstagande</w:t>
      </w:r>
    </w:p>
    <w:p w14:paraId="3E72A590" w14:textId="77777777" w:rsidR="001C6A2F" w:rsidRDefault="001C6A2F" w:rsidP="001C6A2F">
      <w:pPr>
        <w:pStyle w:val="ANormal"/>
        <w:rPr>
          <w:i/>
          <w:iCs/>
          <w:sz w:val="10"/>
          <w:szCs w:val="10"/>
        </w:rPr>
      </w:pPr>
    </w:p>
    <w:p w14:paraId="1EA16384" w14:textId="77777777" w:rsidR="00CA7CC7" w:rsidRDefault="007423D7" w:rsidP="001C6A2F">
      <w:pPr>
        <w:pStyle w:val="ANormal"/>
        <w:rPr>
          <w:szCs w:val="22"/>
        </w:rPr>
      </w:pPr>
      <w:r w:rsidRPr="0083375E">
        <w:rPr>
          <w:szCs w:val="22"/>
        </w:rPr>
        <w:t xml:space="preserve">Utskottet konstaterar att de bestämmelser som föreslås intas i hälso- och </w:t>
      </w:r>
      <w:r w:rsidRPr="007423D7">
        <w:rPr>
          <w:szCs w:val="22"/>
        </w:rPr>
        <w:t xml:space="preserve">sjukvårdslagen och som avviker från den lagstiftning som hittills tillämpats i landskapet </w:t>
      </w:r>
      <w:r w:rsidR="0083375E">
        <w:rPr>
          <w:szCs w:val="22"/>
        </w:rPr>
        <w:t xml:space="preserve">korrigerar </w:t>
      </w:r>
      <w:r w:rsidR="00725FFF">
        <w:rPr>
          <w:szCs w:val="22"/>
        </w:rPr>
        <w:t xml:space="preserve">en rättslig gråzon </w:t>
      </w:r>
      <w:r w:rsidR="00CA7CC7">
        <w:rPr>
          <w:szCs w:val="22"/>
        </w:rPr>
        <w:t xml:space="preserve">samt </w:t>
      </w:r>
      <w:r w:rsidRPr="007423D7">
        <w:rPr>
          <w:szCs w:val="22"/>
        </w:rPr>
        <w:t xml:space="preserve">stärker </w:t>
      </w:r>
      <w:r w:rsidR="00CA7CC7">
        <w:rPr>
          <w:szCs w:val="22"/>
        </w:rPr>
        <w:t xml:space="preserve">både </w:t>
      </w:r>
      <w:r w:rsidRPr="007423D7">
        <w:rPr>
          <w:szCs w:val="22"/>
        </w:rPr>
        <w:t>patientsäkerheten</w:t>
      </w:r>
      <w:r w:rsidR="00CA7CC7">
        <w:rPr>
          <w:szCs w:val="22"/>
        </w:rPr>
        <w:t xml:space="preserve"> och</w:t>
      </w:r>
      <w:r w:rsidRPr="007423D7">
        <w:rPr>
          <w:szCs w:val="22"/>
        </w:rPr>
        <w:t xml:space="preserve"> hälso- och sjukvårdstjänsternas kvalitet. </w:t>
      </w:r>
    </w:p>
    <w:p w14:paraId="4492DA74" w14:textId="7784A0BC" w:rsidR="007423D7" w:rsidRPr="007423D7" w:rsidRDefault="00852332" w:rsidP="001C6A2F">
      <w:pPr>
        <w:pStyle w:val="ANormal"/>
        <w:rPr>
          <w:i/>
          <w:iCs/>
          <w:szCs w:val="22"/>
        </w:rPr>
      </w:pPr>
      <w:r>
        <w:rPr>
          <w:szCs w:val="22"/>
        </w:rPr>
        <w:tab/>
      </w:r>
      <w:r w:rsidR="007423D7" w:rsidRPr="007423D7">
        <w:rPr>
          <w:szCs w:val="22"/>
        </w:rPr>
        <w:t>Utskottet anser att de föreslagna ändringarna är befogade och omfattar lagförslaget</w:t>
      </w:r>
      <w:r w:rsidR="007423D7" w:rsidRPr="007423D7">
        <w:rPr>
          <w:i/>
          <w:iCs/>
          <w:szCs w:val="22"/>
        </w:rPr>
        <w:t>.</w:t>
      </w:r>
    </w:p>
    <w:p w14:paraId="6A8CA86C" w14:textId="77777777" w:rsidR="00A93432" w:rsidRDefault="00A93432" w:rsidP="00A93432">
      <w:pPr>
        <w:pStyle w:val="Rubrikmellanrum"/>
      </w:pPr>
    </w:p>
    <w:p w14:paraId="106E08D1" w14:textId="03AA0F20" w:rsidR="008704FC" w:rsidRDefault="008704FC" w:rsidP="00A93432">
      <w:pPr>
        <w:pStyle w:val="ANormal"/>
        <w:ind w:left="348" w:hanging="348"/>
      </w:pPr>
    </w:p>
    <w:p w14:paraId="2C0C87C7" w14:textId="77777777" w:rsidR="002401D0" w:rsidRDefault="002401D0">
      <w:pPr>
        <w:pStyle w:val="RubrikA"/>
      </w:pPr>
      <w:bookmarkStart w:id="12" w:name="_Toc529800936"/>
      <w:bookmarkStart w:id="13" w:name="_Toc177742668"/>
      <w:r>
        <w:t>Ärendets behandling</w:t>
      </w:r>
      <w:bookmarkEnd w:id="12"/>
      <w:bookmarkEnd w:id="13"/>
    </w:p>
    <w:p w14:paraId="77C1A452" w14:textId="77777777" w:rsidR="002401D0" w:rsidRDefault="002401D0">
      <w:pPr>
        <w:pStyle w:val="Rubrikmellanrum"/>
      </w:pPr>
    </w:p>
    <w:p w14:paraId="05E43B5C" w14:textId="77777777" w:rsidR="00DA1F12" w:rsidRDefault="00DA1F12" w:rsidP="00DA1F12">
      <w:pPr>
        <w:pStyle w:val="ANormal"/>
      </w:pPr>
    </w:p>
    <w:p w14:paraId="1A8FFF8A" w14:textId="4D4BBB50" w:rsidR="00DA1F12" w:rsidRDefault="00DA1F12" w:rsidP="00DA1F12">
      <w:pPr>
        <w:pStyle w:val="ANormal"/>
      </w:pPr>
      <w:r>
        <w:t xml:space="preserve">Lagtinget har den 12 juni 2024 </w:t>
      </w:r>
      <w:proofErr w:type="spellStart"/>
      <w:r>
        <w:t>inbegärt</w:t>
      </w:r>
      <w:proofErr w:type="spellEnd"/>
      <w:r>
        <w:t xml:space="preserve"> social- och miljöutskottets yttrande i ärendet. </w:t>
      </w:r>
    </w:p>
    <w:p w14:paraId="0815B521" w14:textId="1B8CFCD8" w:rsidR="00CA7CC7" w:rsidRDefault="00DA1F12" w:rsidP="00DA1F12">
      <w:pPr>
        <w:pStyle w:val="ANormal"/>
      </w:pPr>
      <w:r>
        <w:tab/>
        <w:t>Utskottet har i ärendet hört</w:t>
      </w:r>
      <w:r w:rsidR="00725FFF">
        <w:t xml:space="preserve"> </w:t>
      </w:r>
      <w:r w:rsidR="00CA7CC7">
        <w:t xml:space="preserve">minister </w:t>
      </w:r>
      <w:proofErr w:type="spellStart"/>
      <w:r w:rsidR="00CA7CC7">
        <w:t>Arsim</w:t>
      </w:r>
      <w:proofErr w:type="spellEnd"/>
      <w:r w:rsidR="00CA7CC7">
        <w:t xml:space="preserve"> </w:t>
      </w:r>
      <w:proofErr w:type="spellStart"/>
      <w:r w:rsidR="00CA7CC7">
        <w:t>Zekaj</w:t>
      </w:r>
      <w:proofErr w:type="spellEnd"/>
      <w:r w:rsidR="00CA7CC7">
        <w:t xml:space="preserve">, </w:t>
      </w:r>
      <w:proofErr w:type="spellStart"/>
      <w:r w:rsidR="00CA7CC7">
        <w:t>t.f</w:t>
      </w:r>
      <w:proofErr w:type="spellEnd"/>
      <w:r w:rsidR="00CA7CC7">
        <w:t xml:space="preserve"> avdelningschef för social- och hälsovårdsbyrån</w:t>
      </w:r>
      <w:r w:rsidR="001A5A26">
        <w:t xml:space="preserve"> Otto Ilmonen</w:t>
      </w:r>
      <w:r w:rsidR="00CA7CC7">
        <w:t>, lag</w:t>
      </w:r>
      <w:r w:rsidR="00862ACD">
        <w:t>beredare</w:t>
      </w:r>
      <w:r w:rsidR="00CA7CC7">
        <w:t xml:space="preserve"> vid Ålands landsregering</w:t>
      </w:r>
      <w:r w:rsidR="00862ACD">
        <w:t xml:space="preserve"> Matias Pentti</w:t>
      </w:r>
      <w:r w:rsidR="00CA7CC7">
        <w:t xml:space="preserve">, dataskyddsombudet </w:t>
      </w:r>
      <w:r w:rsidR="003C403F">
        <w:t>Adeline Gripenberg</w:t>
      </w:r>
      <w:r w:rsidR="00CA7CC7">
        <w:t xml:space="preserve">, </w:t>
      </w:r>
      <w:r w:rsidR="00611EBF">
        <w:t xml:space="preserve">IT-chef vid </w:t>
      </w:r>
      <w:r w:rsidR="00CA7CC7">
        <w:t xml:space="preserve">Digitaliseringsenheten </w:t>
      </w:r>
      <w:r w:rsidR="00611EBF">
        <w:t xml:space="preserve">Jani Sjölund, </w:t>
      </w:r>
      <w:r w:rsidR="00DC6DC7">
        <w:t xml:space="preserve">jurist vid </w:t>
      </w:r>
      <w:r w:rsidR="00CA7CC7">
        <w:t>Hä</w:t>
      </w:r>
      <w:r w:rsidR="00611EBF">
        <w:t>lso</w:t>
      </w:r>
      <w:r w:rsidR="00CA7CC7">
        <w:t>- och sjukvårdsbyrån</w:t>
      </w:r>
      <w:r w:rsidR="00DC6DC7">
        <w:t xml:space="preserve"> Marcus Söderholm, </w:t>
      </w:r>
      <w:r w:rsidR="00CA7CC7">
        <w:t>ÅHS chefsöverläkare</w:t>
      </w:r>
      <w:r w:rsidR="001B7C68">
        <w:t xml:space="preserve"> Jun Nagamori</w:t>
      </w:r>
      <w:r w:rsidR="00CA7CC7">
        <w:t xml:space="preserve">, </w:t>
      </w:r>
      <w:r w:rsidR="00E43FC4">
        <w:t xml:space="preserve">ÅHS </w:t>
      </w:r>
      <w:r w:rsidR="00CA7CC7">
        <w:t xml:space="preserve">primärvårdens klinikchef </w:t>
      </w:r>
      <w:r w:rsidR="001B7C68">
        <w:t xml:space="preserve">Malin Ringbom, </w:t>
      </w:r>
      <w:r w:rsidR="00E43FC4">
        <w:t xml:space="preserve">ÅHS </w:t>
      </w:r>
      <w:r w:rsidR="001B7C68">
        <w:t>f</w:t>
      </w:r>
      <w:r w:rsidR="00CA7CC7">
        <w:t>örvaltningsöverläkare</w:t>
      </w:r>
      <w:r w:rsidR="00E43FC4">
        <w:t xml:space="preserve"> Per-Anton Westerberg, </w:t>
      </w:r>
      <w:r w:rsidR="00CA7CC7">
        <w:t>Datainspektionen på Åland</w:t>
      </w:r>
      <w:r w:rsidR="00E43FC4">
        <w:t xml:space="preserve"> Lena Nordman</w:t>
      </w:r>
      <w:r w:rsidR="00CA7CC7">
        <w:t>, informationssäkerhetsstrateg vid Sveriges Kommuner och Regioner</w:t>
      </w:r>
      <w:r w:rsidR="00224097">
        <w:t xml:space="preserve"> Jonas Nilsson</w:t>
      </w:r>
      <w:r w:rsidR="00CA7CC7">
        <w:t xml:space="preserve">, forskare </w:t>
      </w:r>
      <w:r w:rsidR="00D11F14">
        <w:t xml:space="preserve">Erika Boman </w:t>
      </w:r>
      <w:r w:rsidR="00CA7CC7">
        <w:t xml:space="preserve">knuten till Högskolan på Åland samt chefsläkare vid </w:t>
      </w:r>
      <w:proofErr w:type="spellStart"/>
      <w:r w:rsidR="00CA7CC7">
        <w:t>Medimar</w:t>
      </w:r>
      <w:proofErr w:type="spellEnd"/>
      <w:r w:rsidR="00D11F14">
        <w:t xml:space="preserve"> Tora </w:t>
      </w:r>
      <w:proofErr w:type="spellStart"/>
      <w:r w:rsidR="00D11F14">
        <w:t>Woivalin</w:t>
      </w:r>
      <w:proofErr w:type="spellEnd"/>
      <w:r w:rsidR="00CA7CC7">
        <w:t xml:space="preserve">. </w:t>
      </w:r>
    </w:p>
    <w:p w14:paraId="214B1FBC" w14:textId="59EA2EE4" w:rsidR="00DA1F12" w:rsidRDefault="00725FFF" w:rsidP="00DA1F12">
      <w:pPr>
        <w:pStyle w:val="ANormal"/>
      </w:pPr>
      <w:r>
        <w:t xml:space="preserve"> </w:t>
      </w:r>
      <w:r w:rsidR="00DA1F12">
        <w:t xml:space="preserve"> </w:t>
      </w:r>
    </w:p>
    <w:p w14:paraId="0E759E17" w14:textId="07F79064" w:rsidR="002401D0" w:rsidRPr="009B2D13" w:rsidRDefault="00DA1F12">
      <w:pPr>
        <w:pStyle w:val="ANormal"/>
        <w:rPr>
          <w:color w:val="000000"/>
        </w:rPr>
      </w:pPr>
      <w:r>
        <w:tab/>
      </w:r>
      <w:r w:rsidRPr="00CA0EA6">
        <w:rPr>
          <w:color w:val="000000"/>
        </w:rPr>
        <w:t>I ärendets avgörande behandling deltog</w:t>
      </w:r>
      <w:r>
        <w:rPr>
          <w:color w:val="000000"/>
        </w:rPr>
        <w:t xml:space="preserve"> viceordföranden Pernilla Söderlund, </w:t>
      </w:r>
      <w:r w:rsidRPr="00CA0EA6">
        <w:rPr>
          <w:color w:val="000000"/>
        </w:rPr>
        <w:t>ledamöterna</w:t>
      </w:r>
      <w:r w:rsidR="00560B81">
        <w:rPr>
          <w:color w:val="000000"/>
        </w:rPr>
        <w:t xml:space="preserve"> </w:t>
      </w:r>
      <w:r>
        <w:rPr>
          <w:color w:val="000000"/>
        </w:rPr>
        <w:t>Mogens Lindén, Robert Mansén</w:t>
      </w:r>
      <w:r w:rsidR="00BE33C0">
        <w:rPr>
          <w:color w:val="000000"/>
        </w:rPr>
        <w:t>, Liz Mattsson</w:t>
      </w:r>
      <w:r w:rsidR="00E00EEF">
        <w:rPr>
          <w:color w:val="000000"/>
        </w:rPr>
        <w:t xml:space="preserve">, </w:t>
      </w:r>
      <w:r>
        <w:rPr>
          <w:color w:val="000000"/>
        </w:rPr>
        <w:t>Benny Pettersson</w:t>
      </w:r>
      <w:r w:rsidR="00E00EEF">
        <w:rPr>
          <w:color w:val="000000"/>
        </w:rPr>
        <w:t xml:space="preserve"> och ersättare Jessy Eckerman. </w:t>
      </w:r>
      <w:r w:rsidR="00A4436A">
        <w:rPr>
          <w:color w:val="000000"/>
        </w:rPr>
        <w:t>Ledamoten Mogens Lindén har fogat en reservation till betänkandet.</w:t>
      </w:r>
    </w:p>
    <w:p w14:paraId="6CEA64BE" w14:textId="77777777" w:rsidR="007014C1" w:rsidRDefault="007014C1">
      <w:pPr>
        <w:rPr>
          <w:sz w:val="30"/>
          <w:szCs w:val="20"/>
        </w:rPr>
      </w:pPr>
      <w:bookmarkStart w:id="14" w:name="_Toc529800937"/>
      <w:r>
        <w:br w:type="page"/>
      </w:r>
    </w:p>
    <w:p w14:paraId="513E9C3D" w14:textId="6ABCED59" w:rsidR="002401D0" w:rsidRDefault="002401D0">
      <w:pPr>
        <w:pStyle w:val="RubrikA"/>
      </w:pPr>
      <w:bookmarkStart w:id="15" w:name="_Toc177742669"/>
      <w:r>
        <w:lastRenderedPageBreak/>
        <w:t>Utskottets förslag</w:t>
      </w:r>
      <w:bookmarkEnd w:id="14"/>
      <w:bookmarkEnd w:id="15"/>
    </w:p>
    <w:p w14:paraId="1E92D1CD" w14:textId="77777777" w:rsidR="00560B81" w:rsidRPr="00560B81" w:rsidRDefault="00560B81" w:rsidP="00560B81">
      <w:pPr>
        <w:pStyle w:val="Rubrikmellanrum"/>
      </w:pPr>
    </w:p>
    <w:p w14:paraId="779CEFB9" w14:textId="77777777" w:rsidR="00560B81" w:rsidRDefault="00560B81" w:rsidP="00560B81">
      <w:pPr>
        <w:pStyle w:val="ANormal"/>
      </w:pPr>
      <w:r>
        <w:t>Med hänvisning till det anförda föreslår utskottet</w:t>
      </w:r>
    </w:p>
    <w:p w14:paraId="5AA58AD6" w14:textId="77777777" w:rsidR="00560B81" w:rsidRDefault="00560B81" w:rsidP="00560B81">
      <w:pPr>
        <w:pStyle w:val="ANormal"/>
      </w:pPr>
    </w:p>
    <w:p w14:paraId="4AD9B456" w14:textId="1CE813E5" w:rsidR="007014C1" w:rsidRPr="007014C1" w:rsidRDefault="00560B81" w:rsidP="007014C1">
      <w:pPr>
        <w:pStyle w:val="Klam"/>
      </w:pPr>
      <w:r>
        <w:t xml:space="preserve">att lagtinget antar lagförslagen </w:t>
      </w:r>
      <w:r w:rsidR="00A37E30">
        <w:t>i oförändrad lydelse.</w:t>
      </w:r>
    </w:p>
    <w:p w14:paraId="296951C9" w14:textId="19AC3E8E" w:rsidR="00560B81" w:rsidRPr="00301456" w:rsidRDefault="00551C56" w:rsidP="00560B81">
      <w:pPr>
        <w:pStyle w:val="ANormal"/>
        <w:jc w:val="center"/>
      </w:pPr>
      <w:hyperlink w:anchor="_top" w:tooltip="Klicka för att gå till toppen av dokumentet" w:history="1">
        <w:r w:rsidR="00560B81">
          <w:rPr>
            <w:rStyle w:val="Hyperlnk"/>
          </w:rPr>
          <w:t>__________________</w:t>
        </w:r>
      </w:hyperlink>
    </w:p>
    <w:p w14:paraId="7F4938A5" w14:textId="77777777" w:rsidR="00560B81" w:rsidRDefault="00560B81" w:rsidP="00560B81">
      <w:pPr>
        <w:pStyle w:val="ANormal"/>
      </w:pPr>
    </w:p>
    <w:p w14:paraId="33A47259" w14:textId="77777777" w:rsidR="00560B81" w:rsidRPr="00560B81" w:rsidRDefault="00560B81" w:rsidP="00560B81">
      <w:pPr>
        <w:pStyle w:val="ANormal"/>
      </w:pPr>
    </w:p>
    <w:p w14:paraId="5096DE77" w14:textId="33E8FE36" w:rsidR="00B17FA1" w:rsidRDefault="00B17FA1" w:rsidP="00560B81">
      <w:pPr>
        <w:pStyle w:val="ANormal"/>
      </w:pPr>
    </w:p>
    <w:p w14:paraId="535BA82A" w14:textId="77777777" w:rsidR="00B17FA1" w:rsidRPr="00B17FA1" w:rsidRDefault="00B17FA1" w:rsidP="00B17FA1">
      <w:pPr>
        <w:pStyle w:val="ANormal"/>
      </w:pPr>
    </w:p>
    <w:p w14:paraId="18F521E0" w14:textId="77777777" w:rsidR="002401D0" w:rsidRDefault="002401D0">
      <w:pPr>
        <w:pStyle w:val="ANormal"/>
      </w:pPr>
    </w:p>
    <w:p w14:paraId="0F214F0B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789DFFCB" w14:textId="77777777">
        <w:trPr>
          <w:cantSplit/>
        </w:trPr>
        <w:tc>
          <w:tcPr>
            <w:tcW w:w="7931" w:type="dxa"/>
            <w:gridSpan w:val="2"/>
          </w:tcPr>
          <w:p w14:paraId="0BE2031C" w14:textId="46DDCD2D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182DFC">
              <w:t>19</w:t>
            </w:r>
            <w:r w:rsidR="00F451CF">
              <w:t xml:space="preserve"> </w:t>
            </w:r>
            <w:r w:rsidR="00182DFC">
              <w:t>september</w:t>
            </w:r>
            <w:r w:rsidR="00B17FA1">
              <w:t xml:space="preserve"> 202</w:t>
            </w:r>
            <w:r w:rsidR="00BF2402">
              <w:t>4</w:t>
            </w:r>
          </w:p>
        </w:tc>
      </w:tr>
      <w:tr w:rsidR="002401D0" w14:paraId="77E07C39" w14:textId="77777777">
        <w:tc>
          <w:tcPr>
            <w:tcW w:w="4454" w:type="dxa"/>
            <w:vAlign w:val="bottom"/>
          </w:tcPr>
          <w:p w14:paraId="606AF88B" w14:textId="77777777" w:rsidR="002401D0" w:rsidRDefault="002401D0">
            <w:pPr>
              <w:pStyle w:val="ANormal"/>
              <w:keepNext/>
            </w:pPr>
          </w:p>
          <w:p w14:paraId="02CDD89F" w14:textId="77777777" w:rsidR="002401D0" w:rsidRDefault="002401D0">
            <w:pPr>
              <w:pStyle w:val="ANormal"/>
              <w:keepNext/>
            </w:pPr>
          </w:p>
          <w:p w14:paraId="2DFC035C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0F9F933E" w14:textId="7EC66869" w:rsidR="002401D0" w:rsidRDefault="00182DFC">
            <w:pPr>
              <w:pStyle w:val="ANormal"/>
              <w:keepNext/>
            </w:pPr>
            <w:r>
              <w:t>Pernilla Söderlund</w:t>
            </w:r>
          </w:p>
        </w:tc>
      </w:tr>
      <w:tr w:rsidR="002401D0" w14:paraId="5A2293CE" w14:textId="77777777">
        <w:tc>
          <w:tcPr>
            <w:tcW w:w="4454" w:type="dxa"/>
            <w:vAlign w:val="bottom"/>
          </w:tcPr>
          <w:p w14:paraId="7A0A9A94" w14:textId="77777777" w:rsidR="002401D0" w:rsidRDefault="002401D0">
            <w:pPr>
              <w:pStyle w:val="ANormal"/>
              <w:keepNext/>
            </w:pPr>
          </w:p>
          <w:p w14:paraId="03D913FC" w14:textId="77777777" w:rsidR="002401D0" w:rsidRDefault="002401D0">
            <w:pPr>
              <w:pStyle w:val="ANormal"/>
              <w:keepNext/>
            </w:pPr>
          </w:p>
          <w:p w14:paraId="39E05389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3A39E568" w14:textId="30AC07B7" w:rsidR="002401D0" w:rsidRDefault="00BF2402">
            <w:pPr>
              <w:pStyle w:val="ANormal"/>
              <w:keepNext/>
            </w:pPr>
            <w:r>
              <w:t>Julia Lindholm</w:t>
            </w:r>
          </w:p>
        </w:tc>
      </w:tr>
      <w:tr w:rsidR="00F451CF" w14:paraId="1386912F" w14:textId="77777777">
        <w:tc>
          <w:tcPr>
            <w:tcW w:w="4454" w:type="dxa"/>
            <w:vAlign w:val="bottom"/>
          </w:tcPr>
          <w:p w14:paraId="1A7991F6" w14:textId="77777777" w:rsidR="00F451CF" w:rsidRDefault="00F451CF">
            <w:pPr>
              <w:pStyle w:val="ANormal"/>
              <w:keepNext/>
            </w:pPr>
          </w:p>
        </w:tc>
        <w:tc>
          <w:tcPr>
            <w:tcW w:w="3477" w:type="dxa"/>
            <w:vAlign w:val="bottom"/>
          </w:tcPr>
          <w:p w14:paraId="44E154FF" w14:textId="77777777" w:rsidR="00F451CF" w:rsidRDefault="00F451CF">
            <w:pPr>
              <w:pStyle w:val="ANormal"/>
              <w:keepNext/>
            </w:pPr>
          </w:p>
        </w:tc>
      </w:tr>
    </w:tbl>
    <w:p w14:paraId="7B8D3B8C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4679" w14:textId="77777777" w:rsidR="002B1906" w:rsidRDefault="002B1906">
      <w:r>
        <w:separator/>
      </w:r>
    </w:p>
  </w:endnote>
  <w:endnote w:type="continuationSeparator" w:id="0">
    <w:p w14:paraId="1349D46C" w14:textId="77777777" w:rsidR="002B1906" w:rsidRDefault="002B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7A57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3149" w14:textId="115D5B48" w:rsidR="002401D0" w:rsidRPr="00BF2402" w:rsidRDefault="002401D0">
    <w:pPr>
      <w:pStyle w:val="Sidfot"/>
      <w:rPr>
        <w:lang w:val="sv-FI"/>
      </w:rPr>
    </w:pPr>
    <w:r>
      <w:fldChar w:fldCharType="begin"/>
    </w:r>
    <w:r w:rsidRPr="00BF2402">
      <w:rPr>
        <w:lang w:val="sv-FI"/>
      </w:rPr>
      <w:instrText xml:space="preserve"> FILENAME  \* MERGEFORMAT </w:instrText>
    </w:r>
    <w:r>
      <w:fldChar w:fldCharType="separate"/>
    </w:r>
    <w:r w:rsidR="009B2D13">
      <w:rPr>
        <w:noProof/>
        <w:lang w:val="sv-FI"/>
      </w:rPr>
      <w:t>SMU0520232024.docx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F80E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4D3A" w14:textId="77777777" w:rsidR="002B1906" w:rsidRDefault="002B1906">
      <w:r>
        <w:separator/>
      </w:r>
    </w:p>
  </w:footnote>
  <w:footnote w:type="continuationSeparator" w:id="0">
    <w:p w14:paraId="005397AA" w14:textId="77777777" w:rsidR="002B1906" w:rsidRDefault="002B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0411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31DA3EC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2546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A04173"/>
    <w:multiLevelType w:val="hybridMultilevel"/>
    <w:tmpl w:val="CEBE0B7C"/>
    <w:lvl w:ilvl="0" w:tplc="A8FC46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462914">
    <w:abstractNumId w:val="6"/>
  </w:num>
  <w:num w:numId="2" w16cid:durableId="233703598">
    <w:abstractNumId w:val="3"/>
  </w:num>
  <w:num w:numId="3" w16cid:durableId="542057906">
    <w:abstractNumId w:val="2"/>
  </w:num>
  <w:num w:numId="4" w16cid:durableId="1405493585">
    <w:abstractNumId w:val="1"/>
  </w:num>
  <w:num w:numId="5" w16cid:durableId="1212569781">
    <w:abstractNumId w:val="0"/>
  </w:num>
  <w:num w:numId="6" w16cid:durableId="1439368736">
    <w:abstractNumId w:val="7"/>
  </w:num>
  <w:num w:numId="7" w16cid:durableId="995693809">
    <w:abstractNumId w:val="5"/>
  </w:num>
  <w:num w:numId="8" w16cid:durableId="679477590">
    <w:abstractNumId w:val="4"/>
  </w:num>
  <w:num w:numId="9" w16cid:durableId="1999772773">
    <w:abstractNumId w:val="11"/>
  </w:num>
  <w:num w:numId="10" w16cid:durableId="1986932566">
    <w:abstractNumId w:val="14"/>
  </w:num>
  <w:num w:numId="11" w16cid:durableId="1066218792">
    <w:abstractNumId w:val="13"/>
  </w:num>
  <w:num w:numId="12" w16cid:durableId="267858141">
    <w:abstractNumId w:val="17"/>
  </w:num>
  <w:num w:numId="13" w16cid:durableId="1023214870">
    <w:abstractNumId w:val="12"/>
  </w:num>
  <w:num w:numId="14" w16cid:durableId="1123839547">
    <w:abstractNumId w:val="16"/>
  </w:num>
  <w:num w:numId="15" w16cid:durableId="491409416">
    <w:abstractNumId w:val="10"/>
  </w:num>
  <w:num w:numId="16" w16cid:durableId="2000503326">
    <w:abstractNumId w:val="22"/>
  </w:num>
  <w:num w:numId="17" w16cid:durableId="888766378">
    <w:abstractNumId w:val="9"/>
  </w:num>
  <w:num w:numId="18" w16cid:durableId="1986423899">
    <w:abstractNumId w:val="18"/>
  </w:num>
  <w:num w:numId="19" w16cid:durableId="923950070">
    <w:abstractNumId w:val="21"/>
  </w:num>
  <w:num w:numId="20" w16cid:durableId="998773764">
    <w:abstractNumId w:val="24"/>
  </w:num>
  <w:num w:numId="21" w16cid:durableId="459539570">
    <w:abstractNumId w:val="23"/>
  </w:num>
  <w:num w:numId="22" w16cid:durableId="1107889375">
    <w:abstractNumId w:val="15"/>
  </w:num>
  <w:num w:numId="23" w16cid:durableId="2017615404">
    <w:abstractNumId w:val="19"/>
  </w:num>
  <w:num w:numId="24" w16cid:durableId="106632010">
    <w:abstractNumId w:val="19"/>
  </w:num>
  <w:num w:numId="25" w16cid:durableId="645159526">
    <w:abstractNumId w:val="20"/>
  </w:num>
  <w:num w:numId="26" w16cid:durableId="1341784485">
    <w:abstractNumId w:val="15"/>
  </w:num>
  <w:num w:numId="27" w16cid:durableId="1004743570">
    <w:abstractNumId w:val="15"/>
  </w:num>
  <w:num w:numId="28" w16cid:durableId="1168446124">
    <w:abstractNumId w:val="15"/>
  </w:num>
  <w:num w:numId="29" w16cid:durableId="290327236">
    <w:abstractNumId w:val="15"/>
  </w:num>
  <w:num w:numId="30" w16cid:durableId="642809143">
    <w:abstractNumId w:val="15"/>
  </w:num>
  <w:num w:numId="31" w16cid:durableId="1758092173">
    <w:abstractNumId w:val="15"/>
  </w:num>
  <w:num w:numId="32" w16cid:durableId="153423898">
    <w:abstractNumId w:val="15"/>
  </w:num>
  <w:num w:numId="33" w16cid:durableId="2026780942">
    <w:abstractNumId w:val="15"/>
  </w:num>
  <w:num w:numId="34" w16cid:durableId="375743216">
    <w:abstractNumId w:val="15"/>
  </w:num>
  <w:num w:numId="35" w16cid:durableId="1364868003">
    <w:abstractNumId w:val="19"/>
  </w:num>
  <w:num w:numId="36" w16cid:durableId="311522743">
    <w:abstractNumId w:val="20"/>
  </w:num>
  <w:num w:numId="37" w16cid:durableId="1199970432">
    <w:abstractNumId w:val="15"/>
  </w:num>
  <w:num w:numId="38" w16cid:durableId="427122182">
    <w:abstractNumId w:val="15"/>
  </w:num>
  <w:num w:numId="39" w16cid:durableId="1759054573">
    <w:abstractNumId w:val="15"/>
  </w:num>
  <w:num w:numId="40" w16cid:durableId="1345203655">
    <w:abstractNumId w:val="15"/>
  </w:num>
  <w:num w:numId="41" w16cid:durableId="1828403787">
    <w:abstractNumId w:val="15"/>
  </w:num>
  <w:num w:numId="42" w16cid:durableId="128941794">
    <w:abstractNumId w:val="15"/>
  </w:num>
  <w:num w:numId="43" w16cid:durableId="1892035177">
    <w:abstractNumId w:val="15"/>
  </w:num>
  <w:num w:numId="44" w16cid:durableId="732050403">
    <w:abstractNumId w:val="15"/>
  </w:num>
  <w:num w:numId="45" w16cid:durableId="1367636651">
    <w:abstractNumId w:val="15"/>
  </w:num>
  <w:num w:numId="46" w16cid:durableId="1876649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6"/>
    <w:rsid w:val="00015E9C"/>
    <w:rsid w:val="00034AF8"/>
    <w:rsid w:val="00051556"/>
    <w:rsid w:val="000A47B0"/>
    <w:rsid w:val="000B2DC9"/>
    <w:rsid w:val="000B4B62"/>
    <w:rsid w:val="000D2417"/>
    <w:rsid w:val="000D6353"/>
    <w:rsid w:val="000F7417"/>
    <w:rsid w:val="00104527"/>
    <w:rsid w:val="001046DE"/>
    <w:rsid w:val="0015337C"/>
    <w:rsid w:val="00153AEF"/>
    <w:rsid w:val="00182DFC"/>
    <w:rsid w:val="00192C81"/>
    <w:rsid w:val="001A240B"/>
    <w:rsid w:val="001A5A26"/>
    <w:rsid w:val="001B7791"/>
    <w:rsid w:val="001B7C68"/>
    <w:rsid w:val="001C3350"/>
    <w:rsid w:val="001C6A2F"/>
    <w:rsid w:val="0020621D"/>
    <w:rsid w:val="00215286"/>
    <w:rsid w:val="00217EBA"/>
    <w:rsid w:val="00224097"/>
    <w:rsid w:val="00232F1A"/>
    <w:rsid w:val="00233730"/>
    <w:rsid w:val="002401D0"/>
    <w:rsid w:val="0024599E"/>
    <w:rsid w:val="00255FD7"/>
    <w:rsid w:val="002924BB"/>
    <w:rsid w:val="002962B7"/>
    <w:rsid w:val="002B1906"/>
    <w:rsid w:val="002B6DEF"/>
    <w:rsid w:val="002D4487"/>
    <w:rsid w:val="002E291D"/>
    <w:rsid w:val="002E6342"/>
    <w:rsid w:val="00300325"/>
    <w:rsid w:val="00317F19"/>
    <w:rsid w:val="0035061E"/>
    <w:rsid w:val="0036359C"/>
    <w:rsid w:val="00380663"/>
    <w:rsid w:val="003822CF"/>
    <w:rsid w:val="0038521D"/>
    <w:rsid w:val="003867A2"/>
    <w:rsid w:val="00393FBA"/>
    <w:rsid w:val="003A2697"/>
    <w:rsid w:val="003C403F"/>
    <w:rsid w:val="003C6652"/>
    <w:rsid w:val="003D3F14"/>
    <w:rsid w:val="0040002B"/>
    <w:rsid w:val="00421BBF"/>
    <w:rsid w:val="00422BE7"/>
    <w:rsid w:val="0045666E"/>
    <w:rsid w:val="00460E6A"/>
    <w:rsid w:val="00494553"/>
    <w:rsid w:val="004B2907"/>
    <w:rsid w:val="004B30FD"/>
    <w:rsid w:val="004D580B"/>
    <w:rsid w:val="004D6C8F"/>
    <w:rsid w:val="004E5413"/>
    <w:rsid w:val="0052511F"/>
    <w:rsid w:val="00531290"/>
    <w:rsid w:val="00545FCD"/>
    <w:rsid w:val="00546F32"/>
    <w:rsid w:val="00551C56"/>
    <w:rsid w:val="00560169"/>
    <w:rsid w:val="00560B81"/>
    <w:rsid w:val="00576A87"/>
    <w:rsid w:val="005B02DD"/>
    <w:rsid w:val="005C1152"/>
    <w:rsid w:val="005D6CF9"/>
    <w:rsid w:val="005E1982"/>
    <w:rsid w:val="005F4DC6"/>
    <w:rsid w:val="00611DCD"/>
    <w:rsid w:val="00611EBF"/>
    <w:rsid w:val="00623820"/>
    <w:rsid w:val="00630B78"/>
    <w:rsid w:val="0063508F"/>
    <w:rsid w:val="00660F24"/>
    <w:rsid w:val="00661E88"/>
    <w:rsid w:val="006740E4"/>
    <w:rsid w:val="0069057F"/>
    <w:rsid w:val="0069365C"/>
    <w:rsid w:val="0069389B"/>
    <w:rsid w:val="00695B84"/>
    <w:rsid w:val="006971E7"/>
    <w:rsid w:val="006A33A9"/>
    <w:rsid w:val="006B2E9E"/>
    <w:rsid w:val="006B7B60"/>
    <w:rsid w:val="007014C1"/>
    <w:rsid w:val="00717517"/>
    <w:rsid w:val="00723B93"/>
    <w:rsid w:val="00725FFF"/>
    <w:rsid w:val="007335E5"/>
    <w:rsid w:val="007338E9"/>
    <w:rsid w:val="007423D7"/>
    <w:rsid w:val="007600AF"/>
    <w:rsid w:val="0078287E"/>
    <w:rsid w:val="00787877"/>
    <w:rsid w:val="007A51AF"/>
    <w:rsid w:val="007F02C2"/>
    <w:rsid w:val="00811D50"/>
    <w:rsid w:val="00817B04"/>
    <w:rsid w:val="0083375E"/>
    <w:rsid w:val="00852332"/>
    <w:rsid w:val="00854893"/>
    <w:rsid w:val="00862ACD"/>
    <w:rsid w:val="008704FC"/>
    <w:rsid w:val="00897B49"/>
    <w:rsid w:val="008A57AE"/>
    <w:rsid w:val="008B6F89"/>
    <w:rsid w:val="008C3D6B"/>
    <w:rsid w:val="0091676A"/>
    <w:rsid w:val="009215BD"/>
    <w:rsid w:val="00933944"/>
    <w:rsid w:val="00937C66"/>
    <w:rsid w:val="0094781D"/>
    <w:rsid w:val="00952DBB"/>
    <w:rsid w:val="00957C36"/>
    <w:rsid w:val="00995B72"/>
    <w:rsid w:val="009A2A8B"/>
    <w:rsid w:val="009B06FA"/>
    <w:rsid w:val="009B2D13"/>
    <w:rsid w:val="009C72E0"/>
    <w:rsid w:val="009D73B2"/>
    <w:rsid w:val="009F6BA9"/>
    <w:rsid w:val="009F7CE2"/>
    <w:rsid w:val="00A0136B"/>
    <w:rsid w:val="00A05788"/>
    <w:rsid w:val="00A37E30"/>
    <w:rsid w:val="00A4436A"/>
    <w:rsid w:val="00A51EC1"/>
    <w:rsid w:val="00A64654"/>
    <w:rsid w:val="00A7461A"/>
    <w:rsid w:val="00A7614A"/>
    <w:rsid w:val="00A9066D"/>
    <w:rsid w:val="00A93432"/>
    <w:rsid w:val="00AC0661"/>
    <w:rsid w:val="00AD1368"/>
    <w:rsid w:val="00AD6098"/>
    <w:rsid w:val="00AD7AE0"/>
    <w:rsid w:val="00AE1CA1"/>
    <w:rsid w:val="00B17FA1"/>
    <w:rsid w:val="00B22385"/>
    <w:rsid w:val="00B2360A"/>
    <w:rsid w:val="00B26139"/>
    <w:rsid w:val="00B32E91"/>
    <w:rsid w:val="00B36A8F"/>
    <w:rsid w:val="00B629CF"/>
    <w:rsid w:val="00B90DEC"/>
    <w:rsid w:val="00BD404F"/>
    <w:rsid w:val="00BE33C0"/>
    <w:rsid w:val="00BE7ED3"/>
    <w:rsid w:val="00BF2402"/>
    <w:rsid w:val="00C15CCF"/>
    <w:rsid w:val="00C363BE"/>
    <w:rsid w:val="00C416ED"/>
    <w:rsid w:val="00C7607A"/>
    <w:rsid w:val="00C91568"/>
    <w:rsid w:val="00CA1324"/>
    <w:rsid w:val="00CA7CC7"/>
    <w:rsid w:val="00CB087E"/>
    <w:rsid w:val="00CE265E"/>
    <w:rsid w:val="00CE454C"/>
    <w:rsid w:val="00CE52EC"/>
    <w:rsid w:val="00CF0C5C"/>
    <w:rsid w:val="00CF0FA4"/>
    <w:rsid w:val="00CF700E"/>
    <w:rsid w:val="00D071C4"/>
    <w:rsid w:val="00D11F14"/>
    <w:rsid w:val="00D1756C"/>
    <w:rsid w:val="00D26134"/>
    <w:rsid w:val="00D47071"/>
    <w:rsid w:val="00D503C9"/>
    <w:rsid w:val="00D522DE"/>
    <w:rsid w:val="00D75CCF"/>
    <w:rsid w:val="00D907FF"/>
    <w:rsid w:val="00D94999"/>
    <w:rsid w:val="00DA1F12"/>
    <w:rsid w:val="00DC45B2"/>
    <w:rsid w:val="00DC6DC7"/>
    <w:rsid w:val="00DD17C4"/>
    <w:rsid w:val="00E00EEF"/>
    <w:rsid w:val="00E01BE0"/>
    <w:rsid w:val="00E26950"/>
    <w:rsid w:val="00E401FE"/>
    <w:rsid w:val="00E43FC4"/>
    <w:rsid w:val="00E73F79"/>
    <w:rsid w:val="00EA1455"/>
    <w:rsid w:val="00EA2195"/>
    <w:rsid w:val="00EA5D9C"/>
    <w:rsid w:val="00EC1669"/>
    <w:rsid w:val="00EC1A14"/>
    <w:rsid w:val="00ED2289"/>
    <w:rsid w:val="00EF5A0A"/>
    <w:rsid w:val="00F41BC4"/>
    <w:rsid w:val="00F451CF"/>
    <w:rsid w:val="00F534A4"/>
    <w:rsid w:val="00FA3EAC"/>
    <w:rsid w:val="00FA6126"/>
    <w:rsid w:val="00FC27E4"/>
    <w:rsid w:val="00FC6429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35CF"/>
  <w15:chartTrackingRefBased/>
  <w15:docId w15:val="{569E94C4-23AA-4975-BF9D-D9A4790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B81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2B1906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5</Pages>
  <Words>1462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12069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xutskottets betänkande nr x/2013-2014</dc:title>
  <dc:subject/>
  <dc:creator>Jessica Laaksonen</dc:creator>
  <cp:keywords/>
  <cp:lastModifiedBy>Jessica Laaksonen</cp:lastModifiedBy>
  <cp:revision>2</cp:revision>
  <cp:lastPrinted>2024-09-20T13:38:00Z</cp:lastPrinted>
  <dcterms:created xsi:type="dcterms:W3CDTF">2024-09-23T05:14:00Z</dcterms:created>
  <dcterms:modified xsi:type="dcterms:W3CDTF">2024-09-23T05:14:00Z</dcterms:modified>
</cp:coreProperties>
</file>