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859"/>
        <w:gridCol w:w="4441"/>
        <w:gridCol w:w="1722"/>
        <w:gridCol w:w="2559"/>
      </w:tblGrid>
      <w:tr w:rsidR="002401D0" w:rsidRPr="002D2A82" w14:paraId="4FA2F7BB" w14:textId="77777777">
        <w:trPr>
          <w:cantSplit/>
          <w:trHeight w:val="20"/>
        </w:trPr>
        <w:tc>
          <w:tcPr>
            <w:tcW w:w="861" w:type="dxa"/>
            <w:vMerge w:val="restart"/>
          </w:tcPr>
          <w:p w14:paraId="5D6C4857" w14:textId="7CE418F0" w:rsidR="002401D0" w:rsidRPr="002D2A82" w:rsidRDefault="00732E1B">
            <w:pPr>
              <w:pStyle w:val="xLedtext"/>
              <w:rPr>
                <w:noProof/>
              </w:rPr>
            </w:pPr>
            <w:bookmarkStart w:id="0" w:name="_top"/>
            <w:bookmarkEnd w:id="0"/>
            <w:r w:rsidRPr="002D2A82">
              <w:rPr>
                <w:noProof/>
              </w:rPr>
              <w:drawing>
                <wp:inline distT="0" distB="0" distL="0" distR="0" wp14:anchorId="015038A7" wp14:editId="559DA0A1">
                  <wp:extent cx="476250" cy="6858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250" cy="685800"/>
                          </a:xfrm>
                          <a:prstGeom prst="rect">
                            <a:avLst/>
                          </a:prstGeom>
                          <a:noFill/>
                          <a:ln>
                            <a:noFill/>
                          </a:ln>
                        </pic:spPr>
                      </pic:pic>
                    </a:graphicData>
                  </a:graphic>
                </wp:inline>
              </w:drawing>
            </w:r>
          </w:p>
        </w:tc>
        <w:tc>
          <w:tcPr>
            <w:tcW w:w="8736" w:type="dxa"/>
            <w:gridSpan w:val="3"/>
            <w:vAlign w:val="bottom"/>
          </w:tcPr>
          <w:p w14:paraId="1E2013C4" w14:textId="20D762DC" w:rsidR="002401D0" w:rsidRPr="002D2A82" w:rsidRDefault="00732E1B">
            <w:pPr>
              <w:pStyle w:val="xMellanrum"/>
            </w:pPr>
            <w:r w:rsidRPr="002D2A82">
              <w:rPr>
                <w:noProof/>
              </w:rPr>
              <w:drawing>
                <wp:inline distT="0" distB="0" distL="0" distR="0" wp14:anchorId="7D9A17FC" wp14:editId="413B73D4">
                  <wp:extent cx="47625" cy="4762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25" cy="47625"/>
                          </a:xfrm>
                          <a:prstGeom prst="rect">
                            <a:avLst/>
                          </a:prstGeom>
                          <a:noFill/>
                          <a:ln>
                            <a:noFill/>
                          </a:ln>
                        </pic:spPr>
                      </pic:pic>
                    </a:graphicData>
                  </a:graphic>
                </wp:inline>
              </w:drawing>
            </w:r>
          </w:p>
        </w:tc>
      </w:tr>
      <w:tr w:rsidR="002401D0" w:rsidRPr="002D2A82" w14:paraId="67414828" w14:textId="77777777">
        <w:trPr>
          <w:cantSplit/>
          <w:trHeight w:val="299"/>
        </w:trPr>
        <w:tc>
          <w:tcPr>
            <w:tcW w:w="861" w:type="dxa"/>
            <w:vMerge/>
          </w:tcPr>
          <w:p w14:paraId="3A069D3F" w14:textId="77777777" w:rsidR="002401D0" w:rsidRPr="002D2A82" w:rsidRDefault="002401D0">
            <w:pPr>
              <w:pStyle w:val="xLedtext"/>
            </w:pPr>
          </w:p>
        </w:tc>
        <w:tc>
          <w:tcPr>
            <w:tcW w:w="4448" w:type="dxa"/>
            <w:vAlign w:val="bottom"/>
          </w:tcPr>
          <w:p w14:paraId="2ACB4B56" w14:textId="77777777" w:rsidR="002401D0" w:rsidRPr="002D2A82" w:rsidRDefault="002401D0">
            <w:pPr>
              <w:pStyle w:val="xAvsandare1"/>
            </w:pPr>
            <w:r w:rsidRPr="002D2A82">
              <w:t>Ålands lagting</w:t>
            </w:r>
          </w:p>
        </w:tc>
        <w:tc>
          <w:tcPr>
            <w:tcW w:w="4288" w:type="dxa"/>
            <w:gridSpan w:val="2"/>
            <w:vAlign w:val="bottom"/>
          </w:tcPr>
          <w:p w14:paraId="5415E6BA" w14:textId="084E867E" w:rsidR="002401D0" w:rsidRPr="002D2A82" w:rsidRDefault="002401D0" w:rsidP="00B36A8F">
            <w:pPr>
              <w:pStyle w:val="xDokTypNr"/>
            </w:pPr>
            <w:r w:rsidRPr="002D2A82">
              <w:t xml:space="preserve">BETÄNKANDE nr </w:t>
            </w:r>
            <w:r w:rsidR="000C7DE8" w:rsidRPr="002D2A82">
              <w:t>1</w:t>
            </w:r>
            <w:r w:rsidR="00A860CB" w:rsidRPr="002D2A82">
              <w:t>9</w:t>
            </w:r>
            <w:r w:rsidRPr="002D2A82">
              <w:t>/</w:t>
            </w:r>
            <w:r w:rsidR="00197998" w:rsidRPr="002D2A82">
              <w:t>202</w:t>
            </w:r>
            <w:r w:rsidR="000C7DE8" w:rsidRPr="002D2A82">
              <w:t>5</w:t>
            </w:r>
            <w:r w:rsidR="00197998" w:rsidRPr="002D2A82">
              <w:t>–202</w:t>
            </w:r>
            <w:r w:rsidR="000C7DE8" w:rsidRPr="002D2A82">
              <w:t>6</w:t>
            </w:r>
          </w:p>
        </w:tc>
      </w:tr>
      <w:tr w:rsidR="002401D0" w:rsidRPr="002D2A82" w14:paraId="6B98CA46" w14:textId="77777777">
        <w:trPr>
          <w:cantSplit/>
          <w:trHeight w:val="238"/>
        </w:trPr>
        <w:tc>
          <w:tcPr>
            <w:tcW w:w="861" w:type="dxa"/>
            <w:vMerge/>
          </w:tcPr>
          <w:p w14:paraId="4E7A1786" w14:textId="77777777" w:rsidR="002401D0" w:rsidRPr="002D2A82" w:rsidRDefault="002401D0">
            <w:pPr>
              <w:pStyle w:val="xLedtext"/>
            </w:pPr>
          </w:p>
        </w:tc>
        <w:tc>
          <w:tcPr>
            <w:tcW w:w="4448" w:type="dxa"/>
            <w:vAlign w:val="bottom"/>
          </w:tcPr>
          <w:p w14:paraId="3CE54639" w14:textId="77777777" w:rsidR="002401D0" w:rsidRPr="002D2A82" w:rsidRDefault="002401D0">
            <w:pPr>
              <w:pStyle w:val="xLedtext"/>
            </w:pPr>
          </w:p>
        </w:tc>
        <w:tc>
          <w:tcPr>
            <w:tcW w:w="1725" w:type="dxa"/>
            <w:vAlign w:val="bottom"/>
          </w:tcPr>
          <w:p w14:paraId="42C3CAAE" w14:textId="77777777" w:rsidR="002401D0" w:rsidRPr="002D2A82" w:rsidRDefault="002401D0">
            <w:pPr>
              <w:pStyle w:val="xLedtext"/>
            </w:pPr>
            <w:r w:rsidRPr="002D2A82">
              <w:t>Datum</w:t>
            </w:r>
          </w:p>
        </w:tc>
        <w:tc>
          <w:tcPr>
            <w:tcW w:w="2563" w:type="dxa"/>
            <w:vAlign w:val="bottom"/>
          </w:tcPr>
          <w:p w14:paraId="6C43441C" w14:textId="77777777" w:rsidR="002401D0" w:rsidRPr="002D2A82" w:rsidRDefault="002401D0">
            <w:pPr>
              <w:pStyle w:val="xLedtext"/>
            </w:pPr>
          </w:p>
        </w:tc>
      </w:tr>
      <w:tr w:rsidR="002401D0" w:rsidRPr="002D2A82" w14:paraId="2DDDC9FC" w14:textId="77777777">
        <w:trPr>
          <w:cantSplit/>
          <w:trHeight w:val="238"/>
        </w:trPr>
        <w:tc>
          <w:tcPr>
            <w:tcW w:w="861" w:type="dxa"/>
            <w:vMerge/>
          </w:tcPr>
          <w:p w14:paraId="5F94D30B" w14:textId="77777777" w:rsidR="002401D0" w:rsidRPr="002D2A82" w:rsidRDefault="002401D0">
            <w:pPr>
              <w:pStyle w:val="xAvsandare2"/>
            </w:pPr>
          </w:p>
        </w:tc>
        <w:tc>
          <w:tcPr>
            <w:tcW w:w="4448" w:type="dxa"/>
            <w:vAlign w:val="center"/>
          </w:tcPr>
          <w:p w14:paraId="6B713153" w14:textId="40D47361" w:rsidR="002401D0" w:rsidRPr="002D2A82" w:rsidRDefault="00732E1B">
            <w:pPr>
              <w:pStyle w:val="xAvsandare2"/>
            </w:pPr>
            <w:r w:rsidRPr="002D2A82">
              <w:t>Finans- och närings</w:t>
            </w:r>
            <w:r w:rsidR="002401D0" w:rsidRPr="002D2A82">
              <w:t>utskottet</w:t>
            </w:r>
          </w:p>
        </w:tc>
        <w:tc>
          <w:tcPr>
            <w:tcW w:w="1725" w:type="dxa"/>
            <w:vAlign w:val="center"/>
          </w:tcPr>
          <w:p w14:paraId="707E1F4E" w14:textId="78BFC1BB" w:rsidR="002401D0" w:rsidRPr="002D2A82" w:rsidRDefault="002401D0">
            <w:pPr>
              <w:pStyle w:val="xDatum1"/>
            </w:pPr>
            <w:r w:rsidRPr="002D2A82">
              <w:t>20</w:t>
            </w:r>
            <w:r w:rsidR="00F35DAF" w:rsidRPr="002D2A82">
              <w:t>2</w:t>
            </w:r>
            <w:r w:rsidR="000C7DE8" w:rsidRPr="002D2A82">
              <w:t>6</w:t>
            </w:r>
            <w:r w:rsidR="00F35DAF" w:rsidRPr="002D2A82">
              <w:t>-</w:t>
            </w:r>
            <w:r w:rsidR="008B77F5" w:rsidRPr="002D2A82">
              <w:t>06</w:t>
            </w:r>
            <w:r w:rsidR="00F35DAF" w:rsidRPr="002D2A82">
              <w:t>-</w:t>
            </w:r>
            <w:r w:rsidR="008B77F5" w:rsidRPr="002D2A82">
              <w:t>1</w:t>
            </w:r>
            <w:r w:rsidR="009551F3" w:rsidRPr="002D2A82">
              <w:t>5</w:t>
            </w:r>
          </w:p>
        </w:tc>
        <w:tc>
          <w:tcPr>
            <w:tcW w:w="2563" w:type="dxa"/>
            <w:vAlign w:val="center"/>
          </w:tcPr>
          <w:p w14:paraId="3183F1BE" w14:textId="77777777" w:rsidR="002401D0" w:rsidRPr="002D2A82" w:rsidRDefault="002401D0">
            <w:pPr>
              <w:pStyle w:val="xBeteckning1"/>
            </w:pPr>
          </w:p>
        </w:tc>
      </w:tr>
      <w:tr w:rsidR="002401D0" w:rsidRPr="002D2A82" w14:paraId="74BC2FEB" w14:textId="77777777">
        <w:trPr>
          <w:cantSplit/>
          <w:trHeight w:val="238"/>
        </w:trPr>
        <w:tc>
          <w:tcPr>
            <w:tcW w:w="861" w:type="dxa"/>
            <w:vMerge/>
          </w:tcPr>
          <w:p w14:paraId="309A98B9" w14:textId="77777777" w:rsidR="002401D0" w:rsidRPr="002D2A82" w:rsidRDefault="002401D0">
            <w:pPr>
              <w:pStyle w:val="xLedtext"/>
            </w:pPr>
          </w:p>
        </w:tc>
        <w:tc>
          <w:tcPr>
            <w:tcW w:w="4448" w:type="dxa"/>
            <w:vAlign w:val="bottom"/>
          </w:tcPr>
          <w:p w14:paraId="35E1B252" w14:textId="77777777" w:rsidR="002401D0" w:rsidRPr="002D2A82" w:rsidRDefault="002401D0">
            <w:pPr>
              <w:pStyle w:val="xLedtext"/>
            </w:pPr>
          </w:p>
        </w:tc>
        <w:tc>
          <w:tcPr>
            <w:tcW w:w="1725" w:type="dxa"/>
            <w:vAlign w:val="bottom"/>
          </w:tcPr>
          <w:p w14:paraId="2E82C7B6" w14:textId="77777777" w:rsidR="002401D0" w:rsidRPr="002D2A82" w:rsidRDefault="002401D0">
            <w:pPr>
              <w:pStyle w:val="xLedtext"/>
            </w:pPr>
          </w:p>
        </w:tc>
        <w:tc>
          <w:tcPr>
            <w:tcW w:w="2563" w:type="dxa"/>
            <w:vAlign w:val="bottom"/>
          </w:tcPr>
          <w:p w14:paraId="6A345560" w14:textId="77777777" w:rsidR="002401D0" w:rsidRPr="002D2A82" w:rsidRDefault="002401D0">
            <w:pPr>
              <w:pStyle w:val="xLedtext"/>
            </w:pPr>
          </w:p>
        </w:tc>
      </w:tr>
      <w:tr w:rsidR="002401D0" w:rsidRPr="002D2A82" w14:paraId="695C17C7" w14:textId="77777777">
        <w:trPr>
          <w:cantSplit/>
          <w:trHeight w:val="238"/>
        </w:trPr>
        <w:tc>
          <w:tcPr>
            <w:tcW w:w="861" w:type="dxa"/>
            <w:vMerge/>
            <w:tcBorders>
              <w:bottom w:val="single" w:sz="4" w:space="0" w:color="auto"/>
            </w:tcBorders>
          </w:tcPr>
          <w:p w14:paraId="728747B9" w14:textId="77777777" w:rsidR="002401D0" w:rsidRPr="002D2A82" w:rsidRDefault="002401D0">
            <w:pPr>
              <w:pStyle w:val="xAvsandare3"/>
            </w:pPr>
          </w:p>
        </w:tc>
        <w:tc>
          <w:tcPr>
            <w:tcW w:w="4448" w:type="dxa"/>
            <w:tcBorders>
              <w:bottom w:val="single" w:sz="4" w:space="0" w:color="auto"/>
            </w:tcBorders>
            <w:vAlign w:val="center"/>
          </w:tcPr>
          <w:p w14:paraId="4AD78010" w14:textId="77777777" w:rsidR="002401D0" w:rsidRPr="002D2A82" w:rsidRDefault="002401D0">
            <w:pPr>
              <w:pStyle w:val="xAvsandare3"/>
            </w:pPr>
          </w:p>
        </w:tc>
        <w:tc>
          <w:tcPr>
            <w:tcW w:w="1725" w:type="dxa"/>
            <w:tcBorders>
              <w:bottom w:val="single" w:sz="4" w:space="0" w:color="auto"/>
            </w:tcBorders>
            <w:vAlign w:val="center"/>
          </w:tcPr>
          <w:p w14:paraId="4858C964" w14:textId="77777777" w:rsidR="002401D0" w:rsidRPr="002D2A82" w:rsidRDefault="002401D0">
            <w:pPr>
              <w:pStyle w:val="xDatum2"/>
            </w:pPr>
          </w:p>
        </w:tc>
        <w:tc>
          <w:tcPr>
            <w:tcW w:w="2563" w:type="dxa"/>
            <w:tcBorders>
              <w:bottom w:val="single" w:sz="4" w:space="0" w:color="auto"/>
            </w:tcBorders>
            <w:vAlign w:val="center"/>
          </w:tcPr>
          <w:p w14:paraId="1132EA88" w14:textId="77777777" w:rsidR="002401D0" w:rsidRPr="002D2A82" w:rsidRDefault="002401D0">
            <w:pPr>
              <w:pStyle w:val="xBeteckning2"/>
            </w:pPr>
          </w:p>
        </w:tc>
      </w:tr>
      <w:tr w:rsidR="002401D0" w:rsidRPr="002D2A82" w14:paraId="7E8203A1" w14:textId="77777777">
        <w:trPr>
          <w:cantSplit/>
          <w:trHeight w:val="238"/>
        </w:trPr>
        <w:tc>
          <w:tcPr>
            <w:tcW w:w="861" w:type="dxa"/>
            <w:tcBorders>
              <w:top w:val="single" w:sz="4" w:space="0" w:color="auto"/>
            </w:tcBorders>
            <w:vAlign w:val="bottom"/>
          </w:tcPr>
          <w:p w14:paraId="0D092C3A" w14:textId="77777777" w:rsidR="002401D0" w:rsidRPr="002D2A82" w:rsidRDefault="002401D0">
            <w:pPr>
              <w:pStyle w:val="xLedtext"/>
            </w:pPr>
          </w:p>
        </w:tc>
        <w:tc>
          <w:tcPr>
            <w:tcW w:w="4448" w:type="dxa"/>
            <w:tcBorders>
              <w:top w:val="single" w:sz="4" w:space="0" w:color="auto"/>
            </w:tcBorders>
            <w:vAlign w:val="bottom"/>
          </w:tcPr>
          <w:p w14:paraId="33F25502" w14:textId="77777777" w:rsidR="002401D0" w:rsidRPr="002D2A82" w:rsidRDefault="002401D0">
            <w:pPr>
              <w:pStyle w:val="xLedtext"/>
            </w:pPr>
          </w:p>
        </w:tc>
        <w:tc>
          <w:tcPr>
            <w:tcW w:w="4288" w:type="dxa"/>
            <w:gridSpan w:val="2"/>
            <w:tcBorders>
              <w:top w:val="single" w:sz="4" w:space="0" w:color="auto"/>
            </w:tcBorders>
            <w:vAlign w:val="bottom"/>
          </w:tcPr>
          <w:p w14:paraId="72B40072" w14:textId="77777777" w:rsidR="002401D0" w:rsidRPr="002D2A82" w:rsidRDefault="002401D0">
            <w:pPr>
              <w:pStyle w:val="xLedtext"/>
            </w:pPr>
          </w:p>
        </w:tc>
      </w:tr>
      <w:tr w:rsidR="002401D0" w:rsidRPr="002D2A82" w14:paraId="4CC35839" w14:textId="77777777">
        <w:trPr>
          <w:cantSplit/>
          <w:trHeight w:val="238"/>
        </w:trPr>
        <w:tc>
          <w:tcPr>
            <w:tcW w:w="861" w:type="dxa"/>
          </w:tcPr>
          <w:p w14:paraId="5CD23F2F" w14:textId="77777777" w:rsidR="002401D0" w:rsidRPr="002D2A82" w:rsidRDefault="002401D0">
            <w:pPr>
              <w:pStyle w:val="xCelltext"/>
            </w:pPr>
          </w:p>
        </w:tc>
        <w:tc>
          <w:tcPr>
            <w:tcW w:w="4448" w:type="dxa"/>
            <w:vMerge w:val="restart"/>
          </w:tcPr>
          <w:p w14:paraId="08CEC61E" w14:textId="77777777" w:rsidR="002401D0" w:rsidRPr="002D2A82" w:rsidRDefault="002401D0">
            <w:pPr>
              <w:pStyle w:val="xMottagare1"/>
            </w:pPr>
            <w:r w:rsidRPr="002D2A82">
              <w:t>Till Ålands lagting</w:t>
            </w:r>
          </w:p>
        </w:tc>
        <w:tc>
          <w:tcPr>
            <w:tcW w:w="4288" w:type="dxa"/>
            <w:gridSpan w:val="2"/>
            <w:vMerge w:val="restart"/>
          </w:tcPr>
          <w:p w14:paraId="7F9330C8" w14:textId="77777777" w:rsidR="002401D0" w:rsidRPr="002D2A82" w:rsidRDefault="002401D0">
            <w:pPr>
              <w:pStyle w:val="xMottagare1"/>
              <w:tabs>
                <w:tab w:val="left" w:pos="2349"/>
              </w:tabs>
            </w:pPr>
          </w:p>
        </w:tc>
      </w:tr>
      <w:tr w:rsidR="002401D0" w:rsidRPr="002D2A82" w14:paraId="585EFA97" w14:textId="77777777">
        <w:trPr>
          <w:cantSplit/>
          <w:trHeight w:val="238"/>
        </w:trPr>
        <w:tc>
          <w:tcPr>
            <w:tcW w:w="861" w:type="dxa"/>
          </w:tcPr>
          <w:p w14:paraId="7D1C6E60" w14:textId="77777777" w:rsidR="002401D0" w:rsidRPr="002D2A82" w:rsidRDefault="002401D0">
            <w:pPr>
              <w:pStyle w:val="xCelltext"/>
            </w:pPr>
          </w:p>
        </w:tc>
        <w:tc>
          <w:tcPr>
            <w:tcW w:w="4448" w:type="dxa"/>
            <w:vMerge/>
            <w:vAlign w:val="center"/>
          </w:tcPr>
          <w:p w14:paraId="46C359C0" w14:textId="77777777" w:rsidR="002401D0" w:rsidRPr="002D2A82" w:rsidRDefault="002401D0">
            <w:pPr>
              <w:pStyle w:val="xCelltext"/>
            </w:pPr>
          </w:p>
        </w:tc>
        <w:tc>
          <w:tcPr>
            <w:tcW w:w="4288" w:type="dxa"/>
            <w:gridSpan w:val="2"/>
            <w:vMerge/>
            <w:vAlign w:val="center"/>
          </w:tcPr>
          <w:p w14:paraId="4F5704C6" w14:textId="77777777" w:rsidR="002401D0" w:rsidRPr="002D2A82" w:rsidRDefault="002401D0">
            <w:pPr>
              <w:pStyle w:val="xCelltext"/>
            </w:pPr>
          </w:p>
        </w:tc>
      </w:tr>
      <w:tr w:rsidR="002401D0" w:rsidRPr="002D2A82" w14:paraId="5865BC96" w14:textId="77777777">
        <w:trPr>
          <w:cantSplit/>
          <w:trHeight w:val="238"/>
        </w:trPr>
        <w:tc>
          <w:tcPr>
            <w:tcW w:w="861" w:type="dxa"/>
          </w:tcPr>
          <w:p w14:paraId="4EC06AD1" w14:textId="77777777" w:rsidR="002401D0" w:rsidRPr="002D2A82" w:rsidRDefault="002401D0">
            <w:pPr>
              <w:pStyle w:val="xCelltext"/>
            </w:pPr>
          </w:p>
        </w:tc>
        <w:tc>
          <w:tcPr>
            <w:tcW w:w="4448" w:type="dxa"/>
            <w:vMerge/>
            <w:vAlign w:val="center"/>
          </w:tcPr>
          <w:p w14:paraId="46CEA659" w14:textId="77777777" w:rsidR="002401D0" w:rsidRPr="002D2A82" w:rsidRDefault="002401D0">
            <w:pPr>
              <w:pStyle w:val="xCelltext"/>
            </w:pPr>
          </w:p>
        </w:tc>
        <w:tc>
          <w:tcPr>
            <w:tcW w:w="4288" w:type="dxa"/>
            <w:gridSpan w:val="2"/>
            <w:vMerge/>
            <w:vAlign w:val="center"/>
          </w:tcPr>
          <w:p w14:paraId="00D076AF" w14:textId="77777777" w:rsidR="002401D0" w:rsidRPr="002D2A82" w:rsidRDefault="002401D0">
            <w:pPr>
              <w:pStyle w:val="xCelltext"/>
            </w:pPr>
          </w:p>
        </w:tc>
      </w:tr>
      <w:tr w:rsidR="002401D0" w:rsidRPr="002D2A82" w14:paraId="49143A5E" w14:textId="77777777">
        <w:trPr>
          <w:cantSplit/>
          <w:trHeight w:val="238"/>
        </w:trPr>
        <w:tc>
          <w:tcPr>
            <w:tcW w:w="861" w:type="dxa"/>
          </w:tcPr>
          <w:p w14:paraId="5200BC5B" w14:textId="77777777" w:rsidR="002401D0" w:rsidRPr="002D2A82" w:rsidRDefault="002401D0">
            <w:pPr>
              <w:pStyle w:val="xCelltext"/>
            </w:pPr>
          </w:p>
        </w:tc>
        <w:tc>
          <w:tcPr>
            <w:tcW w:w="4448" w:type="dxa"/>
            <w:vMerge/>
            <w:vAlign w:val="center"/>
          </w:tcPr>
          <w:p w14:paraId="0146C9A7" w14:textId="77777777" w:rsidR="002401D0" w:rsidRPr="002D2A82" w:rsidRDefault="002401D0">
            <w:pPr>
              <w:pStyle w:val="xCelltext"/>
            </w:pPr>
          </w:p>
        </w:tc>
        <w:tc>
          <w:tcPr>
            <w:tcW w:w="4288" w:type="dxa"/>
            <w:gridSpan w:val="2"/>
            <w:vMerge/>
            <w:vAlign w:val="center"/>
          </w:tcPr>
          <w:p w14:paraId="13B2AFF0" w14:textId="77777777" w:rsidR="002401D0" w:rsidRPr="002D2A82" w:rsidRDefault="002401D0">
            <w:pPr>
              <w:pStyle w:val="xCelltext"/>
            </w:pPr>
          </w:p>
        </w:tc>
      </w:tr>
      <w:tr w:rsidR="002401D0" w:rsidRPr="002D2A82" w14:paraId="4863EA6E" w14:textId="77777777">
        <w:trPr>
          <w:cantSplit/>
          <w:trHeight w:val="238"/>
        </w:trPr>
        <w:tc>
          <w:tcPr>
            <w:tcW w:w="861" w:type="dxa"/>
          </w:tcPr>
          <w:p w14:paraId="281005A0" w14:textId="77777777" w:rsidR="002401D0" w:rsidRPr="002D2A82" w:rsidRDefault="002401D0">
            <w:pPr>
              <w:pStyle w:val="xCelltext"/>
            </w:pPr>
          </w:p>
        </w:tc>
        <w:tc>
          <w:tcPr>
            <w:tcW w:w="4448" w:type="dxa"/>
            <w:vMerge/>
            <w:vAlign w:val="center"/>
          </w:tcPr>
          <w:p w14:paraId="09B48247" w14:textId="77777777" w:rsidR="002401D0" w:rsidRPr="002D2A82" w:rsidRDefault="002401D0">
            <w:pPr>
              <w:pStyle w:val="xCelltext"/>
            </w:pPr>
          </w:p>
        </w:tc>
        <w:tc>
          <w:tcPr>
            <w:tcW w:w="4288" w:type="dxa"/>
            <w:gridSpan w:val="2"/>
            <w:vMerge/>
            <w:vAlign w:val="center"/>
          </w:tcPr>
          <w:p w14:paraId="6CF68547" w14:textId="77777777" w:rsidR="002401D0" w:rsidRPr="002D2A82" w:rsidRDefault="002401D0">
            <w:pPr>
              <w:pStyle w:val="xCelltext"/>
            </w:pPr>
          </w:p>
        </w:tc>
      </w:tr>
    </w:tbl>
    <w:p w14:paraId="3C255EB2" w14:textId="77777777" w:rsidR="002401D0" w:rsidRPr="002D2A82" w:rsidRDefault="002401D0">
      <w:pPr>
        <w:rPr>
          <w:b/>
          <w:bCs/>
        </w:rPr>
        <w:sectPr w:rsidR="002401D0" w:rsidRPr="002D2A82" w:rsidSect="00732E1B">
          <w:footerReference w:type="even" r:id="rId13"/>
          <w:footerReference w:type="default" r:id="rId14"/>
          <w:pgSz w:w="11906" w:h="16838" w:code="9"/>
          <w:pgMar w:top="567" w:right="1134" w:bottom="1134" w:left="1191" w:header="624" w:footer="737" w:gutter="0"/>
          <w:cols w:space="708"/>
          <w:docGrid w:linePitch="360"/>
        </w:sectPr>
      </w:pPr>
    </w:p>
    <w:p w14:paraId="00AE9940" w14:textId="2E189A91" w:rsidR="002401D0" w:rsidRPr="002D2A82" w:rsidRDefault="00732E1B">
      <w:pPr>
        <w:pStyle w:val="ArendeOverRubrik"/>
      </w:pPr>
      <w:r w:rsidRPr="002D2A82">
        <w:t>Finans- och närings</w:t>
      </w:r>
      <w:r w:rsidR="002401D0" w:rsidRPr="002D2A82">
        <w:t>utskottets betänkande</w:t>
      </w:r>
    </w:p>
    <w:p w14:paraId="081D0035" w14:textId="25C7A7D3" w:rsidR="00732E1B" w:rsidRPr="002D2A82" w:rsidRDefault="00732E1B" w:rsidP="00732E1B">
      <w:pPr>
        <w:pStyle w:val="ArendeRubrik"/>
      </w:pPr>
      <w:bookmarkStart w:id="1" w:name="_Hlk164241669"/>
      <w:r w:rsidRPr="002D2A82">
        <w:t>Reviderad lag om utsläppshandel</w:t>
      </w:r>
      <w:bookmarkEnd w:id="1"/>
    </w:p>
    <w:p w14:paraId="58E3ED42" w14:textId="6A052AE8" w:rsidR="002401D0" w:rsidRPr="002D2A82" w:rsidRDefault="00732E1B">
      <w:pPr>
        <w:pStyle w:val="ArendeUnderRubrik"/>
      </w:pPr>
      <w:r w:rsidRPr="002D2A82">
        <w:t>Landskapsregeringens lagförslag LF 12/</w:t>
      </w:r>
      <w:r w:rsidR="00197998" w:rsidRPr="002D2A82">
        <w:t>2023–2024</w:t>
      </w:r>
    </w:p>
    <w:p w14:paraId="19107844" w14:textId="19CB3307" w:rsidR="005D5D21" w:rsidRPr="002D2A82" w:rsidRDefault="005D5D21">
      <w:pPr>
        <w:pStyle w:val="ArendeUnderRubrik"/>
      </w:pPr>
      <w:r w:rsidRPr="002D2A82">
        <w:t>Komplettering av lagförslag nr 12/</w:t>
      </w:r>
      <w:proofErr w:type="gramStart"/>
      <w:r w:rsidRPr="002D2A82">
        <w:t>2023-2024</w:t>
      </w:r>
      <w:proofErr w:type="gramEnd"/>
      <w:r w:rsidRPr="002D2A82">
        <w:t xml:space="preserve"> och lagförslag nr 24/</w:t>
      </w:r>
      <w:proofErr w:type="gramStart"/>
      <w:r w:rsidRPr="002D2A82">
        <w:t>2024-2025</w:t>
      </w:r>
      <w:proofErr w:type="gramEnd"/>
    </w:p>
    <w:p w14:paraId="3B11E979" w14:textId="77777777" w:rsidR="002401D0" w:rsidRPr="002D2A82" w:rsidRDefault="002401D0">
      <w:pPr>
        <w:pStyle w:val="ANormal"/>
      </w:pPr>
    </w:p>
    <w:p w14:paraId="3936A165" w14:textId="77777777" w:rsidR="002401D0" w:rsidRPr="002D2A82" w:rsidRDefault="002401D0">
      <w:pPr>
        <w:pStyle w:val="Innehll1"/>
      </w:pPr>
      <w:r w:rsidRPr="002D2A82">
        <w:t>INNEHÅLL</w:t>
      </w:r>
    </w:p>
    <w:p w14:paraId="7C4F0A2F" w14:textId="33A302E6" w:rsidR="009376AB" w:rsidRPr="002D2A82" w:rsidRDefault="002401D0">
      <w:pPr>
        <w:pStyle w:val="Innehll1"/>
        <w:rPr>
          <w:rFonts w:asciiTheme="minorHAnsi" w:eastAsiaTheme="minorEastAsia" w:hAnsiTheme="minorHAnsi" w:cstheme="minorBidi"/>
          <w:kern w:val="2"/>
          <w:sz w:val="24"/>
          <w:szCs w:val="24"/>
          <w:lang w:val="sv-FI" w:eastAsia="sv-FI"/>
          <w14:ligatures w14:val="standardContextual"/>
        </w:rPr>
      </w:pPr>
      <w:r w:rsidRPr="002D2A82">
        <w:fldChar w:fldCharType="begin"/>
      </w:r>
      <w:r w:rsidRPr="002D2A82">
        <w:instrText xml:space="preserve"> TOC \o "1-1" \h \z \t "Rubrik 2;2;Rubrik 3;3;RubrikB;2;RubrikC;3" </w:instrText>
      </w:r>
      <w:r w:rsidRPr="002D2A82">
        <w:fldChar w:fldCharType="separate"/>
      </w:r>
      <w:hyperlink w:anchor="_Toc232162648" w:history="1">
        <w:r w:rsidR="009376AB" w:rsidRPr="002D2A82">
          <w:rPr>
            <w:rStyle w:val="Hyperlnk"/>
          </w:rPr>
          <w:t>Sammanfattning</w:t>
        </w:r>
        <w:r w:rsidR="009376AB" w:rsidRPr="002D2A82">
          <w:rPr>
            <w:webHidden/>
          </w:rPr>
          <w:tab/>
        </w:r>
        <w:r w:rsidR="009376AB" w:rsidRPr="002D2A82">
          <w:rPr>
            <w:webHidden/>
          </w:rPr>
          <w:fldChar w:fldCharType="begin"/>
        </w:r>
        <w:r w:rsidR="009376AB" w:rsidRPr="002D2A82">
          <w:rPr>
            <w:webHidden/>
          </w:rPr>
          <w:instrText xml:space="preserve"> PAGEREF _Toc232162648 \h </w:instrText>
        </w:r>
        <w:r w:rsidR="009376AB" w:rsidRPr="002D2A82">
          <w:rPr>
            <w:webHidden/>
          </w:rPr>
        </w:r>
        <w:r w:rsidR="009376AB" w:rsidRPr="002D2A82">
          <w:rPr>
            <w:webHidden/>
          </w:rPr>
          <w:fldChar w:fldCharType="separate"/>
        </w:r>
        <w:r w:rsidR="009376AB" w:rsidRPr="002D2A82">
          <w:rPr>
            <w:webHidden/>
          </w:rPr>
          <w:t>1</w:t>
        </w:r>
        <w:r w:rsidR="009376AB" w:rsidRPr="002D2A82">
          <w:rPr>
            <w:webHidden/>
          </w:rPr>
          <w:fldChar w:fldCharType="end"/>
        </w:r>
      </w:hyperlink>
    </w:p>
    <w:p w14:paraId="7F46A448" w14:textId="618FA175" w:rsidR="009376AB" w:rsidRPr="002D2A82" w:rsidRDefault="009376AB">
      <w:pPr>
        <w:pStyle w:val="Innehll2"/>
        <w:rPr>
          <w:rFonts w:asciiTheme="minorHAnsi" w:eastAsiaTheme="minorEastAsia" w:hAnsiTheme="minorHAnsi" w:cstheme="minorBidi"/>
          <w:kern w:val="2"/>
          <w:sz w:val="24"/>
          <w:szCs w:val="24"/>
          <w:lang w:val="sv-FI" w:eastAsia="sv-FI"/>
          <w14:ligatures w14:val="standardContextual"/>
        </w:rPr>
      </w:pPr>
      <w:hyperlink w:anchor="_Toc232162649" w:history="1">
        <w:r w:rsidRPr="002D2A82">
          <w:rPr>
            <w:rStyle w:val="Hyperlnk"/>
          </w:rPr>
          <w:t>Landskapsregeringens förslag</w:t>
        </w:r>
        <w:r w:rsidRPr="002D2A82">
          <w:rPr>
            <w:webHidden/>
          </w:rPr>
          <w:tab/>
        </w:r>
        <w:r w:rsidRPr="002D2A82">
          <w:rPr>
            <w:webHidden/>
          </w:rPr>
          <w:fldChar w:fldCharType="begin"/>
        </w:r>
        <w:r w:rsidRPr="002D2A82">
          <w:rPr>
            <w:webHidden/>
          </w:rPr>
          <w:instrText xml:space="preserve"> PAGEREF _Toc232162649 \h </w:instrText>
        </w:r>
        <w:r w:rsidRPr="002D2A82">
          <w:rPr>
            <w:webHidden/>
          </w:rPr>
        </w:r>
        <w:r w:rsidRPr="002D2A82">
          <w:rPr>
            <w:webHidden/>
          </w:rPr>
          <w:fldChar w:fldCharType="separate"/>
        </w:r>
        <w:r w:rsidRPr="002D2A82">
          <w:rPr>
            <w:webHidden/>
          </w:rPr>
          <w:t>1</w:t>
        </w:r>
        <w:r w:rsidRPr="002D2A82">
          <w:rPr>
            <w:webHidden/>
          </w:rPr>
          <w:fldChar w:fldCharType="end"/>
        </w:r>
      </w:hyperlink>
    </w:p>
    <w:p w14:paraId="54195E0F" w14:textId="3E543679" w:rsidR="009376AB" w:rsidRPr="002D2A82" w:rsidRDefault="009376AB">
      <w:pPr>
        <w:pStyle w:val="Innehll2"/>
        <w:rPr>
          <w:rFonts w:asciiTheme="minorHAnsi" w:eastAsiaTheme="minorEastAsia" w:hAnsiTheme="minorHAnsi" w:cstheme="minorBidi"/>
          <w:kern w:val="2"/>
          <w:sz w:val="24"/>
          <w:szCs w:val="24"/>
          <w:lang w:val="sv-FI" w:eastAsia="sv-FI"/>
          <w14:ligatures w14:val="standardContextual"/>
        </w:rPr>
      </w:pPr>
      <w:hyperlink w:anchor="_Toc232162650" w:history="1">
        <w:r w:rsidRPr="002D2A82">
          <w:rPr>
            <w:rStyle w:val="Hyperlnk"/>
          </w:rPr>
          <w:t>Utskottets förslag</w:t>
        </w:r>
        <w:r w:rsidRPr="002D2A82">
          <w:rPr>
            <w:webHidden/>
          </w:rPr>
          <w:tab/>
        </w:r>
        <w:r w:rsidRPr="002D2A82">
          <w:rPr>
            <w:webHidden/>
          </w:rPr>
          <w:fldChar w:fldCharType="begin"/>
        </w:r>
        <w:r w:rsidRPr="002D2A82">
          <w:rPr>
            <w:webHidden/>
          </w:rPr>
          <w:instrText xml:space="preserve"> PAGEREF _Toc232162650 \h </w:instrText>
        </w:r>
        <w:r w:rsidRPr="002D2A82">
          <w:rPr>
            <w:webHidden/>
          </w:rPr>
        </w:r>
        <w:r w:rsidRPr="002D2A82">
          <w:rPr>
            <w:webHidden/>
          </w:rPr>
          <w:fldChar w:fldCharType="separate"/>
        </w:r>
        <w:r w:rsidRPr="002D2A82">
          <w:rPr>
            <w:webHidden/>
          </w:rPr>
          <w:t>1</w:t>
        </w:r>
        <w:r w:rsidRPr="002D2A82">
          <w:rPr>
            <w:webHidden/>
          </w:rPr>
          <w:fldChar w:fldCharType="end"/>
        </w:r>
      </w:hyperlink>
    </w:p>
    <w:p w14:paraId="6C3A41AF" w14:textId="729730B4" w:rsidR="009376AB" w:rsidRPr="002D2A82" w:rsidRDefault="009376AB">
      <w:pPr>
        <w:pStyle w:val="Innehll1"/>
        <w:rPr>
          <w:rFonts w:asciiTheme="minorHAnsi" w:eastAsiaTheme="minorEastAsia" w:hAnsiTheme="minorHAnsi" w:cstheme="minorBidi"/>
          <w:kern w:val="2"/>
          <w:sz w:val="24"/>
          <w:szCs w:val="24"/>
          <w:lang w:val="sv-FI" w:eastAsia="sv-FI"/>
          <w14:ligatures w14:val="standardContextual"/>
        </w:rPr>
      </w:pPr>
      <w:hyperlink w:anchor="_Toc232162651" w:history="1">
        <w:r w:rsidRPr="002D2A82">
          <w:rPr>
            <w:rStyle w:val="Hyperlnk"/>
          </w:rPr>
          <w:t>Utskottets synpunkter</w:t>
        </w:r>
        <w:r w:rsidRPr="002D2A82">
          <w:rPr>
            <w:webHidden/>
          </w:rPr>
          <w:tab/>
        </w:r>
        <w:r w:rsidRPr="002D2A82">
          <w:rPr>
            <w:webHidden/>
          </w:rPr>
          <w:fldChar w:fldCharType="begin"/>
        </w:r>
        <w:r w:rsidRPr="002D2A82">
          <w:rPr>
            <w:webHidden/>
          </w:rPr>
          <w:instrText xml:space="preserve"> PAGEREF _Toc232162651 \h </w:instrText>
        </w:r>
        <w:r w:rsidRPr="002D2A82">
          <w:rPr>
            <w:webHidden/>
          </w:rPr>
        </w:r>
        <w:r w:rsidRPr="002D2A82">
          <w:rPr>
            <w:webHidden/>
          </w:rPr>
          <w:fldChar w:fldCharType="separate"/>
        </w:r>
        <w:r w:rsidRPr="002D2A82">
          <w:rPr>
            <w:webHidden/>
          </w:rPr>
          <w:t>2</w:t>
        </w:r>
        <w:r w:rsidRPr="002D2A82">
          <w:rPr>
            <w:webHidden/>
          </w:rPr>
          <w:fldChar w:fldCharType="end"/>
        </w:r>
      </w:hyperlink>
    </w:p>
    <w:p w14:paraId="11F6C76B" w14:textId="4DF7A712" w:rsidR="009376AB" w:rsidRPr="002D2A82" w:rsidRDefault="009376AB">
      <w:pPr>
        <w:pStyle w:val="Innehll3"/>
        <w:rPr>
          <w:rFonts w:asciiTheme="minorHAnsi" w:eastAsiaTheme="minorEastAsia" w:hAnsiTheme="minorHAnsi" w:cstheme="minorBidi"/>
          <w:kern w:val="2"/>
          <w:sz w:val="24"/>
          <w:szCs w:val="24"/>
          <w:lang w:val="sv-FI" w:eastAsia="sv-FI"/>
          <w14:ligatures w14:val="standardContextual"/>
        </w:rPr>
      </w:pPr>
      <w:hyperlink w:anchor="_Toc232162652" w:history="1">
        <w:r w:rsidRPr="002D2A82">
          <w:rPr>
            <w:rStyle w:val="Hyperlnk"/>
          </w:rPr>
          <w:t>Utsläppsrätter och ö-undantag</w:t>
        </w:r>
        <w:r w:rsidRPr="002D2A82">
          <w:rPr>
            <w:webHidden/>
          </w:rPr>
          <w:tab/>
        </w:r>
        <w:r w:rsidRPr="002D2A82">
          <w:rPr>
            <w:webHidden/>
          </w:rPr>
          <w:fldChar w:fldCharType="begin"/>
        </w:r>
        <w:r w:rsidRPr="002D2A82">
          <w:rPr>
            <w:webHidden/>
          </w:rPr>
          <w:instrText xml:space="preserve"> PAGEREF _Toc232162652 \h </w:instrText>
        </w:r>
        <w:r w:rsidRPr="002D2A82">
          <w:rPr>
            <w:webHidden/>
          </w:rPr>
        </w:r>
        <w:r w:rsidRPr="002D2A82">
          <w:rPr>
            <w:webHidden/>
          </w:rPr>
          <w:fldChar w:fldCharType="separate"/>
        </w:r>
        <w:r w:rsidRPr="002D2A82">
          <w:rPr>
            <w:webHidden/>
          </w:rPr>
          <w:t>2</w:t>
        </w:r>
        <w:r w:rsidRPr="002D2A82">
          <w:rPr>
            <w:webHidden/>
          </w:rPr>
          <w:fldChar w:fldCharType="end"/>
        </w:r>
      </w:hyperlink>
    </w:p>
    <w:p w14:paraId="434D1CA0" w14:textId="68CFCD2C" w:rsidR="009376AB" w:rsidRPr="002D2A82" w:rsidRDefault="009376AB">
      <w:pPr>
        <w:pStyle w:val="Innehll3"/>
        <w:rPr>
          <w:rFonts w:asciiTheme="minorHAnsi" w:eastAsiaTheme="minorEastAsia" w:hAnsiTheme="minorHAnsi" w:cstheme="minorBidi"/>
          <w:kern w:val="2"/>
          <w:sz w:val="24"/>
          <w:szCs w:val="24"/>
          <w:lang w:val="sv-FI" w:eastAsia="sv-FI"/>
          <w14:ligatures w14:val="standardContextual"/>
        </w:rPr>
      </w:pPr>
      <w:hyperlink w:anchor="_Toc232162653" w:history="1">
        <w:r w:rsidRPr="002D2A82">
          <w:rPr>
            <w:rStyle w:val="Hyperlnk"/>
          </w:rPr>
          <w:t>Konsekvenser för passagerartrafiken</w:t>
        </w:r>
        <w:r w:rsidRPr="002D2A82">
          <w:rPr>
            <w:webHidden/>
          </w:rPr>
          <w:tab/>
        </w:r>
        <w:r w:rsidRPr="002D2A82">
          <w:rPr>
            <w:webHidden/>
          </w:rPr>
          <w:fldChar w:fldCharType="begin"/>
        </w:r>
        <w:r w:rsidRPr="002D2A82">
          <w:rPr>
            <w:webHidden/>
          </w:rPr>
          <w:instrText xml:space="preserve"> PAGEREF _Toc232162653 \h </w:instrText>
        </w:r>
        <w:r w:rsidRPr="002D2A82">
          <w:rPr>
            <w:webHidden/>
          </w:rPr>
        </w:r>
        <w:r w:rsidRPr="002D2A82">
          <w:rPr>
            <w:webHidden/>
          </w:rPr>
          <w:fldChar w:fldCharType="separate"/>
        </w:r>
        <w:r w:rsidRPr="002D2A82">
          <w:rPr>
            <w:webHidden/>
          </w:rPr>
          <w:t>3</w:t>
        </w:r>
        <w:r w:rsidRPr="002D2A82">
          <w:rPr>
            <w:webHidden/>
          </w:rPr>
          <w:fldChar w:fldCharType="end"/>
        </w:r>
      </w:hyperlink>
    </w:p>
    <w:p w14:paraId="00500E48" w14:textId="7D60C85D" w:rsidR="009376AB" w:rsidRPr="002D2A82" w:rsidRDefault="009376AB">
      <w:pPr>
        <w:pStyle w:val="Innehll3"/>
        <w:rPr>
          <w:rFonts w:asciiTheme="minorHAnsi" w:eastAsiaTheme="minorEastAsia" w:hAnsiTheme="minorHAnsi" w:cstheme="minorBidi"/>
          <w:kern w:val="2"/>
          <w:sz w:val="24"/>
          <w:szCs w:val="24"/>
          <w:lang w:val="sv-FI" w:eastAsia="sv-FI"/>
          <w14:ligatures w14:val="standardContextual"/>
        </w:rPr>
      </w:pPr>
      <w:hyperlink w:anchor="_Toc232162654" w:history="1">
        <w:r w:rsidRPr="002D2A82">
          <w:rPr>
            <w:rStyle w:val="Hyperlnk"/>
          </w:rPr>
          <w:t>Konsekvenser för övriga aktörer</w:t>
        </w:r>
        <w:r w:rsidRPr="002D2A82">
          <w:rPr>
            <w:webHidden/>
          </w:rPr>
          <w:tab/>
        </w:r>
        <w:r w:rsidRPr="002D2A82">
          <w:rPr>
            <w:webHidden/>
          </w:rPr>
          <w:fldChar w:fldCharType="begin"/>
        </w:r>
        <w:r w:rsidRPr="002D2A82">
          <w:rPr>
            <w:webHidden/>
          </w:rPr>
          <w:instrText xml:space="preserve"> PAGEREF _Toc232162654 \h </w:instrText>
        </w:r>
        <w:r w:rsidRPr="002D2A82">
          <w:rPr>
            <w:webHidden/>
          </w:rPr>
        </w:r>
        <w:r w:rsidRPr="002D2A82">
          <w:rPr>
            <w:webHidden/>
          </w:rPr>
          <w:fldChar w:fldCharType="separate"/>
        </w:r>
        <w:r w:rsidRPr="002D2A82">
          <w:rPr>
            <w:webHidden/>
          </w:rPr>
          <w:t>3</w:t>
        </w:r>
        <w:r w:rsidRPr="002D2A82">
          <w:rPr>
            <w:webHidden/>
          </w:rPr>
          <w:fldChar w:fldCharType="end"/>
        </w:r>
      </w:hyperlink>
    </w:p>
    <w:p w14:paraId="1A407FB4" w14:textId="0E79C97D" w:rsidR="009376AB" w:rsidRPr="002D2A82" w:rsidRDefault="009376AB">
      <w:pPr>
        <w:pStyle w:val="Innehll3"/>
        <w:rPr>
          <w:rFonts w:asciiTheme="minorHAnsi" w:eastAsiaTheme="minorEastAsia" w:hAnsiTheme="minorHAnsi" w:cstheme="minorBidi"/>
          <w:kern w:val="2"/>
          <w:sz w:val="24"/>
          <w:szCs w:val="24"/>
          <w:lang w:val="sv-FI" w:eastAsia="sv-FI"/>
          <w14:ligatures w14:val="standardContextual"/>
        </w:rPr>
      </w:pPr>
      <w:hyperlink w:anchor="_Toc232162655" w:history="1">
        <w:r w:rsidRPr="002D2A82">
          <w:rPr>
            <w:rStyle w:val="Hyperlnk"/>
          </w:rPr>
          <w:t>Investeringar i klimatförbättrande åtgärder</w:t>
        </w:r>
        <w:r w:rsidRPr="002D2A82">
          <w:rPr>
            <w:webHidden/>
          </w:rPr>
          <w:tab/>
        </w:r>
        <w:r w:rsidRPr="002D2A82">
          <w:rPr>
            <w:webHidden/>
          </w:rPr>
          <w:fldChar w:fldCharType="begin"/>
        </w:r>
        <w:r w:rsidRPr="002D2A82">
          <w:rPr>
            <w:webHidden/>
          </w:rPr>
          <w:instrText xml:space="preserve"> PAGEREF _Toc232162655 \h </w:instrText>
        </w:r>
        <w:r w:rsidRPr="002D2A82">
          <w:rPr>
            <w:webHidden/>
          </w:rPr>
        </w:r>
        <w:r w:rsidRPr="002D2A82">
          <w:rPr>
            <w:webHidden/>
          </w:rPr>
          <w:fldChar w:fldCharType="separate"/>
        </w:r>
        <w:r w:rsidRPr="002D2A82">
          <w:rPr>
            <w:webHidden/>
          </w:rPr>
          <w:t>5</w:t>
        </w:r>
        <w:r w:rsidRPr="002D2A82">
          <w:rPr>
            <w:webHidden/>
          </w:rPr>
          <w:fldChar w:fldCharType="end"/>
        </w:r>
      </w:hyperlink>
    </w:p>
    <w:p w14:paraId="376FE1ED" w14:textId="5D8741EC" w:rsidR="009376AB" w:rsidRPr="002D2A82" w:rsidRDefault="009376AB">
      <w:pPr>
        <w:pStyle w:val="Innehll3"/>
        <w:rPr>
          <w:rFonts w:asciiTheme="minorHAnsi" w:eastAsiaTheme="minorEastAsia" w:hAnsiTheme="minorHAnsi" w:cstheme="minorBidi"/>
          <w:kern w:val="2"/>
          <w:sz w:val="24"/>
          <w:szCs w:val="24"/>
          <w:lang w:val="sv-FI" w:eastAsia="sv-FI"/>
          <w14:ligatures w14:val="standardContextual"/>
        </w:rPr>
      </w:pPr>
      <w:hyperlink w:anchor="_Toc232162656" w:history="1">
        <w:r w:rsidRPr="002D2A82">
          <w:rPr>
            <w:rStyle w:val="Hyperlnk"/>
          </w:rPr>
          <w:t>Förtydliganden</w:t>
        </w:r>
        <w:r w:rsidRPr="002D2A82">
          <w:rPr>
            <w:webHidden/>
          </w:rPr>
          <w:tab/>
        </w:r>
        <w:r w:rsidRPr="002D2A82">
          <w:rPr>
            <w:webHidden/>
          </w:rPr>
          <w:fldChar w:fldCharType="begin"/>
        </w:r>
        <w:r w:rsidRPr="002D2A82">
          <w:rPr>
            <w:webHidden/>
          </w:rPr>
          <w:instrText xml:space="preserve"> PAGEREF _Toc232162656 \h </w:instrText>
        </w:r>
        <w:r w:rsidRPr="002D2A82">
          <w:rPr>
            <w:webHidden/>
          </w:rPr>
        </w:r>
        <w:r w:rsidRPr="002D2A82">
          <w:rPr>
            <w:webHidden/>
          </w:rPr>
          <w:fldChar w:fldCharType="separate"/>
        </w:r>
        <w:r w:rsidRPr="002D2A82">
          <w:rPr>
            <w:webHidden/>
          </w:rPr>
          <w:t>5</w:t>
        </w:r>
        <w:r w:rsidRPr="002D2A82">
          <w:rPr>
            <w:webHidden/>
          </w:rPr>
          <w:fldChar w:fldCharType="end"/>
        </w:r>
      </w:hyperlink>
    </w:p>
    <w:p w14:paraId="5A3B1885" w14:textId="6CCC1F66" w:rsidR="009376AB" w:rsidRPr="002D2A82" w:rsidRDefault="009376AB">
      <w:pPr>
        <w:pStyle w:val="Innehll1"/>
        <w:rPr>
          <w:rFonts w:asciiTheme="minorHAnsi" w:eastAsiaTheme="minorEastAsia" w:hAnsiTheme="minorHAnsi" w:cstheme="minorBidi"/>
          <w:kern w:val="2"/>
          <w:sz w:val="24"/>
          <w:szCs w:val="24"/>
          <w:lang w:val="sv-FI" w:eastAsia="sv-FI"/>
          <w14:ligatures w14:val="standardContextual"/>
        </w:rPr>
      </w:pPr>
      <w:hyperlink w:anchor="_Toc232162657" w:history="1">
        <w:r w:rsidRPr="002D2A82">
          <w:rPr>
            <w:rStyle w:val="Hyperlnk"/>
          </w:rPr>
          <w:t>Ärendets behandling</w:t>
        </w:r>
        <w:r w:rsidRPr="002D2A82">
          <w:rPr>
            <w:webHidden/>
          </w:rPr>
          <w:tab/>
        </w:r>
        <w:r w:rsidRPr="002D2A82">
          <w:rPr>
            <w:webHidden/>
          </w:rPr>
          <w:fldChar w:fldCharType="begin"/>
        </w:r>
        <w:r w:rsidRPr="002D2A82">
          <w:rPr>
            <w:webHidden/>
          </w:rPr>
          <w:instrText xml:space="preserve"> PAGEREF _Toc232162657 \h </w:instrText>
        </w:r>
        <w:r w:rsidRPr="002D2A82">
          <w:rPr>
            <w:webHidden/>
          </w:rPr>
        </w:r>
        <w:r w:rsidRPr="002D2A82">
          <w:rPr>
            <w:webHidden/>
          </w:rPr>
          <w:fldChar w:fldCharType="separate"/>
        </w:r>
        <w:r w:rsidRPr="002D2A82">
          <w:rPr>
            <w:webHidden/>
          </w:rPr>
          <w:t>5</w:t>
        </w:r>
        <w:r w:rsidRPr="002D2A82">
          <w:rPr>
            <w:webHidden/>
          </w:rPr>
          <w:fldChar w:fldCharType="end"/>
        </w:r>
      </w:hyperlink>
    </w:p>
    <w:p w14:paraId="2828870D" w14:textId="66E796E5" w:rsidR="009376AB" w:rsidRPr="002D2A82" w:rsidRDefault="009376AB">
      <w:pPr>
        <w:pStyle w:val="Innehll1"/>
        <w:rPr>
          <w:rFonts w:asciiTheme="minorHAnsi" w:eastAsiaTheme="minorEastAsia" w:hAnsiTheme="minorHAnsi" w:cstheme="minorBidi"/>
          <w:kern w:val="2"/>
          <w:sz w:val="24"/>
          <w:szCs w:val="24"/>
          <w:lang w:val="sv-FI" w:eastAsia="sv-FI"/>
          <w14:ligatures w14:val="standardContextual"/>
        </w:rPr>
      </w:pPr>
      <w:hyperlink w:anchor="_Toc232162658" w:history="1">
        <w:r w:rsidRPr="002D2A82">
          <w:rPr>
            <w:rStyle w:val="Hyperlnk"/>
          </w:rPr>
          <w:t>Utskottets förslag</w:t>
        </w:r>
        <w:r w:rsidRPr="002D2A82">
          <w:rPr>
            <w:webHidden/>
          </w:rPr>
          <w:tab/>
        </w:r>
        <w:r w:rsidRPr="002D2A82">
          <w:rPr>
            <w:webHidden/>
          </w:rPr>
          <w:fldChar w:fldCharType="begin"/>
        </w:r>
        <w:r w:rsidRPr="002D2A82">
          <w:rPr>
            <w:webHidden/>
          </w:rPr>
          <w:instrText xml:space="preserve"> PAGEREF _Toc232162658 \h </w:instrText>
        </w:r>
        <w:r w:rsidRPr="002D2A82">
          <w:rPr>
            <w:webHidden/>
          </w:rPr>
        </w:r>
        <w:r w:rsidRPr="002D2A82">
          <w:rPr>
            <w:webHidden/>
          </w:rPr>
          <w:fldChar w:fldCharType="separate"/>
        </w:r>
        <w:r w:rsidRPr="002D2A82">
          <w:rPr>
            <w:webHidden/>
          </w:rPr>
          <w:t>5</w:t>
        </w:r>
        <w:r w:rsidRPr="002D2A82">
          <w:rPr>
            <w:webHidden/>
          </w:rPr>
          <w:fldChar w:fldCharType="end"/>
        </w:r>
      </w:hyperlink>
    </w:p>
    <w:p w14:paraId="09033780" w14:textId="35D1C44E" w:rsidR="002401D0" w:rsidRPr="002D2A82" w:rsidRDefault="002401D0">
      <w:pPr>
        <w:pStyle w:val="ANormal"/>
        <w:rPr>
          <w:noProof/>
        </w:rPr>
      </w:pPr>
      <w:r w:rsidRPr="002D2A82">
        <w:rPr>
          <w:rFonts w:ascii="Verdana" w:hAnsi="Verdana"/>
          <w:noProof/>
          <w:sz w:val="16"/>
          <w:szCs w:val="36"/>
        </w:rPr>
        <w:fldChar w:fldCharType="end"/>
      </w:r>
    </w:p>
    <w:p w14:paraId="5B74E118" w14:textId="77777777" w:rsidR="002401D0" w:rsidRPr="002D2A82" w:rsidRDefault="002401D0">
      <w:pPr>
        <w:pStyle w:val="ANormal"/>
      </w:pPr>
    </w:p>
    <w:p w14:paraId="2DEC4D61" w14:textId="77777777" w:rsidR="002401D0" w:rsidRPr="002D2A82" w:rsidRDefault="002401D0">
      <w:pPr>
        <w:pStyle w:val="RubrikA"/>
      </w:pPr>
      <w:bookmarkStart w:id="2" w:name="_Toc529800932"/>
      <w:bookmarkStart w:id="3" w:name="_Toc232162648"/>
      <w:r w:rsidRPr="002D2A82">
        <w:t>Sammanfattning</w:t>
      </w:r>
      <w:bookmarkEnd w:id="2"/>
      <w:bookmarkEnd w:id="3"/>
    </w:p>
    <w:p w14:paraId="5D615F26" w14:textId="77777777" w:rsidR="002401D0" w:rsidRPr="002D2A82" w:rsidRDefault="002401D0">
      <w:pPr>
        <w:pStyle w:val="Rubrikmellanrum"/>
      </w:pPr>
    </w:p>
    <w:p w14:paraId="7B8C17A2" w14:textId="28BECD6A" w:rsidR="002401D0" w:rsidRPr="002D2A82" w:rsidRDefault="00F35DAF">
      <w:pPr>
        <w:pStyle w:val="RubrikB"/>
      </w:pPr>
      <w:bookmarkStart w:id="4" w:name="_Toc529800933"/>
      <w:bookmarkStart w:id="5" w:name="_Toc232162649"/>
      <w:r w:rsidRPr="002D2A82">
        <w:t>Landskapsregeringens</w:t>
      </w:r>
      <w:r w:rsidR="002401D0" w:rsidRPr="002D2A82">
        <w:t xml:space="preserve"> förslag</w:t>
      </w:r>
      <w:bookmarkEnd w:id="4"/>
      <w:bookmarkEnd w:id="5"/>
    </w:p>
    <w:p w14:paraId="48739218" w14:textId="77777777" w:rsidR="002401D0" w:rsidRPr="002D2A82" w:rsidRDefault="002401D0">
      <w:pPr>
        <w:pStyle w:val="Rubrikmellanrum"/>
      </w:pPr>
    </w:p>
    <w:p w14:paraId="55F1D3EA" w14:textId="77777777" w:rsidR="00EC42B2" w:rsidRPr="002D2A82" w:rsidRDefault="00F35DAF" w:rsidP="00F35DAF">
      <w:pPr>
        <w:pStyle w:val="ANormal"/>
      </w:pPr>
      <w:r w:rsidRPr="002D2A82">
        <w:t xml:space="preserve">Landskapsregeringen lämnar förslag till ändringar i landskapslagen om tillämpning i landskapet Åland av riksförfattningar om utsläppshandel. Ändringarna föreslås med anledning av den senaste revideringen av utsläppshandelsdirektivet </w:t>
      </w:r>
      <w:r w:rsidR="0031530D" w:rsidRPr="002D2A82">
        <w:t xml:space="preserve">(EU 2023/959) </w:t>
      </w:r>
      <w:r w:rsidRPr="002D2A82">
        <w:t>och EU:s förordning om övervakning, rapportering och verifiering av koldioxidutsläpp från sjötransporter</w:t>
      </w:r>
      <w:r w:rsidR="00DE4F49" w:rsidRPr="002D2A82">
        <w:t xml:space="preserve"> (EU 2015/757)</w:t>
      </w:r>
      <w:r w:rsidRPr="002D2A82">
        <w:t>. Lagförslaget bör behandlas så snabbt som möjligt då direktivets genomförandetid gick ut den 1 januari 2024. Genom denna lagstiftning inkluderas de åländska rederierna i utsläppshandelssystemet och konsekvensen av att inte implementera EU-direktivet är således att de åländska rederierna inte omfattas av utsläppsrättshandelssystemet.</w:t>
      </w:r>
    </w:p>
    <w:p w14:paraId="55625D0F" w14:textId="0104771A" w:rsidR="00EC42B2" w:rsidRPr="002D2A82" w:rsidRDefault="00EC42B2" w:rsidP="00F35DAF">
      <w:pPr>
        <w:pStyle w:val="ANormal"/>
      </w:pPr>
      <w:r w:rsidRPr="002D2A82">
        <w:tab/>
      </w:r>
      <w:r w:rsidR="001D3339" w:rsidRPr="002D2A82">
        <w:t>Landskapsregeringen föreslår att lagförslag (LF nr 12/</w:t>
      </w:r>
      <w:proofErr w:type="gramStart"/>
      <w:r w:rsidR="001D3339" w:rsidRPr="002D2A82">
        <w:t>2023-2024</w:t>
      </w:r>
      <w:proofErr w:type="gramEnd"/>
      <w:r w:rsidR="001D3339" w:rsidRPr="002D2A82">
        <w:t>) om reviderad lag om utsläppshandel och lagförslag (LF nr 24/</w:t>
      </w:r>
      <w:proofErr w:type="gramStart"/>
      <w:r w:rsidR="001D3339" w:rsidRPr="002D2A82">
        <w:t>2024-2025</w:t>
      </w:r>
      <w:proofErr w:type="gramEnd"/>
      <w:r w:rsidR="001D3339" w:rsidRPr="002D2A82">
        <w:t>) om lag om handel med utsläppsrätter för distribution av fossila bränslen ändras med anledning av kommissionens delegerade förordning av den 8.4.2026 om ändring av kommissionens delegerade förordning (EU) 2023/2830 vad gäller regler om tidsschema, administration och andra aspekter av auktionering av utsläppsrätter för växthusgaser. Enligt ändringsförordningen ska det vara möjligt för en medlemsstat att utse fler än en auktionsförrättare. Landskapsregeringen föreslår att Ålands energimyndighet utses till auktionsförrättare och ges ansvaret för auktionering av utsläppsrätter för aktörer som ingår i utsläppshandelsdirektivets tillämpningsområde.</w:t>
      </w:r>
    </w:p>
    <w:p w14:paraId="0524C4E6" w14:textId="77777777" w:rsidR="002401D0" w:rsidRPr="002D2A82" w:rsidRDefault="002401D0">
      <w:pPr>
        <w:pStyle w:val="ANormal"/>
      </w:pPr>
    </w:p>
    <w:p w14:paraId="6EA26E77" w14:textId="77777777" w:rsidR="002401D0" w:rsidRPr="002D2A82" w:rsidRDefault="002401D0">
      <w:pPr>
        <w:pStyle w:val="RubrikB"/>
      </w:pPr>
      <w:bookmarkStart w:id="6" w:name="_Toc529800934"/>
      <w:bookmarkStart w:id="7" w:name="_Toc232162650"/>
      <w:r w:rsidRPr="002D2A82">
        <w:t>Utskottets förslag</w:t>
      </w:r>
      <w:bookmarkEnd w:id="6"/>
      <w:bookmarkEnd w:id="7"/>
    </w:p>
    <w:p w14:paraId="43225E5F" w14:textId="77777777" w:rsidR="00D37316" w:rsidRPr="002D2A82" w:rsidRDefault="00D37316" w:rsidP="00D37316">
      <w:pPr>
        <w:pStyle w:val="Rubrikmellanrum"/>
      </w:pPr>
    </w:p>
    <w:p w14:paraId="1AB14034" w14:textId="02A0B204" w:rsidR="00C43463" w:rsidRPr="002D2A82" w:rsidRDefault="0043475C" w:rsidP="00C43463">
      <w:pPr>
        <w:pStyle w:val="ANormal"/>
      </w:pPr>
      <w:r w:rsidRPr="002D2A82">
        <w:t>Utskottet föreslår att lagförslaget</w:t>
      </w:r>
      <w:r w:rsidR="00CD18C7" w:rsidRPr="002D2A82">
        <w:t xml:space="preserve"> inklusive kompletteringar antas</w:t>
      </w:r>
      <w:r w:rsidR="00C43463" w:rsidRPr="002D2A82">
        <w:t xml:space="preserve"> med </w:t>
      </w:r>
      <w:r w:rsidR="00240A3A" w:rsidRPr="002D2A82">
        <w:t>e</w:t>
      </w:r>
      <w:r w:rsidR="00861F62" w:rsidRPr="002D2A82">
        <w:t xml:space="preserve">n </w:t>
      </w:r>
      <w:r w:rsidR="00C43463" w:rsidRPr="002D2A82">
        <w:t>smärre teknisk ändring.</w:t>
      </w:r>
    </w:p>
    <w:p w14:paraId="1314A958" w14:textId="77777777" w:rsidR="00C43463" w:rsidRPr="002D2A82" w:rsidRDefault="00C43463">
      <w:pPr>
        <w:pStyle w:val="ANormal"/>
      </w:pPr>
    </w:p>
    <w:p w14:paraId="3497E087" w14:textId="77777777" w:rsidR="002401D0" w:rsidRPr="002D2A82" w:rsidRDefault="002401D0">
      <w:pPr>
        <w:pStyle w:val="ANormal"/>
      </w:pPr>
    </w:p>
    <w:p w14:paraId="418D6A3E" w14:textId="77777777" w:rsidR="002401D0" w:rsidRPr="002D2A82" w:rsidRDefault="002401D0">
      <w:pPr>
        <w:pStyle w:val="RubrikA"/>
      </w:pPr>
      <w:bookmarkStart w:id="8" w:name="_Toc529800935"/>
      <w:bookmarkStart w:id="9" w:name="_Toc232162651"/>
      <w:r w:rsidRPr="002D2A82">
        <w:lastRenderedPageBreak/>
        <w:t>Utskottets synpunkter</w:t>
      </w:r>
      <w:bookmarkEnd w:id="8"/>
      <w:bookmarkEnd w:id="9"/>
    </w:p>
    <w:p w14:paraId="0242029A" w14:textId="77777777" w:rsidR="00D37316" w:rsidRPr="002D2A82" w:rsidRDefault="00D37316" w:rsidP="00D37316">
      <w:pPr>
        <w:pStyle w:val="Rubrikmellanrum"/>
      </w:pPr>
    </w:p>
    <w:p w14:paraId="0ADD319B" w14:textId="1FDD1076" w:rsidR="00394391" w:rsidRPr="002D2A82" w:rsidRDefault="00226D3A" w:rsidP="00D37316">
      <w:pPr>
        <w:pStyle w:val="ANormal"/>
      </w:pPr>
      <w:r w:rsidRPr="002D2A82">
        <w:t xml:space="preserve">Utskottet konstaterar att </w:t>
      </w:r>
      <w:r w:rsidR="00394391" w:rsidRPr="002D2A82">
        <w:t xml:space="preserve">EU:s revidering av utsläppshandelsdirektivet har föranlett ett behov att </w:t>
      </w:r>
      <w:r w:rsidRPr="002D2A82">
        <w:t xml:space="preserve">revidera </w:t>
      </w:r>
      <w:r w:rsidR="00D37316" w:rsidRPr="002D2A82">
        <w:t>l</w:t>
      </w:r>
      <w:r w:rsidR="00394391" w:rsidRPr="002D2A82">
        <w:t>andskapslag</w:t>
      </w:r>
      <w:r w:rsidR="00D37316" w:rsidRPr="002D2A82">
        <w:t>en</w:t>
      </w:r>
      <w:r w:rsidR="00394391" w:rsidRPr="002D2A82">
        <w:t xml:space="preserve"> (2009:31) om tillämpning i landskapet Åland av riksförfattningar om utsläppshandel</w:t>
      </w:r>
      <w:r w:rsidR="00AD76FD" w:rsidRPr="002D2A82">
        <w:t xml:space="preserve"> (utsläppshandelslagen)</w:t>
      </w:r>
      <w:r w:rsidR="00394391" w:rsidRPr="002D2A82">
        <w:t>. Orsaken är att</w:t>
      </w:r>
      <w:r w:rsidRPr="002D2A82">
        <w:t xml:space="preserve"> </w:t>
      </w:r>
      <w:r w:rsidR="00394391" w:rsidRPr="002D2A82">
        <w:t>lag</w:t>
      </w:r>
      <w:r w:rsidRPr="002D2A82">
        <w:t>en som tillämpa</w:t>
      </w:r>
      <w:r w:rsidR="00DE2AE0" w:rsidRPr="002D2A82">
        <w:t xml:space="preserve">s på Åland </w:t>
      </w:r>
      <w:r w:rsidR="00394391" w:rsidRPr="002D2A82">
        <w:t>inte</w:t>
      </w:r>
      <w:r w:rsidRPr="002D2A82">
        <w:t xml:space="preserve"> uppfyller</w:t>
      </w:r>
      <w:r w:rsidR="00394391" w:rsidRPr="002D2A82">
        <w:t xml:space="preserve"> utsläppshandelsdirektivets krav.</w:t>
      </w:r>
      <w:r w:rsidR="004E1520" w:rsidRPr="002D2A82">
        <w:t xml:space="preserve"> Finland har </w:t>
      </w:r>
      <w:r w:rsidR="00D37316" w:rsidRPr="002D2A82">
        <w:t>genomfört direktivet</w:t>
      </w:r>
      <w:r w:rsidR="004E1520" w:rsidRPr="002D2A82">
        <w:t xml:space="preserve"> genom att anta </w:t>
      </w:r>
      <w:r w:rsidR="002B0F87" w:rsidRPr="002D2A82">
        <w:t xml:space="preserve">en ny </w:t>
      </w:r>
      <w:r w:rsidR="004E1520" w:rsidRPr="002D2A82">
        <w:t>lag om utsläppshandel (FFS 1270/2023).</w:t>
      </w:r>
      <w:r w:rsidR="002B0F87" w:rsidRPr="002D2A82">
        <w:t xml:space="preserve"> Genom </w:t>
      </w:r>
      <w:r w:rsidR="00D37316" w:rsidRPr="002D2A82">
        <w:t>föreliggande</w:t>
      </w:r>
      <w:r w:rsidR="002B0F87" w:rsidRPr="002D2A82">
        <w:t xml:space="preserve"> lagförslag </w:t>
      </w:r>
      <w:r w:rsidR="00D37316" w:rsidRPr="002D2A82">
        <w:t xml:space="preserve">ändras utsläppshandelslagen så att </w:t>
      </w:r>
      <w:r w:rsidR="002B0F87" w:rsidRPr="002D2A82">
        <w:t>Finlands lag om utsläppshandel</w:t>
      </w:r>
      <w:r w:rsidR="00D37316" w:rsidRPr="002D2A82">
        <w:t xml:space="preserve"> också tillämpas</w:t>
      </w:r>
      <w:r w:rsidR="002B0F87" w:rsidRPr="002D2A82">
        <w:t xml:space="preserve"> på Åland. </w:t>
      </w:r>
      <w:r w:rsidR="004E1520" w:rsidRPr="002D2A82">
        <w:t xml:space="preserve"> </w:t>
      </w:r>
    </w:p>
    <w:p w14:paraId="2FD8755A" w14:textId="56B7CE88" w:rsidR="00D7251B" w:rsidRPr="002D2A82" w:rsidRDefault="00394391" w:rsidP="00D37316">
      <w:pPr>
        <w:pStyle w:val="ANormal"/>
      </w:pPr>
      <w:r w:rsidRPr="002D2A82">
        <w:tab/>
        <w:t>Den största förändringen i utsläppshandelsdirektivet är att en stor del av sjöfarten inom EU införlivas i utsläppshandeln.</w:t>
      </w:r>
      <w:r w:rsidR="00C83894" w:rsidRPr="002D2A82">
        <w:t xml:space="preserve"> Avsikten</w:t>
      </w:r>
      <w:r w:rsidRPr="002D2A82">
        <w:t xml:space="preserve"> med utsläppshandeln är främst att främja natur- och miljövård</w:t>
      </w:r>
      <w:r w:rsidR="00C83894" w:rsidRPr="002D2A82">
        <w:t xml:space="preserve"> genom att</w:t>
      </w:r>
      <w:r w:rsidR="00D7251B" w:rsidRPr="002D2A82">
        <w:t xml:space="preserve"> sälja utsläppshandelsrätter inom EU. Intäkterna</w:t>
      </w:r>
      <w:r w:rsidR="00C83894" w:rsidRPr="002D2A82">
        <w:t xml:space="preserve"> </w:t>
      </w:r>
      <w:r w:rsidR="00D37316" w:rsidRPr="002D2A82">
        <w:t xml:space="preserve">från utsläppshandeln </w:t>
      </w:r>
      <w:r w:rsidR="00C83894" w:rsidRPr="002D2A82">
        <w:t>fördela</w:t>
      </w:r>
      <w:r w:rsidR="00D7251B" w:rsidRPr="002D2A82">
        <w:t>s</w:t>
      </w:r>
      <w:r w:rsidR="00C83894" w:rsidRPr="002D2A82">
        <w:t xml:space="preserve"> mellan EU-medlemmar</w:t>
      </w:r>
      <w:r w:rsidR="00D37316" w:rsidRPr="002D2A82">
        <w:t>na</w:t>
      </w:r>
      <w:r w:rsidR="00D7251B" w:rsidRPr="002D2A82">
        <w:t xml:space="preserve"> och ska </w:t>
      </w:r>
      <w:r w:rsidRPr="002D2A82">
        <w:t xml:space="preserve">till största del </w:t>
      </w:r>
      <w:r w:rsidR="00C83894" w:rsidRPr="002D2A82">
        <w:t>riktas mot</w:t>
      </w:r>
      <w:r w:rsidRPr="002D2A82">
        <w:t xml:space="preserve"> natur- och miljömässiga åtgärder</w:t>
      </w:r>
      <w:r w:rsidR="00D37316" w:rsidRPr="002D2A82">
        <w:t xml:space="preserve"> i medlemsstaterna</w:t>
      </w:r>
      <w:r w:rsidRPr="002D2A82">
        <w:t xml:space="preserve">. </w:t>
      </w:r>
    </w:p>
    <w:p w14:paraId="05937333" w14:textId="77777777" w:rsidR="003118A0" w:rsidRPr="002D2A82" w:rsidRDefault="00D7251B" w:rsidP="003118A0">
      <w:pPr>
        <w:pStyle w:val="ANormal"/>
      </w:pPr>
      <w:r w:rsidRPr="002D2A82">
        <w:tab/>
      </w:r>
      <w:r w:rsidR="00394391" w:rsidRPr="002D2A82">
        <w:t xml:space="preserve">Utskottet konstaterar att natur- och miljövård är åländsk behörighet i enlighet med </w:t>
      </w:r>
      <w:r w:rsidR="00D37316" w:rsidRPr="002D2A82">
        <w:t>s</w:t>
      </w:r>
      <w:r w:rsidR="00394391" w:rsidRPr="002D2A82">
        <w:t>jälvstyrelselag</w:t>
      </w:r>
      <w:r w:rsidR="00D37316" w:rsidRPr="002D2A82">
        <w:t>en</w:t>
      </w:r>
      <w:r w:rsidR="00394391" w:rsidRPr="002D2A82">
        <w:t xml:space="preserve"> (1991:71) för Åland</w:t>
      </w:r>
      <w:r w:rsidR="00A92FE8" w:rsidRPr="002D2A82">
        <w:t>. Vidare anser utskottet att det är</w:t>
      </w:r>
      <w:r w:rsidR="00394391" w:rsidRPr="002D2A82">
        <w:t xml:space="preserve"> </w:t>
      </w:r>
      <w:r w:rsidR="00BE1254" w:rsidRPr="002D2A82">
        <w:t xml:space="preserve">avgörande att </w:t>
      </w:r>
      <w:r w:rsidR="00394391" w:rsidRPr="002D2A82">
        <w:t>Åland</w:t>
      </w:r>
      <w:r w:rsidR="00BE1254" w:rsidRPr="002D2A82">
        <w:t xml:space="preserve"> tillförs resurser för att </w:t>
      </w:r>
      <w:r w:rsidR="00394391" w:rsidRPr="002D2A82">
        <w:t>genomföra och finansiera den gröna omställningen</w:t>
      </w:r>
      <w:r w:rsidR="00B425BA" w:rsidRPr="002D2A82">
        <w:t xml:space="preserve"> som</w:t>
      </w:r>
      <w:r w:rsidR="00394391" w:rsidRPr="002D2A82">
        <w:t xml:space="preserve"> åläggs alla EU-medlemmarna i </w:t>
      </w:r>
      <w:r w:rsidR="00D37316" w:rsidRPr="002D2A82">
        <w:t xml:space="preserve">ett </w:t>
      </w:r>
      <w:r w:rsidR="00394391" w:rsidRPr="002D2A82">
        <w:t xml:space="preserve">flertal EU-direktiv. </w:t>
      </w:r>
      <w:r w:rsidR="00A3702A" w:rsidRPr="002D2A82">
        <w:t xml:space="preserve">Utskottet bedömer att utsläppshandelsdirektivet kommer </w:t>
      </w:r>
      <w:r w:rsidR="00C83894" w:rsidRPr="002D2A82">
        <w:t>att utöka möjligheten för landskapet att finansiera</w:t>
      </w:r>
      <w:r w:rsidR="00A3702A" w:rsidRPr="002D2A82">
        <w:t xml:space="preserve"> </w:t>
      </w:r>
      <w:r w:rsidR="00C0275F" w:rsidRPr="002D2A82">
        <w:t xml:space="preserve">natur- och miljömässiga åtgärder, samtidigt som </w:t>
      </w:r>
      <w:r w:rsidR="00A3702A" w:rsidRPr="002D2A82">
        <w:t>levnadskostnaderna för invånare på Åland</w:t>
      </w:r>
      <w:r w:rsidR="00C0275F" w:rsidRPr="002D2A82">
        <w:t xml:space="preserve"> kan komma att stiga</w:t>
      </w:r>
      <w:r w:rsidR="00D37316" w:rsidRPr="002D2A82">
        <w:t xml:space="preserve"> som en följd av dyrare sjötransporter.</w:t>
      </w:r>
    </w:p>
    <w:p w14:paraId="122930FC" w14:textId="41D9E384" w:rsidR="003118A0" w:rsidRPr="002D2A82" w:rsidRDefault="003118A0" w:rsidP="003118A0">
      <w:pPr>
        <w:pStyle w:val="ANormal"/>
        <w:rPr>
          <w:lang w:val="sv-FI"/>
        </w:rPr>
      </w:pPr>
      <w:r w:rsidRPr="002D2A82">
        <w:tab/>
      </w:r>
      <w:r w:rsidRPr="002D2A82">
        <w:rPr>
          <w:lang w:val="sv-FI"/>
        </w:rPr>
        <w:t xml:space="preserve">Landskapsregeringen har överlämnat kompletterande lagförslag avseende dels </w:t>
      </w:r>
      <w:r w:rsidR="00B22370" w:rsidRPr="002D2A82">
        <w:rPr>
          <w:lang w:val="sv-FI"/>
        </w:rPr>
        <w:t xml:space="preserve">revideringen av utsläppshandelslagen som möjliggör implementeringen av </w:t>
      </w:r>
      <w:r w:rsidRPr="002D2A82">
        <w:rPr>
          <w:lang w:val="sv-FI"/>
        </w:rPr>
        <w:t xml:space="preserve">det unionsgemensamma utsläppshandelssystemet för stationära anläggningar, luftfart och sjöfart </w:t>
      </w:r>
      <w:r w:rsidR="00E779FE" w:rsidRPr="002D2A82">
        <w:rPr>
          <w:lang w:val="sv-FI"/>
        </w:rPr>
        <w:t>(utsläppshandelslagen</w:t>
      </w:r>
      <w:r w:rsidRPr="002D2A82">
        <w:rPr>
          <w:lang w:val="sv-FI"/>
        </w:rPr>
        <w:t>), dels</w:t>
      </w:r>
      <w:r w:rsidR="00B22370" w:rsidRPr="002D2A82">
        <w:rPr>
          <w:lang w:val="sv-FI"/>
        </w:rPr>
        <w:t xml:space="preserve"> kompletterande lagförslag gällande lag om handel med utsläppsrätter för distribution av fossila bränslen som möjliggör</w:t>
      </w:r>
      <w:r w:rsidRPr="002D2A82">
        <w:rPr>
          <w:lang w:val="sv-FI"/>
        </w:rPr>
        <w:t xml:space="preserve"> utsläppshandelssystemet för byggnader, vägtransporter och vissa ytterligare sektorer</w:t>
      </w:r>
      <w:r w:rsidR="008C1B4A" w:rsidRPr="002D2A82">
        <w:rPr>
          <w:lang w:val="sv-FI"/>
        </w:rPr>
        <w:t xml:space="preserve">. </w:t>
      </w:r>
      <w:r w:rsidRPr="002D2A82">
        <w:rPr>
          <w:lang w:val="sv-FI"/>
        </w:rPr>
        <w:t xml:space="preserve">De kompletterande förslagen föranleds av </w:t>
      </w:r>
      <w:r w:rsidR="00B22370" w:rsidRPr="002D2A82">
        <w:rPr>
          <w:lang w:val="sv-FI"/>
        </w:rPr>
        <w:t>kommissionens delegerade förordning</w:t>
      </w:r>
      <w:r w:rsidR="00A55CDF">
        <w:rPr>
          <w:lang w:val="sv-FI"/>
        </w:rPr>
        <w:t xml:space="preserve"> (EU) 2026/787</w:t>
      </w:r>
      <w:r w:rsidR="00B22370" w:rsidRPr="002D2A82">
        <w:rPr>
          <w:lang w:val="sv-FI"/>
        </w:rPr>
        <w:t xml:space="preserve"> av den 8.4.2026 om ändring av kommissionens delegerade förordning (EU) 2023/2830 vad gäller regler om tidsschema, administration och andra aspekter av auktionering av utsläppsrätter för växthusgaser</w:t>
      </w:r>
      <w:r w:rsidR="002D2A82">
        <w:rPr>
          <w:lang w:val="sv-FI"/>
        </w:rPr>
        <w:t xml:space="preserve"> </w:t>
      </w:r>
      <w:r w:rsidR="00C4198F" w:rsidRPr="002D2A82">
        <w:rPr>
          <w:lang w:val="sv-FI"/>
        </w:rPr>
        <w:t>(delegeringsförordningen)</w:t>
      </w:r>
      <w:r w:rsidR="00B22370" w:rsidRPr="002D2A82">
        <w:rPr>
          <w:lang w:val="sv-FI"/>
        </w:rPr>
        <w:t xml:space="preserve"> </w:t>
      </w:r>
      <w:r w:rsidRPr="002D2A82">
        <w:rPr>
          <w:lang w:val="sv-FI"/>
        </w:rPr>
        <w:t xml:space="preserve">och innehåller bestämmelser om auktionering av utsläppsrätter </w:t>
      </w:r>
      <w:r w:rsidR="00B22370" w:rsidRPr="002D2A82">
        <w:rPr>
          <w:lang w:val="sv-FI"/>
        </w:rPr>
        <w:t>som både tangerar lagförslag nr 12/</w:t>
      </w:r>
      <w:proofErr w:type="gramStart"/>
      <w:r w:rsidR="00B22370" w:rsidRPr="002D2A82">
        <w:rPr>
          <w:lang w:val="sv-FI"/>
        </w:rPr>
        <w:t>2023-2024</w:t>
      </w:r>
      <w:proofErr w:type="gramEnd"/>
      <w:r w:rsidR="00E779FE" w:rsidRPr="002D2A82">
        <w:rPr>
          <w:lang w:val="sv-FI"/>
        </w:rPr>
        <w:t xml:space="preserve"> </w:t>
      </w:r>
      <w:r w:rsidR="00B22370" w:rsidRPr="002D2A82">
        <w:rPr>
          <w:lang w:val="sv-FI"/>
        </w:rPr>
        <w:t>och lagförslag nr 24/</w:t>
      </w:r>
      <w:proofErr w:type="gramStart"/>
      <w:r w:rsidR="00B22370" w:rsidRPr="002D2A82">
        <w:rPr>
          <w:lang w:val="sv-FI"/>
        </w:rPr>
        <w:t>2024-2025</w:t>
      </w:r>
      <w:proofErr w:type="gramEnd"/>
      <w:r w:rsidRPr="002D2A82">
        <w:rPr>
          <w:lang w:val="sv-FI"/>
        </w:rPr>
        <w:t>.</w:t>
      </w:r>
      <w:r w:rsidR="00B22370" w:rsidRPr="002D2A82">
        <w:rPr>
          <w:lang w:val="sv-FI"/>
        </w:rPr>
        <w:t xml:space="preserve"> </w:t>
      </w:r>
      <w:r w:rsidRPr="002D2A82">
        <w:rPr>
          <w:lang w:val="sv-FI"/>
        </w:rPr>
        <w:t>Utskottet har i föreliggande betänkande valt att huvudsakligen behandla de delar som gäller</w:t>
      </w:r>
      <w:r w:rsidR="00B22370" w:rsidRPr="002D2A82">
        <w:rPr>
          <w:lang w:val="sv-FI"/>
        </w:rPr>
        <w:t xml:space="preserve"> utsläppshandelslagen</w:t>
      </w:r>
      <w:r w:rsidR="00E779FE" w:rsidRPr="002D2A82">
        <w:rPr>
          <w:lang w:val="sv-FI"/>
        </w:rPr>
        <w:t xml:space="preserve">. </w:t>
      </w:r>
      <w:r w:rsidRPr="002D2A82">
        <w:rPr>
          <w:lang w:val="sv-FI"/>
        </w:rPr>
        <w:t xml:space="preserve">De delar av </w:t>
      </w:r>
      <w:r w:rsidR="00B22370" w:rsidRPr="002D2A82">
        <w:rPr>
          <w:lang w:val="sv-FI"/>
        </w:rPr>
        <w:t xml:space="preserve">den kompletterande </w:t>
      </w:r>
      <w:r w:rsidRPr="002D2A82">
        <w:rPr>
          <w:lang w:val="sv-FI"/>
        </w:rPr>
        <w:t xml:space="preserve">lagstiftningen som gäller </w:t>
      </w:r>
      <w:r w:rsidR="00B22370" w:rsidRPr="002D2A82">
        <w:rPr>
          <w:lang w:val="sv-FI"/>
        </w:rPr>
        <w:t>lagförslag nr 24/</w:t>
      </w:r>
      <w:proofErr w:type="gramStart"/>
      <w:r w:rsidR="00B22370" w:rsidRPr="002D2A82">
        <w:rPr>
          <w:lang w:val="sv-FI"/>
        </w:rPr>
        <w:t>2024-2025</w:t>
      </w:r>
      <w:proofErr w:type="gramEnd"/>
      <w:r w:rsidRPr="002D2A82">
        <w:rPr>
          <w:lang w:val="sv-FI"/>
        </w:rPr>
        <w:t xml:space="preserve"> behandlas närmare i utskottets betänkande </w:t>
      </w:r>
      <w:r w:rsidR="00B22370" w:rsidRPr="002D2A82">
        <w:rPr>
          <w:lang w:val="sv-FI"/>
        </w:rPr>
        <w:t>nr 20/</w:t>
      </w:r>
      <w:proofErr w:type="gramStart"/>
      <w:r w:rsidR="00B22370" w:rsidRPr="002D2A82">
        <w:rPr>
          <w:lang w:val="sv-FI"/>
        </w:rPr>
        <w:t>2025-2026</w:t>
      </w:r>
      <w:proofErr w:type="gramEnd"/>
      <w:r w:rsidR="00B22370" w:rsidRPr="002D2A82">
        <w:rPr>
          <w:lang w:val="sv-FI"/>
        </w:rPr>
        <w:t xml:space="preserve"> </w:t>
      </w:r>
      <w:r w:rsidRPr="002D2A82">
        <w:rPr>
          <w:lang w:val="sv-FI"/>
        </w:rPr>
        <w:t xml:space="preserve">om </w:t>
      </w:r>
      <w:r w:rsidR="008039AA" w:rsidRPr="002D2A82">
        <w:rPr>
          <w:lang w:val="sv-FI"/>
        </w:rPr>
        <w:t xml:space="preserve">lagförslaget vad beträffar </w:t>
      </w:r>
      <w:r w:rsidRPr="002D2A82">
        <w:rPr>
          <w:lang w:val="sv-FI"/>
        </w:rPr>
        <w:t>handel med utsläppsrätter för distribution av fossila bränslen. Hänvisningar</w:t>
      </w:r>
      <w:r w:rsidR="00E779FE" w:rsidRPr="002D2A82">
        <w:rPr>
          <w:lang w:val="sv-FI"/>
        </w:rPr>
        <w:t xml:space="preserve"> till</w:t>
      </w:r>
      <w:r w:rsidR="008039AA" w:rsidRPr="002D2A82">
        <w:rPr>
          <w:lang w:val="sv-FI"/>
        </w:rPr>
        <w:t xml:space="preserve"> lagförslaget vad beträffar handel med utsläppsrätter för distribution av fossila bränslen</w:t>
      </w:r>
      <w:r w:rsidRPr="002D2A82">
        <w:rPr>
          <w:lang w:val="sv-FI"/>
        </w:rPr>
        <w:t xml:space="preserve"> i detta betänkande görs endast i den utsträckning som behövs för att belysa helheten och sambandet mellan de båda utsläppshandelssystemen.</w:t>
      </w:r>
    </w:p>
    <w:p w14:paraId="6ECD33B5" w14:textId="77777777" w:rsidR="003118A0" w:rsidRPr="002D2A82" w:rsidRDefault="003118A0" w:rsidP="003118A0">
      <w:pPr>
        <w:pStyle w:val="ANormal"/>
      </w:pPr>
    </w:p>
    <w:p w14:paraId="4FE341E6" w14:textId="2ED9A64A" w:rsidR="00B53917" w:rsidRPr="002D2A82" w:rsidRDefault="00235D41" w:rsidP="003118A0">
      <w:pPr>
        <w:pStyle w:val="ANormal"/>
      </w:pPr>
      <w:r w:rsidRPr="002D2A82">
        <w:tab/>
      </w:r>
      <w:r w:rsidR="00E82C66" w:rsidRPr="002D2A82">
        <w:t xml:space="preserve"> </w:t>
      </w:r>
    </w:p>
    <w:p w14:paraId="034CCCE2" w14:textId="151C80C7" w:rsidR="00B53917" w:rsidRPr="002D2A82" w:rsidRDefault="001B794F" w:rsidP="00D37316">
      <w:pPr>
        <w:pStyle w:val="RubrikC"/>
      </w:pPr>
      <w:bookmarkStart w:id="10" w:name="_Toc232162652"/>
      <w:r w:rsidRPr="002D2A82">
        <w:t>Utsläppsrätter</w:t>
      </w:r>
      <w:r w:rsidR="008D7C7F" w:rsidRPr="002D2A82">
        <w:t xml:space="preserve"> och ö-undantag</w:t>
      </w:r>
      <w:bookmarkEnd w:id="10"/>
    </w:p>
    <w:p w14:paraId="31BBBAED" w14:textId="77777777" w:rsidR="00D37316" w:rsidRPr="002D2A82" w:rsidRDefault="00D37316" w:rsidP="00D37316">
      <w:pPr>
        <w:pStyle w:val="Rubrikmellanrum"/>
      </w:pPr>
    </w:p>
    <w:p w14:paraId="287FDA38" w14:textId="25816BB7" w:rsidR="0054337A" w:rsidRPr="002D2A82" w:rsidRDefault="009B333D" w:rsidP="00D37316">
      <w:pPr>
        <w:pStyle w:val="ANormal"/>
      </w:pPr>
      <w:r w:rsidRPr="002D2A82">
        <w:t>Utskottet konstaterar att u</w:t>
      </w:r>
      <w:r w:rsidR="0013687D" w:rsidRPr="002D2A82">
        <w:t xml:space="preserve">tsläppshandelsdirektivet </w:t>
      </w:r>
      <w:r w:rsidR="008B4446" w:rsidRPr="002D2A82">
        <w:t>förpliktigar berörda</w:t>
      </w:r>
      <w:r w:rsidR="00CD00E1" w:rsidRPr="002D2A82">
        <w:t xml:space="preserve"> </w:t>
      </w:r>
      <w:r w:rsidR="00E560E8" w:rsidRPr="002D2A82">
        <w:t>rederier</w:t>
      </w:r>
      <w:r w:rsidR="00CD00E1" w:rsidRPr="002D2A82">
        <w:t xml:space="preserve"> </w:t>
      </w:r>
      <w:r w:rsidR="003A315E" w:rsidRPr="002D2A82">
        <w:t xml:space="preserve">att </w:t>
      </w:r>
      <w:r w:rsidR="00E560E8" w:rsidRPr="002D2A82">
        <w:t>lämna in</w:t>
      </w:r>
      <w:r w:rsidR="00C50E86" w:rsidRPr="002D2A82">
        <w:t xml:space="preserve"> en andel</w:t>
      </w:r>
      <w:r w:rsidR="00A7035B" w:rsidRPr="002D2A82">
        <w:t xml:space="preserve"> om 40 </w:t>
      </w:r>
      <w:r w:rsidR="00322436" w:rsidRPr="002D2A82">
        <w:t>procent</w:t>
      </w:r>
      <w:r w:rsidR="00E560E8" w:rsidRPr="002D2A82">
        <w:t xml:space="preserve"> utsläppsrätter</w:t>
      </w:r>
      <w:r w:rsidR="00B5407C" w:rsidRPr="002D2A82">
        <w:t xml:space="preserve"> </w:t>
      </w:r>
      <w:r w:rsidR="00283EE4" w:rsidRPr="002D2A82">
        <w:t xml:space="preserve">i förhållande till </w:t>
      </w:r>
      <w:r w:rsidR="00B5407C" w:rsidRPr="002D2A82">
        <w:t>rapporterade utsläpp</w:t>
      </w:r>
      <w:r w:rsidR="00E560E8" w:rsidRPr="002D2A82">
        <w:t xml:space="preserve"> från</w:t>
      </w:r>
      <w:r w:rsidR="0028068B" w:rsidRPr="002D2A82">
        <w:t xml:space="preserve"> och med år 2024</w:t>
      </w:r>
      <w:r w:rsidR="00B5407C" w:rsidRPr="002D2A82">
        <w:t>.</w:t>
      </w:r>
      <w:r w:rsidR="00AE3255" w:rsidRPr="002D2A82">
        <w:t xml:space="preserve"> A</w:t>
      </w:r>
      <w:r w:rsidR="00C50E86" w:rsidRPr="002D2A82">
        <w:t>ndelen</w:t>
      </w:r>
      <w:r w:rsidR="00AE3255" w:rsidRPr="002D2A82">
        <w:t xml:space="preserve"> utsläppsrätter som </w:t>
      </w:r>
      <w:r w:rsidR="003358FF" w:rsidRPr="002D2A82">
        <w:t xml:space="preserve">rederierna </w:t>
      </w:r>
      <w:r w:rsidR="00AE3255" w:rsidRPr="002D2A82">
        <w:t>sk</w:t>
      </w:r>
      <w:r w:rsidR="00A55CFA" w:rsidRPr="002D2A82">
        <w:t>a</w:t>
      </w:r>
      <w:r w:rsidR="00AE3255" w:rsidRPr="002D2A82">
        <w:t xml:space="preserve"> lämna</w:t>
      </w:r>
      <w:r w:rsidR="00C50E86" w:rsidRPr="002D2A82">
        <w:t xml:space="preserve"> </w:t>
      </w:r>
      <w:r w:rsidR="00D37316" w:rsidRPr="002D2A82">
        <w:t>in</w:t>
      </w:r>
      <w:r w:rsidR="00A55CFA" w:rsidRPr="002D2A82">
        <w:t xml:space="preserve"> har</w:t>
      </w:r>
      <w:r w:rsidR="00D37316" w:rsidRPr="002D2A82">
        <w:t xml:space="preserve"> </w:t>
      </w:r>
      <w:r w:rsidR="00C50E86" w:rsidRPr="002D2A82">
        <w:t>öka</w:t>
      </w:r>
      <w:r w:rsidR="00A55CFA" w:rsidRPr="002D2A82">
        <w:t>t</w:t>
      </w:r>
      <w:r w:rsidR="00C50E86" w:rsidRPr="002D2A82">
        <w:t xml:space="preserve"> år 2025 </w:t>
      </w:r>
      <w:r w:rsidR="00A7035B" w:rsidRPr="002D2A82">
        <w:t>till 70</w:t>
      </w:r>
      <w:r w:rsidR="00322436" w:rsidRPr="002D2A82">
        <w:t xml:space="preserve"> procent</w:t>
      </w:r>
      <w:r w:rsidR="00DE2AE0" w:rsidRPr="002D2A82">
        <w:t xml:space="preserve"> och</w:t>
      </w:r>
      <w:r w:rsidR="00A7035B" w:rsidRPr="002D2A82">
        <w:t xml:space="preserve"> </w:t>
      </w:r>
      <w:r w:rsidR="00D37316" w:rsidRPr="002D2A82">
        <w:t xml:space="preserve">till </w:t>
      </w:r>
      <w:r w:rsidR="00A7035B" w:rsidRPr="002D2A82">
        <w:t xml:space="preserve">100 </w:t>
      </w:r>
      <w:r w:rsidR="00322436" w:rsidRPr="002D2A82">
        <w:t>procent</w:t>
      </w:r>
      <w:r w:rsidR="00A7035B" w:rsidRPr="002D2A82">
        <w:t xml:space="preserve"> </w:t>
      </w:r>
      <w:r w:rsidR="0003036C" w:rsidRPr="002D2A82">
        <w:t>år 2026.</w:t>
      </w:r>
      <w:r w:rsidR="001F3C95" w:rsidRPr="002D2A82">
        <w:t xml:space="preserve"> </w:t>
      </w:r>
    </w:p>
    <w:p w14:paraId="434742DD" w14:textId="0BEA62BB" w:rsidR="00664710" w:rsidRPr="002D2A82" w:rsidRDefault="0054337A" w:rsidP="00D37316">
      <w:pPr>
        <w:pStyle w:val="ANormal"/>
      </w:pPr>
      <w:r w:rsidRPr="002D2A82">
        <w:tab/>
      </w:r>
      <w:r w:rsidR="0003036C" w:rsidRPr="002D2A82">
        <w:t>Det finns</w:t>
      </w:r>
      <w:r w:rsidR="008B545B" w:rsidRPr="002D2A82">
        <w:t xml:space="preserve"> </w:t>
      </w:r>
      <w:r w:rsidR="00D37316" w:rsidRPr="002D2A82">
        <w:t xml:space="preserve">ett </w:t>
      </w:r>
      <w:r w:rsidR="008B545B" w:rsidRPr="002D2A82">
        <w:t>så kalla</w:t>
      </w:r>
      <w:r w:rsidR="00D37316" w:rsidRPr="002D2A82">
        <w:t>t</w:t>
      </w:r>
      <w:r w:rsidR="0003036C" w:rsidRPr="002D2A82">
        <w:t xml:space="preserve"> ö-undantag</w:t>
      </w:r>
      <w:r w:rsidR="00AE3255" w:rsidRPr="002D2A82">
        <w:t xml:space="preserve"> i utsläpps</w:t>
      </w:r>
      <w:r w:rsidR="009048EE" w:rsidRPr="002D2A82">
        <w:t>handels</w:t>
      </w:r>
      <w:r w:rsidR="00AE3255" w:rsidRPr="002D2A82">
        <w:t>direktivet som</w:t>
      </w:r>
      <w:r w:rsidR="004E1EB3" w:rsidRPr="002D2A82">
        <w:t xml:space="preserve"> </w:t>
      </w:r>
      <w:r w:rsidR="00D167C2" w:rsidRPr="002D2A82">
        <w:t>Finland har beslutat att</w:t>
      </w:r>
      <w:r w:rsidR="00BA1876" w:rsidRPr="002D2A82">
        <w:t xml:space="preserve"> tillämpa</w:t>
      </w:r>
      <w:r w:rsidR="00C762B2" w:rsidRPr="002D2A82">
        <w:t xml:space="preserve"> genom utsläppshandels</w:t>
      </w:r>
      <w:r w:rsidR="00FD7474" w:rsidRPr="002D2A82">
        <w:t>l</w:t>
      </w:r>
      <w:r w:rsidR="00C762B2" w:rsidRPr="002D2A82">
        <w:t>agen</w:t>
      </w:r>
      <w:r w:rsidR="00D167C2" w:rsidRPr="002D2A82">
        <w:t xml:space="preserve">. Detta innebär att </w:t>
      </w:r>
      <w:r w:rsidR="00D37316" w:rsidRPr="002D2A82">
        <w:t>frakt</w:t>
      </w:r>
      <w:r w:rsidR="00BC1F35" w:rsidRPr="002D2A82">
        <w:t xml:space="preserve">- </w:t>
      </w:r>
      <w:r w:rsidR="00BC1F35" w:rsidRPr="002D2A82">
        <w:lastRenderedPageBreak/>
        <w:t xml:space="preserve">och passagerarfärjetrafiken </w:t>
      </w:r>
      <w:r w:rsidR="00D167C2" w:rsidRPr="002D2A82">
        <w:t xml:space="preserve">mellan Åland och Finland inte </w:t>
      </w:r>
      <w:r w:rsidR="00BC1F35" w:rsidRPr="002D2A82">
        <w:t xml:space="preserve">omfattas av </w:t>
      </w:r>
      <w:r w:rsidR="00DC2E00" w:rsidRPr="002D2A82">
        <w:t>utsläpps</w:t>
      </w:r>
      <w:r w:rsidR="00331973" w:rsidRPr="002D2A82">
        <w:t>handeln fram till</w:t>
      </w:r>
      <w:r w:rsidR="00D167C2" w:rsidRPr="002D2A82">
        <w:t xml:space="preserve"> utgången av år 2030.</w:t>
      </w:r>
      <w:r w:rsidR="006D07DC" w:rsidRPr="002D2A82">
        <w:t xml:space="preserve"> </w:t>
      </w:r>
    </w:p>
    <w:p w14:paraId="641E2C80" w14:textId="229BC7BE" w:rsidR="00B425BA" w:rsidRPr="002D2A82" w:rsidRDefault="00664710" w:rsidP="00D37316">
      <w:pPr>
        <w:pStyle w:val="ANormal"/>
      </w:pPr>
      <w:r w:rsidRPr="002D2A82">
        <w:tab/>
      </w:r>
      <w:r w:rsidR="006D07DC" w:rsidRPr="002D2A82">
        <w:t xml:space="preserve">Utskottet konstaterar att </w:t>
      </w:r>
      <w:r w:rsidR="00D42E79" w:rsidRPr="002D2A82">
        <w:t>ö</w:t>
      </w:r>
      <w:r w:rsidR="006D07DC" w:rsidRPr="002D2A82">
        <w:t>-undantaget är viktigt för att kostnadstrycket för person- och godstransporter till och från Åland</w:t>
      </w:r>
      <w:r w:rsidR="00D42E79" w:rsidRPr="002D2A82">
        <w:t xml:space="preserve"> lindras. </w:t>
      </w:r>
      <w:r w:rsidR="00B425BA" w:rsidRPr="002D2A82">
        <w:t xml:space="preserve">Samtidigt påverkar ö-undantaget intäkterna för de utsläppsrätter som </w:t>
      </w:r>
      <w:r w:rsidR="00A55CFA" w:rsidRPr="002D2A82">
        <w:t xml:space="preserve">kan </w:t>
      </w:r>
      <w:r w:rsidR="00B425BA" w:rsidRPr="002D2A82">
        <w:t>tillför</w:t>
      </w:r>
      <w:r w:rsidR="00A55CFA" w:rsidRPr="002D2A82">
        <w:t>a</w:t>
      </w:r>
      <w:r w:rsidR="00B425BA" w:rsidRPr="002D2A82">
        <w:t>s Åland</w:t>
      </w:r>
      <w:r w:rsidR="00581172" w:rsidRPr="002D2A82">
        <w:t xml:space="preserve"> och indirekt landskapets möjlighet att investera i natur- och miljöfrämjande åtgärder</w:t>
      </w:r>
      <w:r w:rsidR="00B425BA" w:rsidRPr="002D2A82">
        <w:t>.</w:t>
      </w:r>
    </w:p>
    <w:p w14:paraId="2B0CB51B" w14:textId="77777777" w:rsidR="009544E4" w:rsidRPr="002D2A82" w:rsidRDefault="00B425BA" w:rsidP="00D37316">
      <w:pPr>
        <w:pStyle w:val="ANormal"/>
      </w:pPr>
      <w:r w:rsidRPr="002D2A82">
        <w:tab/>
      </w:r>
      <w:r w:rsidR="00B40C5A" w:rsidRPr="002D2A82">
        <w:t xml:space="preserve">Med grund i kommunikationsministeriets </w:t>
      </w:r>
      <w:r w:rsidR="009544E4" w:rsidRPr="002D2A82">
        <w:t>bedömningspromemoria om</w:t>
      </w:r>
    </w:p>
    <w:p w14:paraId="4C471FB3" w14:textId="555CFF58" w:rsidR="00141CEF" w:rsidRPr="002D2A82" w:rsidRDefault="009544E4" w:rsidP="00D37316">
      <w:pPr>
        <w:pStyle w:val="ANormal"/>
      </w:pPr>
      <w:r w:rsidRPr="002D2A82">
        <w:t>genomförandet av utsläppshandelsdirektivet – Inkluderande av sjötransporterna i utsläppshandeln (</w:t>
      </w:r>
      <w:r w:rsidR="00A92FE8" w:rsidRPr="002D2A82">
        <w:t>20.03.2022)</w:t>
      </w:r>
      <w:r w:rsidR="00225524" w:rsidRPr="002D2A82">
        <w:t>,</w:t>
      </w:r>
      <w:r w:rsidR="00D0314D" w:rsidRPr="002D2A82">
        <w:t xml:space="preserve"> noterar</w:t>
      </w:r>
      <w:r w:rsidR="00B40C5A" w:rsidRPr="002D2A82">
        <w:t xml:space="preserve"> u</w:t>
      </w:r>
      <w:r w:rsidR="00CD710B" w:rsidRPr="002D2A82">
        <w:t>tskottet att</w:t>
      </w:r>
      <w:r w:rsidR="00581172" w:rsidRPr="002D2A82">
        <w:t xml:space="preserve"> de rederier som omfattas av</w:t>
      </w:r>
      <w:r w:rsidR="00CD710B" w:rsidRPr="002D2A82">
        <w:t xml:space="preserve"> ö</w:t>
      </w:r>
      <w:r w:rsidR="00584177" w:rsidRPr="002D2A82">
        <w:t xml:space="preserve">-undantaget </w:t>
      </w:r>
      <w:r w:rsidR="00581172" w:rsidRPr="002D2A82">
        <w:t xml:space="preserve">och färdas från Finland via Åland till Sverige </w:t>
      </w:r>
      <w:r w:rsidR="00BA1876" w:rsidRPr="002D2A82">
        <w:t>undantas från</w:t>
      </w:r>
      <w:r w:rsidR="00581172" w:rsidRPr="002D2A82">
        <w:t xml:space="preserve"> kostnader om totalt</w:t>
      </w:r>
      <w:r w:rsidR="001560E9" w:rsidRPr="002D2A82">
        <w:t xml:space="preserve"> </w:t>
      </w:r>
      <w:r w:rsidR="00584177" w:rsidRPr="002D2A82">
        <w:t>18 miljoner euro</w:t>
      </w:r>
      <w:r w:rsidR="00581172" w:rsidRPr="002D2A82">
        <w:t xml:space="preserve"> för utsläppsrätter</w:t>
      </w:r>
      <w:r w:rsidR="00584177" w:rsidRPr="002D2A82">
        <w:t xml:space="preserve"> år 2026</w:t>
      </w:r>
      <w:r w:rsidR="00D0314D" w:rsidRPr="002D2A82">
        <w:t>. Detta kan ses som en dämpande åtgärd som</w:t>
      </w:r>
      <w:r w:rsidR="00A55CFA" w:rsidRPr="002D2A82">
        <w:t xml:space="preserve"> har</w:t>
      </w:r>
      <w:r w:rsidR="00D0314D" w:rsidRPr="002D2A82">
        <w:t xml:space="preserve"> g</w:t>
      </w:r>
      <w:r w:rsidR="00A55CFA" w:rsidRPr="002D2A82">
        <w:t>ett</w:t>
      </w:r>
      <w:r w:rsidR="00D0314D" w:rsidRPr="002D2A82">
        <w:t xml:space="preserve"> tid för rederier att anpassa sig till utsläppshandeln</w:t>
      </w:r>
      <w:r w:rsidR="00225524" w:rsidRPr="002D2A82">
        <w:t>.</w:t>
      </w:r>
      <w:r w:rsidR="00664710" w:rsidRPr="002D2A82">
        <w:t xml:space="preserve"> </w:t>
      </w:r>
    </w:p>
    <w:p w14:paraId="5139BF19" w14:textId="5ACE88A3" w:rsidR="0054337A" w:rsidRPr="002D2A82" w:rsidRDefault="00141CEF" w:rsidP="00D37316">
      <w:pPr>
        <w:pStyle w:val="ANormal"/>
      </w:pPr>
      <w:r w:rsidRPr="002D2A82">
        <w:tab/>
      </w:r>
      <w:r w:rsidR="00664710" w:rsidRPr="002D2A82">
        <w:t>Utskottet</w:t>
      </w:r>
      <w:r w:rsidRPr="002D2A82">
        <w:t xml:space="preserve"> betonar att</w:t>
      </w:r>
      <w:r w:rsidR="00664710" w:rsidRPr="002D2A82">
        <w:t xml:space="preserve"> ö-undantaget </w:t>
      </w:r>
      <w:r w:rsidR="00225524" w:rsidRPr="002D2A82">
        <w:t>enbart</w:t>
      </w:r>
      <w:r w:rsidR="00664710" w:rsidRPr="002D2A82">
        <w:t xml:space="preserve"> tillämpas på rutter mellan</w:t>
      </w:r>
      <w:r w:rsidRPr="002D2A82">
        <w:t xml:space="preserve"> </w:t>
      </w:r>
      <w:r w:rsidR="00664710" w:rsidRPr="002D2A82">
        <w:t>Åland och Finland</w:t>
      </w:r>
      <w:r w:rsidR="009B0817" w:rsidRPr="002D2A82">
        <w:t>.</w:t>
      </w:r>
      <w:r w:rsidR="00664710" w:rsidRPr="002D2A82">
        <w:t xml:space="preserve"> </w:t>
      </w:r>
      <w:r w:rsidR="00225524" w:rsidRPr="002D2A82">
        <w:t>R</w:t>
      </w:r>
      <w:r w:rsidR="00664710" w:rsidRPr="002D2A82">
        <w:t>ederier som färdas mellan Åland och Sverige har en uppskattad</w:t>
      </w:r>
      <w:r w:rsidR="00BB5A48" w:rsidRPr="002D2A82">
        <w:t xml:space="preserve"> </w:t>
      </w:r>
      <w:r w:rsidR="009B0817" w:rsidRPr="002D2A82">
        <w:t xml:space="preserve">utökad </w:t>
      </w:r>
      <w:r w:rsidR="00225524" w:rsidRPr="002D2A82">
        <w:t>kostnad</w:t>
      </w:r>
      <w:r w:rsidR="009B0817" w:rsidRPr="002D2A82">
        <w:t xml:space="preserve"> </w:t>
      </w:r>
      <w:r w:rsidR="00664710" w:rsidRPr="002D2A82">
        <w:t xml:space="preserve">om </w:t>
      </w:r>
      <w:r w:rsidR="00BF13C7" w:rsidRPr="002D2A82">
        <w:t>5,7</w:t>
      </w:r>
      <w:r w:rsidR="00664710" w:rsidRPr="002D2A82">
        <w:t xml:space="preserve"> miljoner euro</w:t>
      </w:r>
      <w:r w:rsidR="00BF13C7" w:rsidRPr="002D2A82">
        <w:t xml:space="preserve"> </w:t>
      </w:r>
      <w:r w:rsidR="00664710" w:rsidRPr="002D2A82">
        <w:t>år 2026</w:t>
      </w:r>
      <w:r w:rsidR="00206729" w:rsidRPr="002D2A82">
        <w:t xml:space="preserve"> då 100</w:t>
      </w:r>
      <w:r w:rsidR="00E7287B" w:rsidRPr="002D2A82">
        <w:t xml:space="preserve"> procent</w:t>
      </w:r>
      <w:r w:rsidR="00206729" w:rsidRPr="002D2A82">
        <w:t xml:space="preserve"> av utsläppen beaktas i samband med utsläppshandeln</w:t>
      </w:r>
      <w:r w:rsidR="00A3443C" w:rsidRPr="002D2A82">
        <w:t>.</w:t>
      </w:r>
      <w:r w:rsidR="00642D7E" w:rsidRPr="002D2A82">
        <w:t xml:space="preserve"> </w:t>
      </w:r>
    </w:p>
    <w:p w14:paraId="1ECA2556" w14:textId="043DC6D8" w:rsidR="00B66295" w:rsidRPr="002D2A82" w:rsidRDefault="00357595" w:rsidP="009F5C8B">
      <w:pPr>
        <w:pStyle w:val="ANormal"/>
      </w:pPr>
      <w:r w:rsidRPr="002D2A82">
        <w:tab/>
        <w:t>Utskottet</w:t>
      </w:r>
      <w:r w:rsidR="009B0817" w:rsidRPr="002D2A82">
        <w:t xml:space="preserve"> betonar</w:t>
      </w:r>
      <w:r w:rsidRPr="002D2A82">
        <w:t xml:space="preserve"> att </w:t>
      </w:r>
      <w:r w:rsidR="00D42E79" w:rsidRPr="002D2A82">
        <w:t>ö</w:t>
      </w:r>
      <w:r w:rsidRPr="002D2A82">
        <w:t>-undantaget är en temporär åtgärd i syfte att lindra utsläppshandelns</w:t>
      </w:r>
      <w:r w:rsidR="00BB5A48" w:rsidRPr="002D2A82">
        <w:t xml:space="preserve"> ekonomiska konsekvenser</w:t>
      </w:r>
      <w:r w:rsidRPr="002D2A82">
        <w:t xml:space="preserve"> för berörda aktörer</w:t>
      </w:r>
      <w:r w:rsidR="009F5C8B" w:rsidRPr="002D2A82">
        <w:t xml:space="preserve"> på kort sikt</w:t>
      </w:r>
      <w:r w:rsidRPr="002D2A82">
        <w:t xml:space="preserve">. Då ö-undantaget upphör att gälla vid utgången av år 2030 kommer utsläppshandelsdirektivets </w:t>
      </w:r>
      <w:r w:rsidR="00BB5A48" w:rsidRPr="002D2A82">
        <w:t xml:space="preserve">verkningar </w:t>
      </w:r>
      <w:r w:rsidR="009B3C54" w:rsidRPr="002D2A82">
        <w:t>på den åländska samhällsekonomin</w:t>
      </w:r>
      <w:r w:rsidR="0097581F" w:rsidRPr="002D2A82">
        <w:t xml:space="preserve"> slå</w:t>
      </w:r>
      <w:r w:rsidR="009B3C54" w:rsidRPr="002D2A82">
        <w:t xml:space="preserve"> fullt ut</w:t>
      </w:r>
      <w:r w:rsidR="009F5C8B" w:rsidRPr="002D2A82">
        <w:t>.</w:t>
      </w:r>
    </w:p>
    <w:p w14:paraId="5394064B" w14:textId="77777777" w:rsidR="009F5C8B" w:rsidRPr="002D2A82" w:rsidRDefault="009F5C8B" w:rsidP="009F5C8B">
      <w:pPr>
        <w:pStyle w:val="ANormal"/>
      </w:pPr>
    </w:p>
    <w:p w14:paraId="44A8F08D" w14:textId="1E7F01D3" w:rsidR="00B66295" w:rsidRPr="002D2A82" w:rsidRDefault="00B66295" w:rsidP="009F5C8B">
      <w:pPr>
        <w:pStyle w:val="RubrikC"/>
      </w:pPr>
      <w:bookmarkStart w:id="11" w:name="_Toc232162653"/>
      <w:r w:rsidRPr="002D2A82">
        <w:t>Konsekvenser för passagerartrafiken</w:t>
      </w:r>
      <w:bookmarkEnd w:id="11"/>
    </w:p>
    <w:p w14:paraId="7BDA10D2" w14:textId="77777777" w:rsidR="009F5C8B" w:rsidRPr="002D2A82" w:rsidRDefault="009F5C8B" w:rsidP="009F5C8B">
      <w:pPr>
        <w:pStyle w:val="Rubrikmellanrum"/>
      </w:pPr>
    </w:p>
    <w:p w14:paraId="7B891D06" w14:textId="610DAF00" w:rsidR="00384B38" w:rsidRPr="002D2A82" w:rsidRDefault="00D04E52" w:rsidP="00225524">
      <w:pPr>
        <w:pStyle w:val="ANormal"/>
      </w:pPr>
      <w:r w:rsidRPr="002D2A82">
        <w:t xml:space="preserve">Enligt lagförslaget bedömer </w:t>
      </w:r>
      <w:r w:rsidR="00FF750E" w:rsidRPr="002D2A82">
        <w:t xml:space="preserve">Finlands </w:t>
      </w:r>
      <w:r w:rsidRPr="002D2A82">
        <w:t>kommunikationsministeri</w:t>
      </w:r>
      <w:r w:rsidR="00FF750E" w:rsidRPr="002D2A82">
        <w:t>um</w:t>
      </w:r>
      <w:r w:rsidRPr="002D2A82">
        <w:t xml:space="preserve"> att priset på passagerarresor mellan Finland, Åland och Sverige kommer att </w:t>
      </w:r>
      <w:r w:rsidR="00EA4FF1" w:rsidRPr="002D2A82">
        <w:t xml:space="preserve">öka i och med </w:t>
      </w:r>
      <w:r w:rsidRPr="002D2A82">
        <w:t>utsläppshandeln.</w:t>
      </w:r>
      <w:r w:rsidR="00A55CFA" w:rsidRPr="002D2A82">
        <w:t xml:space="preserve"> Det uppskattats att prisökningen främst kommer att tillföras passagerarna</w:t>
      </w:r>
      <w:r w:rsidRPr="002D2A82">
        <w:t>. Ett påslag om 2,90 – 8,00 € per passagerare förväntas år 2026</w:t>
      </w:r>
      <w:r w:rsidR="00180C18" w:rsidRPr="002D2A82">
        <w:t xml:space="preserve"> (jämfört med år 2023)</w:t>
      </w:r>
      <w:r w:rsidR="00D648CC" w:rsidRPr="002D2A82">
        <w:t>,</w:t>
      </w:r>
      <w:r w:rsidRPr="002D2A82">
        <w:t xml:space="preserve"> då 100 </w:t>
      </w:r>
      <w:r w:rsidR="00B72DC0" w:rsidRPr="002D2A82">
        <w:t>procent</w:t>
      </w:r>
      <w:r w:rsidR="003832FB" w:rsidRPr="002D2A82">
        <w:t xml:space="preserve"> av</w:t>
      </w:r>
      <w:r w:rsidR="00B72DC0" w:rsidRPr="002D2A82">
        <w:t xml:space="preserve"> de</w:t>
      </w:r>
      <w:r w:rsidR="003832FB" w:rsidRPr="002D2A82">
        <w:t xml:space="preserve"> rapporterade utsläpp</w:t>
      </w:r>
      <w:r w:rsidR="00EA4FF1" w:rsidRPr="002D2A82">
        <w:t>en</w:t>
      </w:r>
      <w:r w:rsidR="003832FB" w:rsidRPr="002D2A82">
        <w:t xml:space="preserve"> ska </w:t>
      </w:r>
      <w:r w:rsidR="00EA4FF1" w:rsidRPr="002D2A82">
        <w:t xml:space="preserve">beaktas i </w:t>
      </w:r>
      <w:r w:rsidR="00B72DC0" w:rsidRPr="002D2A82">
        <w:t xml:space="preserve">samband med </w:t>
      </w:r>
      <w:r w:rsidR="00EA4FF1" w:rsidRPr="002D2A82">
        <w:t>utsläppshandeln</w:t>
      </w:r>
      <w:r w:rsidR="00225524" w:rsidRPr="002D2A82">
        <w:t xml:space="preserve">, förutom i de fall där </w:t>
      </w:r>
      <w:r w:rsidRPr="002D2A82">
        <w:t>ö-undantaget tillämp</w:t>
      </w:r>
      <w:r w:rsidR="00225524" w:rsidRPr="002D2A82">
        <w:t>as</w:t>
      </w:r>
      <w:r w:rsidRPr="002D2A82">
        <w:t>. Om ö-undantaget tillämpas förväntas prisökningen vara drygt hälften</w:t>
      </w:r>
      <w:r w:rsidR="004A545A" w:rsidRPr="002D2A82">
        <w:t xml:space="preserve"> av prispåslaget</w:t>
      </w:r>
      <w:r w:rsidR="003832FB" w:rsidRPr="002D2A82">
        <w:t>.</w:t>
      </w:r>
      <w:r w:rsidR="00526694" w:rsidRPr="002D2A82">
        <w:t xml:space="preserve"> Merkostnader</w:t>
      </w:r>
      <w:r w:rsidR="00225524" w:rsidRPr="002D2A82">
        <w:t>na</w:t>
      </w:r>
      <w:r w:rsidR="00526694" w:rsidRPr="002D2A82">
        <w:t xml:space="preserve"> kan</w:t>
      </w:r>
      <w:r w:rsidR="001A7699" w:rsidRPr="002D2A82">
        <w:t xml:space="preserve"> även</w:t>
      </w:r>
      <w:r w:rsidR="00526694" w:rsidRPr="002D2A82">
        <w:t xml:space="preserve"> påföras försäljningen av produkter och tjänster i stället för </w:t>
      </w:r>
      <w:r w:rsidR="00B72DC0" w:rsidRPr="002D2A82">
        <w:t>passagerar</w:t>
      </w:r>
      <w:r w:rsidR="00526694" w:rsidRPr="002D2A82">
        <w:t xml:space="preserve">biljettpriser. </w:t>
      </w:r>
    </w:p>
    <w:p w14:paraId="7E93F547" w14:textId="36D32B30" w:rsidR="00F85FF2" w:rsidRPr="002D2A82" w:rsidRDefault="001067A9" w:rsidP="00225524">
      <w:pPr>
        <w:pStyle w:val="ANormal"/>
      </w:pPr>
      <w:r w:rsidRPr="002D2A82">
        <w:tab/>
        <w:t xml:space="preserve">Utskottet konstaterar att </w:t>
      </w:r>
      <w:r w:rsidR="00584CC6" w:rsidRPr="002D2A82">
        <w:t>passagerartrafikens kostnadsökning</w:t>
      </w:r>
      <w:r w:rsidR="00070A9A" w:rsidRPr="002D2A82">
        <w:t xml:space="preserve"> </w:t>
      </w:r>
      <w:r w:rsidR="00A3702A" w:rsidRPr="002D2A82">
        <w:t xml:space="preserve">kommer att </w:t>
      </w:r>
      <w:r w:rsidR="00584CC6" w:rsidRPr="002D2A82">
        <w:t>påverka den åländska samhällsekonomin.</w:t>
      </w:r>
      <w:r w:rsidR="00B80339" w:rsidRPr="002D2A82">
        <w:t xml:space="preserve"> Bland annat kan</w:t>
      </w:r>
      <w:r w:rsidR="00584CC6" w:rsidRPr="002D2A82">
        <w:t xml:space="preserve"> </w:t>
      </w:r>
      <w:r w:rsidR="00B80339" w:rsidRPr="002D2A82">
        <w:t>l</w:t>
      </w:r>
      <w:r w:rsidR="00584CC6" w:rsidRPr="002D2A82">
        <w:t>evnadskostnaderna för invånare på Åland öka</w:t>
      </w:r>
      <w:r w:rsidR="00B80339" w:rsidRPr="002D2A82">
        <w:t xml:space="preserve">, vilket påverkar </w:t>
      </w:r>
      <w:r w:rsidR="00584CC6" w:rsidRPr="002D2A82">
        <w:t>näring</w:t>
      </w:r>
      <w:r w:rsidR="007A6B32" w:rsidRPr="002D2A82">
        <w:t>en</w:t>
      </w:r>
      <w:r w:rsidR="00584CC6" w:rsidRPr="002D2A82">
        <w:t xml:space="preserve"> på Åland, så som transporttjänster, hotell- och restaurangtjänster och butikstjänster.</w:t>
      </w:r>
      <w:r w:rsidR="00AD2A9B" w:rsidRPr="002D2A82">
        <w:t xml:space="preserve"> </w:t>
      </w:r>
      <w:r w:rsidR="007A6B32" w:rsidRPr="002D2A82">
        <w:t xml:space="preserve">I </w:t>
      </w:r>
      <w:r w:rsidR="00690B76" w:rsidRPr="002D2A82">
        <w:t>lagförslaget</w:t>
      </w:r>
      <w:r w:rsidR="007A6B32" w:rsidRPr="002D2A82">
        <w:t xml:space="preserve"> antas att</w:t>
      </w:r>
      <w:r w:rsidR="00690B76" w:rsidRPr="002D2A82">
        <w:t xml:space="preserve"> m</w:t>
      </w:r>
      <w:r w:rsidR="00F85FF2" w:rsidRPr="002D2A82">
        <w:t>erkostnaden av passagerartrafiken kan skapa</w:t>
      </w:r>
      <w:r w:rsidR="007F2BAC" w:rsidRPr="002D2A82">
        <w:t xml:space="preserve"> lägre</w:t>
      </w:r>
      <w:r w:rsidR="00532EC1" w:rsidRPr="002D2A82">
        <w:t xml:space="preserve"> efterfrågan på resor</w:t>
      </w:r>
      <w:r w:rsidR="007A6B32" w:rsidRPr="002D2A82">
        <w:t xml:space="preserve"> till och från Åland</w:t>
      </w:r>
      <w:r w:rsidR="00532EC1" w:rsidRPr="002D2A82">
        <w:t xml:space="preserve">, vilket kan </w:t>
      </w:r>
      <w:r w:rsidR="00D93A87" w:rsidRPr="002D2A82">
        <w:t>föranleda</w:t>
      </w:r>
      <w:r w:rsidR="00532EC1" w:rsidRPr="002D2A82">
        <w:t xml:space="preserve"> att rederier</w:t>
      </w:r>
      <w:r w:rsidR="00D93A87" w:rsidRPr="002D2A82">
        <w:t xml:space="preserve"> kan</w:t>
      </w:r>
      <w:r w:rsidR="00532EC1" w:rsidRPr="002D2A82">
        <w:t xml:space="preserve"> ändra utbud</w:t>
      </w:r>
      <w:r w:rsidR="00D93A87" w:rsidRPr="002D2A82">
        <w:t>et</w:t>
      </w:r>
      <w:r w:rsidR="00532EC1" w:rsidRPr="002D2A82">
        <w:t xml:space="preserve"> av förbindelser.</w:t>
      </w:r>
    </w:p>
    <w:p w14:paraId="21C1E604" w14:textId="77777777" w:rsidR="00F70E25" w:rsidRPr="002D2A82" w:rsidRDefault="00F70E25" w:rsidP="001B794F">
      <w:pPr>
        <w:pStyle w:val="ANormal"/>
        <w:jc w:val="left"/>
      </w:pPr>
    </w:p>
    <w:p w14:paraId="2D218E10" w14:textId="72F3FA12" w:rsidR="00F70E25" w:rsidRPr="002D2A82" w:rsidRDefault="0042674A" w:rsidP="009F5C8B">
      <w:pPr>
        <w:pStyle w:val="RubrikC"/>
      </w:pPr>
      <w:bookmarkStart w:id="12" w:name="_Toc232162654"/>
      <w:r w:rsidRPr="002D2A82">
        <w:t>Konsekvenser för övriga aktörer</w:t>
      </w:r>
      <w:bookmarkEnd w:id="12"/>
    </w:p>
    <w:p w14:paraId="5BE255C5" w14:textId="77777777" w:rsidR="009F5C8B" w:rsidRPr="002D2A82" w:rsidRDefault="009F5C8B" w:rsidP="009F5C8B">
      <w:pPr>
        <w:pStyle w:val="Rubrikmellanrum"/>
      </w:pPr>
    </w:p>
    <w:p w14:paraId="5FFF70BB" w14:textId="069E27E4" w:rsidR="00F43B65" w:rsidRPr="002D2A82" w:rsidRDefault="001A7699" w:rsidP="00225524">
      <w:pPr>
        <w:pStyle w:val="ANormal"/>
      </w:pPr>
      <w:r w:rsidRPr="002D2A82">
        <w:t xml:space="preserve">Utskottet noterar att ändringarna i utsläppshandelsdirektivet även berör andra aktörer än sjöfarten. Enligt de nya bestämmelserna omfattas anläggningar som använder biomassa och ingår i utsläppshandelssystemet inte längre av reglerna om gratis tilldelning av utsläppsrätter, om mer än 95 procent av anläggningarnas utsläpp utgörs av utsläpp från förbränning av biomassa. </w:t>
      </w:r>
      <w:r w:rsidR="00FD5E5D" w:rsidRPr="002D2A82">
        <w:t>På Åland finns det anläggningar inom energiproduktionen som till största del använder enbart biomassa. Dessa anläggningar kommer inte mera tilldelas utsläppsrätter vilket kan orsaka</w:t>
      </w:r>
      <w:r w:rsidR="00A97DC3" w:rsidRPr="002D2A82">
        <w:t xml:space="preserve"> högre</w:t>
      </w:r>
      <w:r w:rsidR="00096E52" w:rsidRPr="002D2A82">
        <w:t xml:space="preserve"> kostn</w:t>
      </w:r>
      <w:r w:rsidR="00A97DC3" w:rsidRPr="002D2A82">
        <w:t>a</w:t>
      </w:r>
      <w:r w:rsidR="00096E52" w:rsidRPr="002D2A82">
        <w:t>der</w:t>
      </w:r>
      <w:r w:rsidR="00FD5E5D" w:rsidRPr="002D2A82">
        <w:t>.</w:t>
      </w:r>
    </w:p>
    <w:p w14:paraId="5E63C25D" w14:textId="3E30022E" w:rsidR="008039AA" w:rsidRPr="002D2A82" w:rsidRDefault="00F43B65" w:rsidP="00225524">
      <w:pPr>
        <w:pStyle w:val="ANormal"/>
      </w:pPr>
      <w:r w:rsidRPr="002D2A82">
        <w:tab/>
        <w:t>Utsläppshandelsdirektivet ska skapa incitament för stora energikonsumenter att vidta kostnadseffektiva åtgärder för att minska på utsläppen. För att dessa aktörer ska få full</w:t>
      </w:r>
      <w:r w:rsidR="00BA1876" w:rsidRPr="002D2A82">
        <w:t xml:space="preserve"> avgiftsfri</w:t>
      </w:r>
      <w:r w:rsidRPr="002D2A82">
        <w:t xml:space="preserve"> tilldelning av utsläppsrätter är ett villkor att rekommendationerna om energibesiktningar eller certifierade energiledningssystem följs till den del det är fråga om investeringar med en återbetalningstid på högst tre år. Enligt lagförslaget är det svårt att bedöma hur </w:t>
      </w:r>
      <w:r w:rsidRPr="002D2A82">
        <w:lastRenderedPageBreak/>
        <w:t>verksamhetsutövarna på Åland påverkas av detta. Verksamhetsutövarna kommer troligen behöva avväga att köpa det antal utsläppsrätter som krävs eller införa nya system som berättigar</w:t>
      </w:r>
      <w:r w:rsidR="009F5C8B" w:rsidRPr="002D2A82">
        <w:t xml:space="preserve"> till</w:t>
      </w:r>
      <w:r w:rsidRPr="002D2A82">
        <w:t xml:space="preserve"> tilldelning av </w:t>
      </w:r>
      <w:r w:rsidR="000C3D49" w:rsidRPr="002D2A82">
        <w:t xml:space="preserve">avgiftsfria </w:t>
      </w:r>
      <w:r w:rsidRPr="002D2A82">
        <w:t>rätter.</w:t>
      </w:r>
    </w:p>
    <w:p w14:paraId="4756A7A4" w14:textId="10170692" w:rsidR="001B794F" w:rsidRPr="002D2A82" w:rsidRDefault="00C57795" w:rsidP="00225524">
      <w:pPr>
        <w:pStyle w:val="ANormal"/>
      </w:pPr>
      <w:r w:rsidRPr="002D2A82">
        <w:br/>
      </w:r>
      <w:r w:rsidR="00FD5E5D" w:rsidRPr="002D2A82">
        <w:t xml:space="preserve"> </w:t>
      </w:r>
      <w:r w:rsidR="001B794F" w:rsidRPr="002D2A82">
        <w:br/>
      </w:r>
      <w:r w:rsidR="001B794F" w:rsidRPr="002D2A82">
        <w:rPr>
          <w:b/>
          <w:bCs/>
        </w:rPr>
        <w:t>Fördelningen av intäkter från utsläppshandeln</w:t>
      </w:r>
    </w:p>
    <w:p w14:paraId="43CD6865" w14:textId="626A2228" w:rsidR="00625BAE" w:rsidRPr="002D2A82" w:rsidRDefault="00625BAE" w:rsidP="00625BAE">
      <w:pPr>
        <w:pStyle w:val="ANormal"/>
        <w:jc w:val="left"/>
      </w:pPr>
    </w:p>
    <w:p w14:paraId="078B2EAE" w14:textId="0EC1FF04" w:rsidR="00467560" w:rsidRPr="002D2A82" w:rsidRDefault="00F84F2F" w:rsidP="009F5C8B">
      <w:pPr>
        <w:pStyle w:val="ANormal"/>
      </w:pPr>
      <w:r w:rsidRPr="002D2A82">
        <w:t xml:space="preserve">I samband med </w:t>
      </w:r>
      <w:r w:rsidR="00841F9C" w:rsidRPr="002D2A82">
        <w:t>u</w:t>
      </w:r>
      <w:r w:rsidR="00564E4D" w:rsidRPr="002D2A82">
        <w:t>tsläpps</w:t>
      </w:r>
      <w:r w:rsidR="00703C02" w:rsidRPr="002D2A82">
        <w:t>handels</w:t>
      </w:r>
      <w:r w:rsidR="00564E4D" w:rsidRPr="002D2A82">
        <w:t>direktivet</w:t>
      </w:r>
      <w:r w:rsidR="00D460C7" w:rsidRPr="002D2A82">
        <w:t>s utökning</w:t>
      </w:r>
      <w:r w:rsidR="00564E4D" w:rsidRPr="002D2A82">
        <w:t xml:space="preserve"> har Finland</w:t>
      </w:r>
      <w:r w:rsidR="005E405C" w:rsidRPr="002D2A82">
        <w:t>s</w:t>
      </w:r>
      <w:r w:rsidR="00564E4D" w:rsidRPr="002D2A82">
        <w:t xml:space="preserve"> </w:t>
      </w:r>
      <w:r w:rsidR="00841F9C" w:rsidRPr="002D2A82">
        <w:t>lagstiftning</w:t>
      </w:r>
      <w:r w:rsidR="005E405C" w:rsidRPr="002D2A82">
        <w:t xml:space="preserve"> reviderats</w:t>
      </w:r>
      <w:r w:rsidR="00841F9C" w:rsidRPr="002D2A82">
        <w:t>.</w:t>
      </w:r>
      <w:r w:rsidR="001565D6" w:rsidRPr="002D2A82">
        <w:t xml:space="preserve"> Detta har föranlett att</w:t>
      </w:r>
      <w:r w:rsidR="00703C02" w:rsidRPr="002D2A82">
        <w:t xml:space="preserve"> </w:t>
      </w:r>
      <w:r w:rsidR="00FE0B91" w:rsidRPr="002D2A82">
        <w:t>Finland och</w:t>
      </w:r>
      <w:r w:rsidR="001B35DB" w:rsidRPr="002D2A82">
        <w:t xml:space="preserve"> </w:t>
      </w:r>
      <w:r w:rsidR="009F5C8B" w:rsidRPr="002D2A82">
        <w:t>l</w:t>
      </w:r>
      <w:r w:rsidR="001B35DB" w:rsidRPr="002D2A82">
        <w:t>andskap</w:t>
      </w:r>
      <w:r w:rsidR="009F5C8B" w:rsidRPr="002D2A82">
        <w:t>sregeringen</w:t>
      </w:r>
      <w:r w:rsidR="00FE0B91" w:rsidRPr="002D2A82">
        <w:t xml:space="preserve"> har olika synsätt på </w:t>
      </w:r>
      <w:r w:rsidR="00703C02" w:rsidRPr="002D2A82">
        <w:t>fördelningen av utsläppshandelsintäkterna</w:t>
      </w:r>
      <w:r w:rsidR="001565D6" w:rsidRPr="002D2A82">
        <w:t>. Tidigare har</w:t>
      </w:r>
      <w:r w:rsidR="009F5C8B" w:rsidRPr="002D2A82">
        <w:t xml:space="preserve"> en överenskommelse</w:t>
      </w:r>
      <w:r w:rsidR="001565D6" w:rsidRPr="002D2A82">
        <w:t>förordning (2021:114) om skötseln i landskapet Åland av förvaltningsuppgifter som gäller handel med utsläppsrätter avseende växthusgaser varit tillämpbar i tolkningen av utsläppsfördelningen.</w:t>
      </w:r>
      <w:r w:rsidR="00564E4D" w:rsidRPr="002D2A82">
        <w:t xml:space="preserve"> </w:t>
      </w:r>
      <w:r w:rsidR="001B794F" w:rsidRPr="002D2A82">
        <w:t xml:space="preserve">I överenskommelseförordningen framkommer att andelen </w:t>
      </w:r>
      <w:r w:rsidR="005F12D0" w:rsidRPr="002D2A82">
        <w:t xml:space="preserve">av den totala kvantiteten auktionerade utsläppsrätter </w:t>
      </w:r>
      <w:r w:rsidR="001B794F" w:rsidRPr="002D2A82">
        <w:t>ska fördelas mellan</w:t>
      </w:r>
      <w:r w:rsidR="00534765" w:rsidRPr="002D2A82">
        <w:t xml:space="preserve"> Åland</w:t>
      </w:r>
      <w:r w:rsidR="001B794F" w:rsidRPr="002D2A82">
        <w:t xml:space="preserve"> och Finland </w:t>
      </w:r>
      <w:r w:rsidR="005F12D0" w:rsidRPr="002D2A82">
        <w:t>på samma sätt som Finlands andel av de utsläppsrätter som auktionerats ut av samtliga medlemsstater</w:t>
      </w:r>
      <w:r w:rsidR="001B794F" w:rsidRPr="002D2A82">
        <w:t xml:space="preserve">. </w:t>
      </w:r>
      <w:r w:rsidR="005F12D0" w:rsidRPr="002D2A82">
        <w:t>Enligt det ändrade utsläppshandelsdirektivet ska infogandet av sjötransporterna inte förändra fördelningsgrunden gällande intäkterna av auktioneringen av utsläppsrätter.</w:t>
      </w:r>
      <w:r w:rsidR="002D3CC1" w:rsidRPr="002D2A82">
        <w:t xml:space="preserve"> </w:t>
      </w:r>
    </w:p>
    <w:p w14:paraId="008B0FC8" w14:textId="3672B545" w:rsidR="005850BF" w:rsidRPr="002D2A82" w:rsidRDefault="005850BF" w:rsidP="009F5C8B">
      <w:pPr>
        <w:pStyle w:val="ANormal"/>
      </w:pPr>
      <w:r w:rsidRPr="002D2A82">
        <w:tab/>
        <w:t>Med stöd av överenskommelseförordningen har landskapsregeringen och Energimarknadsverket ingått en överenskommelse enligt vilken landskapet erhåller 0,0567 procent av Finlands intäkter från EU:s utsläppshandel.</w:t>
      </w:r>
    </w:p>
    <w:p w14:paraId="436E2964" w14:textId="3512C8D8" w:rsidR="001469C2" w:rsidRPr="002D2A82" w:rsidRDefault="00467560" w:rsidP="009F5C8B">
      <w:pPr>
        <w:pStyle w:val="ANormal"/>
      </w:pPr>
      <w:r w:rsidRPr="002D2A82">
        <w:tab/>
        <w:t>Arbets- och näringsministeriet har bedömt</w:t>
      </w:r>
      <w:r w:rsidR="007D132B" w:rsidRPr="002D2A82">
        <w:t xml:space="preserve"> att införande av sjöfarten skulle ge Finland en intäktsökning om cirka 10 procent av de totala utsläppshandelsintäkterna. Arbets- och näringsministeriet har även bedömt att den </w:t>
      </w:r>
      <w:r w:rsidRPr="002D2A82">
        <w:t xml:space="preserve">åländska handelsflottan utgör cirka 40 procent av den totala sjöfarten i Finland och på Åland. </w:t>
      </w:r>
      <w:r w:rsidR="00B41F59" w:rsidRPr="002D2A82">
        <w:t>L</w:t>
      </w:r>
      <w:r w:rsidR="000032C2" w:rsidRPr="002D2A82">
        <w:t xml:space="preserve">agförslaget presenterar en uppskattning av </w:t>
      </w:r>
      <w:r w:rsidR="00737EEE" w:rsidRPr="002D2A82">
        <w:t>intäktfördelningen</w:t>
      </w:r>
      <w:r w:rsidR="00B41F59" w:rsidRPr="002D2A82">
        <w:t xml:space="preserve"> </w:t>
      </w:r>
      <w:r w:rsidR="001469C2" w:rsidRPr="002D2A82">
        <w:t>i det fall</w:t>
      </w:r>
      <w:r w:rsidR="00B41F59" w:rsidRPr="002D2A82">
        <w:t xml:space="preserve"> </w:t>
      </w:r>
      <w:r w:rsidRPr="002D2A82">
        <w:t xml:space="preserve">fördelningen verkställdes </w:t>
      </w:r>
      <w:r w:rsidR="00B41F59" w:rsidRPr="002D2A82">
        <w:t>i enlighet med överenskommelseförordningen</w:t>
      </w:r>
      <w:r w:rsidRPr="002D2A82">
        <w:t xml:space="preserve"> </w:t>
      </w:r>
      <w:r w:rsidR="001469C2" w:rsidRPr="002D2A82">
        <w:t>och</w:t>
      </w:r>
      <w:r w:rsidR="00B41F59" w:rsidRPr="002D2A82">
        <w:t xml:space="preserve"> utan</w:t>
      </w:r>
      <w:r w:rsidR="00737EEE" w:rsidRPr="002D2A82">
        <w:t xml:space="preserve"> att ö-un</w:t>
      </w:r>
      <w:r w:rsidR="00B41F59" w:rsidRPr="002D2A82">
        <w:t>dan</w:t>
      </w:r>
      <w:r w:rsidR="00737EEE" w:rsidRPr="002D2A82">
        <w:t xml:space="preserve">taget samt avdrag </w:t>
      </w:r>
      <w:r w:rsidR="00B41F59" w:rsidRPr="002D2A82">
        <w:t>av</w:t>
      </w:r>
      <w:r w:rsidR="00737EEE" w:rsidRPr="002D2A82">
        <w:t xml:space="preserve"> EU:s egna medel</w:t>
      </w:r>
      <w:r w:rsidR="00B41F59" w:rsidRPr="002D2A82">
        <w:t xml:space="preserve"> beaktas.</w:t>
      </w:r>
      <w:r w:rsidRPr="002D2A82">
        <w:t xml:space="preserve"> </w:t>
      </w:r>
    </w:p>
    <w:p w14:paraId="2ED3CA0B" w14:textId="5F157C7A" w:rsidR="0083107B" w:rsidRPr="002D2A82" w:rsidRDefault="001469C2" w:rsidP="008039AA">
      <w:pPr>
        <w:pStyle w:val="ANormal"/>
      </w:pPr>
      <w:r w:rsidRPr="002D2A82">
        <w:tab/>
      </w:r>
      <w:r w:rsidR="00B41F59" w:rsidRPr="002D2A82">
        <w:t>Utskottet konstaterar att</w:t>
      </w:r>
      <w:r w:rsidR="006516B6" w:rsidRPr="002D2A82">
        <w:t xml:space="preserve"> i det fall</w:t>
      </w:r>
      <w:r w:rsidR="00B41F59" w:rsidRPr="002D2A82">
        <w:t xml:space="preserve"> </w:t>
      </w:r>
      <w:r w:rsidR="001B35DB" w:rsidRPr="002D2A82">
        <w:t>landskapet</w:t>
      </w:r>
      <w:r w:rsidR="00B41F59" w:rsidRPr="002D2A82">
        <w:t xml:space="preserve"> </w:t>
      </w:r>
      <w:r w:rsidR="006516B6" w:rsidRPr="002D2A82">
        <w:t xml:space="preserve">fortsatt </w:t>
      </w:r>
      <w:r w:rsidR="00B41F59" w:rsidRPr="002D2A82">
        <w:t>fördelade</w:t>
      </w:r>
      <w:r w:rsidR="006516B6" w:rsidRPr="002D2A82">
        <w:t>s</w:t>
      </w:r>
      <w:r w:rsidR="00B41F59" w:rsidRPr="002D2A82">
        <w:t xml:space="preserve"> intäkter beaktandes</w:t>
      </w:r>
      <w:r w:rsidR="006516B6" w:rsidRPr="002D2A82">
        <w:t xml:space="preserve"> överenskommelseförordningen </w:t>
      </w:r>
      <w:r w:rsidR="00B41F59" w:rsidRPr="002D2A82">
        <w:t xml:space="preserve">skulle mellan 17,8 miljoner – 28,1 miljoner </w:t>
      </w:r>
      <w:r w:rsidR="0096280E" w:rsidRPr="002D2A82">
        <w:t>euro</w:t>
      </w:r>
      <w:r w:rsidR="00B41F59" w:rsidRPr="002D2A82">
        <w:t xml:space="preserve"> per år</w:t>
      </w:r>
      <w:r w:rsidR="0096280E" w:rsidRPr="002D2A82">
        <w:t xml:space="preserve"> tillfalla Åland</w:t>
      </w:r>
      <w:r w:rsidR="00B41F59" w:rsidRPr="002D2A82">
        <w:t xml:space="preserve"> i utsläppshandelsintäkter</w:t>
      </w:r>
      <w:r w:rsidR="000D01F1" w:rsidRPr="002D2A82">
        <w:t xml:space="preserve"> fram till utgången av år 2030</w:t>
      </w:r>
      <w:r w:rsidR="00B41F59" w:rsidRPr="002D2A82">
        <w:t>.</w:t>
      </w:r>
      <w:r w:rsidRPr="002D2A82">
        <w:t xml:space="preserve"> </w:t>
      </w:r>
      <w:r w:rsidR="004F0CB6" w:rsidRPr="002D2A82">
        <w:t>Uppskattningsvis s</w:t>
      </w:r>
      <w:r w:rsidRPr="002D2A82">
        <w:t>kulle</w:t>
      </w:r>
      <w:r w:rsidR="004F0CB6" w:rsidRPr="002D2A82">
        <w:t xml:space="preserve"> den totala summan av </w:t>
      </w:r>
      <w:r w:rsidRPr="002D2A82">
        <w:t xml:space="preserve">utsläppshandelsintäkterna </w:t>
      </w:r>
      <w:r w:rsidR="004F0CB6" w:rsidRPr="002D2A82">
        <w:t xml:space="preserve">för Åland </w:t>
      </w:r>
      <w:r w:rsidRPr="002D2A82">
        <w:t>vara</w:t>
      </w:r>
      <w:r w:rsidR="006516B6" w:rsidRPr="002D2A82">
        <w:t xml:space="preserve"> 163,6 miljoner euro från år 2024–2030. Utskottet understryker att</w:t>
      </w:r>
      <w:r w:rsidR="006205E8" w:rsidRPr="002D2A82">
        <w:t xml:space="preserve"> intäkterna</w:t>
      </w:r>
      <w:r w:rsidR="006516B6" w:rsidRPr="002D2A82">
        <w:t xml:space="preserve"> troligtvis </w:t>
      </w:r>
      <w:r w:rsidR="00CB7BCC" w:rsidRPr="002D2A82">
        <w:t>kommer</w:t>
      </w:r>
      <w:r w:rsidR="006516B6" w:rsidRPr="002D2A82">
        <w:t xml:space="preserve"> </w:t>
      </w:r>
      <w:r w:rsidR="00CB7BCC" w:rsidRPr="002D2A82">
        <w:t>att vara</w:t>
      </w:r>
      <w:r w:rsidR="006516B6" w:rsidRPr="002D2A82">
        <w:t xml:space="preserve"> </w:t>
      </w:r>
      <w:r w:rsidR="000C3D49" w:rsidRPr="002D2A82">
        <w:t>lägre</w:t>
      </w:r>
      <w:r w:rsidR="006516B6" w:rsidRPr="002D2A82">
        <w:t xml:space="preserve"> i och med att EU:s egen andel av utsläppshandelsintäkterna samt ö-undantagen</w:t>
      </w:r>
      <w:r w:rsidR="002E00FD" w:rsidRPr="002D2A82">
        <w:t xml:space="preserve"> påverkar</w:t>
      </w:r>
      <w:r w:rsidR="0036131D" w:rsidRPr="002D2A82">
        <w:t xml:space="preserve"> belopp</w:t>
      </w:r>
      <w:r w:rsidR="005850BF" w:rsidRPr="002D2A82">
        <w:t>e</w:t>
      </w:r>
      <w:r w:rsidR="0036131D" w:rsidRPr="002D2A82">
        <w:t>t</w:t>
      </w:r>
      <w:r w:rsidR="006516B6" w:rsidRPr="002D2A82">
        <w:t>.</w:t>
      </w:r>
    </w:p>
    <w:p w14:paraId="6F8C9638" w14:textId="5BFEA554" w:rsidR="00E30D20" w:rsidRPr="002D2A82" w:rsidRDefault="0083107B" w:rsidP="008039AA">
      <w:pPr>
        <w:pStyle w:val="ANormal"/>
      </w:pPr>
      <w:r w:rsidRPr="002D2A82">
        <w:tab/>
      </w:r>
      <w:r w:rsidR="00E30D20" w:rsidRPr="002D2A82">
        <w:t xml:space="preserve">Utskottet konstaterar att landskapsregeringen vid upprepade tillfällen har eftersträvat en överenskommelse med </w:t>
      </w:r>
      <w:r w:rsidRPr="002D2A82">
        <w:t>Finland</w:t>
      </w:r>
      <w:r w:rsidR="00E30D20" w:rsidRPr="002D2A82">
        <w:t xml:space="preserve"> om den fortsatta fördelningen av intäkterna från utsläppshandeln, dock utan framgång.</w:t>
      </w:r>
      <w:r w:rsidRPr="002D2A82">
        <w:t xml:space="preserve"> Detta har medfört att kompletteringar till liggande lagförslag har lämnats till lagtinget.</w:t>
      </w:r>
      <w:r w:rsidR="00E30D20" w:rsidRPr="002D2A82">
        <w:t xml:space="preserve"> Genom ikraftträdandet av kommissionens delegerade förordning (EU) 2026/</w:t>
      </w:r>
      <w:r w:rsidR="00B736B4" w:rsidRPr="002D2A82">
        <w:t>787</w:t>
      </w:r>
      <w:r w:rsidR="00E30D20" w:rsidRPr="002D2A82">
        <w:t xml:space="preserve"> av den 8 april 2026 om ändring av kommissionens delegerade förordning (EU) 2023/2830 vad gäller regler om tidsschema, administration och andra aspekter av auktionering av utsläppsrätter för växthusgaser</w:t>
      </w:r>
      <w:r w:rsidR="00962007" w:rsidRPr="002D2A82">
        <w:t>,</w:t>
      </w:r>
      <w:r w:rsidR="00E30D20" w:rsidRPr="002D2A82">
        <w:t xml:space="preserve"> möjliggörs att fler än en auktionsförrättare kan utses inom samma medlemsstat.</w:t>
      </w:r>
      <w:r w:rsidR="008039AA" w:rsidRPr="002D2A82">
        <w:rPr>
          <w:lang w:val="sv-FI"/>
        </w:rPr>
        <w:t xml:space="preserve"> </w:t>
      </w:r>
    </w:p>
    <w:p w14:paraId="053F0986" w14:textId="45FFB0C3" w:rsidR="0083107B" w:rsidRPr="002D2A82" w:rsidRDefault="00E30D20" w:rsidP="009F5C8B">
      <w:pPr>
        <w:pStyle w:val="ANormal"/>
        <w:rPr>
          <w:lang w:val="sv-FI"/>
        </w:rPr>
      </w:pPr>
      <w:r w:rsidRPr="002D2A82">
        <w:rPr>
          <w:lang w:val="sv-FI"/>
        </w:rPr>
        <w:tab/>
        <w:t>I det föreliggande</w:t>
      </w:r>
      <w:r w:rsidR="0083107B" w:rsidRPr="002D2A82">
        <w:rPr>
          <w:lang w:val="sv-FI"/>
        </w:rPr>
        <w:t xml:space="preserve"> kompletteringsförslaget</w:t>
      </w:r>
      <w:r w:rsidRPr="002D2A82">
        <w:rPr>
          <w:lang w:val="sv-FI"/>
        </w:rPr>
        <w:t xml:space="preserve"> föreslås att Ålands energimyndighet ges ansvar för auktioneringen av utsläppsrätter för de aktörer som omfattas av utsläppshandelsdirektivets tillämpningsområde. Enligt det kompletterande lagförslaget </w:t>
      </w:r>
      <w:r w:rsidR="00AF7869" w:rsidRPr="002D2A82">
        <w:rPr>
          <w:lang w:val="sv-FI"/>
        </w:rPr>
        <w:t xml:space="preserve">uppskattas </w:t>
      </w:r>
      <w:r w:rsidRPr="002D2A82">
        <w:rPr>
          <w:lang w:val="sv-FI"/>
        </w:rPr>
        <w:t xml:space="preserve">ett ökat resursbehov motsvarande minst 5,0 årsverken samt merkostnader om minst 500 000 euro per år. Avsikten är att kostnaderna på sikt ska finansieras genom intäkter från auktioneringen av utsläppsrätter. </w:t>
      </w:r>
      <w:r w:rsidR="0083107B" w:rsidRPr="002D2A82">
        <w:rPr>
          <w:lang w:val="sv-FI"/>
        </w:rPr>
        <w:t xml:space="preserve">Utskottet noterar samtidigt att </w:t>
      </w:r>
      <w:r w:rsidR="00D81530" w:rsidRPr="002D2A82">
        <w:rPr>
          <w:lang w:val="sv-FI"/>
        </w:rPr>
        <w:t xml:space="preserve">det finns </w:t>
      </w:r>
      <w:r w:rsidR="0083107B" w:rsidRPr="002D2A82">
        <w:rPr>
          <w:lang w:val="sv-FI"/>
        </w:rPr>
        <w:t>osäkerheter</w:t>
      </w:r>
      <w:r w:rsidR="00D81530" w:rsidRPr="002D2A82">
        <w:rPr>
          <w:lang w:val="sv-FI"/>
        </w:rPr>
        <w:t xml:space="preserve"> med prognoserna</w:t>
      </w:r>
      <w:r w:rsidR="0083107B" w:rsidRPr="002D2A82">
        <w:rPr>
          <w:lang w:val="sv-FI"/>
        </w:rPr>
        <w:t>.</w:t>
      </w:r>
    </w:p>
    <w:p w14:paraId="3750F39E" w14:textId="55EB3FEF" w:rsidR="00117004" w:rsidRPr="002D2A82" w:rsidRDefault="0083107B" w:rsidP="009F5C8B">
      <w:pPr>
        <w:pStyle w:val="ANormal"/>
        <w:rPr>
          <w:lang w:val="sv-FI"/>
        </w:rPr>
      </w:pPr>
      <w:r w:rsidRPr="002D2A82">
        <w:rPr>
          <w:lang w:val="sv-FI"/>
        </w:rPr>
        <w:tab/>
      </w:r>
      <w:r w:rsidR="001C2C01" w:rsidRPr="002D2A82">
        <w:t xml:space="preserve">Utskottet konstaterar att natur- och miljövård är Ålands lagstiftningsbehörighet </w:t>
      </w:r>
      <w:r w:rsidR="00A00DD5" w:rsidRPr="002D2A82">
        <w:t xml:space="preserve">i enlighet med självstyrelselagen </w:t>
      </w:r>
      <w:r w:rsidR="001C2C01" w:rsidRPr="002D2A82">
        <w:t xml:space="preserve">och utsläppshandelsdirektivets </w:t>
      </w:r>
      <w:r w:rsidR="001C2C01" w:rsidRPr="002D2A82">
        <w:lastRenderedPageBreak/>
        <w:t>utvidgning innefattande sjöfart handlar i grunden om miljövård. Utskottet anser att en fördelning av utsläppshandels</w:t>
      </w:r>
      <w:r w:rsidRPr="002D2A82">
        <w:t>andelar</w:t>
      </w:r>
      <w:r w:rsidR="001C2C01" w:rsidRPr="002D2A82">
        <w:t xml:space="preserve"> mellan </w:t>
      </w:r>
      <w:r w:rsidR="005D5D21" w:rsidRPr="002D2A82">
        <w:t>Åland</w:t>
      </w:r>
      <w:r w:rsidR="001C2C01" w:rsidRPr="002D2A82">
        <w:t xml:space="preserve"> och Finland s</w:t>
      </w:r>
      <w:r w:rsidRPr="002D2A82">
        <w:t>om</w:t>
      </w:r>
      <w:r w:rsidR="001C2C01" w:rsidRPr="002D2A82">
        <w:t xml:space="preserve"> beaktar andelen etablera</w:t>
      </w:r>
      <w:r w:rsidR="00D456C8" w:rsidRPr="002D2A82">
        <w:t>de</w:t>
      </w:r>
      <w:r w:rsidR="001C2C01" w:rsidRPr="002D2A82">
        <w:t xml:space="preserve"> rederier på Åland ger utökade förutsättningar för Åland att skydda miljön.</w:t>
      </w:r>
      <w:r w:rsidR="00117004" w:rsidRPr="002D2A82">
        <w:t xml:space="preserve"> </w:t>
      </w:r>
    </w:p>
    <w:p w14:paraId="67B11112" w14:textId="2BC55F99" w:rsidR="0097581F" w:rsidRPr="002D2A82" w:rsidRDefault="00117004" w:rsidP="009F5C8B">
      <w:pPr>
        <w:pStyle w:val="ANormal"/>
      </w:pPr>
      <w:r w:rsidRPr="002D2A82">
        <w:tab/>
      </w:r>
      <w:r w:rsidR="000C3D49" w:rsidRPr="002D2A82">
        <w:t xml:space="preserve">Utskottet erfar att </w:t>
      </w:r>
      <w:r w:rsidR="00F37177" w:rsidRPr="002D2A82">
        <w:t>kostnader för</w:t>
      </w:r>
      <w:r w:rsidRPr="002D2A82">
        <w:t xml:space="preserve"> rederier på Åland</w:t>
      </w:r>
      <w:r w:rsidR="00F37177" w:rsidRPr="002D2A82">
        <w:t xml:space="preserve"> ökar</w:t>
      </w:r>
      <w:r w:rsidRPr="002D2A82">
        <w:t xml:space="preserve"> i och med utsläppsrättshandeln.</w:t>
      </w:r>
      <w:r w:rsidR="00973616" w:rsidRPr="002D2A82">
        <w:t xml:space="preserve"> Detta </w:t>
      </w:r>
      <w:r w:rsidR="00391813" w:rsidRPr="002D2A82">
        <w:t>komplicerar</w:t>
      </w:r>
      <w:r w:rsidR="00973616" w:rsidRPr="002D2A82">
        <w:t xml:space="preserve"> rederiernas förutsättningar att finansiera si</w:t>
      </w:r>
      <w:r w:rsidR="0082311E" w:rsidRPr="002D2A82">
        <w:t>n</w:t>
      </w:r>
      <w:r w:rsidR="006527F5" w:rsidRPr="002D2A82">
        <w:t xml:space="preserve"> </w:t>
      </w:r>
      <w:r w:rsidR="00DC3ECB" w:rsidRPr="002D2A82">
        <w:t>omställning</w:t>
      </w:r>
      <w:r w:rsidR="008412FA" w:rsidRPr="002D2A82">
        <w:t>, samtidigt som</w:t>
      </w:r>
      <w:r w:rsidRPr="002D2A82">
        <w:t xml:space="preserve"> skatteavräkningen </w:t>
      </w:r>
      <w:r w:rsidR="00C65745" w:rsidRPr="002D2A82">
        <w:t>troligtvis påverkas</w:t>
      </w:r>
      <w:r w:rsidR="00073B1D" w:rsidRPr="002D2A82">
        <w:t xml:space="preserve"> negativt.</w:t>
      </w:r>
      <w:r w:rsidRPr="002D2A82">
        <w:t xml:space="preserve"> </w:t>
      </w:r>
      <w:r w:rsidR="00683EA9" w:rsidRPr="002D2A82">
        <w:t xml:space="preserve">Samtidigt har </w:t>
      </w:r>
      <w:r w:rsidRPr="002D2A82">
        <w:t>Åland en skyldighet att genomföra och finansiera den gröna omställningen</w:t>
      </w:r>
      <w:r w:rsidR="003D571B" w:rsidRPr="002D2A82">
        <w:t xml:space="preserve"> </w:t>
      </w:r>
      <w:r w:rsidRPr="002D2A82">
        <w:t>vilket åläggs</w:t>
      </w:r>
      <w:r w:rsidR="003D571B" w:rsidRPr="002D2A82">
        <w:t xml:space="preserve"> alla</w:t>
      </w:r>
      <w:r w:rsidRPr="002D2A82">
        <w:t xml:space="preserve"> EU-medlemmarna</w:t>
      </w:r>
      <w:r w:rsidR="003D571B" w:rsidRPr="002D2A82">
        <w:t xml:space="preserve"> i flertal EU-direktiv</w:t>
      </w:r>
      <w:r w:rsidRPr="002D2A82">
        <w:t>.</w:t>
      </w:r>
      <w:r w:rsidR="004A2EB4" w:rsidRPr="002D2A82">
        <w:t xml:space="preserve"> </w:t>
      </w:r>
      <w:r w:rsidR="00D50A22" w:rsidRPr="002D2A82">
        <w:t>Utskottet anser att det är avgörande</w:t>
      </w:r>
      <w:r w:rsidR="004A2EB4" w:rsidRPr="002D2A82">
        <w:t xml:space="preserve"> för arbetet med den gröna omställningen på Åland</w:t>
      </w:r>
      <w:r w:rsidR="00D50A22" w:rsidRPr="002D2A82">
        <w:t xml:space="preserve"> att utsläppshandels</w:t>
      </w:r>
      <w:r w:rsidR="0083107B" w:rsidRPr="002D2A82">
        <w:t>andelar</w:t>
      </w:r>
      <w:r w:rsidR="00D50A22" w:rsidRPr="002D2A82">
        <w:t xml:space="preserve"> för sjöfarten kompenseras i proportion med Ålands totala beräknade andel av utsläppen. </w:t>
      </w:r>
    </w:p>
    <w:p w14:paraId="422DD1AD" w14:textId="77777777" w:rsidR="0028791D" w:rsidRPr="002D2A82" w:rsidRDefault="0028791D" w:rsidP="009F5C8B">
      <w:pPr>
        <w:pStyle w:val="ANormal"/>
      </w:pPr>
    </w:p>
    <w:p w14:paraId="73F63B9C" w14:textId="77777777" w:rsidR="0028791D" w:rsidRPr="002D2A82" w:rsidRDefault="0028791D" w:rsidP="005850BF">
      <w:pPr>
        <w:pStyle w:val="RubrikC"/>
      </w:pPr>
      <w:bookmarkStart w:id="13" w:name="_Toc232162655"/>
      <w:r w:rsidRPr="002D2A82">
        <w:t>Investeringar i klimatförbättrande åtgärder</w:t>
      </w:r>
      <w:bookmarkEnd w:id="13"/>
    </w:p>
    <w:p w14:paraId="20EB7D88" w14:textId="77777777" w:rsidR="005850BF" w:rsidRPr="002D2A82" w:rsidRDefault="005850BF" w:rsidP="005850BF">
      <w:pPr>
        <w:pStyle w:val="Rubrikmellanrum"/>
      </w:pPr>
    </w:p>
    <w:p w14:paraId="09FEC4D0" w14:textId="77777777" w:rsidR="0028791D" w:rsidRPr="002D2A82" w:rsidRDefault="0028791D" w:rsidP="0028791D">
      <w:pPr>
        <w:pStyle w:val="ANormal"/>
        <w:jc w:val="left"/>
      </w:pPr>
      <w:r w:rsidRPr="002D2A82">
        <w:t xml:space="preserve">Utskottet konstaterar att det i lagförslaget framkommer att utsläppshandelsintäkterna som tillfaller Åland ska användas till klimatförbättrande åtgärder och infrastruktursatsningar för förnybara drivmedel, vilket är i enlighet med utsläppshandelsdirektivet. Kostnaden för redan nu kända och planerade klimatförbättrande åtgärder uppgår till över 500 miljoner euro enligt lagförslaget, där bland annat investeringar i elnätet ingår för att skapa förutsättningar för eldrivna färjor att laddas i hamnarna. </w:t>
      </w:r>
    </w:p>
    <w:p w14:paraId="5BC23FC4" w14:textId="05E05310" w:rsidR="001D3339" w:rsidRPr="002D2A82" w:rsidRDefault="0028791D" w:rsidP="001D3339">
      <w:pPr>
        <w:pStyle w:val="ANormal"/>
        <w:jc w:val="left"/>
      </w:pPr>
      <w:r w:rsidRPr="002D2A82">
        <w:tab/>
        <w:t xml:space="preserve">Utskottet konstaterar att utsläppshandelsintäkter är nödvändiga för att finansiera dylika investeringar så att Åland kan leva upp till EU:s klimatmål och värna om naturen- och miljön på Åland. </w:t>
      </w:r>
    </w:p>
    <w:p w14:paraId="02FC582A" w14:textId="77777777" w:rsidR="00D8077F" w:rsidRPr="002D2A82" w:rsidRDefault="00D8077F" w:rsidP="00BE734A">
      <w:pPr>
        <w:pStyle w:val="RubrikC"/>
      </w:pPr>
    </w:p>
    <w:p w14:paraId="0C70EF5B" w14:textId="06118869" w:rsidR="00721CC7" w:rsidRPr="002D2A82" w:rsidRDefault="00A860CB" w:rsidP="00BE734A">
      <w:pPr>
        <w:pStyle w:val="RubrikC"/>
      </w:pPr>
      <w:bookmarkStart w:id="14" w:name="_Toc232162656"/>
      <w:r w:rsidRPr="002D2A82">
        <w:t>Förtydliganden</w:t>
      </w:r>
      <w:bookmarkEnd w:id="14"/>
    </w:p>
    <w:p w14:paraId="367C8584" w14:textId="77777777" w:rsidR="00BE734A" w:rsidRPr="002D2A82" w:rsidRDefault="00BE734A" w:rsidP="00BE734A">
      <w:pPr>
        <w:pStyle w:val="Rubrikmellanrum"/>
      </w:pPr>
    </w:p>
    <w:p w14:paraId="77BB59C0" w14:textId="0CE0360B" w:rsidR="000A349D" w:rsidRPr="002D2A82" w:rsidRDefault="009C2751">
      <w:pPr>
        <w:pStyle w:val="ANormal"/>
      </w:pPr>
      <w:r w:rsidRPr="002D2A82">
        <w:t>Utskottet konstaterar att hänvisningen till utsläppshandelsdirektivets artikel 3ga i motiveringen till lagförslaget (avsnitt 1.1, s. 3, första stycket) är felaktig. Den korrekta hänvisningen är artikel 3gb.</w:t>
      </w:r>
    </w:p>
    <w:p w14:paraId="3B329739" w14:textId="77777777" w:rsidR="002401D0" w:rsidRPr="002D2A82" w:rsidRDefault="002401D0">
      <w:pPr>
        <w:pStyle w:val="ANormal"/>
      </w:pPr>
    </w:p>
    <w:p w14:paraId="1EE032D0" w14:textId="77777777" w:rsidR="002401D0" w:rsidRPr="002D2A82" w:rsidRDefault="002401D0">
      <w:pPr>
        <w:pStyle w:val="RubrikA"/>
      </w:pPr>
      <w:bookmarkStart w:id="15" w:name="_Toc529800936"/>
      <w:bookmarkStart w:id="16" w:name="_Toc232162657"/>
      <w:r w:rsidRPr="002D2A82">
        <w:t>Ärendets behandling</w:t>
      </w:r>
      <w:bookmarkEnd w:id="15"/>
      <w:bookmarkEnd w:id="16"/>
    </w:p>
    <w:p w14:paraId="1A0A0585" w14:textId="77777777" w:rsidR="002401D0" w:rsidRPr="002D2A82" w:rsidRDefault="002401D0">
      <w:pPr>
        <w:pStyle w:val="Rubrikmellanrum"/>
      </w:pPr>
    </w:p>
    <w:p w14:paraId="2878BA70" w14:textId="2106809E" w:rsidR="004F6540" w:rsidRPr="002D2A82" w:rsidRDefault="004F6540" w:rsidP="004F6540">
      <w:pPr>
        <w:pStyle w:val="ANormal"/>
      </w:pPr>
      <w:r w:rsidRPr="002D2A82">
        <w:t xml:space="preserve">Lagtinget har den 13 maj 2024 </w:t>
      </w:r>
      <w:proofErr w:type="spellStart"/>
      <w:r w:rsidRPr="002D2A82">
        <w:t>inbegärt</w:t>
      </w:r>
      <w:proofErr w:type="spellEnd"/>
      <w:r w:rsidRPr="002D2A82">
        <w:t xml:space="preserve"> finans- och näringsutskottets yttrande i ärendet.</w:t>
      </w:r>
      <w:r w:rsidR="0095584B" w:rsidRPr="002D2A82">
        <w:t xml:space="preserve"> Lagtinget har den 11 juni 2026 </w:t>
      </w:r>
      <w:proofErr w:type="spellStart"/>
      <w:r w:rsidR="0095584B" w:rsidRPr="002D2A82">
        <w:t>inbegärt</w:t>
      </w:r>
      <w:proofErr w:type="spellEnd"/>
      <w:r w:rsidR="0095584B" w:rsidRPr="002D2A82">
        <w:t xml:space="preserve"> finans- och näringsutskottets yttrande över kompletterande lagförslag.</w:t>
      </w:r>
    </w:p>
    <w:p w14:paraId="3A951CDA" w14:textId="2E0BAE82" w:rsidR="004F6540" w:rsidRPr="002D2A82" w:rsidRDefault="004F6540" w:rsidP="004F6540">
      <w:pPr>
        <w:pStyle w:val="ANormal"/>
      </w:pPr>
      <w:r w:rsidRPr="002D2A82">
        <w:tab/>
        <w:t>Utskottet har i ärendet hört</w:t>
      </w:r>
      <w:r w:rsidR="00FE0600" w:rsidRPr="002D2A82">
        <w:t xml:space="preserve"> ministern Jesper Josefsson, byråchefen Gustav Blomberg</w:t>
      </w:r>
      <w:r w:rsidR="004F374B" w:rsidRPr="002D2A82">
        <w:t xml:space="preserve"> och</w:t>
      </w:r>
      <w:r w:rsidR="00FE0600" w:rsidRPr="002D2A82">
        <w:t xml:space="preserve"> el- och energiinspektören Henrik Juslin från infrastrukturavdelningen samt rättssakkunnige Pamela </w:t>
      </w:r>
      <w:proofErr w:type="spellStart"/>
      <w:r w:rsidR="00FE0600" w:rsidRPr="002D2A82">
        <w:t>Baarman</w:t>
      </w:r>
      <w:proofErr w:type="spellEnd"/>
      <w:r w:rsidR="00FE0600" w:rsidRPr="002D2A82">
        <w:t xml:space="preserve"> från </w:t>
      </w:r>
      <w:proofErr w:type="gramStart"/>
      <w:r w:rsidR="00FE0600" w:rsidRPr="002D2A82">
        <w:t>regeringskansliet</w:t>
      </w:r>
      <w:proofErr w:type="gramEnd"/>
      <w:r w:rsidR="00FE0600" w:rsidRPr="002D2A82">
        <w:t>.</w:t>
      </w:r>
    </w:p>
    <w:p w14:paraId="05809996" w14:textId="54FD6EDE" w:rsidR="004F6540" w:rsidRPr="002D2A82" w:rsidRDefault="004F6540" w:rsidP="004F6540">
      <w:pPr>
        <w:pStyle w:val="ANormal"/>
      </w:pPr>
      <w:r w:rsidRPr="002D2A82">
        <w:tab/>
        <w:t xml:space="preserve">I ärendets avgörande behandling deltog ordföranden John Holmberg, </w:t>
      </w:r>
      <w:r w:rsidR="003762E7" w:rsidRPr="002D2A82">
        <w:t xml:space="preserve">viceordförande Nina Fellman, </w:t>
      </w:r>
      <w:r w:rsidRPr="002D2A82">
        <w:t xml:space="preserve">ledamöterna Anders Ekström, Roger Höglund, Andreas </w:t>
      </w:r>
      <w:proofErr w:type="spellStart"/>
      <w:r w:rsidRPr="002D2A82">
        <w:t>Kanborg</w:t>
      </w:r>
      <w:proofErr w:type="spellEnd"/>
      <w:r w:rsidR="00D95F96">
        <w:t>,</w:t>
      </w:r>
      <w:r w:rsidRPr="002D2A82">
        <w:t xml:space="preserve"> </w:t>
      </w:r>
      <w:r w:rsidR="003762E7" w:rsidRPr="002D2A82">
        <w:t>Wille Valve</w:t>
      </w:r>
      <w:r w:rsidR="00D95F96">
        <w:t xml:space="preserve"> och Sandra </w:t>
      </w:r>
      <w:proofErr w:type="spellStart"/>
      <w:r w:rsidR="00D95F96">
        <w:t>List</w:t>
      </w:r>
      <w:r w:rsidR="00821521">
        <w:t>h</w:t>
      </w:r>
      <w:r w:rsidR="00D95F96">
        <w:t>erby</w:t>
      </w:r>
      <w:proofErr w:type="spellEnd"/>
      <w:r w:rsidRPr="002D2A82">
        <w:t>.</w:t>
      </w:r>
    </w:p>
    <w:p w14:paraId="0D827C63" w14:textId="0BB13631" w:rsidR="002401D0" w:rsidRPr="002D2A82" w:rsidRDefault="002401D0">
      <w:pPr>
        <w:pStyle w:val="ANormal"/>
      </w:pPr>
    </w:p>
    <w:p w14:paraId="61EA96DD" w14:textId="77777777" w:rsidR="002401D0" w:rsidRPr="002D2A82" w:rsidRDefault="002401D0">
      <w:pPr>
        <w:pStyle w:val="ANormal"/>
      </w:pPr>
    </w:p>
    <w:p w14:paraId="7FAA7F43" w14:textId="77777777" w:rsidR="002401D0" w:rsidRPr="002D2A82" w:rsidRDefault="002401D0">
      <w:pPr>
        <w:pStyle w:val="RubrikA"/>
      </w:pPr>
      <w:bookmarkStart w:id="17" w:name="_Toc529800937"/>
      <w:bookmarkStart w:id="18" w:name="_Toc232162658"/>
      <w:r w:rsidRPr="002D2A82">
        <w:t>Utskottets förslag</w:t>
      </w:r>
      <w:bookmarkEnd w:id="17"/>
      <w:bookmarkEnd w:id="18"/>
    </w:p>
    <w:p w14:paraId="4AE12B85" w14:textId="77777777" w:rsidR="002401D0" w:rsidRPr="002D2A82" w:rsidRDefault="002401D0">
      <w:pPr>
        <w:pStyle w:val="Rubrikmellanrum"/>
      </w:pPr>
    </w:p>
    <w:p w14:paraId="3B4F62A9" w14:textId="77777777" w:rsidR="002401D0" w:rsidRDefault="002401D0">
      <w:pPr>
        <w:pStyle w:val="ANormal"/>
      </w:pPr>
      <w:r w:rsidRPr="002D2A82">
        <w:t>Med hänvisning till det anförda föreslår utskottet</w:t>
      </w:r>
    </w:p>
    <w:p w14:paraId="4E426ED3" w14:textId="77777777" w:rsidR="00853536" w:rsidRDefault="00853536">
      <w:pPr>
        <w:pStyle w:val="ANormal"/>
      </w:pPr>
    </w:p>
    <w:p w14:paraId="6F88C2F6" w14:textId="77777777" w:rsidR="002401D0" w:rsidRPr="002D2A82" w:rsidRDefault="002401D0">
      <w:pPr>
        <w:pStyle w:val="ANormal"/>
      </w:pPr>
    </w:p>
    <w:p w14:paraId="7F2E97A4" w14:textId="2CAC0C19" w:rsidR="00CD18C7" w:rsidRDefault="007920FD" w:rsidP="002F77DD">
      <w:pPr>
        <w:pStyle w:val="ANormal"/>
        <w:ind w:left="851"/>
      </w:pPr>
      <w:r w:rsidRPr="002D2A82">
        <w:t>att lagtinget anta</w:t>
      </w:r>
      <w:r w:rsidR="002824B9" w:rsidRPr="002D2A82">
        <w:t>r</w:t>
      </w:r>
      <w:r w:rsidRPr="002D2A82">
        <w:t xml:space="preserve"> </w:t>
      </w:r>
      <w:r w:rsidR="00CD18C7" w:rsidRPr="002D2A82">
        <w:t>lagförslaget inklusive kompletteringar i f</w:t>
      </w:r>
      <w:r w:rsidR="00223BFC" w:rsidRPr="002D2A82">
        <w:t>öljande lydelse:</w:t>
      </w:r>
    </w:p>
    <w:p w14:paraId="61096FE9" w14:textId="612C1C42" w:rsidR="00B82A62" w:rsidRDefault="00B82A62">
      <w:pPr>
        <w:pStyle w:val="Klam"/>
      </w:pPr>
    </w:p>
    <w:p w14:paraId="1033C4F0" w14:textId="77777777" w:rsidR="00B82A62" w:rsidRDefault="00B82A62">
      <w:pPr>
        <w:pStyle w:val="Klam"/>
      </w:pPr>
    </w:p>
    <w:p w14:paraId="546EF448" w14:textId="77777777" w:rsidR="00F35DAF" w:rsidRDefault="00F35DAF" w:rsidP="00F35DAF">
      <w:pPr>
        <w:pStyle w:val="ANormal"/>
      </w:pPr>
    </w:p>
    <w:p w14:paraId="1DBCECDC" w14:textId="77777777" w:rsidR="00974899" w:rsidRDefault="00974899" w:rsidP="00974899">
      <w:pPr>
        <w:pStyle w:val="LagHuvRubr"/>
      </w:pPr>
      <w:bookmarkStart w:id="19" w:name="_Toc231982588"/>
      <w:r>
        <w:lastRenderedPageBreak/>
        <w:t>L A N D S K A P S L A G</w:t>
      </w:r>
      <w:r>
        <w:br/>
        <w:t>om ändring av landskapslagen om tillämpning i landskapet Åland av riksförfattningar om utsläppshandel</w:t>
      </w:r>
      <w:bookmarkEnd w:id="19"/>
    </w:p>
    <w:p w14:paraId="73D76991" w14:textId="77777777" w:rsidR="00974899" w:rsidRDefault="00974899" w:rsidP="00974899">
      <w:pPr>
        <w:pStyle w:val="ANormal"/>
      </w:pPr>
    </w:p>
    <w:p w14:paraId="29F9E1FA" w14:textId="77777777" w:rsidR="00974899" w:rsidRDefault="00974899" w:rsidP="00974899">
      <w:pPr>
        <w:pStyle w:val="ANormal"/>
      </w:pPr>
      <w:bookmarkStart w:id="20" w:name="_Hlk164243358"/>
      <w:r>
        <w:tab/>
        <w:t xml:space="preserve">I enlighet med lagtingets beslut </w:t>
      </w:r>
      <w:r>
        <w:rPr>
          <w:b/>
          <w:bCs/>
        </w:rPr>
        <w:t>ändras</w:t>
      </w:r>
      <w:r>
        <w:t xml:space="preserve"> 1, 3 och 5 §§ i </w:t>
      </w:r>
      <w:bookmarkStart w:id="21" w:name="_Hlk163725155"/>
      <w:r>
        <w:t>landskapslagen (2009:31) om tillämpning i landskapet Åland av riksförfattningar om utsläppshandel</w:t>
      </w:r>
      <w:bookmarkEnd w:id="21"/>
      <w:r>
        <w:t>, av dessa 1 och 5 §§ sådana de lyder i landskapslag 2012/66 och 3 § sådan den lyder i landskapslagen 2015/105,</w:t>
      </w:r>
      <w:r w:rsidRPr="0086106A">
        <w:t xml:space="preserve"> </w:t>
      </w:r>
      <w:r>
        <w:t>som följer:</w:t>
      </w:r>
    </w:p>
    <w:bookmarkEnd w:id="20"/>
    <w:p w14:paraId="725F08DC" w14:textId="77777777" w:rsidR="00974899" w:rsidRDefault="00974899" w:rsidP="00974899">
      <w:pPr>
        <w:pStyle w:val="ANormal"/>
      </w:pPr>
    </w:p>
    <w:p w14:paraId="42E3E658" w14:textId="77777777" w:rsidR="00974899" w:rsidRDefault="00974899" w:rsidP="00974899">
      <w:pPr>
        <w:pStyle w:val="LagParagraf"/>
      </w:pPr>
      <w:r>
        <w:t>1 §</w:t>
      </w:r>
    </w:p>
    <w:p w14:paraId="3C0892B7" w14:textId="77777777" w:rsidR="00974899" w:rsidRDefault="00974899" w:rsidP="00974899">
      <w:pPr>
        <w:pStyle w:val="LagPararubrik"/>
      </w:pPr>
      <w:r>
        <w:t xml:space="preserve">Tillämpning av </w:t>
      </w:r>
      <w:proofErr w:type="spellStart"/>
      <w:r>
        <w:t>rikslag</w:t>
      </w:r>
      <w:proofErr w:type="spellEnd"/>
    </w:p>
    <w:p w14:paraId="2FF13AAB" w14:textId="77777777" w:rsidR="00974899" w:rsidRDefault="00974899" w:rsidP="00974899">
      <w:pPr>
        <w:pStyle w:val="ANormal"/>
      </w:pPr>
      <w:r>
        <w:tab/>
        <w:t>Med de undantag som anges i denna lag ska följande riksförfattningar tillämpas på Åland:</w:t>
      </w:r>
    </w:p>
    <w:p w14:paraId="546470D6" w14:textId="77777777" w:rsidR="00974899" w:rsidRDefault="00974899" w:rsidP="00974899">
      <w:pPr>
        <w:pStyle w:val="ANormal"/>
      </w:pPr>
      <w:r>
        <w:tab/>
        <w:t>1) lagen om användning av Kyotomekanismerna (FFS 109/2007).</w:t>
      </w:r>
    </w:p>
    <w:p w14:paraId="2C499CDB" w14:textId="77777777" w:rsidR="00974899" w:rsidRDefault="00974899" w:rsidP="00974899">
      <w:pPr>
        <w:pStyle w:val="ANormal"/>
      </w:pPr>
      <w:r>
        <w:tab/>
        <w:t>2) lagen om utsläppshandel (FFS 1270/2023).</w:t>
      </w:r>
    </w:p>
    <w:p w14:paraId="1F13529B" w14:textId="77777777" w:rsidR="00974899" w:rsidRDefault="00974899" w:rsidP="00974899">
      <w:pPr>
        <w:pStyle w:val="ANormal"/>
      </w:pPr>
      <w:r>
        <w:tab/>
        <w:t>Ändringar i ovannämnda riksförfattningar ska tillämpas på Åland från den dag de träder i kraft i riket.</w:t>
      </w:r>
    </w:p>
    <w:p w14:paraId="4354BE01" w14:textId="77777777" w:rsidR="00974899" w:rsidRDefault="00974899" w:rsidP="00974899">
      <w:pPr>
        <w:pStyle w:val="ANormal"/>
      </w:pPr>
    </w:p>
    <w:p w14:paraId="250A00F6" w14:textId="77777777" w:rsidR="00974899" w:rsidRDefault="00974899" w:rsidP="00974899">
      <w:pPr>
        <w:pStyle w:val="LagParagraf"/>
      </w:pPr>
      <w:r>
        <w:t>3 §</w:t>
      </w:r>
    </w:p>
    <w:p w14:paraId="0BD3939E" w14:textId="77777777" w:rsidR="00974899" w:rsidRDefault="00974899" w:rsidP="00974899">
      <w:pPr>
        <w:pStyle w:val="LagPararubrik"/>
      </w:pPr>
      <w:r w:rsidRPr="0086106A">
        <w:t>Förvaltningsuppgifter</w:t>
      </w:r>
    </w:p>
    <w:p w14:paraId="4ED2DB5B" w14:textId="77777777" w:rsidR="00974899" w:rsidRPr="0086106A" w:rsidRDefault="00974899" w:rsidP="00974899">
      <w:pPr>
        <w:pStyle w:val="ANormal"/>
      </w:pPr>
      <w:r>
        <w:tab/>
      </w:r>
      <w:r w:rsidRPr="0086106A">
        <w:t xml:space="preserve">Om </w:t>
      </w:r>
      <w:r>
        <w:t xml:space="preserve">det </w:t>
      </w:r>
      <w:r w:rsidRPr="0086106A">
        <w:t xml:space="preserve">inte </w:t>
      </w:r>
      <w:r>
        <w:t xml:space="preserve">finns </w:t>
      </w:r>
      <w:r w:rsidRPr="0086106A">
        <w:t>särskil</w:t>
      </w:r>
      <w:r>
        <w:t>da bestämmelser</w:t>
      </w:r>
      <w:r w:rsidRPr="0086106A">
        <w:t xml:space="preserve"> i annan landskapslag ska de förvaltningsuppgifter</w:t>
      </w:r>
      <w:r>
        <w:t xml:space="preserve"> som</w:t>
      </w:r>
      <w:r w:rsidRPr="0086106A">
        <w:t xml:space="preserve"> enligt en författning som a</w:t>
      </w:r>
      <w:r>
        <w:t>ng</w:t>
      </w:r>
      <w:r w:rsidRPr="0086106A">
        <w:t>es i 1</w:t>
      </w:r>
      <w:r>
        <w:t> §</w:t>
      </w:r>
      <w:r w:rsidRPr="0086106A">
        <w:t xml:space="preserve"> </w:t>
      </w:r>
      <w:r>
        <w:t>sköts</w:t>
      </w:r>
      <w:r w:rsidRPr="0086106A">
        <w:t xml:space="preserve"> av myndigheter i riket, </w:t>
      </w:r>
      <w:r>
        <w:t xml:space="preserve">på Åland </w:t>
      </w:r>
      <w:r w:rsidRPr="0086106A">
        <w:t>skötas av Ålands energimyndighet till den del förvaltningen grundar sig på landskapets behörighet på området.</w:t>
      </w:r>
    </w:p>
    <w:p w14:paraId="0A360C6D" w14:textId="77777777" w:rsidR="00974899" w:rsidRPr="0086106A" w:rsidRDefault="00974899" w:rsidP="00974899">
      <w:pPr>
        <w:pStyle w:val="ANormal"/>
      </w:pPr>
      <w:r>
        <w:tab/>
      </w:r>
      <w:r w:rsidRPr="0086106A">
        <w:t>Ålands energimyndighet är en sådan auktionsförrättare som avses i kapitel V i kommissionens delegerade förordning (EU) 2023/2830 om komplettering av Europaparlamentets och rådets direktiv 2003/87/EG genom fastställande av regler om tidsschema, administration och andra aspekter av auktionering av utsläppsrätter för växthusgaser.</w:t>
      </w:r>
    </w:p>
    <w:p w14:paraId="56876752" w14:textId="77777777" w:rsidR="00974899" w:rsidRPr="0086106A" w:rsidRDefault="00974899" w:rsidP="00974899">
      <w:pPr>
        <w:pStyle w:val="ANormal"/>
      </w:pPr>
      <w:r>
        <w:tab/>
      </w:r>
      <w:r w:rsidRPr="0086106A">
        <w:t xml:space="preserve">Ålands </w:t>
      </w:r>
      <w:r>
        <w:t>e</w:t>
      </w:r>
      <w:r w:rsidRPr="0086106A">
        <w:t>nergimyndighet auktionerar ut Ålands andel av den totala andel utsläppsrätter Finland tilldelats med stöd av 43</w:t>
      </w:r>
      <w:r>
        <w:t> §</w:t>
      </w:r>
      <w:r w:rsidRPr="0086106A">
        <w:t xml:space="preserve"> i lagen om utsläppshandel och artikel 10.2 i utsläppshandelsdirektivet.</w:t>
      </w:r>
    </w:p>
    <w:p w14:paraId="239397B2" w14:textId="77777777" w:rsidR="00974899" w:rsidRPr="0086106A" w:rsidRDefault="00974899" w:rsidP="00974899">
      <w:pPr>
        <w:pStyle w:val="ANormal"/>
      </w:pPr>
      <w:r>
        <w:tab/>
      </w:r>
      <w:r w:rsidRPr="0086106A">
        <w:t>Med avvikelse från 44</w:t>
      </w:r>
      <w:r>
        <w:t> §</w:t>
      </w:r>
      <w:r w:rsidRPr="0086106A">
        <w:t xml:space="preserve"> 2</w:t>
      </w:r>
      <w:r>
        <w:t> mom.</w:t>
      </w:r>
      <w:r w:rsidRPr="0086106A">
        <w:t xml:space="preserve"> i lagen om utsläppshandel är det Ålands energimyndighet som tar emot Ålands auktionsintäkter och redovisar intäkterna till Ålands </w:t>
      </w:r>
      <w:r>
        <w:t>l</w:t>
      </w:r>
      <w:r w:rsidRPr="0086106A">
        <w:t xml:space="preserve">andskapsregering. I övrigt sker auktioneringen på det sätt </w:t>
      </w:r>
      <w:r w:rsidRPr="001600AA">
        <w:rPr>
          <w:highlight w:val="yellow"/>
        </w:rPr>
        <w:t>som</w:t>
      </w:r>
      <w:r>
        <w:t xml:space="preserve"> </w:t>
      </w:r>
      <w:r w:rsidRPr="0086106A">
        <w:t>anges i 44</w:t>
      </w:r>
      <w:r>
        <w:t> §</w:t>
      </w:r>
      <w:r w:rsidRPr="0086106A">
        <w:t xml:space="preserve"> i nämnda lag.</w:t>
      </w:r>
    </w:p>
    <w:p w14:paraId="702F5882" w14:textId="77777777" w:rsidR="00974899" w:rsidRDefault="00974899" w:rsidP="00974899">
      <w:pPr>
        <w:pStyle w:val="ANormal"/>
      </w:pPr>
      <w:r>
        <w:tab/>
      </w:r>
      <w:r w:rsidRPr="0086106A">
        <w:t>I landskapslagen (2015:103) om Ålands energimyndighet finns särskilda bestämmelser om de förvaltningsuppgifter som avses i 1</w:t>
      </w:r>
      <w:r>
        <w:t> mom.</w:t>
      </w:r>
    </w:p>
    <w:p w14:paraId="6363730D" w14:textId="77777777" w:rsidR="00974899" w:rsidRDefault="00974899" w:rsidP="00974899">
      <w:pPr>
        <w:pStyle w:val="ANormal"/>
      </w:pPr>
    </w:p>
    <w:p w14:paraId="7941B56D" w14:textId="77777777" w:rsidR="00974899" w:rsidRDefault="00974899" w:rsidP="00974899">
      <w:pPr>
        <w:pStyle w:val="LagParagraf"/>
      </w:pPr>
      <w:r>
        <w:t>5 §</w:t>
      </w:r>
    </w:p>
    <w:p w14:paraId="68DA1287" w14:textId="77777777" w:rsidR="00974899" w:rsidRDefault="00974899" w:rsidP="00974899">
      <w:pPr>
        <w:pStyle w:val="LagPararubrik"/>
      </w:pPr>
      <w:r>
        <w:t>Avvikelser från bestämmelserna i rikslagstiftningen</w:t>
      </w:r>
    </w:p>
    <w:p w14:paraId="1105AFAB" w14:textId="77777777" w:rsidR="00974899" w:rsidRDefault="00974899" w:rsidP="00974899">
      <w:pPr>
        <w:pStyle w:val="ANormal"/>
      </w:pPr>
      <w:r>
        <w:tab/>
        <w:t>Om en verksamhetsutövare åläggs att betala avgift för överskriden utsläppsrätt ska åläggandet avse betalning till landskapet.</w:t>
      </w:r>
    </w:p>
    <w:p w14:paraId="2230F8CE" w14:textId="77777777" w:rsidR="00974899" w:rsidRDefault="00974899" w:rsidP="00974899">
      <w:pPr>
        <w:pStyle w:val="ANormal"/>
      </w:pPr>
      <w:r>
        <w:tab/>
        <w:t>Ålands energimyndighet har trots sekretessbestämmelserna rätt att av rederier med hemvist på Åland få uppgifter om de kostnader rederiet har haft för de utsläppsrätter som det överlämnat till unionsregistret och som motsvarar de utsläpp av växthusgaser som rederiets fartyg enligt den i lagen fastställda utsläppsrapporten gett upphov till under det föregående kalenderåret.</w:t>
      </w:r>
    </w:p>
    <w:p w14:paraId="4BC5CDD4" w14:textId="77777777" w:rsidR="00974899" w:rsidRDefault="00974899" w:rsidP="00974899">
      <w:pPr>
        <w:pStyle w:val="ANormal"/>
      </w:pPr>
      <w:r>
        <w:tab/>
        <w:t>Bestämmelser om avgifter för landskapsregeringens prestationer finns i landskapslagen (1993:27) om grunderna för avgifter till landskapet.</w:t>
      </w:r>
    </w:p>
    <w:p w14:paraId="3CB5FF61" w14:textId="77777777" w:rsidR="00F35DAF" w:rsidRDefault="00F35DAF" w:rsidP="00F35DAF">
      <w:pPr>
        <w:pStyle w:val="ANormal"/>
      </w:pPr>
    </w:p>
    <w:p w14:paraId="55418C8E" w14:textId="77777777" w:rsidR="00071479" w:rsidRDefault="00071479" w:rsidP="00F35DAF">
      <w:pPr>
        <w:pStyle w:val="ANormal"/>
      </w:pPr>
    </w:p>
    <w:p w14:paraId="515003DA" w14:textId="77777777" w:rsidR="00071479" w:rsidRPr="00F35DAF" w:rsidRDefault="00071479" w:rsidP="00F35DAF">
      <w:pPr>
        <w:pStyle w:val="ANormal"/>
      </w:pPr>
    </w:p>
    <w:p w14:paraId="4B75C31D" w14:textId="77777777" w:rsidR="00CB35BB" w:rsidRDefault="00CB35BB" w:rsidP="00CB35BB">
      <w:pPr>
        <w:pStyle w:val="ANormal"/>
        <w:jc w:val="center"/>
      </w:pPr>
      <w:hyperlink w:anchor="_top" w:tooltip="Klicka för att gå till toppen av dokumentet" w:history="1">
        <w:r>
          <w:rPr>
            <w:rStyle w:val="Hyperlnk"/>
          </w:rPr>
          <w:t>__________________</w:t>
        </w:r>
      </w:hyperlink>
    </w:p>
    <w:p w14:paraId="7FCB1489" w14:textId="77777777" w:rsidR="00CB35BB" w:rsidRDefault="00CB35BB" w:rsidP="00CB35BB">
      <w:pPr>
        <w:pStyle w:val="ANormal"/>
      </w:pPr>
    </w:p>
    <w:p w14:paraId="2CDFC647" w14:textId="6CDE3BA0" w:rsidR="00CB35BB" w:rsidRDefault="00CB35BB" w:rsidP="00CB35BB">
      <w:pPr>
        <w:pStyle w:val="ANormal"/>
      </w:pPr>
      <w:r>
        <w:tab/>
        <w:t>Denna lag träder i kraft den</w:t>
      </w:r>
      <w:r w:rsidR="008E52B4">
        <w:t>…</w:t>
      </w:r>
    </w:p>
    <w:p w14:paraId="1FC66B09" w14:textId="77777777" w:rsidR="00CB35BB" w:rsidRDefault="00CB35BB" w:rsidP="00CB35BB">
      <w:pPr>
        <w:pStyle w:val="ANormal"/>
        <w:jc w:val="center"/>
      </w:pPr>
      <w:hyperlink w:anchor="_top" w:tooltip="Klicka för att gå till toppen av dokumentet" w:history="1">
        <w:r>
          <w:rPr>
            <w:rStyle w:val="Hyperlnk"/>
          </w:rPr>
          <w:t>__________________</w:t>
        </w:r>
      </w:hyperlink>
    </w:p>
    <w:p w14:paraId="51217069" w14:textId="77777777" w:rsidR="002401D0" w:rsidRDefault="002401D0">
      <w:pPr>
        <w:pStyle w:val="ANormal"/>
      </w:pPr>
    </w:p>
    <w:tbl>
      <w:tblPr>
        <w:tblW w:w="7931" w:type="dxa"/>
        <w:tblCellMar>
          <w:left w:w="0" w:type="dxa"/>
          <w:right w:w="0" w:type="dxa"/>
        </w:tblCellMar>
        <w:tblLook w:val="0000" w:firstRow="0" w:lastRow="0" w:firstColumn="0" w:lastColumn="0" w:noHBand="0" w:noVBand="0"/>
      </w:tblPr>
      <w:tblGrid>
        <w:gridCol w:w="4454"/>
        <w:gridCol w:w="3477"/>
      </w:tblGrid>
      <w:tr w:rsidR="002401D0" w14:paraId="26899BE0" w14:textId="77777777">
        <w:trPr>
          <w:cantSplit/>
        </w:trPr>
        <w:tc>
          <w:tcPr>
            <w:tcW w:w="7931" w:type="dxa"/>
            <w:gridSpan w:val="2"/>
          </w:tcPr>
          <w:p w14:paraId="0AE24BFB" w14:textId="350E2139" w:rsidR="002401D0" w:rsidRDefault="002401D0">
            <w:pPr>
              <w:pStyle w:val="ANormal"/>
              <w:keepNext/>
            </w:pPr>
            <w:r>
              <w:t xml:space="preserve">Mariehamn den </w:t>
            </w:r>
            <w:r w:rsidR="000C7DE8">
              <w:t>1</w:t>
            </w:r>
            <w:r w:rsidR="003521C7">
              <w:t>5</w:t>
            </w:r>
            <w:r w:rsidR="00F35DAF">
              <w:t xml:space="preserve"> </w:t>
            </w:r>
            <w:r w:rsidR="000C7DE8">
              <w:t>juni</w:t>
            </w:r>
            <w:r w:rsidR="00F35DAF">
              <w:t xml:space="preserve"> 202</w:t>
            </w:r>
            <w:r w:rsidR="000C7DE8">
              <w:t>6</w:t>
            </w:r>
          </w:p>
        </w:tc>
      </w:tr>
      <w:tr w:rsidR="002401D0" w14:paraId="03960B85" w14:textId="77777777">
        <w:tc>
          <w:tcPr>
            <w:tcW w:w="4454" w:type="dxa"/>
            <w:vAlign w:val="bottom"/>
          </w:tcPr>
          <w:p w14:paraId="082DA2FD" w14:textId="77777777" w:rsidR="002401D0" w:rsidRDefault="002401D0">
            <w:pPr>
              <w:pStyle w:val="ANormal"/>
              <w:keepNext/>
            </w:pPr>
          </w:p>
          <w:p w14:paraId="59D289BE" w14:textId="77777777" w:rsidR="002401D0" w:rsidRDefault="002401D0">
            <w:pPr>
              <w:pStyle w:val="ANormal"/>
              <w:keepNext/>
            </w:pPr>
          </w:p>
          <w:p w14:paraId="7CFB22F3" w14:textId="77777777" w:rsidR="002401D0" w:rsidRDefault="002401D0">
            <w:pPr>
              <w:pStyle w:val="ANormal"/>
              <w:keepNext/>
            </w:pPr>
            <w:r>
              <w:t>Ordförande</w:t>
            </w:r>
          </w:p>
        </w:tc>
        <w:tc>
          <w:tcPr>
            <w:tcW w:w="3477" w:type="dxa"/>
            <w:vAlign w:val="bottom"/>
          </w:tcPr>
          <w:p w14:paraId="4978B7D1" w14:textId="77777777" w:rsidR="002401D0" w:rsidRDefault="002401D0">
            <w:pPr>
              <w:pStyle w:val="ANormal"/>
              <w:keepNext/>
            </w:pPr>
          </w:p>
          <w:p w14:paraId="3730AA5D" w14:textId="77777777" w:rsidR="002401D0" w:rsidRDefault="002401D0">
            <w:pPr>
              <w:pStyle w:val="ANormal"/>
              <w:keepNext/>
            </w:pPr>
          </w:p>
          <w:p w14:paraId="610478AA" w14:textId="0CE44BD8" w:rsidR="002401D0" w:rsidRDefault="00F35DAF">
            <w:pPr>
              <w:pStyle w:val="ANormal"/>
              <w:keepNext/>
            </w:pPr>
            <w:r>
              <w:t>J</w:t>
            </w:r>
            <w:r w:rsidR="00671727">
              <w:t>ohn</w:t>
            </w:r>
            <w:r>
              <w:t xml:space="preserve"> </w:t>
            </w:r>
            <w:r w:rsidR="00671727">
              <w:t>Holmberg</w:t>
            </w:r>
          </w:p>
        </w:tc>
      </w:tr>
      <w:tr w:rsidR="002401D0" w14:paraId="1E867933" w14:textId="77777777">
        <w:tc>
          <w:tcPr>
            <w:tcW w:w="4454" w:type="dxa"/>
            <w:vAlign w:val="bottom"/>
          </w:tcPr>
          <w:p w14:paraId="2E44A72A" w14:textId="77777777" w:rsidR="002401D0" w:rsidRDefault="002401D0">
            <w:pPr>
              <w:pStyle w:val="ANormal"/>
              <w:keepNext/>
            </w:pPr>
          </w:p>
          <w:p w14:paraId="1ACDB26E" w14:textId="77777777" w:rsidR="002401D0" w:rsidRDefault="002401D0">
            <w:pPr>
              <w:pStyle w:val="ANormal"/>
              <w:keepNext/>
            </w:pPr>
          </w:p>
          <w:p w14:paraId="6042D3F7" w14:textId="77777777" w:rsidR="002401D0" w:rsidRDefault="002401D0">
            <w:pPr>
              <w:pStyle w:val="ANormal"/>
              <w:keepNext/>
            </w:pPr>
            <w:r>
              <w:t>Sekreterare</w:t>
            </w:r>
          </w:p>
        </w:tc>
        <w:tc>
          <w:tcPr>
            <w:tcW w:w="3477" w:type="dxa"/>
            <w:vAlign w:val="bottom"/>
          </w:tcPr>
          <w:p w14:paraId="7ECA98CC" w14:textId="77777777" w:rsidR="002401D0" w:rsidRDefault="002401D0">
            <w:pPr>
              <w:pStyle w:val="ANormal"/>
              <w:keepNext/>
            </w:pPr>
          </w:p>
          <w:p w14:paraId="3D54C3CB" w14:textId="77777777" w:rsidR="002401D0" w:rsidRDefault="002401D0">
            <w:pPr>
              <w:pStyle w:val="ANormal"/>
              <w:keepNext/>
            </w:pPr>
          </w:p>
          <w:p w14:paraId="77E81BFC" w14:textId="4663A354" w:rsidR="002401D0" w:rsidRDefault="000E00F7">
            <w:pPr>
              <w:pStyle w:val="ANormal"/>
              <w:keepNext/>
            </w:pPr>
            <w:r>
              <w:t>Benjamin Sidorov</w:t>
            </w:r>
          </w:p>
        </w:tc>
      </w:tr>
    </w:tbl>
    <w:p w14:paraId="27E46DAC" w14:textId="77777777" w:rsidR="002401D0" w:rsidRDefault="002401D0">
      <w:pPr>
        <w:pStyle w:val="ANormal"/>
      </w:pPr>
    </w:p>
    <w:sectPr w:rsidR="002401D0">
      <w:headerReference w:type="even" r:id="rId15"/>
      <w:headerReference w:type="default" r:id="rId16"/>
      <w:footerReference w:type="default" r:id="rId17"/>
      <w:type w:val="continuous"/>
      <w:pgSz w:w="11906" w:h="16838" w:code="9"/>
      <w:pgMar w:top="1134" w:right="3175" w:bottom="1247" w:left="2041" w:header="737" w:footer="737" w:gutter="0"/>
      <w:cols w:space="720"/>
      <w:formProt w:val="0"/>
      <w:titlePg/>
      <w:docGrid w:linePitch="2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62E0B" w14:textId="77777777" w:rsidR="00E61AEC" w:rsidRDefault="00E61AEC">
      <w:r>
        <w:separator/>
      </w:r>
    </w:p>
  </w:endnote>
  <w:endnote w:type="continuationSeparator" w:id="0">
    <w:p w14:paraId="6C59DAC9" w14:textId="77777777" w:rsidR="00E61AEC" w:rsidRDefault="00E61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D365B" w14:textId="77777777" w:rsidR="002401D0" w:rsidRDefault="002401D0">
    <w:pPr>
      <w:pStyle w:val="Sidfot"/>
      <w:tabs>
        <w:tab w:val="clear" w:pos="816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A01BF" w14:textId="1D5EE0A6" w:rsidR="002401D0" w:rsidRDefault="002401D0">
    <w:pPr>
      <w:pStyle w:val="Sidfot"/>
      <w:rPr>
        <w:lang w:val="fi-FI"/>
      </w:rPr>
    </w:pPr>
    <w:r>
      <w:fldChar w:fldCharType="begin"/>
    </w:r>
    <w:r>
      <w:rPr>
        <w:lang w:val="fi-FI"/>
      </w:rPr>
      <w:instrText xml:space="preserve"> FILENAME  \* MERGEFORMAT </w:instrText>
    </w:r>
    <w:r>
      <w:fldChar w:fldCharType="separate"/>
    </w:r>
    <w:r w:rsidR="00D37316">
      <w:rPr>
        <w:noProof/>
        <w:lang w:val="fi-FI"/>
      </w:rPr>
      <w:t>FNU</w:t>
    </w:r>
    <w:r w:rsidR="000C7DE8">
      <w:rPr>
        <w:noProof/>
        <w:lang w:val="fi-FI"/>
      </w:rPr>
      <w:t>1</w:t>
    </w:r>
    <w:r w:rsidR="00A860CB">
      <w:rPr>
        <w:noProof/>
        <w:lang w:val="fi-FI"/>
      </w:rPr>
      <w:t>9</w:t>
    </w:r>
    <w:r w:rsidR="00D37316">
      <w:rPr>
        <w:noProof/>
        <w:lang w:val="fi-FI"/>
      </w:rPr>
      <w:t>202</w:t>
    </w:r>
    <w:r w:rsidR="000C7DE8">
      <w:rPr>
        <w:noProof/>
        <w:lang w:val="fi-FI"/>
      </w:rPr>
      <w:t>5</w:t>
    </w:r>
    <w:r w:rsidR="00D37316">
      <w:rPr>
        <w:noProof/>
        <w:lang w:val="fi-FI"/>
      </w:rPr>
      <w:t>202</w:t>
    </w:r>
    <w:r w:rsidR="000C7DE8">
      <w:rPr>
        <w:noProof/>
        <w:lang w:val="fi-FI"/>
      </w:rPr>
      <w:t>6</w:t>
    </w:r>
    <w:r w:rsidR="00D37316">
      <w:rPr>
        <w:noProof/>
        <w:lang w:val="fi-FI"/>
      </w:rPr>
      <w:t>.docx</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B953E" w14:textId="77777777" w:rsidR="002401D0" w:rsidRDefault="002401D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4ABC0" w14:textId="77777777" w:rsidR="00E61AEC" w:rsidRDefault="00E61AEC">
      <w:r>
        <w:separator/>
      </w:r>
    </w:p>
  </w:footnote>
  <w:footnote w:type="continuationSeparator" w:id="0">
    <w:p w14:paraId="2096DF03" w14:textId="77777777" w:rsidR="00E61AEC" w:rsidRDefault="00E61A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42A09" w14:textId="77777777" w:rsidR="002401D0" w:rsidRDefault="002401D0">
    <w:pPr>
      <w:pStyle w:val="Sidhuvud"/>
      <w:ind w:left="-1928"/>
      <w:rPr>
        <w:rStyle w:val="Sidnummer"/>
      </w:rPr>
    </w:pPr>
    <w:r>
      <w:rPr>
        <w:rStyle w:val="Sidnummer"/>
      </w:rPr>
      <w:fldChar w:fldCharType="begin"/>
    </w:r>
    <w:r>
      <w:rPr>
        <w:rStyle w:val="Sidnummer"/>
      </w:rPr>
      <w:instrText xml:space="preserve"> PAGE </w:instrText>
    </w:r>
    <w:r>
      <w:rPr>
        <w:rStyle w:val="Sidnummer"/>
      </w:rPr>
      <w:fldChar w:fldCharType="separate"/>
    </w:r>
    <w:r>
      <w:rPr>
        <w:rStyle w:val="Sidnummer"/>
        <w:noProof/>
      </w:rPr>
      <w:t>2</w:t>
    </w:r>
    <w:r>
      <w:rPr>
        <w:rStyle w:val="Sidnummer"/>
      </w:rPr>
      <w:fldChar w:fldCharType="end"/>
    </w:r>
  </w:p>
  <w:p w14:paraId="171D8A2B" w14:textId="77777777" w:rsidR="002401D0" w:rsidRDefault="002401D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96723" w14:textId="77777777" w:rsidR="002401D0" w:rsidRDefault="002401D0">
    <w:pPr>
      <w:pStyle w:val="Sidhuvud"/>
      <w:rPr>
        <w:rStyle w:val="Sidnummer"/>
      </w:rPr>
    </w:pPr>
    <w:r>
      <w:tab/>
    </w:r>
    <w:r>
      <w:rPr>
        <w:rStyle w:val="Sidnummer"/>
      </w:rPr>
      <w:fldChar w:fldCharType="begin"/>
    </w:r>
    <w:r>
      <w:rPr>
        <w:rStyle w:val="Sidnummer"/>
      </w:rPr>
      <w:instrText xml:space="preserve"> PAGE </w:instrText>
    </w:r>
    <w:r>
      <w:rPr>
        <w:rStyle w:val="Sidnummer"/>
      </w:rPr>
      <w:fldChar w:fldCharType="separate"/>
    </w:r>
    <w:r>
      <w:rPr>
        <w:rStyle w:val="Sidnummer"/>
        <w:noProof/>
      </w:rPr>
      <w:t>3</w:t>
    </w:r>
    <w:r>
      <w:rPr>
        <w:rStyle w:val="Sid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8B6C3024"/>
    <w:lvl w:ilvl="0">
      <w:start w:val="1"/>
      <w:numFmt w:val="bullet"/>
      <w:pStyle w:val="Punktlista3"/>
      <w:lvlText w:val=""/>
      <w:lvlJc w:val="left"/>
      <w:pPr>
        <w:tabs>
          <w:tab w:val="num" w:pos="926"/>
        </w:tabs>
        <w:ind w:left="926" w:hanging="360"/>
      </w:pPr>
      <w:rPr>
        <w:rFonts w:ascii="Symbol" w:hAnsi="Symbol" w:hint="default"/>
      </w:rPr>
    </w:lvl>
  </w:abstractNum>
  <w:abstractNum w:abstractNumId="1" w15:restartNumberingAfterBreak="0">
    <w:nsid w:val="4DAD22B0"/>
    <w:multiLevelType w:val="multilevel"/>
    <w:tmpl w:val="A5D69DF0"/>
    <w:lvl w:ilvl="0">
      <w:start w:val="1"/>
      <w:numFmt w:val="decimal"/>
      <w:pStyle w:val="Rubrik1"/>
      <w:suff w:val="space"/>
      <w:lvlText w:val="Kapitel %1"/>
      <w:lvlJc w:val="left"/>
      <w:pPr>
        <w:ind w:left="0" w:firstLine="0"/>
      </w:pPr>
    </w:lvl>
    <w:lvl w:ilvl="1">
      <w:start w:val="1"/>
      <w:numFmt w:val="none"/>
      <w:pStyle w:val="Rubrik2"/>
      <w:suff w:val="nothing"/>
      <w:lvlText w:val=""/>
      <w:lvlJc w:val="left"/>
      <w:pPr>
        <w:ind w:left="0" w:firstLine="0"/>
      </w:pPr>
    </w:lvl>
    <w:lvl w:ilvl="2">
      <w:start w:val="1"/>
      <w:numFmt w:val="none"/>
      <w:pStyle w:val="Rubrik3"/>
      <w:suff w:val="nothing"/>
      <w:lvlText w:val=""/>
      <w:lvlJc w:val="left"/>
      <w:pPr>
        <w:ind w:left="0" w:firstLine="0"/>
      </w:pPr>
    </w:lvl>
    <w:lvl w:ilvl="3">
      <w:start w:val="1"/>
      <w:numFmt w:val="none"/>
      <w:pStyle w:val="Rubrik4"/>
      <w:suff w:val="nothing"/>
      <w:lvlText w:val=""/>
      <w:lvlJc w:val="left"/>
      <w:pPr>
        <w:ind w:left="0" w:firstLine="0"/>
      </w:pPr>
    </w:lvl>
    <w:lvl w:ilvl="4">
      <w:start w:val="1"/>
      <w:numFmt w:val="none"/>
      <w:pStyle w:val="Rubrik5"/>
      <w:suff w:val="nothing"/>
      <w:lvlText w:val=""/>
      <w:lvlJc w:val="left"/>
      <w:pPr>
        <w:ind w:left="0" w:firstLine="0"/>
      </w:pPr>
    </w:lvl>
    <w:lvl w:ilvl="5">
      <w:start w:val="1"/>
      <w:numFmt w:val="none"/>
      <w:pStyle w:val="Rubrik6"/>
      <w:suff w:val="nothing"/>
      <w:lvlText w:val=""/>
      <w:lvlJc w:val="left"/>
      <w:pPr>
        <w:ind w:left="0" w:firstLine="0"/>
      </w:pPr>
    </w:lvl>
    <w:lvl w:ilvl="6">
      <w:start w:val="1"/>
      <w:numFmt w:val="none"/>
      <w:pStyle w:val="Rubrik7"/>
      <w:suff w:val="nothing"/>
      <w:lvlText w:val=""/>
      <w:lvlJc w:val="left"/>
      <w:pPr>
        <w:ind w:left="0" w:firstLine="0"/>
      </w:pPr>
    </w:lvl>
    <w:lvl w:ilvl="7">
      <w:start w:val="1"/>
      <w:numFmt w:val="none"/>
      <w:pStyle w:val="Rubrik8"/>
      <w:suff w:val="nothing"/>
      <w:lvlText w:val=""/>
      <w:lvlJc w:val="left"/>
      <w:pPr>
        <w:ind w:left="0" w:firstLine="0"/>
      </w:pPr>
    </w:lvl>
    <w:lvl w:ilvl="8">
      <w:start w:val="1"/>
      <w:numFmt w:val="none"/>
      <w:pStyle w:val="Rubrik9"/>
      <w:suff w:val="nothing"/>
      <w:lvlText w:val=""/>
      <w:lvlJc w:val="left"/>
      <w:pPr>
        <w:ind w:left="0" w:firstLine="0"/>
      </w:pPr>
    </w:lvl>
  </w:abstractNum>
  <w:abstractNum w:abstractNumId="2" w15:restartNumberingAfterBreak="0">
    <w:nsid w:val="57E542AD"/>
    <w:multiLevelType w:val="hybridMultilevel"/>
    <w:tmpl w:val="383CAE74"/>
    <w:lvl w:ilvl="0" w:tplc="CA9085FC">
      <w:start w:val="1"/>
      <w:numFmt w:val="bullet"/>
      <w:lvlRestart w:val="0"/>
      <w:pStyle w:val="ArendeUnderRubrik"/>
      <w:lvlText w:val=""/>
      <w:lvlJc w:val="left"/>
      <w:pPr>
        <w:tabs>
          <w:tab w:val="num" w:pos="283"/>
        </w:tabs>
        <w:ind w:left="283" w:hanging="283"/>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7F80F6B"/>
    <w:multiLevelType w:val="hybridMultilevel"/>
    <w:tmpl w:val="1090B7D4"/>
    <w:lvl w:ilvl="0" w:tplc="0D1420AC">
      <w:start w:val="1"/>
      <w:numFmt w:val="decimal"/>
      <w:pStyle w:val="ArendeUnderRubrikSiffra"/>
      <w:lvlText w:val="%1."/>
      <w:lvlJc w:val="left"/>
      <w:pPr>
        <w:tabs>
          <w:tab w:val="num" w:pos="360"/>
        </w:tabs>
        <w:ind w:left="360" w:hanging="360"/>
      </w:pPr>
    </w:lvl>
    <w:lvl w:ilvl="1" w:tplc="041D0003" w:tentative="1">
      <w:start w:val="1"/>
      <w:numFmt w:val="bullet"/>
      <w:lvlText w:val="o"/>
      <w:lvlJc w:val="left"/>
      <w:pPr>
        <w:tabs>
          <w:tab w:val="num" w:pos="1080"/>
        </w:tabs>
        <w:ind w:left="1080" w:hanging="360"/>
      </w:pPr>
      <w:rPr>
        <w:rFonts w:ascii="Courier New" w:hAnsi="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7017749B"/>
    <w:multiLevelType w:val="hybridMultilevel"/>
    <w:tmpl w:val="C90450C2"/>
    <w:lvl w:ilvl="0" w:tplc="081D000F">
      <w:start w:val="1"/>
      <w:numFmt w:val="decimal"/>
      <w:lvlText w:val="%1."/>
      <w:lvlJc w:val="left"/>
      <w:pPr>
        <w:ind w:left="720" w:hanging="360"/>
      </w:pPr>
      <w:rPr>
        <w:rFonts w:hint="default"/>
      </w:rPr>
    </w:lvl>
    <w:lvl w:ilvl="1" w:tplc="081D0019" w:tentative="1">
      <w:start w:val="1"/>
      <w:numFmt w:val="lowerLetter"/>
      <w:lvlText w:val="%2."/>
      <w:lvlJc w:val="left"/>
      <w:pPr>
        <w:ind w:left="1440" w:hanging="360"/>
      </w:pPr>
    </w:lvl>
    <w:lvl w:ilvl="2" w:tplc="081D001B" w:tentative="1">
      <w:start w:val="1"/>
      <w:numFmt w:val="lowerRoman"/>
      <w:lvlText w:val="%3."/>
      <w:lvlJc w:val="right"/>
      <w:pPr>
        <w:ind w:left="2160" w:hanging="180"/>
      </w:pPr>
    </w:lvl>
    <w:lvl w:ilvl="3" w:tplc="081D000F" w:tentative="1">
      <w:start w:val="1"/>
      <w:numFmt w:val="decimal"/>
      <w:lvlText w:val="%4."/>
      <w:lvlJc w:val="left"/>
      <w:pPr>
        <w:ind w:left="2880" w:hanging="360"/>
      </w:pPr>
    </w:lvl>
    <w:lvl w:ilvl="4" w:tplc="081D0019" w:tentative="1">
      <w:start w:val="1"/>
      <w:numFmt w:val="lowerLetter"/>
      <w:lvlText w:val="%5."/>
      <w:lvlJc w:val="left"/>
      <w:pPr>
        <w:ind w:left="3600" w:hanging="360"/>
      </w:pPr>
    </w:lvl>
    <w:lvl w:ilvl="5" w:tplc="081D001B" w:tentative="1">
      <w:start w:val="1"/>
      <w:numFmt w:val="lowerRoman"/>
      <w:lvlText w:val="%6."/>
      <w:lvlJc w:val="right"/>
      <w:pPr>
        <w:ind w:left="4320" w:hanging="180"/>
      </w:pPr>
    </w:lvl>
    <w:lvl w:ilvl="6" w:tplc="081D000F" w:tentative="1">
      <w:start w:val="1"/>
      <w:numFmt w:val="decimal"/>
      <w:lvlText w:val="%7."/>
      <w:lvlJc w:val="left"/>
      <w:pPr>
        <w:ind w:left="5040" w:hanging="360"/>
      </w:pPr>
    </w:lvl>
    <w:lvl w:ilvl="7" w:tplc="081D0019" w:tentative="1">
      <w:start w:val="1"/>
      <w:numFmt w:val="lowerLetter"/>
      <w:lvlText w:val="%8."/>
      <w:lvlJc w:val="left"/>
      <w:pPr>
        <w:ind w:left="5760" w:hanging="360"/>
      </w:pPr>
    </w:lvl>
    <w:lvl w:ilvl="8" w:tplc="081D001B" w:tentative="1">
      <w:start w:val="1"/>
      <w:numFmt w:val="lowerRoman"/>
      <w:lvlText w:val="%9."/>
      <w:lvlJc w:val="right"/>
      <w:pPr>
        <w:ind w:left="6480" w:hanging="180"/>
      </w:pPr>
    </w:lvl>
  </w:abstractNum>
  <w:num w:numId="1" w16cid:durableId="1946574853">
    <w:abstractNumId w:val="0"/>
  </w:num>
  <w:num w:numId="2" w16cid:durableId="1032194197">
    <w:abstractNumId w:val="2"/>
  </w:num>
  <w:num w:numId="3" w16cid:durableId="1545556139">
    <w:abstractNumId w:val="3"/>
  </w:num>
  <w:num w:numId="4" w16cid:durableId="2045014384">
    <w:abstractNumId w:val="1"/>
  </w:num>
  <w:num w:numId="5" w16cid:durableId="792334835">
    <w:abstractNumId w:val="1"/>
  </w:num>
  <w:num w:numId="6" w16cid:durableId="1217089442">
    <w:abstractNumId w:val="1"/>
  </w:num>
  <w:num w:numId="7" w16cid:durableId="1302467399">
    <w:abstractNumId w:val="1"/>
  </w:num>
  <w:num w:numId="8" w16cid:durableId="841815637">
    <w:abstractNumId w:val="1"/>
  </w:num>
  <w:num w:numId="9" w16cid:durableId="1711110333">
    <w:abstractNumId w:val="1"/>
  </w:num>
  <w:num w:numId="10" w16cid:durableId="1007515550">
    <w:abstractNumId w:val="1"/>
  </w:num>
  <w:num w:numId="11" w16cid:durableId="749547559">
    <w:abstractNumId w:val="1"/>
  </w:num>
  <w:num w:numId="12" w16cid:durableId="220406555">
    <w:abstractNumId w:val="1"/>
  </w:num>
  <w:num w:numId="13" w16cid:durableId="430053603">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142"/>
  <w:evenAndOddHeaders/>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E1B"/>
    <w:rsid w:val="00001579"/>
    <w:rsid w:val="000032C2"/>
    <w:rsid w:val="0000761E"/>
    <w:rsid w:val="00012DDF"/>
    <w:rsid w:val="00015E9C"/>
    <w:rsid w:val="000213C8"/>
    <w:rsid w:val="000228E1"/>
    <w:rsid w:val="0003036C"/>
    <w:rsid w:val="000369EB"/>
    <w:rsid w:val="000372C2"/>
    <w:rsid w:val="00051556"/>
    <w:rsid w:val="00070A9A"/>
    <w:rsid w:val="0007115B"/>
    <w:rsid w:val="00071479"/>
    <w:rsid w:val="00073B1D"/>
    <w:rsid w:val="000804FA"/>
    <w:rsid w:val="00082DF8"/>
    <w:rsid w:val="00096E52"/>
    <w:rsid w:val="000A349D"/>
    <w:rsid w:val="000A47BE"/>
    <w:rsid w:val="000B2DC9"/>
    <w:rsid w:val="000C3D49"/>
    <w:rsid w:val="000C7DE8"/>
    <w:rsid w:val="000D01F1"/>
    <w:rsid w:val="000D1EEE"/>
    <w:rsid w:val="000D2B3C"/>
    <w:rsid w:val="000D508E"/>
    <w:rsid w:val="000D6353"/>
    <w:rsid w:val="000E00F7"/>
    <w:rsid w:val="000E35D0"/>
    <w:rsid w:val="000E6BAF"/>
    <w:rsid w:val="000F4E3C"/>
    <w:rsid w:val="000F7417"/>
    <w:rsid w:val="001022FC"/>
    <w:rsid w:val="001067A9"/>
    <w:rsid w:val="00117004"/>
    <w:rsid w:val="00120C6C"/>
    <w:rsid w:val="00124258"/>
    <w:rsid w:val="0012436E"/>
    <w:rsid w:val="0012580E"/>
    <w:rsid w:val="00134087"/>
    <w:rsid w:val="00136230"/>
    <w:rsid w:val="0013687D"/>
    <w:rsid w:val="00141CEF"/>
    <w:rsid w:val="00142F06"/>
    <w:rsid w:val="001449D4"/>
    <w:rsid w:val="00145168"/>
    <w:rsid w:val="001469C2"/>
    <w:rsid w:val="0015337C"/>
    <w:rsid w:val="00155DA3"/>
    <w:rsid w:val="001560E9"/>
    <w:rsid w:val="001565D6"/>
    <w:rsid w:val="00163562"/>
    <w:rsid w:val="00167D73"/>
    <w:rsid w:val="00176086"/>
    <w:rsid w:val="00180C18"/>
    <w:rsid w:val="00193799"/>
    <w:rsid w:val="00194A20"/>
    <w:rsid w:val="00197998"/>
    <w:rsid w:val="001A2DC3"/>
    <w:rsid w:val="001A666F"/>
    <w:rsid w:val="001A7699"/>
    <w:rsid w:val="001B356A"/>
    <w:rsid w:val="001B35DB"/>
    <w:rsid w:val="001B794F"/>
    <w:rsid w:val="001C2C01"/>
    <w:rsid w:val="001C4B53"/>
    <w:rsid w:val="001C79C7"/>
    <w:rsid w:val="001D04A4"/>
    <w:rsid w:val="001D2021"/>
    <w:rsid w:val="001D3339"/>
    <w:rsid w:val="001D3BA5"/>
    <w:rsid w:val="001D52D9"/>
    <w:rsid w:val="001E1381"/>
    <w:rsid w:val="001E1FCE"/>
    <w:rsid w:val="001E6D54"/>
    <w:rsid w:val="001F3754"/>
    <w:rsid w:val="001F3C95"/>
    <w:rsid w:val="001F4B95"/>
    <w:rsid w:val="00202B8A"/>
    <w:rsid w:val="00202FBD"/>
    <w:rsid w:val="00205A80"/>
    <w:rsid w:val="00206729"/>
    <w:rsid w:val="0021127D"/>
    <w:rsid w:val="002160D6"/>
    <w:rsid w:val="0022238B"/>
    <w:rsid w:val="00222652"/>
    <w:rsid w:val="00223BFC"/>
    <w:rsid w:val="00225524"/>
    <w:rsid w:val="00226D3A"/>
    <w:rsid w:val="00227C76"/>
    <w:rsid w:val="00232D62"/>
    <w:rsid w:val="00235051"/>
    <w:rsid w:val="00235D41"/>
    <w:rsid w:val="002401D0"/>
    <w:rsid w:val="00240A3A"/>
    <w:rsid w:val="00240B65"/>
    <w:rsid w:val="00244788"/>
    <w:rsid w:val="0028068B"/>
    <w:rsid w:val="002824B9"/>
    <w:rsid w:val="002826A5"/>
    <w:rsid w:val="00283EE4"/>
    <w:rsid w:val="002876F7"/>
    <w:rsid w:val="0028791D"/>
    <w:rsid w:val="00291DF3"/>
    <w:rsid w:val="00297A04"/>
    <w:rsid w:val="002A715D"/>
    <w:rsid w:val="002B0F87"/>
    <w:rsid w:val="002B119C"/>
    <w:rsid w:val="002D2A82"/>
    <w:rsid w:val="002D3CC1"/>
    <w:rsid w:val="002D43D8"/>
    <w:rsid w:val="002D6106"/>
    <w:rsid w:val="002E00FD"/>
    <w:rsid w:val="002F09B3"/>
    <w:rsid w:val="002F3DD6"/>
    <w:rsid w:val="002F49A5"/>
    <w:rsid w:val="002F77DD"/>
    <w:rsid w:val="002F7C29"/>
    <w:rsid w:val="002F7DBD"/>
    <w:rsid w:val="003067F7"/>
    <w:rsid w:val="00307E33"/>
    <w:rsid w:val="0031096C"/>
    <w:rsid w:val="003118A0"/>
    <w:rsid w:val="0031530D"/>
    <w:rsid w:val="00322436"/>
    <w:rsid w:val="00331973"/>
    <w:rsid w:val="003358FF"/>
    <w:rsid w:val="00340B6C"/>
    <w:rsid w:val="00340CBE"/>
    <w:rsid w:val="00341512"/>
    <w:rsid w:val="00346FB3"/>
    <w:rsid w:val="0034715C"/>
    <w:rsid w:val="00347AD0"/>
    <w:rsid w:val="003521C7"/>
    <w:rsid w:val="00357595"/>
    <w:rsid w:val="0036131D"/>
    <w:rsid w:val="0036359C"/>
    <w:rsid w:val="00363B3A"/>
    <w:rsid w:val="00363CD9"/>
    <w:rsid w:val="003761FC"/>
    <w:rsid w:val="003762E7"/>
    <w:rsid w:val="003806D6"/>
    <w:rsid w:val="003832FB"/>
    <w:rsid w:val="0038446E"/>
    <w:rsid w:val="00384B38"/>
    <w:rsid w:val="00386943"/>
    <w:rsid w:val="0038741A"/>
    <w:rsid w:val="00391813"/>
    <w:rsid w:val="00392649"/>
    <w:rsid w:val="00394391"/>
    <w:rsid w:val="00394F50"/>
    <w:rsid w:val="003A315E"/>
    <w:rsid w:val="003A5DB7"/>
    <w:rsid w:val="003B160C"/>
    <w:rsid w:val="003B4336"/>
    <w:rsid w:val="003B4834"/>
    <w:rsid w:val="003D16BB"/>
    <w:rsid w:val="003D3D5F"/>
    <w:rsid w:val="003D571B"/>
    <w:rsid w:val="003F7FDD"/>
    <w:rsid w:val="00401ABB"/>
    <w:rsid w:val="00402105"/>
    <w:rsid w:val="0042275F"/>
    <w:rsid w:val="0042674A"/>
    <w:rsid w:val="00433406"/>
    <w:rsid w:val="0043475C"/>
    <w:rsid w:val="00434AFD"/>
    <w:rsid w:val="00440427"/>
    <w:rsid w:val="0044139A"/>
    <w:rsid w:val="00445CFD"/>
    <w:rsid w:val="00446E0C"/>
    <w:rsid w:val="00447E65"/>
    <w:rsid w:val="00451E34"/>
    <w:rsid w:val="00467560"/>
    <w:rsid w:val="0047058E"/>
    <w:rsid w:val="00472195"/>
    <w:rsid w:val="00475735"/>
    <w:rsid w:val="0048234F"/>
    <w:rsid w:val="004854CD"/>
    <w:rsid w:val="00485EE0"/>
    <w:rsid w:val="00487B84"/>
    <w:rsid w:val="004A1A90"/>
    <w:rsid w:val="004A2EB4"/>
    <w:rsid w:val="004A545A"/>
    <w:rsid w:val="004A59FE"/>
    <w:rsid w:val="004A5DE0"/>
    <w:rsid w:val="004A6BDB"/>
    <w:rsid w:val="004B705C"/>
    <w:rsid w:val="004C1169"/>
    <w:rsid w:val="004C4280"/>
    <w:rsid w:val="004D356B"/>
    <w:rsid w:val="004D3A9F"/>
    <w:rsid w:val="004E1520"/>
    <w:rsid w:val="004E1EB3"/>
    <w:rsid w:val="004E63A8"/>
    <w:rsid w:val="004F0CB6"/>
    <w:rsid w:val="004F374B"/>
    <w:rsid w:val="004F6540"/>
    <w:rsid w:val="004F6923"/>
    <w:rsid w:val="005046EA"/>
    <w:rsid w:val="00510972"/>
    <w:rsid w:val="00513AA5"/>
    <w:rsid w:val="00515B7A"/>
    <w:rsid w:val="00526694"/>
    <w:rsid w:val="00526867"/>
    <w:rsid w:val="00530EAE"/>
    <w:rsid w:val="00532EC1"/>
    <w:rsid w:val="005341A5"/>
    <w:rsid w:val="00534765"/>
    <w:rsid w:val="0054141F"/>
    <w:rsid w:val="0054337A"/>
    <w:rsid w:val="00550E0F"/>
    <w:rsid w:val="00551D7F"/>
    <w:rsid w:val="00556E69"/>
    <w:rsid w:val="0055723C"/>
    <w:rsid w:val="00564E4D"/>
    <w:rsid w:val="0057529D"/>
    <w:rsid w:val="00575D77"/>
    <w:rsid w:val="00576174"/>
    <w:rsid w:val="005763BC"/>
    <w:rsid w:val="005778FA"/>
    <w:rsid w:val="00577E31"/>
    <w:rsid w:val="00581172"/>
    <w:rsid w:val="00581D34"/>
    <w:rsid w:val="00582BC9"/>
    <w:rsid w:val="00584177"/>
    <w:rsid w:val="00584BEF"/>
    <w:rsid w:val="00584CC6"/>
    <w:rsid w:val="005850BF"/>
    <w:rsid w:val="0059065A"/>
    <w:rsid w:val="0059352C"/>
    <w:rsid w:val="005A1CAF"/>
    <w:rsid w:val="005A5618"/>
    <w:rsid w:val="005A56E3"/>
    <w:rsid w:val="005A73DD"/>
    <w:rsid w:val="005B1774"/>
    <w:rsid w:val="005B627D"/>
    <w:rsid w:val="005B753B"/>
    <w:rsid w:val="005C1A57"/>
    <w:rsid w:val="005D0463"/>
    <w:rsid w:val="005D24FB"/>
    <w:rsid w:val="005D505D"/>
    <w:rsid w:val="005D5D21"/>
    <w:rsid w:val="005E405C"/>
    <w:rsid w:val="005F12D0"/>
    <w:rsid w:val="005F2AC0"/>
    <w:rsid w:val="005F7FBC"/>
    <w:rsid w:val="00604DDA"/>
    <w:rsid w:val="00606CE3"/>
    <w:rsid w:val="006205E8"/>
    <w:rsid w:val="00625BAE"/>
    <w:rsid w:val="00630A4E"/>
    <w:rsid w:val="006409FE"/>
    <w:rsid w:val="0064223D"/>
    <w:rsid w:val="00642D7E"/>
    <w:rsid w:val="006505BA"/>
    <w:rsid w:val="006516B6"/>
    <w:rsid w:val="006527F5"/>
    <w:rsid w:val="00661C9E"/>
    <w:rsid w:val="00664710"/>
    <w:rsid w:val="00664FBE"/>
    <w:rsid w:val="00671727"/>
    <w:rsid w:val="00677499"/>
    <w:rsid w:val="00683EA9"/>
    <w:rsid w:val="00686786"/>
    <w:rsid w:val="00690B76"/>
    <w:rsid w:val="00697F73"/>
    <w:rsid w:val="006A45CD"/>
    <w:rsid w:val="006A5F4A"/>
    <w:rsid w:val="006B22DE"/>
    <w:rsid w:val="006B2E9E"/>
    <w:rsid w:val="006B7A38"/>
    <w:rsid w:val="006C5A11"/>
    <w:rsid w:val="006C6310"/>
    <w:rsid w:val="006D07DC"/>
    <w:rsid w:val="006D3038"/>
    <w:rsid w:val="006D573C"/>
    <w:rsid w:val="006E2825"/>
    <w:rsid w:val="006F4845"/>
    <w:rsid w:val="00703C02"/>
    <w:rsid w:val="00717DE6"/>
    <w:rsid w:val="00721CC7"/>
    <w:rsid w:val="00723B93"/>
    <w:rsid w:val="00732C74"/>
    <w:rsid w:val="00732D5C"/>
    <w:rsid w:val="00732E1B"/>
    <w:rsid w:val="007372BA"/>
    <w:rsid w:val="00737EEE"/>
    <w:rsid w:val="00752CDE"/>
    <w:rsid w:val="00760321"/>
    <w:rsid w:val="00764285"/>
    <w:rsid w:val="00767FEB"/>
    <w:rsid w:val="00771E86"/>
    <w:rsid w:val="00772A0A"/>
    <w:rsid w:val="00772D5F"/>
    <w:rsid w:val="00776AE4"/>
    <w:rsid w:val="0077758D"/>
    <w:rsid w:val="007817D6"/>
    <w:rsid w:val="0078253F"/>
    <w:rsid w:val="007920FD"/>
    <w:rsid w:val="007A657E"/>
    <w:rsid w:val="007A6B32"/>
    <w:rsid w:val="007B13B1"/>
    <w:rsid w:val="007B24D8"/>
    <w:rsid w:val="007C44F3"/>
    <w:rsid w:val="007D132B"/>
    <w:rsid w:val="007D2836"/>
    <w:rsid w:val="007D7014"/>
    <w:rsid w:val="007D7F76"/>
    <w:rsid w:val="007F1007"/>
    <w:rsid w:val="007F2BAC"/>
    <w:rsid w:val="007F59C7"/>
    <w:rsid w:val="007F5C09"/>
    <w:rsid w:val="008039AA"/>
    <w:rsid w:val="00803B7C"/>
    <w:rsid w:val="0080761F"/>
    <w:rsid w:val="00811D50"/>
    <w:rsid w:val="008145C3"/>
    <w:rsid w:val="00816A2C"/>
    <w:rsid w:val="00817B04"/>
    <w:rsid w:val="00821521"/>
    <w:rsid w:val="0082311E"/>
    <w:rsid w:val="00823468"/>
    <w:rsid w:val="00823A8E"/>
    <w:rsid w:val="00824773"/>
    <w:rsid w:val="0083107B"/>
    <w:rsid w:val="008412FA"/>
    <w:rsid w:val="00841F9C"/>
    <w:rsid w:val="00843E82"/>
    <w:rsid w:val="00847625"/>
    <w:rsid w:val="008524B6"/>
    <w:rsid w:val="00853536"/>
    <w:rsid w:val="00853A69"/>
    <w:rsid w:val="00853BBD"/>
    <w:rsid w:val="00860EBC"/>
    <w:rsid w:val="008613A7"/>
    <w:rsid w:val="00861F62"/>
    <w:rsid w:val="008636FC"/>
    <w:rsid w:val="0086596F"/>
    <w:rsid w:val="00876373"/>
    <w:rsid w:val="00880705"/>
    <w:rsid w:val="008824F8"/>
    <w:rsid w:val="008941B8"/>
    <w:rsid w:val="008A551D"/>
    <w:rsid w:val="008B243F"/>
    <w:rsid w:val="008B4446"/>
    <w:rsid w:val="008B545B"/>
    <w:rsid w:val="008B77F5"/>
    <w:rsid w:val="008C1B4A"/>
    <w:rsid w:val="008D7C7F"/>
    <w:rsid w:val="008E4703"/>
    <w:rsid w:val="008E52B4"/>
    <w:rsid w:val="008E6A0E"/>
    <w:rsid w:val="008F21B1"/>
    <w:rsid w:val="008F2769"/>
    <w:rsid w:val="008F64AF"/>
    <w:rsid w:val="0090366B"/>
    <w:rsid w:val="009048EE"/>
    <w:rsid w:val="00905100"/>
    <w:rsid w:val="00906935"/>
    <w:rsid w:val="00906F84"/>
    <w:rsid w:val="00916F71"/>
    <w:rsid w:val="0091703A"/>
    <w:rsid w:val="00917C1B"/>
    <w:rsid w:val="0093326D"/>
    <w:rsid w:val="00933684"/>
    <w:rsid w:val="00937578"/>
    <w:rsid w:val="009376AB"/>
    <w:rsid w:val="00940AD6"/>
    <w:rsid w:val="00944CA3"/>
    <w:rsid w:val="00951E8F"/>
    <w:rsid w:val="0095248A"/>
    <w:rsid w:val="009544E4"/>
    <w:rsid w:val="009551F3"/>
    <w:rsid w:val="0095584B"/>
    <w:rsid w:val="00957C36"/>
    <w:rsid w:val="00962007"/>
    <w:rsid w:val="0096280E"/>
    <w:rsid w:val="00962C3C"/>
    <w:rsid w:val="00967211"/>
    <w:rsid w:val="00970A64"/>
    <w:rsid w:val="00973616"/>
    <w:rsid w:val="00974899"/>
    <w:rsid w:val="0097581F"/>
    <w:rsid w:val="00975F9F"/>
    <w:rsid w:val="0098447F"/>
    <w:rsid w:val="009866F0"/>
    <w:rsid w:val="00986BE0"/>
    <w:rsid w:val="00995AC4"/>
    <w:rsid w:val="009962D1"/>
    <w:rsid w:val="00997FD0"/>
    <w:rsid w:val="009A041B"/>
    <w:rsid w:val="009A0730"/>
    <w:rsid w:val="009B0817"/>
    <w:rsid w:val="009B333D"/>
    <w:rsid w:val="009B3C54"/>
    <w:rsid w:val="009C2751"/>
    <w:rsid w:val="009D562B"/>
    <w:rsid w:val="009D73B2"/>
    <w:rsid w:val="009E29E8"/>
    <w:rsid w:val="009E4155"/>
    <w:rsid w:val="009E4D6A"/>
    <w:rsid w:val="009F5C8B"/>
    <w:rsid w:val="009F6BA9"/>
    <w:rsid w:val="009F7CE2"/>
    <w:rsid w:val="00A00DD5"/>
    <w:rsid w:val="00A04F86"/>
    <w:rsid w:val="00A14C3F"/>
    <w:rsid w:val="00A15C76"/>
    <w:rsid w:val="00A2154B"/>
    <w:rsid w:val="00A321D2"/>
    <w:rsid w:val="00A3443C"/>
    <w:rsid w:val="00A3702A"/>
    <w:rsid w:val="00A45FC2"/>
    <w:rsid w:val="00A5498A"/>
    <w:rsid w:val="00A55CDF"/>
    <w:rsid w:val="00A55CFA"/>
    <w:rsid w:val="00A600CD"/>
    <w:rsid w:val="00A611D6"/>
    <w:rsid w:val="00A7035B"/>
    <w:rsid w:val="00A71F50"/>
    <w:rsid w:val="00A76512"/>
    <w:rsid w:val="00A77353"/>
    <w:rsid w:val="00A860CB"/>
    <w:rsid w:val="00A9059C"/>
    <w:rsid w:val="00A92FE8"/>
    <w:rsid w:val="00A934A9"/>
    <w:rsid w:val="00A96FF1"/>
    <w:rsid w:val="00A97DC3"/>
    <w:rsid w:val="00AA17B4"/>
    <w:rsid w:val="00AB0168"/>
    <w:rsid w:val="00AC09DE"/>
    <w:rsid w:val="00AD2A9B"/>
    <w:rsid w:val="00AD6852"/>
    <w:rsid w:val="00AD76FD"/>
    <w:rsid w:val="00AE3255"/>
    <w:rsid w:val="00AF301D"/>
    <w:rsid w:val="00AF7869"/>
    <w:rsid w:val="00B050D1"/>
    <w:rsid w:val="00B05325"/>
    <w:rsid w:val="00B16830"/>
    <w:rsid w:val="00B21CDA"/>
    <w:rsid w:val="00B22370"/>
    <w:rsid w:val="00B32E91"/>
    <w:rsid w:val="00B336BB"/>
    <w:rsid w:val="00B36492"/>
    <w:rsid w:val="00B36499"/>
    <w:rsid w:val="00B36A8F"/>
    <w:rsid w:val="00B40C5A"/>
    <w:rsid w:val="00B41CB4"/>
    <w:rsid w:val="00B41F59"/>
    <w:rsid w:val="00B425BA"/>
    <w:rsid w:val="00B439B5"/>
    <w:rsid w:val="00B53917"/>
    <w:rsid w:val="00B5407C"/>
    <w:rsid w:val="00B5655F"/>
    <w:rsid w:val="00B65EA2"/>
    <w:rsid w:val="00B66295"/>
    <w:rsid w:val="00B72DC0"/>
    <w:rsid w:val="00B736B4"/>
    <w:rsid w:val="00B7409C"/>
    <w:rsid w:val="00B7509B"/>
    <w:rsid w:val="00B80339"/>
    <w:rsid w:val="00B82A62"/>
    <w:rsid w:val="00B85790"/>
    <w:rsid w:val="00B86A68"/>
    <w:rsid w:val="00B86FF8"/>
    <w:rsid w:val="00B90DEC"/>
    <w:rsid w:val="00B93646"/>
    <w:rsid w:val="00BA1558"/>
    <w:rsid w:val="00BA1876"/>
    <w:rsid w:val="00BA1F70"/>
    <w:rsid w:val="00BB5A48"/>
    <w:rsid w:val="00BC0FFC"/>
    <w:rsid w:val="00BC1F35"/>
    <w:rsid w:val="00BC3655"/>
    <w:rsid w:val="00BC4BAB"/>
    <w:rsid w:val="00BD120F"/>
    <w:rsid w:val="00BD49C6"/>
    <w:rsid w:val="00BD6D47"/>
    <w:rsid w:val="00BD732B"/>
    <w:rsid w:val="00BD7D8C"/>
    <w:rsid w:val="00BE1254"/>
    <w:rsid w:val="00BE734A"/>
    <w:rsid w:val="00BF11E8"/>
    <w:rsid w:val="00BF13C7"/>
    <w:rsid w:val="00BF749C"/>
    <w:rsid w:val="00C01671"/>
    <w:rsid w:val="00C0275F"/>
    <w:rsid w:val="00C06D10"/>
    <w:rsid w:val="00C21D36"/>
    <w:rsid w:val="00C22915"/>
    <w:rsid w:val="00C26B61"/>
    <w:rsid w:val="00C31086"/>
    <w:rsid w:val="00C32C35"/>
    <w:rsid w:val="00C33490"/>
    <w:rsid w:val="00C37C20"/>
    <w:rsid w:val="00C4198F"/>
    <w:rsid w:val="00C43463"/>
    <w:rsid w:val="00C43766"/>
    <w:rsid w:val="00C50E86"/>
    <w:rsid w:val="00C57795"/>
    <w:rsid w:val="00C605A5"/>
    <w:rsid w:val="00C65745"/>
    <w:rsid w:val="00C70853"/>
    <w:rsid w:val="00C762B2"/>
    <w:rsid w:val="00C80C8B"/>
    <w:rsid w:val="00C83894"/>
    <w:rsid w:val="00C848D6"/>
    <w:rsid w:val="00C961EC"/>
    <w:rsid w:val="00CB087E"/>
    <w:rsid w:val="00CB35BB"/>
    <w:rsid w:val="00CB7BCC"/>
    <w:rsid w:val="00CB7D9B"/>
    <w:rsid w:val="00CB7EBF"/>
    <w:rsid w:val="00CC24D1"/>
    <w:rsid w:val="00CC5D66"/>
    <w:rsid w:val="00CD00E1"/>
    <w:rsid w:val="00CD18C7"/>
    <w:rsid w:val="00CD3698"/>
    <w:rsid w:val="00CD50A5"/>
    <w:rsid w:val="00CD710B"/>
    <w:rsid w:val="00CE0CE0"/>
    <w:rsid w:val="00CE1733"/>
    <w:rsid w:val="00CE2052"/>
    <w:rsid w:val="00CE7B3C"/>
    <w:rsid w:val="00CF0B59"/>
    <w:rsid w:val="00CF404D"/>
    <w:rsid w:val="00CF4B5D"/>
    <w:rsid w:val="00CF700E"/>
    <w:rsid w:val="00D0314D"/>
    <w:rsid w:val="00D04E52"/>
    <w:rsid w:val="00D05783"/>
    <w:rsid w:val="00D0586C"/>
    <w:rsid w:val="00D167C2"/>
    <w:rsid w:val="00D168D3"/>
    <w:rsid w:val="00D16961"/>
    <w:rsid w:val="00D20D31"/>
    <w:rsid w:val="00D37316"/>
    <w:rsid w:val="00D41B32"/>
    <w:rsid w:val="00D42E79"/>
    <w:rsid w:val="00D456C8"/>
    <w:rsid w:val="00D460C7"/>
    <w:rsid w:val="00D50A22"/>
    <w:rsid w:val="00D55D3D"/>
    <w:rsid w:val="00D648CC"/>
    <w:rsid w:val="00D7251B"/>
    <w:rsid w:val="00D72F5C"/>
    <w:rsid w:val="00D74F06"/>
    <w:rsid w:val="00D8077F"/>
    <w:rsid w:val="00D81530"/>
    <w:rsid w:val="00D83BF9"/>
    <w:rsid w:val="00D93A87"/>
    <w:rsid w:val="00D945DC"/>
    <w:rsid w:val="00D95F96"/>
    <w:rsid w:val="00DC0B11"/>
    <w:rsid w:val="00DC2E00"/>
    <w:rsid w:val="00DC39B1"/>
    <w:rsid w:val="00DC3EA8"/>
    <w:rsid w:val="00DC3ECB"/>
    <w:rsid w:val="00DC45B2"/>
    <w:rsid w:val="00DC58B4"/>
    <w:rsid w:val="00DC6D14"/>
    <w:rsid w:val="00DC7387"/>
    <w:rsid w:val="00DD360B"/>
    <w:rsid w:val="00DD60D0"/>
    <w:rsid w:val="00DD6E26"/>
    <w:rsid w:val="00DE2AE0"/>
    <w:rsid w:val="00DE4F49"/>
    <w:rsid w:val="00DF67EB"/>
    <w:rsid w:val="00E00D60"/>
    <w:rsid w:val="00E10508"/>
    <w:rsid w:val="00E14572"/>
    <w:rsid w:val="00E15520"/>
    <w:rsid w:val="00E27A8B"/>
    <w:rsid w:val="00E30D20"/>
    <w:rsid w:val="00E413E5"/>
    <w:rsid w:val="00E43398"/>
    <w:rsid w:val="00E52800"/>
    <w:rsid w:val="00E558B6"/>
    <w:rsid w:val="00E558DB"/>
    <w:rsid w:val="00E560E8"/>
    <w:rsid w:val="00E56D82"/>
    <w:rsid w:val="00E61AEC"/>
    <w:rsid w:val="00E64686"/>
    <w:rsid w:val="00E657D7"/>
    <w:rsid w:val="00E712D9"/>
    <w:rsid w:val="00E7287B"/>
    <w:rsid w:val="00E73326"/>
    <w:rsid w:val="00E779FE"/>
    <w:rsid w:val="00E80E39"/>
    <w:rsid w:val="00E82C66"/>
    <w:rsid w:val="00E833EE"/>
    <w:rsid w:val="00E843C1"/>
    <w:rsid w:val="00EA4FF1"/>
    <w:rsid w:val="00EB0374"/>
    <w:rsid w:val="00EB0828"/>
    <w:rsid w:val="00EB2D89"/>
    <w:rsid w:val="00EC42B2"/>
    <w:rsid w:val="00ED51BE"/>
    <w:rsid w:val="00ED5261"/>
    <w:rsid w:val="00ED6C80"/>
    <w:rsid w:val="00EE18A6"/>
    <w:rsid w:val="00EF5F48"/>
    <w:rsid w:val="00F04E5C"/>
    <w:rsid w:val="00F05786"/>
    <w:rsid w:val="00F11079"/>
    <w:rsid w:val="00F22AE4"/>
    <w:rsid w:val="00F32896"/>
    <w:rsid w:val="00F35DAF"/>
    <w:rsid w:val="00F37177"/>
    <w:rsid w:val="00F40CE4"/>
    <w:rsid w:val="00F43B65"/>
    <w:rsid w:val="00F45DDF"/>
    <w:rsid w:val="00F5086C"/>
    <w:rsid w:val="00F60B71"/>
    <w:rsid w:val="00F70E25"/>
    <w:rsid w:val="00F71CCC"/>
    <w:rsid w:val="00F764D1"/>
    <w:rsid w:val="00F8196B"/>
    <w:rsid w:val="00F84F2F"/>
    <w:rsid w:val="00F85FF2"/>
    <w:rsid w:val="00F94574"/>
    <w:rsid w:val="00F95439"/>
    <w:rsid w:val="00FA1F09"/>
    <w:rsid w:val="00FA32F1"/>
    <w:rsid w:val="00FA4BE4"/>
    <w:rsid w:val="00FA6126"/>
    <w:rsid w:val="00FC21EB"/>
    <w:rsid w:val="00FC3FF3"/>
    <w:rsid w:val="00FD45CA"/>
    <w:rsid w:val="00FD4E48"/>
    <w:rsid w:val="00FD5E5D"/>
    <w:rsid w:val="00FD67FA"/>
    <w:rsid w:val="00FD72A9"/>
    <w:rsid w:val="00FD7474"/>
    <w:rsid w:val="00FE0600"/>
    <w:rsid w:val="00FE0B91"/>
    <w:rsid w:val="00FE7111"/>
    <w:rsid w:val="00FF73F5"/>
    <w:rsid w:val="00FF750E"/>
    <w:rsid w:val="17FC7A55"/>
    <w:rsid w:val="1A660137"/>
    <w:rsid w:val="4B47F6F2"/>
  </w:rsids>
  <m:mathPr>
    <m:mathFont m:val="Cambria Math"/>
    <m:brkBin m:val="before"/>
    <m:brkBinSub m:val="--"/>
    <m:smallFrac m:val="0"/>
    <m:dispDef/>
    <m:lMargin m:val="0"/>
    <m:rMargin m:val="0"/>
    <m:defJc m:val="centerGroup"/>
    <m:wrapIndent m:val="1440"/>
    <m:intLim m:val="subSup"/>
    <m:naryLim m:val="undOvr"/>
  </m:mathPr>
  <w:themeFontLang w:val="sv-FI"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5BB21E"/>
  <w15:chartTrackingRefBased/>
  <w15:docId w15:val="{18113F9B-E2C2-4EF9-BA90-7784A0F22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v-SE" w:eastAsia="sv-SE"/>
    </w:rPr>
  </w:style>
  <w:style w:type="paragraph" w:styleId="Rubrik1">
    <w:name w:val="heading 1"/>
    <w:basedOn w:val="Normal"/>
    <w:next w:val="Normal"/>
    <w:qFormat/>
    <w:pPr>
      <w:keepNext/>
      <w:numPr>
        <w:numId w:val="4"/>
      </w:numPr>
      <w:spacing w:before="240" w:after="60"/>
      <w:outlineLvl w:val="0"/>
    </w:pPr>
    <w:rPr>
      <w:rFonts w:ascii="Arial" w:hAnsi="Arial" w:cs="Arial"/>
      <w:b/>
      <w:bCs/>
      <w:kern w:val="32"/>
      <w:sz w:val="32"/>
      <w:szCs w:val="32"/>
    </w:rPr>
  </w:style>
  <w:style w:type="paragraph" w:styleId="Rubrik2">
    <w:name w:val="heading 2"/>
    <w:basedOn w:val="Normal"/>
    <w:next w:val="Normal"/>
    <w:qFormat/>
    <w:pPr>
      <w:keepNext/>
      <w:numPr>
        <w:ilvl w:val="1"/>
        <w:numId w:val="5"/>
      </w:numPr>
      <w:spacing w:before="240" w:after="60"/>
      <w:outlineLvl w:val="1"/>
    </w:pPr>
    <w:rPr>
      <w:rFonts w:ascii="Arial" w:hAnsi="Arial" w:cs="Arial"/>
      <w:b/>
      <w:bCs/>
      <w:i/>
      <w:iCs/>
      <w:sz w:val="28"/>
      <w:szCs w:val="28"/>
    </w:rPr>
  </w:style>
  <w:style w:type="paragraph" w:styleId="Rubrik3">
    <w:name w:val="heading 3"/>
    <w:basedOn w:val="Normal"/>
    <w:next w:val="Normal"/>
    <w:qFormat/>
    <w:pPr>
      <w:keepNext/>
      <w:numPr>
        <w:ilvl w:val="2"/>
        <w:numId w:val="6"/>
      </w:numPr>
      <w:spacing w:before="240" w:after="60"/>
      <w:outlineLvl w:val="2"/>
    </w:pPr>
    <w:rPr>
      <w:rFonts w:ascii="Arial" w:hAnsi="Arial" w:cs="Arial"/>
      <w:b/>
      <w:bCs/>
      <w:sz w:val="26"/>
      <w:szCs w:val="26"/>
    </w:rPr>
  </w:style>
  <w:style w:type="paragraph" w:styleId="Rubrik4">
    <w:name w:val="heading 4"/>
    <w:basedOn w:val="Normal"/>
    <w:next w:val="Normal"/>
    <w:qFormat/>
    <w:pPr>
      <w:keepNext/>
      <w:numPr>
        <w:ilvl w:val="3"/>
        <w:numId w:val="7"/>
      </w:numPr>
      <w:spacing w:before="240" w:after="60"/>
      <w:outlineLvl w:val="3"/>
    </w:pPr>
    <w:rPr>
      <w:b/>
      <w:bCs/>
      <w:sz w:val="28"/>
      <w:szCs w:val="28"/>
    </w:rPr>
  </w:style>
  <w:style w:type="paragraph" w:styleId="Rubrik5">
    <w:name w:val="heading 5"/>
    <w:basedOn w:val="Normal"/>
    <w:next w:val="Normal"/>
    <w:qFormat/>
    <w:pPr>
      <w:numPr>
        <w:ilvl w:val="4"/>
        <w:numId w:val="8"/>
      </w:numPr>
      <w:spacing w:before="240" w:after="60"/>
      <w:outlineLvl w:val="4"/>
    </w:pPr>
    <w:rPr>
      <w:b/>
      <w:bCs/>
      <w:i/>
      <w:iCs/>
      <w:sz w:val="26"/>
      <w:szCs w:val="26"/>
    </w:rPr>
  </w:style>
  <w:style w:type="paragraph" w:styleId="Rubrik6">
    <w:name w:val="heading 6"/>
    <w:basedOn w:val="Normal"/>
    <w:next w:val="Normal"/>
    <w:qFormat/>
    <w:pPr>
      <w:numPr>
        <w:ilvl w:val="5"/>
        <w:numId w:val="9"/>
      </w:numPr>
      <w:spacing w:before="240" w:after="60"/>
      <w:outlineLvl w:val="5"/>
    </w:pPr>
    <w:rPr>
      <w:b/>
      <w:bCs/>
      <w:sz w:val="22"/>
      <w:szCs w:val="22"/>
    </w:rPr>
  </w:style>
  <w:style w:type="paragraph" w:styleId="Rubrik7">
    <w:name w:val="heading 7"/>
    <w:basedOn w:val="Normal"/>
    <w:next w:val="Normal"/>
    <w:qFormat/>
    <w:pPr>
      <w:numPr>
        <w:ilvl w:val="6"/>
        <w:numId w:val="10"/>
      </w:numPr>
      <w:spacing w:before="240" w:after="60"/>
      <w:outlineLvl w:val="6"/>
    </w:pPr>
  </w:style>
  <w:style w:type="paragraph" w:styleId="Rubrik8">
    <w:name w:val="heading 8"/>
    <w:basedOn w:val="Normal"/>
    <w:next w:val="Normal"/>
    <w:qFormat/>
    <w:pPr>
      <w:numPr>
        <w:ilvl w:val="7"/>
        <w:numId w:val="11"/>
      </w:numPr>
      <w:spacing w:before="240" w:after="60"/>
      <w:outlineLvl w:val="7"/>
    </w:pPr>
    <w:rPr>
      <w:i/>
      <w:iCs/>
    </w:rPr>
  </w:style>
  <w:style w:type="paragraph" w:styleId="Rubrik9">
    <w:name w:val="heading 9"/>
    <w:basedOn w:val="Normal"/>
    <w:next w:val="Normal"/>
    <w:qFormat/>
    <w:pPr>
      <w:numPr>
        <w:ilvl w:val="8"/>
        <w:numId w:val="12"/>
      </w:numPr>
      <w:spacing w:before="240" w:after="60"/>
      <w:outlineLvl w:val="8"/>
    </w:pPr>
    <w:rPr>
      <w:rFonts w:ascii="Arial" w:hAnsi="Arial" w:cs="Arial"/>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uiPriority w:val="99"/>
    <w:rPr>
      <w:dstrike w:val="0"/>
      <w:color w:val="0000FF"/>
      <w:u w:val="none"/>
      <w:effect w:val="none"/>
    </w:rPr>
  </w:style>
  <w:style w:type="paragraph" w:styleId="Punktlista3">
    <w:name w:val="List Bullet 3"/>
    <w:basedOn w:val="Normal"/>
    <w:autoRedefine/>
    <w:pPr>
      <w:numPr>
        <w:numId w:val="1"/>
      </w:numPr>
    </w:pPr>
  </w:style>
  <w:style w:type="paragraph" w:styleId="Brdtextmedindrag">
    <w:name w:val="Body Text Indent"/>
    <w:basedOn w:val="Normal"/>
    <w:pPr>
      <w:spacing w:after="120"/>
      <w:ind w:left="283"/>
    </w:pPr>
  </w:style>
  <w:style w:type="paragraph" w:styleId="Brdtextmedfrstaindrag2">
    <w:name w:val="Body Text First Indent 2"/>
    <w:basedOn w:val="Brdtextmedindrag"/>
    <w:pPr>
      <w:ind w:firstLine="210"/>
    </w:pPr>
  </w:style>
  <w:style w:type="paragraph" w:styleId="Sidhuvud">
    <w:name w:val="header"/>
    <w:basedOn w:val="Normal"/>
    <w:pPr>
      <w:tabs>
        <w:tab w:val="right" w:pos="8732"/>
      </w:tabs>
    </w:pPr>
    <w:rPr>
      <w:rFonts w:ascii="Arial" w:hAnsi="Arial" w:cs="Arial"/>
      <w:sz w:val="16"/>
    </w:rPr>
  </w:style>
  <w:style w:type="paragraph" w:styleId="Sidfot">
    <w:name w:val="footer"/>
    <w:basedOn w:val="Normal"/>
    <w:pPr>
      <w:tabs>
        <w:tab w:val="right" w:pos="8165"/>
      </w:tabs>
    </w:pPr>
    <w:rPr>
      <w:rFonts w:ascii="Verdana" w:hAnsi="Verdana" w:cs="Arial"/>
      <w:sz w:val="14"/>
    </w:rPr>
  </w:style>
  <w:style w:type="paragraph" w:customStyle="1" w:styleId="Klam">
    <w:name w:val="Klam"/>
    <w:basedOn w:val="ANormal"/>
    <w:next w:val="ANormal"/>
    <w:pPr>
      <w:tabs>
        <w:tab w:val="clear" w:pos="283"/>
      </w:tabs>
      <w:ind w:left="851"/>
    </w:pPr>
  </w:style>
  <w:style w:type="paragraph" w:customStyle="1" w:styleId="ANormal">
    <w:name w:val="ANormal"/>
    <w:link w:val="ANormalChar"/>
    <w:qFormat/>
    <w:pPr>
      <w:tabs>
        <w:tab w:val="left" w:pos="283"/>
      </w:tabs>
      <w:jc w:val="both"/>
    </w:pPr>
    <w:rPr>
      <w:sz w:val="22"/>
      <w:lang w:val="sv-SE" w:eastAsia="sv-SE"/>
    </w:rPr>
  </w:style>
  <w:style w:type="paragraph" w:customStyle="1" w:styleId="xLedtext">
    <w:name w:val="xLedtext"/>
    <w:rPr>
      <w:rFonts w:ascii="Verdana" w:hAnsi="Verdana" w:cs="Arial"/>
      <w:sz w:val="14"/>
      <w:szCs w:val="15"/>
      <w:lang w:val="sv-SE" w:eastAsia="sv-SE"/>
    </w:rPr>
  </w:style>
  <w:style w:type="paragraph" w:customStyle="1" w:styleId="xDatum1">
    <w:name w:val="xDatum1"/>
    <w:basedOn w:val="xCelltext"/>
  </w:style>
  <w:style w:type="paragraph" w:customStyle="1" w:styleId="xCelltext">
    <w:name w:val="xCelltext"/>
    <w:rPr>
      <w:rFonts w:ascii="Arial" w:hAnsi="Arial"/>
      <w:sz w:val="18"/>
      <w:lang w:val="sv-SE" w:eastAsia="sv-SE"/>
    </w:rPr>
  </w:style>
  <w:style w:type="paragraph" w:customStyle="1" w:styleId="xBeteckning2">
    <w:name w:val="xBeteckning2"/>
    <w:basedOn w:val="xCelltext"/>
  </w:style>
  <w:style w:type="paragraph" w:customStyle="1" w:styleId="xDatum2">
    <w:name w:val="xDatum2"/>
    <w:basedOn w:val="xCelltext"/>
  </w:style>
  <w:style w:type="paragraph" w:customStyle="1" w:styleId="xAvsandare2">
    <w:name w:val="xAvsandare2"/>
    <w:basedOn w:val="xCelltext"/>
    <w:next w:val="xCelltext"/>
    <w:rPr>
      <w:rFonts w:cs="Arial"/>
      <w:b/>
      <w:bCs/>
      <w:sz w:val="20"/>
    </w:rPr>
  </w:style>
  <w:style w:type="paragraph" w:customStyle="1" w:styleId="xAvsandare1">
    <w:name w:val="xAvsandare1"/>
    <w:basedOn w:val="xCelltext"/>
    <w:next w:val="xAvsandare2"/>
    <w:pPr>
      <w:spacing w:before="100" w:beforeAutospacing="1" w:after="100" w:afterAutospacing="1"/>
    </w:pPr>
    <w:rPr>
      <w:rFonts w:cs="Arial"/>
      <w:b/>
      <w:bCs/>
      <w:sz w:val="26"/>
      <w:szCs w:val="22"/>
    </w:rPr>
  </w:style>
  <w:style w:type="paragraph" w:customStyle="1" w:styleId="xAvsandare3">
    <w:name w:val="xAvsandare3"/>
    <w:basedOn w:val="xCelltext"/>
    <w:next w:val="xCelltext"/>
  </w:style>
  <w:style w:type="paragraph" w:customStyle="1" w:styleId="xDokTypNr">
    <w:name w:val="xDokTypNr"/>
    <w:basedOn w:val="xCelltext"/>
    <w:rPr>
      <w:b/>
      <w:sz w:val="20"/>
    </w:rPr>
  </w:style>
  <w:style w:type="paragraph" w:customStyle="1" w:styleId="xBeteckning1">
    <w:name w:val="xBeteckning1"/>
    <w:basedOn w:val="xCelltext"/>
  </w:style>
  <w:style w:type="paragraph" w:styleId="Innehll1">
    <w:name w:val="toc 1"/>
    <w:next w:val="Normal"/>
    <w:autoRedefine/>
    <w:uiPriority w:val="39"/>
    <w:pPr>
      <w:widowControl w:val="0"/>
      <w:tabs>
        <w:tab w:val="right" w:leader="dot" w:pos="6691"/>
      </w:tabs>
      <w:ind w:right="284"/>
    </w:pPr>
    <w:rPr>
      <w:rFonts w:ascii="Verdana" w:hAnsi="Verdana"/>
      <w:noProof/>
      <w:sz w:val="16"/>
      <w:szCs w:val="36"/>
      <w:lang w:val="sv-SE" w:eastAsia="sv-SE"/>
    </w:rPr>
  </w:style>
  <w:style w:type="paragraph" w:styleId="Innehll2">
    <w:name w:val="toc 2"/>
    <w:basedOn w:val="Innehll1"/>
    <w:next w:val="Normal"/>
    <w:autoRedefine/>
    <w:uiPriority w:val="39"/>
    <w:pPr>
      <w:ind w:left="187"/>
    </w:pPr>
  </w:style>
  <w:style w:type="paragraph" w:customStyle="1" w:styleId="RubrikB">
    <w:name w:val="RubrikB"/>
    <w:basedOn w:val="RubrikA"/>
    <w:next w:val="Rubrikmellanrum"/>
    <w:pPr>
      <w:outlineLvl w:val="1"/>
    </w:pPr>
    <w:rPr>
      <w:sz w:val="26"/>
    </w:rPr>
  </w:style>
  <w:style w:type="paragraph" w:customStyle="1" w:styleId="RubrikA">
    <w:name w:val="RubrikA"/>
    <w:next w:val="Rubrikmellanrum"/>
    <w:pPr>
      <w:keepNext/>
      <w:keepLines/>
      <w:suppressAutoHyphens/>
      <w:outlineLvl w:val="0"/>
    </w:pPr>
    <w:rPr>
      <w:sz w:val="30"/>
      <w:lang w:val="sv-SE" w:eastAsia="sv-SE"/>
    </w:rPr>
  </w:style>
  <w:style w:type="character" w:styleId="Sidnummer">
    <w:name w:val="page number"/>
    <w:rPr>
      <w:rFonts w:ascii="Verdana" w:hAnsi="Verdana"/>
    </w:rPr>
  </w:style>
  <w:style w:type="paragraph" w:customStyle="1" w:styleId="xMottagare1">
    <w:name w:val="xMottagare1"/>
    <w:basedOn w:val="xCelltext"/>
    <w:next w:val="xMottagare2"/>
    <w:rPr>
      <w:rFonts w:cs="Arial"/>
      <w:b/>
      <w:bCs/>
      <w:sz w:val="20"/>
    </w:rPr>
  </w:style>
  <w:style w:type="paragraph" w:customStyle="1" w:styleId="ArendeOverRubrik">
    <w:name w:val="ArendeOverRubrik"/>
    <w:next w:val="Normal"/>
    <w:pPr>
      <w:suppressAutoHyphens/>
    </w:pPr>
    <w:rPr>
      <w:rFonts w:ascii="Arial" w:hAnsi="Arial"/>
      <w:bCs/>
      <w:sz w:val="22"/>
      <w:lang w:val="sv-SE" w:eastAsia="sv-SE"/>
    </w:rPr>
  </w:style>
  <w:style w:type="paragraph" w:customStyle="1" w:styleId="ArendeRubrik">
    <w:name w:val="ArendeRubrik"/>
    <w:next w:val="ArendeUnderRubrik"/>
    <w:pPr>
      <w:suppressAutoHyphens/>
    </w:pPr>
    <w:rPr>
      <w:rFonts w:ascii="Arial" w:hAnsi="Arial" w:cs="Arial"/>
      <w:b/>
      <w:bCs/>
      <w:sz w:val="26"/>
      <w:lang w:val="sv-SE" w:eastAsia="sv-SE"/>
    </w:rPr>
  </w:style>
  <w:style w:type="paragraph" w:customStyle="1" w:styleId="ArendeUnderRubrik">
    <w:name w:val="ArendeUnderRubrik"/>
    <w:pPr>
      <w:numPr>
        <w:numId w:val="2"/>
      </w:numPr>
      <w:suppressAutoHyphens/>
    </w:pPr>
    <w:rPr>
      <w:rFonts w:ascii="Verdana" w:hAnsi="Verdana" w:cs="Arial"/>
      <w:sz w:val="16"/>
      <w:lang w:val="sv-SE" w:eastAsia="sv-SE"/>
    </w:rPr>
  </w:style>
  <w:style w:type="paragraph" w:customStyle="1" w:styleId="Rubrikmellanrum">
    <w:name w:val="Rubrikmellanrum"/>
    <w:basedOn w:val="ANormal"/>
    <w:next w:val="ANormal"/>
    <w:pPr>
      <w:keepNext/>
    </w:pPr>
    <w:rPr>
      <w:sz w:val="10"/>
    </w:rPr>
  </w:style>
  <w:style w:type="paragraph" w:customStyle="1" w:styleId="xMellanrum">
    <w:name w:val="xMellanrum"/>
    <w:basedOn w:val="xCelltext"/>
    <w:rPr>
      <w:sz w:val="4"/>
    </w:rPr>
  </w:style>
  <w:style w:type="character" w:styleId="AnvndHyperlnk">
    <w:name w:val="FollowedHyperlink"/>
    <w:rPr>
      <w:dstrike w:val="0"/>
      <w:color w:val="800080"/>
      <w:u w:val="none"/>
      <w:effect w:val="none"/>
      <w:lang w:val="sv-SE"/>
    </w:rPr>
  </w:style>
  <w:style w:type="paragraph" w:customStyle="1" w:styleId="ArendeUnderRubrikSiffra">
    <w:name w:val="ArendeUnderRubrikSiffra"/>
    <w:basedOn w:val="ArendeUnderRubrik"/>
    <w:pPr>
      <w:numPr>
        <w:numId w:val="3"/>
      </w:numPr>
      <w:tabs>
        <w:tab w:val="clear" w:pos="360"/>
      </w:tabs>
      <w:ind w:left="284" w:hanging="284"/>
    </w:pPr>
  </w:style>
  <w:style w:type="paragraph" w:styleId="Brdtext">
    <w:name w:val="Body Text"/>
    <w:basedOn w:val="Normal"/>
    <w:pPr>
      <w:widowControl w:val="0"/>
      <w:tabs>
        <w:tab w:val="left" w:pos="0"/>
        <w:tab w:val="left" w:pos="453"/>
        <w:tab w:val="left" w:pos="2592"/>
        <w:tab w:val="left" w:pos="3888"/>
        <w:tab w:val="left" w:pos="5184"/>
        <w:tab w:val="left" w:pos="6480"/>
        <w:tab w:val="left" w:pos="7776"/>
      </w:tabs>
      <w:autoSpaceDE w:val="0"/>
      <w:autoSpaceDN w:val="0"/>
      <w:adjustRightInd w:val="0"/>
      <w:spacing w:line="288" w:lineRule="auto"/>
      <w:jc w:val="both"/>
    </w:pPr>
  </w:style>
  <w:style w:type="paragraph" w:styleId="Innehll3">
    <w:name w:val="toc 3"/>
    <w:basedOn w:val="Innehll1"/>
    <w:next w:val="Normal"/>
    <w:autoRedefine/>
    <w:uiPriority w:val="39"/>
    <w:pPr>
      <w:ind w:left="374"/>
    </w:pPr>
  </w:style>
  <w:style w:type="paragraph" w:styleId="Innehll4">
    <w:name w:val="toc 4"/>
    <w:basedOn w:val="Innehll1"/>
    <w:next w:val="Normal"/>
    <w:autoRedefine/>
    <w:semiHidden/>
    <w:pPr>
      <w:ind w:left="561"/>
    </w:pPr>
  </w:style>
  <w:style w:type="paragraph" w:styleId="Innehll5">
    <w:name w:val="toc 5"/>
    <w:basedOn w:val="Normal"/>
    <w:next w:val="Normal"/>
    <w:autoRedefine/>
    <w:semiHidden/>
    <w:pPr>
      <w:ind w:left="960"/>
    </w:pPr>
  </w:style>
  <w:style w:type="paragraph" w:styleId="Innehll6">
    <w:name w:val="toc 6"/>
    <w:basedOn w:val="Normal"/>
    <w:next w:val="Normal"/>
    <w:autoRedefine/>
    <w:semiHidden/>
    <w:pPr>
      <w:ind w:left="1200"/>
    </w:pPr>
  </w:style>
  <w:style w:type="paragraph" w:styleId="Innehll7">
    <w:name w:val="toc 7"/>
    <w:basedOn w:val="Normal"/>
    <w:next w:val="Normal"/>
    <w:autoRedefine/>
    <w:semiHidden/>
    <w:pPr>
      <w:ind w:left="1440"/>
    </w:pPr>
  </w:style>
  <w:style w:type="paragraph" w:styleId="Innehll8">
    <w:name w:val="toc 8"/>
    <w:basedOn w:val="Normal"/>
    <w:next w:val="Normal"/>
    <w:autoRedefine/>
    <w:semiHidden/>
    <w:pPr>
      <w:ind w:left="1680"/>
    </w:pPr>
  </w:style>
  <w:style w:type="paragraph" w:styleId="Innehll9">
    <w:name w:val="toc 9"/>
    <w:basedOn w:val="Normal"/>
    <w:next w:val="Normal"/>
    <w:autoRedefine/>
    <w:semiHidden/>
    <w:pPr>
      <w:ind w:left="1920"/>
    </w:pPr>
  </w:style>
  <w:style w:type="paragraph" w:customStyle="1" w:styleId="LagHuvRubr">
    <w:name w:val="LagHuvRubr"/>
    <w:basedOn w:val="ANormal"/>
    <w:next w:val="ANormal"/>
    <w:pPr>
      <w:keepNext/>
      <w:keepLines/>
      <w:suppressAutoHyphens/>
      <w:jc w:val="center"/>
      <w:outlineLvl w:val="1"/>
    </w:pPr>
    <w:rPr>
      <w:b/>
      <w:bCs/>
      <w:sz w:val="24"/>
    </w:rPr>
  </w:style>
  <w:style w:type="paragraph" w:customStyle="1" w:styleId="LagKapitel">
    <w:name w:val="LagKapitel"/>
    <w:basedOn w:val="LagHuvRubr"/>
    <w:next w:val="ANormal"/>
    <w:pPr>
      <w:outlineLvl w:val="2"/>
    </w:pPr>
    <w:rPr>
      <w:bCs w:val="0"/>
      <w:sz w:val="22"/>
    </w:rPr>
  </w:style>
  <w:style w:type="paragraph" w:customStyle="1" w:styleId="LagParagraf">
    <w:name w:val="LagParagraf"/>
    <w:basedOn w:val="LagKapitel"/>
    <w:next w:val="LagPararubrik"/>
    <w:pPr>
      <w:keepNext w:val="0"/>
      <w:outlineLvl w:val="9"/>
    </w:pPr>
    <w:rPr>
      <w:b w:val="0"/>
    </w:rPr>
  </w:style>
  <w:style w:type="paragraph" w:customStyle="1" w:styleId="LagPararubrik">
    <w:name w:val="LagPararubrik"/>
    <w:basedOn w:val="LagKapitel"/>
    <w:next w:val="ANormal"/>
    <w:pPr>
      <w:outlineLvl w:val="9"/>
    </w:pPr>
    <w:rPr>
      <w:b w:val="0"/>
      <w:i/>
      <w:iCs/>
    </w:rPr>
  </w:style>
  <w:style w:type="paragraph" w:customStyle="1" w:styleId="RubrikC">
    <w:name w:val="RubrikC"/>
    <w:basedOn w:val="RubrikB"/>
    <w:next w:val="Rubrikmellanrum"/>
    <w:pPr>
      <w:outlineLvl w:val="2"/>
    </w:pPr>
    <w:rPr>
      <w:b/>
      <w:bCs/>
      <w:sz w:val="22"/>
    </w:rPr>
  </w:style>
  <w:style w:type="paragraph" w:customStyle="1" w:styleId="RubrikD">
    <w:name w:val="RubrikD"/>
    <w:basedOn w:val="RubrikC"/>
    <w:next w:val="Rubrikmellanrum"/>
    <w:pPr>
      <w:outlineLvl w:val="3"/>
    </w:pPr>
    <w:rPr>
      <w:b w:val="0"/>
      <w:bCs w:val="0"/>
      <w:i/>
      <w:iCs/>
    </w:rPr>
  </w:style>
  <w:style w:type="paragraph" w:customStyle="1" w:styleId="Tabelltext">
    <w:name w:val="Tabelltext"/>
    <w:rPr>
      <w:rFonts w:ascii="Arial" w:hAnsi="Arial" w:cs="Arial"/>
      <w:sz w:val="18"/>
      <w:lang w:val="sv-SE" w:eastAsia="sv-SE"/>
    </w:rPr>
  </w:style>
  <w:style w:type="paragraph" w:customStyle="1" w:styleId="xAdressfot">
    <w:name w:val="xAdressfot"/>
    <w:basedOn w:val="Sidfot"/>
    <w:pPr>
      <w:tabs>
        <w:tab w:val="clear" w:pos="8165"/>
        <w:tab w:val="left" w:pos="2608"/>
        <w:tab w:val="left" w:pos="5216"/>
        <w:tab w:val="left" w:pos="7825"/>
      </w:tabs>
    </w:pPr>
  </w:style>
  <w:style w:type="paragraph" w:customStyle="1" w:styleId="xMottagare2">
    <w:name w:val="xMottagare2"/>
    <w:basedOn w:val="xMottagare1"/>
    <w:next w:val="xMottagare3"/>
    <w:rPr>
      <w:b w:val="0"/>
    </w:rPr>
  </w:style>
  <w:style w:type="paragraph" w:customStyle="1" w:styleId="xMottagare3">
    <w:name w:val="xMottagare3"/>
    <w:basedOn w:val="xMottagare2"/>
    <w:next w:val="xMottagare4"/>
    <w:rPr>
      <w:bCs w:val="0"/>
      <w:szCs w:val="22"/>
    </w:rPr>
  </w:style>
  <w:style w:type="paragraph" w:customStyle="1" w:styleId="xMottagare4">
    <w:name w:val="xMottagare4"/>
    <w:basedOn w:val="xMottagare3"/>
    <w:rPr>
      <w:bCs/>
    </w:rPr>
  </w:style>
  <w:style w:type="paragraph" w:styleId="Liststycke">
    <w:name w:val="List Paragraph"/>
    <w:basedOn w:val="Normal"/>
    <w:uiPriority w:val="34"/>
    <w:qFormat/>
    <w:rsid w:val="00823A8E"/>
    <w:pPr>
      <w:ind w:left="720"/>
      <w:contextualSpacing/>
    </w:pPr>
  </w:style>
  <w:style w:type="character" w:styleId="Kommentarsreferens">
    <w:name w:val="annotation reference"/>
    <w:basedOn w:val="Standardstycketeckensnitt"/>
    <w:rsid w:val="00EE18A6"/>
    <w:rPr>
      <w:sz w:val="16"/>
      <w:szCs w:val="16"/>
    </w:rPr>
  </w:style>
  <w:style w:type="paragraph" w:styleId="Kommentarer">
    <w:name w:val="annotation text"/>
    <w:basedOn w:val="Normal"/>
    <w:link w:val="KommentarerChar"/>
    <w:rsid w:val="00EE18A6"/>
    <w:rPr>
      <w:sz w:val="20"/>
      <w:szCs w:val="20"/>
    </w:rPr>
  </w:style>
  <w:style w:type="character" w:customStyle="1" w:styleId="KommentarerChar">
    <w:name w:val="Kommentarer Char"/>
    <w:basedOn w:val="Standardstycketeckensnitt"/>
    <w:link w:val="Kommentarer"/>
    <w:rsid w:val="00EE18A6"/>
    <w:rPr>
      <w:lang w:val="sv-SE" w:eastAsia="sv-SE"/>
    </w:rPr>
  </w:style>
  <w:style w:type="paragraph" w:styleId="Kommentarsmne">
    <w:name w:val="annotation subject"/>
    <w:basedOn w:val="Kommentarer"/>
    <w:next w:val="Kommentarer"/>
    <w:link w:val="KommentarsmneChar"/>
    <w:rsid w:val="00EE18A6"/>
    <w:rPr>
      <w:b/>
      <w:bCs/>
    </w:rPr>
  </w:style>
  <w:style w:type="character" w:customStyle="1" w:styleId="KommentarsmneChar">
    <w:name w:val="Kommentarsämne Char"/>
    <w:basedOn w:val="KommentarerChar"/>
    <w:link w:val="Kommentarsmne"/>
    <w:rsid w:val="00EE18A6"/>
    <w:rPr>
      <w:b/>
      <w:bCs/>
      <w:lang w:val="sv-SE" w:eastAsia="sv-SE"/>
    </w:rPr>
  </w:style>
  <w:style w:type="paragraph" w:styleId="Normalwebb">
    <w:name w:val="Normal (Web)"/>
    <w:basedOn w:val="Normal"/>
    <w:rsid w:val="003118A0"/>
  </w:style>
  <w:style w:type="character" w:customStyle="1" w:styleId="ANormalChar">
    <w:name w:val="ANormal Char"/>
    <w:link w:val="ANormal"/>
    <w:rsid w:val="00974899"/>
    <w:rPr>
      <w:sz w:val="22"/>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367247">
      <w:bodyDiv w:val="1"/>
      <w:marLeft w:val="0"/>
      <w:marRight w:val="0"/>
      <w:marTop w:val="0"/>
      <w:marBottom w:val="0"/>
      <w:divBdr>
        <w:top w:val="none" w:sz="0" w:space="0" w:color="auto"/>
        <w:left w:val="none" w:sz="0" w:space="0" w:color="auto"/>
        <w:bottom w:val="none" w:sz="0" w:space="0" w:color="auto"/>
        <w:right w:val="none" w:sz="0" w:space="0" w:color="auto"/>
      </w:divBdr>
    </w:div>
    <w:div w:id="1874345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W:\Lagtinget\Kansli\Mallar\LT-Bet&#228;nkande.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8fc1783-4737-442c-84c0-5028c5a7db7f" xsi:nil="true"/>
    <lcf76f155ced4ddcb4097134ff3c332f xmlns="79f1457e-84a0-4a17-958f-49c4aa45e2c0">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5B52D32100DE8341837F2C8B6404AE13" ma:contentTypeVersion="11" ma:contentTypeDescription="Skapa ett nytt dokument." ma:contentTypeScope="" ma:versionID="b675c21ad1c1ce22348215aa08da5f0d">
  <xsd:schema xmlns:xsd="http://www.w3.org/2001/XMLSchema" xmlns:xs="http://www.w3.org/2001/XMLSchema" xmlns:p="http://schemas.microsoft.com/office/2006/metadata/properties" xmlns:ns2="79f1457e-84a0-4a17-958f-49c4aa45e2c0" xmlns:ns3="78fc1783-4737-442c-84c0-5028c5a7db7f" targetNamespace="http://schemas.microsoft.com/office/2006/metadata/properties" ma:root="true" ma:fieldsID="0875050759d51eaf745f1646074fbe1a" ns2:_="" ns3:_="">
    <xsd:import namespace="79f1457e-84a0-4a17-958f-49c4aa45e2c0"/>
    <xsd:import namespace="78fc1783-4737-442c-84c0-5028c5a7db7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f1457e-84a0-4a17-958f-49c4aa45e2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Bildmarkeringar" ma:readOnly="false" ma:fieldId="{5cf76f15-5ced-4ddc-b409-7134ff3c332f}" ma:taxonomyMulti="true" ma:sspId="06f5ef06-136b-46e4-a9a0-42da4259fa7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fc1783-4737-442c-84c0-5028c5a7db7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e429526-3ffb-4661-9946-d63f4043d1cf}" ma:internalName="TaxCatchAll" ma:showField="CatchAllData" ma:web="78fc1783-4737-442c-84c0-5028c5a7db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83064F-6B12-407E-9963-3DB971C79FBF}">
  <ds:schemaRefs>
    <ds:schemaRef ds:uri="http://schemas.openxmlformats.org/officeDocument/2006/bibliography"/>
  </ds:schemaRefs>
</ds:datastoreItem>
</file>

<file path=customXml/itemProps2.xml><?xml version="1.0" encoding="utf-8"?>
<ds:datastoreItem xmlns:ds="http://schemas.openxmlformats.org/officeDocument/2006/customXml" ds:itemID="{59533C20-B4ED-4131-B4C8-E48492422925}">
  <ds:schemaRefs>
    <ds:schemaRef ds:uri="http://schemas.microsoft.com/sharepoint/v3/contenttype/forms"/>
  </ds:schemaRefs>
</ds:datastoreItem>
</file>

<file path=customXml/itemProps3.xml><?xml version="1.0" encoding="utf-8"?>
<ds:datastoreItem xmlns:ds="http://schemas.openxmlformats.org/officeDocument/2006/customXml" ds:itemID="{E402C566-0755-4360-A1CE-0D489BF63DD0}">
  <ds:schemaRefs>
    <ds:schemaRef ds:uri="http://schemas.microsoft.com/office/2006/metadata/properties"/>
    <ds:schemaRef ds:uri="http://schemas.microsoft.com/office/infopath/2007/PartnerControls"/>
    <ds:schemaRef ds:uri="78fc1783-4737-442c-84c0-5028c5a7db7f"/>
    <ds:schemaRef ds:uri="79f1457e-84a0-4a17-958f-49c4aa45e2c0"/>
  </ds:schemaRefs>
</ds:datastoreItem>
</file>

<file path=customXml/itemProps4.xml><?xml version="1.0" encoding="utf-8"?>
<ds:datastoreItem xmlns:ds="http://schemas.openxmlformats.org/officeDocument/2006/customXml" ds:itemID="{DE60D354-F578-4DE5-94C6-2115F09CB8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f1457e-84a0-4a17-958f-49c4aa45e2c0"/>
    <ds:schemaRef ds:uri="78fc1783-4737-442c-84c0-5028c5a7db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LT-Betänkande.dot</Template>
  <TotalTime>0</TotalTime>
  <Pages>7</Pages>
  <Words>3111</Words>
  <Characters>16494</Characters>
  <Application>Microsoft Office Word</Application>
  <DocSecurity>0</DocSecurity>
  <Lines>137</Lines>
  <Paragraphs>39</Paragraphs>
  <ScaleCrop>false</ScaleCrop>
  <Company>Ålands lagting</Company>
  <LinksUpToDate>false</LinksUpToDate>
  <CharactersWithSpaces>19566</CharactersWithSpaces>
  <SharedDoc>false</SharedDoc>
  <HLinks>
    <vt:vector size="66" baseType="variant">
      <vt:variant>
        <vt:i4>1179696</vt:i4>
      </vt:variant>
      <vt:variant>
        <vt:i4>62</vt:i4>
      </vt:variant>
      <vt:variant>
        <vt:i4>0</vt:i4>
      </vt:variant>
      <vt:variant>
        <vt:i4>5</vt:i4>
      </vt:variant>
      <vt:variant>
        <vt:lpwstr/>
      </vt:variant>
      <vt:variant>
        <vt:lpwstr>_Toc232162658</vt:lpwstr>
      </vt:variant>
      <vt:variant>
        <vt:i4>1179696</vt:i4>
      </vt:variant>
      <vt:variant>
        <vt:i4>56</vt:i4>
      </vt:variant>
      <vt:variant>
        <vt:i4>0</vt:i4>
      </vt:variant>
      <vt:variant>
        <vt:i4>5</vt:i4>
      </vt:variant>
      <vt:variant>
        <vt:lpwstr/>
      </vt:variant>
      <vt:variant>
        <vt:lpwstr>_Toc232162657</vt:lpwstr>
      </vt:variant>
      <vt:variant>
        <vt:i4>1179696</vt:i4>
      </vt:variant>
      <vt:variant>
        <vt:i4>50</vt:i4>
      </vt:variant>
      <vt:variant>
        <vt:i4>0</vt:i4>
      </vt:variant>
      <vt:variant>
        <vt:i4>5</vt:i4>
      </vt:variant>
      <vt:variant>
        <vt:lpwstr/>
      </vt:variant>
      <vt:variant>
        <vt:lpwstr>_Toc232162656</vt:lpwstr>
      </vt:variant>
      <vt:variant>
        <vt:i4>1179696</vt:i4>
      </vt:variant>
      <vt:variant>
        <vt:i4>44</vt:i4>
      </vt:variant>
      <vt:variant>
        <vt:i4>0</vt:i4>
      </vt:variant>
      <vt:variant>
        <vt:i4>5</vt:i4>
      </vt:variant>
      <vt:variant>
        <vt:lpwstr/>
      </vt:variant>
      <vt:variant>
        <vt:lpwstr>_Toc232162655</vt:lpwstr>
      </vt:variant>
      <vt:variant>
        <vt:i4>1179696</vt:i4>
      </vt:variant>
      <vt:variant>
        <vt:i4>38</vt:i4>
      </vt:variant>
      <vt:variant>
        <vt:i4>0</vt:i4>
      </vt:variant>
      <vt:variant>
        <vt:i4>5</vt:i4>
      </vt:variant>
      <vt:variant>
        <vt:lpwstr/>
      </vt:variant>
      <vt:variant>
        <vt:lpwstr>_Toc232162654</vt:lpwstr>
      </vt:variant>
      <vt:variant>
        <vt:i4>1179696</vt:i4>
      </vt:variant>
      <vt:variant>
        <vt:i4>32</vt:i4>
      </vt:variant>
      <vt:variant>
        <vt:i4>0</vt:i4>
      </vt:variant>
      <vt:variant>
        <vt:i4>5</vt:i4>
      </vt:variant>
      <vt:variant>
        <vt:lpwstr/>
      </vt:variant>
      <vt:variant>
        <vt:lpwstr>_Toc232162653</vt:lpwstr>
      </vt:variant>
      <vt:variant>
        <vt:i4>1179696</vt:i4>
      </vt:variant>
      <vt:variant>
        <vt:i4>26</vt:i4>
      </vt:variant>
      <vt:variant>
        <vt:i4>0</vt:i4>
      </vt:variant>
      <vt:variant>
        <vt:i4>5</vt:i4>
      </vt:variant>
      <vt:variant>
        <vt:lpwstr/>
      </vt:variant>
      <vt:variant>
        <vt:lpwstr>_Toc232162652</vt:lpwstr>
      </vt:variant>
      <vt:variant>
        <vt:i4>1179696</vt:i4>
      </vt:variant>
      <vt:variant>
        <vt:i4>20</vt:i4>
      </vt:variant>
      <vt:variant>
        <vt:i4>0</vt:i4>
      </vt:variant>
      <vt:variant>
        <vt:i4>5</vt:i4>
      </vt:variant>
      <vt:variant>
        <vt:lpwstr/>
      </vt:variant>
      <vt:variant>
        <vt:lpwstr>_Toc232162651</vt:lpwstr>
      </vt:variant>
      <vt:variant>
        <vt:i4>1179696</vt:i4>
      </vt:variant>
      <vt:variant>
        <vt:i4>14</vt:i4>
      </vt:variant>
      <vt:variant>
        <vt:i4>0</vt:i4>
      </vt:variant>
      <vt:variant>
        <vt:i4>5</vt:i4>
      </vt:variant>
      <vt:variant>
        <vt:lpwstr/>
      </vt:variant>
      <vt:variant>
        <vt:lpwstr>_Toc232162650</vt:lpwstr>
      </vt:variant>
      <vt:variant>
        <vt:i4>1245232</vt:i4>
      </vt:variant>
      <vt:variant>
        <vt:i4>8</vt:i4>
      </vt:variant>
      <vt:variant>
        <vt:i4>0</vt:i4>
      </vt:variant>
      <vt:variant>
        <vt:i4>5</vt:i4>
      </vt:variant>
      <vt:variant>
        <vt:lpwstr/>
      </vt:variant>
      <vt:variant>
        <vt:lpwstr>_Toc232162649</vt:lpwstr>
      </vt:variant>
      <vt:variant>
        <vt:i4>1245232</vt:i4>
      </vt:variant>
      <vt:variant>
        <vt:i4>2</vt:i4>
      </vt:variant>
      <vt:variant>
        <vt:i4>0</vt:i4>
      </vt:variant>
      <vt:variant>
        <vt:i4>5</vt:i4>
      </vt:variant>
      <vt:variant>
        <vt:lpwstr/>
      </vt:variant>
      <vt:variant>
        <vt:lpwstr>_Toc232162648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Finans- och näringsutskottets betänkande nr 19/2023-2024</dc:title>
  <dc:subject/>
  <dc:creator>Jessica Laaksonen</dc:creator>
  <cp:keywords/>
  <cp:lastModifiedBy>Jessica Laaksonen</cp:lastModifiedBy>
  <cp:revision>2</cp:revision>
  <cp:lastPrinted>2024-12-14T14:48:00Z</cp:lastPrinted>
  <dcterms:created xsi:type="dcterms:W3CDTF">2026-06-15T07:18:00Z</dcterms:created>
  <dcterms:modified xsi:type="dcterms:W3CDTF">2026-06-15T07:18:00Z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0x0101005B52D32100DE8341837F2C8B6404AE13</vt:lpwstr>
  </property>
  <property fmtid="{D5CDD505-2E9C-101B-9397-08002B2CF9AE}" pid="3" name="MediaServiceImageTags">
    <vt:lpwstr/>
  </property>
</Properties>
</file>