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53"/>
        <w:gridCol w:w="1706"/>
        <w:gridCol w:w="2565"/>
      </w:tblGrid>
      <w:tr w:rsidR="000E14E2" w14:paraId="768878D6" w14:textId="77777777" w:rsidTr="00F16C8A">
        <w:trPr>
          <w:cantSplit/>
          <w:trHeight w:val="20"/>
        </w:trPr>
        <w:tc>
          <w:tcPr>
            <w:tcW w:w="857" w:type="dxa"/>
          </w:tcPr>
          <w:p w14:paraId="6E533D17" w14:textId="77777777" w:rsidR="000E14E2" w:rsidRDefault="000E14E2">
            <w:pPr>
              <w:pStyle w:val="xLedtext"/>
              <w:keepNext/>
              <w:rPr>
                <w:noProof/>
              </w:rPr>
            </w:pPr>
          </w:p>
        </w:tc>
        <w:tc>
          <w:tcPr>
            <w:tcW w:w="8724" w:type="dxa"/>
            <w:gridSpan w:val="3"/>
            <w:vAlign w:val="bottom"/>
          </w:tcPr>
          <w:p w14:paraId="0A5B95A4" w14:textId="2ADD6C76" w:rsidR="000E14E2" w:rsidRDefault="009578CA">
            <w:pPr>
              <w:pStyle w:val="xMellanrum"/>
            </w:pPr>
            <w:r>
              <w:rPr>
                <w:noProof/>
              </w:rPr>
              <w:drawing>
                <wp:inline distT="0" distB="0" distL="0" distR="0" wp14:anchorId="3751B0DE" wp14:editId="4A4DEF2D">
                  <wp:extent cx="53975" cy="539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p>
        </w:tc>
      </w:tr>
      <w:tr w:rsidR="009B366B" w14:paraId="0678211D" w14:textId="77777777" w:rsidTr="00F16C8A">
        <w:trPr>
          <w:cantSplit/>
          <w:trHeight w:val="299"/>
        </w:trPr>
        <w:tc>
          <w:tcPr>
            <w:tcW w:w="5310" w:type="dxa"/>
            <w:gridSpan w:val="2"/>
            <w:vMerge w:val="restart"/>
          </w:tcPr>
          <w:p w14:paraId="6C9095C9" w14:textId="7D62A061" w:rsidR="009B366B" w:rsidRDefault="009578CA">
            <w:pPr>
              <w:pStyle w:val="xAvsandare1"/>
            </w:pPr>
            <w:r>
              <w:rPr>
                <w:noProof/>
              </w:rPr>
              <w:drawing>
                <wp:inline distT="0" distB="0" distL="0" distR="0" wp14:anchorId="53FB0CFD" wp14:editId="138200BA">
                  <wp:extent cx="1805940" cy="46863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940" cy="468630"/>
                          </a:xfrm>
                          <a:prstGeom prst="rect">
                            <a:avLst/>
                          </a:prstGeom>
                          <a:noFill/>
                          <a:ln>
                            <a:noFill/>
                          </a:ln>
                        </pic:spPr>
                      </pic:pic>
                    </a:graphicData>
                  </a:graphic>
                </wp:inline>
              </w:drawing>
            </w:r>
          </w:p>
        </w:tc>
        <w:tc>
          <w:tcPr>
            <w:tcW w:w="4271" w:type="dxa"/>
            <w:gridSpan w:val="2"/>
            <w:vAlign w:val="bottom"/>
          </w:tcPr>
          <w:p w14:paraId="01CF3D87" w14:textId="4546A335" w:rsidR="009B366B" w:rsidRDefault="009B366B" w:rsidP="00850D2A">
            <w:pPr>
              <w:pStyle w:val="xDokTypNr"/>
            </w:pPr>
            <w:r>
              <w:t xml:space="preserve">YTTRANDE nr </w:t>
            </w:r>
            <w:r w:rsidR="00C53715">
              <w:t>5</w:t>
            </w:r>
            <w:r>
              <w:t>/</w:t>
            </w:r>
            <w:proofErr w:type="gramStart"/>
            <w:r>
              <w:t>20</w:t>
            </w:r>
            <w:r w:rsidR="00C53715">
              <w:t>22</w:t>
            </w:r>
            <w:r>
              <w:t>-20</w:t>
            </w:r>
            <w:r w:rsidR="00C53715">
              <w:t>23</w:t>
            </w:r>
            <w:proofErr w:type="gramEnd"/>
          </w:p>
        </w:tc>
      </w:tr>
      <w:tr w:rsidR="009B366B" w14:paraId="6608CFC1" w14:textId="77777777" w:rsidTr="00F16C8A">
        <w:trPr>
          <w:cantSplit/>
          <w:trHeight w:val="238"/>
        </w:trPr>
        <w:tc>
          <w:tcPr>
            <w:tcW w:w="5310" w:type="dxa"/>
            <w:gridSpan w:val="2"/>
            <w:vMerge/>
          </w:tcPr>
          <w:p w14:paraId="499B0A70" w14:textId="77777777" w:rsidR="009B366B" w:rsidRDefault="009B366B">
            <w:pPr>
              <w:pStyle w:val="xLedtext"/>
            </w:pPr>
          </w:p>
        </w:tc>
        <w:tc>
          <w:tcPr>
            <w:tcW w:w="1706" w:type="dxa"/>
            <w:vAlign w:val="bottom"/>
          </w:tcPr>
          <w:p w14:paraId="5BEC3E4C" w14:textId="77777777" w:rsidR="009B366B" w:rsidRDefault="009B366B">
            <w:pPr>
              <w:pStyle w:val="xLedtext"/>
            </w:pPr>
            <w:r>
              <w:t>Datum</w:t>
            </w:r>
          </w:p>
        </w:tc>
        <w:tc>
          <w:tcPr>
            <w:tcW w:w="2565" w:type="dxa"/>
            <w:vAlign w:val="bottom"/>
          </w:tcPr>
          <w:p w14:paraId="111ECF71" w14:textId="77777777" w:rsidR="009B366B" w:rsidRDefault="009B366B">
            <w:pPr>
              <w:pStyle w:val="xLedtext"/>
            </w:pPr>
          </w:p>
        </w:tc>
      </w:tr>
      <w:tr w:rsidR="009B366B" w14:paraId="19732B81" w14:textId="77777777" w:rsidTr="00F16C8A">
        <w:trPr>
          <w:cantSplit/>
          <w:trHeight w:val="238"/>
        </w:trPr>
        <w:tc>
          <w:tcPr>
            <w:tcW w:w="5310" w:type="dxa"/>
            <w:gridSpan w:val="2"/>
            <w:vMerge/>
          </w:tcPr>
          <w:p w14:paraId="7B1717AB" w14:textId="77777777" w:rsidR="009B366B" w:rsidRDefault="009B366B">
            <w:pPr>
              <w:pStyle w:val="xAvsandare2"/>
            </w:pPr>
          </w:p>
        </w:tc>
        <w:tc>
          <w:tcPr>
            <w:tcW w:w="1706" w:type="dxa"/>
            <w:vAlign w:val="center"/>
          </w:tcPr>
          <w:p w14:paraId="3FF4054A" w14:textId="540AD531" w:rsidR="009B366B" w:rsidRDefault="00F16C8A" w:rsidP="00850D2A">
            <w:pPr>
              <w:pStyle w:val="xDatum1"/>
            </w:pPr>
            <w:r>
              <w:t>23.3.2023</w:t>
            </w:r>
          </w:p>
        </w:tc>
        <w:tc>
          <w:tcPr>
            <w:tcW w:w="2565" w:type="dxa"/>
            <w:vAlign w:val="center"/>
          </w:tcPr>
          <w:p w14:paraId="0F7BBFA1" w14:textId="77777777" w:rsidR="009B366B" w:rsidRDefault="009B366B">
            <w:pPr>
              <w:pStyle w:val="xBeteckning1"/>
            </w:pPr>
          </w:p>
        </w:tc>
      </w:tr>
      <w:tr w:rsidR="00850D2A" w14:paraId="4EC0D7E5" w14:textId="77777777" w:rsidTr="00F16C8A">
        <w:trPr>
          <w:cantSplit/>
          <w:trHeight w:val="238"/>
        </w:trPr>
        <w:tc>
          <w:tcPr>
            <w:tcW w:w="5310" w:type="dxa"/>
            <w:gridSpan w:val="2"/>
          </w:tcPr>
          <w:p w14:paraId="7258A730" w14:textId="77777777" w:rsidR="00850D2A" w:rsidRDefault="00850D2A">
            <w:pPr>
              <w:pStyle w:val="xLedtext"/>
            </w:pPr>
          </w:p>
        </w:tc>
        <w:tc>
          <w:tcPr>
            <w:tcW w:w="1706" w:type="dxa"/>
            <w:vAlign w:val="bottom"/>
          </w:tcPr>
          <w:p w14:paraId="4E12C689" w14:textId="77777777" w:rsidR="00850D2A" w:rsidRDefault="00850D2A">
            <w:pPr>
              <w:pStyle w:val="xLedtext"/>
            </w:pPr>
          </w:p>
        </w:tc>
        <w:tc>
          <w:tcPr>
            <w:tcW w:w="2565" w:type="dxa"/>
            <w:vAlign w:val="bottom"/>
          </w:tcPr>
          <w:p w14:paraId="41575767" w14:textId="77777777" w:rsidR="00850D2A" w:rsidRDefault="00850D2A">
            <w:pPr>
              <w:pStyle w:val="xLedtext"/>
            </w:pPr>
          </w:p>
        </w:tc>
      </w:tr>
      <w:tr w:rsidR="00850D2A" w14:paraId="1B3A66B3" w14:textId="77777777" w:rsidTr="00F16C8A">
        <w:trPr>
          <w:cantSplit/>
          <w:trHeight w:val="238"/>
        </w:trPr>
        <w:tc>
          <w:tcPr>
            <w:tcW w:w="5310" w:type="dxa"/>
            <w:gridSpan w:val="2"/>
            <w:tcBorders>
              <w:bottom w:val="single" w:sz="4" w:space="0" w:color="auto"/>
            </w:tcBorders>
          </w:tcPr>
          <w:p w14:paraId="57273EFC" w14:textId="77777777" w:rsidR="00850D2A" w:rsidRDefault="00850D2A">
            <w:pPr>
              <w:pStyle w:val="xAvsandare3"/>
            </w:pPr>
          </w:p>
        </w:tc>
        <w:tc>
          <w:tcPr>
            <w:tcW w:w="1706" w:type="dxa"/>
            <w:tcBorders>
              <w:bottom w:val="single" w:sz="4" w:space="0" w:color="auto"/>
            </w:tcBorders>
            <w:vAlign w:val="center"/>
          </w:tcPr>
          <w:p w14:paraId="17A83EBD" w14:textId="77777777" w:rsidR="00850D2A" w:rsidRDefault="00850D2A">
            <w:pPr>
              <w:pStyle w:val="xDatum2"/>
            </w:pPr>
          </w:p>
        </w:tc>
        <w:tc>
          <w:tcPr>
            <w:tcW w:w="2565" w:type="dxa"/>
            <w:tcBorders>
              <w:bottom w:val="single" w:sz="4" w:space="0" w:color="auto"/>
            </w:tcBorders>
            <w:vAlign w:val="center"/>
          </w:tcPr>
          <w:p w14:paraId="2C7B8F6F" w14:textId="77777777" w:rsidR="00850D2A" w:rsidRDefault="00850D2A">
            <w:pPr>
              <w:pStyle w:val="xBeteckning2"/>
            </w:pPr>
          </w:p>
        </w:tc>
      </w:tr>
      <w:tr w:rsidR="000E14E2" w14:paraId="5B03E55D" w14:textId="77777777" w:rsidTr="00F16C8A">
        <w:trPr>
          <w:cantSplit/>
          <w:trHeight w:val="238"/>
        </w:trPr>
        <w:tc>
          <w:tcPr>
            <w:tcW w:w="857" w:type="dxa"/>
            <w:tcBorders>
              <w:top w:val="single" w:sz="4" w:space="0" w:color="auto"/>
            </w:tcBorders>
            <w:vAlign w:val="bottom"/>
          </w:tcPr>
          <w:p w14:paraId="2A829E8C" w14:textId="77777777" w:rsidR="000E14E2" w:rsidRDefault="000E14E2">
            <w:pPr>
              <w:pStyle w:val="xLedtext"/>
            </w:pPr>
          </w:p>
        </w:tc>
        <w:tc>
          <w:tcPr>
            <w:tcW w:w="4453" w:type="dxa"/>
            <w:tcBorders>
              <w:top w:val="single" w:sz="4" w:space="0" w:color="auto"/>
            </w:tcBorders>
            <w:vAlign w:val="bottom"/>
          </w:tcPr>
          <w:p w14:paraId="70091934" w14:textId="77777777" w:rsidR="000E14E2" w:rsidRDefault="000E14E2">
            <w:pPr>
              <w:pStyle w:val="xLedtext"/>
            </w:pPr>
          </w:p>
        </w:tc>
        <w:tc>
          <w:tcPr>
            <w:tcW w:w="4271" w:type="dxa"/>
            <w:gridSpan w:val="2"/>
            <w:tcBorders>
              <w:top w:val="single" w:sz="4" w:space="0" w:color="auto"/>
            </w:tcBorders>
            <w:vAlign w:val="bottom"/>
          </w:tcPr>
          <w:p w14:paraId="2818D082" w14:textId="77777777" w:rsidR="000E14E2" w:rsidRDefault="000E14E2">
            <w:pPr>
              <w:pStyle w:val="xLedtext"/>
            </w:pPr>
          </w:p>
        </w:tc>
      </w:tr>
      <w:tr w:rsidR="000E14E2" w14:paraId="5CCF860D" w14:textId="77777777" w:rsidTr="00F16C8A">
        <w:trPr>
          <w:cantSplit/>
          <w:trHeight w:val="238"/>
        </w:trPr>
        <w:tc>
          <w:tcPr>
            <w:tcW w:w="857" w:type="dxa"/>
          </w:tcPr>
          <w:p w14:paraId="3F830E55" w14:textId="77777777" w:rsidR="000E14E2" w:rsidRDefault="000E14E2">
            <w:pPr>
              <w:pStyle w:val="xCelltext"/>
            </w:pPr>
          </w:p>
        </w:tc>
        <w:tc>
          <w:tcPr>
            <w:tcW w:w="4453" w:type="dxa"/>
            <w:vMerge w:val="restart"/>
          </w:tcPr>
          <w:p w14:paraId="21C99BC9" w14:textId="77777777" w:rsidR="000E14E2" w:rsidRDefault="000E14E2">
            <w:pPr>
              <w:pStyle w:val="xMottagare1"/>
            </w:pPr>
            <w:r>
              <w:t>Till Ålands lagting</w:t>
            </w:r>
          </w:p>
        </w:tc>
        <w:tc>
          <w:tcPr>
            <w:tcW w:w="4271" w:type="dxa"/>
            <w:gridSpan w:val="2"/>
            <w:vMerge w:val="restart"/>
          </w:tcPr>
          <w:p w14:paraId="4E6A3DBE" w14:textId="77777777" w:rsidR="000E14E2" w:rsidRDefault="000E14E2">
            <w:pPr>
              <w:pStyle w:val="xMottagare1"/>
              <w:tabs>
                <w:tab w:val="left" w:pos="2349"/>
              </w:tabs>
            </w:pPr>
          </w:p>
        </w:tc>
      </w:tr>
      <w:tr w:rsidR="000E14E2" w14:paraId="0820C350" w14:textId="77777777" w:rsidTr="00F16C8A">
        <w:trPr>
          <w:cantSplit/>
          <w:trHeight w:val="238"/>
        </w:trPr>
        <w:tc>
          <w:tcPr>
            <w:tcW w:w="857" w:type="dxa"/>
          </w:tcPr>
          <w:p w14:paraId="20568D5F" w14:textId="77777777" w:rsidR="000E14E2" w:rsidRDefault="000E14E2">
            <w:pPr>
              <w:pStyle w:val="xCelltext"/>
            </w:pPr>
          </w:p>
        </w:tc>
        <w:tc>
          <w:tcPr>
            <w:tcW w:w="4453" w:type="dxa"/>
            <w:vMerge/>
            <w:vAlign w:val="center"/>
          </w:tcPr>
          <w:p w14:paraId="337A3786" w14:textId="77777777" w:rsidR="000E14E2" w:rsidRDefault="000E14E2">
            <w:pPr>
              <w:pStyle w:val="xCelltext"/>
            </w:pPr>
          </w:p>
        </w:tc>
        <w:tc>
          <w:tcPr>
            <w:tcW w:w="4271" w:type="dxa"/>
            <w:gridSpan w:val="2"/>
            <w:vMerge/>
            <w:vAlign w:val="center"/>
          </w:tcPr>
          <w:p w14:paraId="72B0EA7D" w14:textId="77777777" w:rsidR="000E14E2" w:rsidRDefault="000E14E2">
            <w:pPr>
              <w:pStyle w:val="xCelltext"/>
            </w:pPr>
          </w:p>
        </w:tc>
      </w:tr>
      <w:tr w:rsidR="000E14E2" w14:paraId="248B46DD" w14:textId="77777777" w:rsidTr="00F16C8A">
        <w:trPr>
          <w:cantSplit/>
          <w:trHeight w:val="238"/>
        </w:trPr>
        <w:tc>
          <w:tcPr>
            <w:tcW w:w="857" w:type="dxa"/>
          </w:tcPr>
          <w:p w14:paraId="6BF177F3" w14:textId="77777777" w:rsidR="000E14E2" w:rsidRDefault="000E14E2">
            <w:pPr>
              <w:pStyle w:val="xCelltext"/>
            </w:pPr>
          </w:p>
        </w:tc>
        <w:tc>
          <w:tcPr>
            <w:tcW w:w="4453" w:type="dxa"/>
            <w:vMerge/>
            <w:vAlign w:val="center"/>
          </w:tcPr>
          <w:p w14:paraId="2993A5B5" w14:textId="77777777" w:rsidR="000E14E2" w:rsidRDefault="000E14E2">
            <w:pPr>
              <w:pStyle w:val="xCelltext"/>
            </w:pPr>
          </w:p>
        </w:tc>
        <w:tc>
          <w:tcPr>
            <w:tcW w:w="4271" w:type="dxa"/>
            <w:gridSpan w:val="2"/>
            <w:vMerge/>
            <w:vAlign w:val="center"/>
          </w:tcPr>
          <w:p w14:paraId="2048D11F" w14:textId="77777777" w:rsidR="000E14E2" w:rsidRDefault="000E14E2">
            <w:pPr>
              <w:pStyle w:val="xCelltext"/>
            </w:pPr>
          </w:p>
        </w:tc>
      </w:tr>
      <w:tr w:rsidR="000E14E2" w14:paraId="30A3E789" w14:textId="77777777" w:rsidTr="00F16C8A">
        <w:trPr>
          <w:cantSplit/>
          <w:trHeight w:val="238"/>
        </w:trPr>
        <w:tc>
          <w:tcPr>
            <w:tcW w:w="857" w:type="dxa"/>
          </w:tcPr>
          <w:p w14:paraId="0E2A5365" w14:textId="77777777" w:rsidR="000E14E2" w:rsidRDefault="000E14E2">
            <w:pPr>
              <w:pStyle w:val="xCelltext"/>
            </w:pPr>
          </w:p>
        </w:tc>
        <w:tc>
          <w:tcPr>
            <w:tcW w:w="4453" w:type="dxa"/>
            <w:vMerge/>
            <w:vAlign w:val="center"/>
          </w:tcPr>
          <w:p w14:paraId="08CE0BA2" w14:textId="77777777" w:rsidR="000E14E2" w:rsidRDefault="000E14E2">
            <w:pPr>
              <w:pStyle w:val="xCelltext"/>
            </w:pPr>
          </w:p>
        </w:tc>
        <w:tc>
          <w:tcPr>
            <w:tcW w:w="4271" w:type="dxa"/>
            <w:gridSpan w:val="2"/>
            <w:vMerge/>
            <w:vAlign w:val="center"/>
          </w:tcPr>
          <w:p w14:paraId="63A0F355" w14:textId="77777777" w:rsidR="000E14E2" w:rsidRDefault="000E14E2">
            <w:pPr>
              <w:pStyle w:val="xCelltext"/>
            </w:pPr>
          </w:p>
        </w:tc>
      </w:tr>
      <w:tr w:rsidR="000E14E2" w14:paraId="7B9F8F54" w14:textId="77777777" w:rsidTr="00F16C8A">
        <w:trPr>
          <w:cantSplit/>
          <w:trHeight w:val="238"/>
        </w:trPr>
        <w:tc>
          <w:tcPr>
            <w:tcW w:w="857" w:type="dxa"/>
          </w:tcPr>
          <w:p w14:paraId="1AF63C94" w14:textId="77777777" w:rsidR="000E14E2" w:rsidRDefault="000E14E2">
            <w:pPr>
              <w:pStyle w:val="xCelltext"/>
            </w:pPr>
          </w:p>
        </w:tc>
        <w:tc>
          <w:tcPr>
            <w:tcW w:w="4453" w:type="dxa"/>
            <w:vMerge/>
            <w:vAlign w:val="center"/>
          </w:tcPr>
          <w:p w14:paraId="737EAA04" w14:textId="77777777" w:rsidR="000E14E2" w:rsidRDefault="000E14E2">
            <w:pPr>
              <w:pStyle w:val="xCelltext"/>
            </w:pPr>
          </w:p>
        </w:tc>
        <w:tc>
          <w:tcPr>
            <w:tcW w:w="4271" w:type="dxa"/>
            <w:gridSpan w:val="2"/>
            <w:vMerge/>
            <w:vAlign w:val="center"/>
          </w:tcPr>
          <w:p w14:paraId="5D4D5AC1" w14:textId="77777777" w:rsidR="000E14E2" w:rsidRDefault="000E14E2">
            <w:pPr>
              <w:pStyle w:val="xCelltext"/>
            </w:pPr>
          </w:p>
        </w:tc>
      </w:tr>
    </w:tbl>
    <w:p w14:paraId="334A74F7" w14:textId="77777777" w:rsidR="000E14E2" w:rsidRDefault="000E14E2">
      <w:pPr>
        <w:rPr>
          <w:b/>
          <w:bCs/>
        </w:rPr>
        <w:sectPr w:rsidR="000E14E2">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851" w:gutter="0"/>
          <w:cols w:space="708"/>
          <w:docGrid w:linePitch="360"/>
        </w:sectPr>
      </w:pPr>
    </w:p>
    <w:p w14:paraId="4A75ED7D" w14:textId="77777777" w:rsidR="00711FC2" w:rsidRDefault="00363052" w:rsidP="00711FC2">
      <w:pPr>
        <w:pStyle w:val="ArendeOverRubrik"/>
      </w:pPr>
      <w:r>
        <w:t xml:space="preserve">Landskapsregeringens </w:t>
      </w:r>
      <w:r w:rsidR="00711FC2">
        <w:t>yttrande</w:t>
      </w:r>
    </w:p>
    <w:p w14:paraId="2924B25F" w14:textId="7A6B576D" w:rsidR="00711FC2" w:rsidRDefault="00726234" w:rsidP="00711FC2">
      <w:pPr>
        <w:pStyle w:val="ArendeRubrik"/>
      </w:pPr>
      <w:r>
        <w:t>över republikens presidents framställning till Ålands lagting om lagen om godkännande och sättande i kraft av den globala konventionen om erkännande av examina avseende högre utbildning</w:t>
      </w:r>
    </w:p>
    <w:p w14:paraId="7FDBB7CE" w14:textId="0577A336" w:rsidR="00711FC2" w:rsidRDefault="00711FC2" w:rsidP="00711FC2">
      <w:pPr>
        <w:pStyle w:val="ArendeUnderRubrik"/>
      </w:pPr>
      <w:r>
        <w:t xml:space="preserve">Republikens presidents framställning nr </w:t>
      </w:r>
      <w:r w:rsidR="00726234">
        <w:t>5</w:t>
      </w:r>
      <w:r>
        <w:t>/</w:t>
      </w:r>
      <w:r w:rsidR="00726234">
        <w:t>2022–2023</w:t>
      </w:r>
    </w:p>
    <w:p w14:paraId="76B154FD" w14:textId="77777777" w:rsidR="00363052" w:rsidRDefault="00363052" w:rsidP="00304390">
      <w:pPr>
        <w:pStyle w:val="RubrikA"/>
      </w:pPr>
    </w:p>
    <w:p w14:paraId="6332AE0D" w14:textId="77777777" w:rsidR="00726234" w:rsidRPr="00726234" w:rsidRDefault="00726234" w:rsidP="00726234">
      <w:pPr>
        <w:keepNext/>
        <w:keepLines/>
        <w:suppressAutoHyphens/>
        <w:outlineLvl w:val="0"/>
        <w:rPr>
          <w:sz w:val="30"/>
          <w:szCs w:val="20"/>
        </w:rPr>
      </w:pPr>
      <w:r w:rsidRPr="00726234">
        <w:rPr>
          <w:sz w:val="30"/>
          <w:szCs w:val="20"/>
        </w:rPr>
        <w:t>Bakgrund</w:t>
      </w:r>
    </w:p>
    <w:p w14:paraId="2A4C094F" w14:textId="77777777" w:rsidR="00726234" w:rsidRPr="00726234" w:rsidRDefault="00726234" w:rsidP="00726234">
      <w:pPr>
        <w:keepNext/>
        <w:tabs>
          <w:tab w:val="left" w:pos="283"/>
          <w:tab w:val="left" w:pos="851"/>
        </w:tabs>
        <w:jc w:val="both"/>
        <w:rPr>
          <w:sz w:val="10"/>
          <w:szCs w:val="20"/>
        </w:rPr>
      </w:pPr>
    </w:p>
    <w:p w14:paraId="420DD458" w14:textId="61BDDB6D" w:rsidR="00726234" w:rsidRPr="00726234" w:rsidRDefault="00726234" w:rsidP="00726234">
      <w:pPr>
        <w:tabs>
          <w:tab w:val="left" w:pos="283"/>
          <w:tab w:val="left" w:pos="851"/>
        </w:tabs>
        <w:jc w:val="both"/>
        <w:rPr>
          <w:sz w:val="22"/>
          <w:szCs w:val="20"/>
          <w:lang w:val="sv-FI"/>
        </w:rPr>
      </w:pPr>
      <w:r w:rsidRPr="00726234">
        <w:rPr>
          <w:color w:val="000000"/>
          <w:sz w:val="22"/>
          <w:szCs w:val="20"/>
        </w:rPr>
        <w:t xml:space="preserve">Ålands lagting har den 2 </w:t>
      </w:r>
      <w:r>
        <w:rPr>
          <w:color w:val="000000"/>
          <w:sz w:val="22"/>
          <w:szCs w:val="20"/>
        </w:rPr>
        <w:t>februari</w:t>
      </w:r>
      <w:r w:rsidRPr="00726234">
        <w:rPr>
          <w:color w:val="000000"/>
          <w:sz w:val="22"/>
          <w:szCs w:val="20"/>
        </w:rPr>
        <w:t xml:space="preserve"> 20</w:t>
      </w:r>
      <w:r>
        <w:rPr>
          <w:color w:val="000000"/>
          <w:sz w:val="22"/>
          <w:szCs w:val="20"/>
        </w:rPr>
        <w:t>23</w:t>
      </w:r>
      <w:r w:rsidRPr="00726234">
        <w:rPr>
          <w:color w:val="000000"/>
          <w:sz w:val="22"/>
          <w:szCs w:val="20"/>
        </w:rPr>
        <w:t xml:space="preserve"> begärt ett yttrande från Ålands landskapsregering över republikens presidents framställning </w:t>
      </w:r>
      <w:r w:rsidRPr="00726234">
        <w:rPr>
          <w:sz w:val="22"/>
          <w:szCs w:val="20"/>
          <w:lang w:val="sv-FI"/>
        </w:rPr>
        <w:t xml:space="preserve">till Ålands lagting om förslaget till </w:t>
      </w:r>
      <w:r>
        <w:rPr>
          <w:sz w:val="22"/>
          <w:szCs w:val="20"/>
          <w:lang w:val="sv-FI"/>
        </w:rPr>
        <w:t xml:space="preserve">lagen om godkännande av den globala konventionen om erkännande av examina avseende högre utbildning. </w:t>
      </w:r>
    </w:p>
    <w:p w14:paraId="393B7FFD" w14:textId="4CBC81AD" w:rsidR="00726234" w:rsidRPr="00726234" w:rsidRDefault="00726234" w:rsidP="00726234">
      <w:pPr>
        <w:tabs>
          <w:tab w:val="left" w:pos="283"/>
          <w:tab w:val="left" w:pos="851"/>
        </w:tabs>
        <w:jc w:val="both"/>
        <w:rPr>
          <w:sz w:val="22"/>
          <w:szCs w:val="22"/>
        </w:rPr>
      </w:pPr>
      <w:r w:rsidRPr="00726234">
        <w:rPr>
          <w:sz w:val="22"/>
          <w:szCs w:val="22"/>
        </w:rPr>
        <w:tab/>
      </w:r>
      <w:r w:rsidR="005338FD">
        <w:rPr>
          <w:sz w:val="22"/>
          <w:szCs w:val="22"/>
        </w:rPr>
        <w:t xml:space="preserve">Konventionen har antagits av </w:t>
      </w:r>
      <w:r w:rsidRPr="00726234">
        <w:rPr>
          <w:sz w:val="22"/>
          <w:szCs w:val="22"/>
        </w:rPr>
        <w:t xml:space="preserve">Förenta nationernas organisation för utbildning, vetenskap och kultur (Unescos generalförsamling) i november 2019 </w:t>
      </w:r>
      <w:r w:rsidR="005338FD">
        <w:rPr>
          <w:sz w:val="22"/>
          <w:szCs w:val="22"/>
        </w:rPr>
        <w:t xml:space="preserve">och </w:t>
      </w:r>
      <w:r w:rsidRPr="00726234">
        <w:rPr>
          <w:sz w:val="22"/>
          <w:szCs w:val="22"/>
        </w:rPr>
        <w:t>grundar sig på Unescos regionala konventioner om erkännande av examina avseende högre utbildning.</w:t>
      </w:r>
    </w:p>
    <w:p w14:paraId="645DE2EB" w14:textId="42204689" w:rsidR="005338FD" w:rsidRDefault="005338FD" w:rsidP="00726234">
      <w:pPr>
        <w:tabs>
          <w:tab w:val="left" w:pos="283"/>
          <w:tab w:val="left" w:pos="851"/>
        </w:tabs>
        <w:jc w:val="both"/>
        <w:rPr>
          <w:sz w:val="22"/>
          <w:szCs w:val="22"/>
        </w:rPr>
      </w:pPr>
      <w:r>
        <w:rPr>
          <w:sz w:val="22"/>
          <w:szCs w:val="22"/>
        </w:rPr>
        <w:tab/>
      </w:r>
      <w:r w:rsidR="00726234" w:rsidRPr="00726234">
        <w:rPr>
          <w:sz w:val="22"/>
          <w:szCs w:val="22"/>
        </w:rPr>
        <w:t xml:space="preserve">Konventionen tillämpas </w:t>
      </w:r>
      <w:r>
        <w:rPr>
          <w:sz w:val="22"/>
          <w:szCs w:val="22"/>
        </w:rPr>
        <w:t xml:space="preserve">enbart </w:t>
      </w:r>
      <w:r w:rsidR="00726234" w:rsidRPr="00726234">
        <w:rPr>
          <w:sz w:val="22"/>
          <w:szCs w:val="22"/>
        </w:rPr>
        <w:t xml:space="preserve">i fråga om akademiskt erkännande av högskolestudier och innebär beviljande av studierätt på basis av utbildning som genomgåtts utomlands samt tillgodoräknande av utländska studier som en del av examen. Syftet med konventionen är att främja den internationella akademiska rörligheten, kommunikationen och samarbetet beträffande en rättvis och transparent erkännandepraxis samt kvalitetssäkringen av den högre utbildningen och den akademiska hederligheten på en global nivå.  </w:t>
      </w:r>
    </w:p>
    <w:p w14:paraId="5B2876B3" w14:textId="77777777" w:rsidR="005338FD" w:rsidRDefault="005338FD" w:rsidP="00726234">
      <w:pPr>
        <w:tabs>
          <w:tab w:val="left" w:pos="283"/>
          <w:tab w:val="left" w:pos="851"/>
        </w:tabs>
        <w:jc w:val="both"/>
        <w:rPr>
          <w:sz w:val="22"/>
          <w:szCs w:val="22"/>
        </w:rPr>
      </w:pPr>
    </w:p>
    <w:p w14:paraId="2BF60D79" w14:textId="77777777" w:rsidR="00726234" w:rsidRPr="00726234" w:rsidRDefault="00726234" w:rsidP="00726234">
      <w:pPr>
        <w:tabs>
          <w:tab w:val="left" w:pos="283"/>
          <w:tab w:val="left" w:pos="851"/>
        </w:tabs>
        <w:jc w:val="both"/>
        <w:rPr>
          <w:sz w:val="23"/>
          <w:szCs w:val="23"/>
        </w:rPr>
      </w:pPr>
    </w:p>
    <w:p w14:paraId="196F99E6" w14:textId="77777777" w:rsidR="00726234" w:rsidRPr="00726234" w:rsidRDefault="00726234" w:rsidP="00726234">
      <w:pPr>
        <w:keepNext/>
        <w:keepLines/>
        <w:suppressAutoHyphens/>
        <w:outlineLvl w:val="0"/>
        <w:rPr>
          <w:sz w:val="30"/>
          <w:szCs w:val="20"/>
        </w:rPr>
      </w:pPr>
      <w:r w:rsidRPr="00726234">
        <w:rPr>
          <w:sz w:val="30"/>
          <w:szCs w:val="20"/>
        </w:rPr>
        <w:t>Landskapsregeringens yttrande under beredningsskedet</w:t>
      </w:r>
    </w:p>
    <w:p w14:paraId="696FD635" w14:textId="77777777" w:rsidR="00726234" w:rsidRPr="00726234" w:rsidRDefault="00726234" w:rsidP="00726234">
      <w:pPr>
        <w:tabs>
          <w:tab w:val="left" w:pos="283"/>
          <w:tab w:val="left" w:pos="851"/>
        </w:tabs>
        <w:jc w:val="both"/>
        <w:rPr>
          <w:sz w:val="23"/>
          <w:szCs w:val="23"/>
        </w:rPr>
      </w:pPr>
    </w:p>
    <w:p w14:paraId="02799E4D" w14:textId="6805D145" w:rsidR="00726234" w:rsidRDefault="00726234" w:rsidP="00931BF0">
      <w:pPr>
        <w:tabs>
          <w:tab w:val="left" w:pos="283"/>
          <w:tab w:val="left" w:pos="851"/>
        </w:tabs>
        <w:jc w:val="both"/>
        <w:rPr>
          <w:sz w:val="22"/>
          <w:szCs w:val="20"/>
          <w:lang w:val="sv-FI"/>
        </w:rPr>
      </w:pPr>
      <w:r w:rsidRPr="00726234">
        <w:rPr>
          <w:sz w:val="22"/>
          <w:szCs w:val="20"/>
          <w:lang w:val="sv-FI"/>
        </w:rPr>
        <w:t>Landskapsregeringen har den 2</w:t>
      </w:r>
      <w:r w:rsidR="00931BF0">
        <w:rPr>
          <w:sz w:val="22"/>
          <w:szCs w:val="20"/>
          <w:lang w:val="sv-FI"/>
        </w:rPr>
        <w:t>5</w:t>
      </w:r>
      <w:r w:rsidRPr="00726234">
        <w:rPr>
          <w:sz w:val="22"/>
          <w:szCs w:val="20"/>
          <w:lang w:val="sv-FI"/>
        </w:rPr>
        <w:t xml:space="preserve"> </w:t>
      </w:r>
      <w:r w:rsidR="00931BF0">
        <w:rPr>
          <w:sz w:val="22"/>
          <w:szCs w:val="20"/>
          <w:lang w:val="sv-FI"/>
        </w:rPr>
        <w:t>oktober</w:t>
      </w:r>
      <w:r w:rsidRPr="00726234">
        <w:rPr>
          <w:sz w:val="22"/>
          <w:szCs w:val="20"/>
          <w:lang w:val="sv-FI"/>
        </w:rPr>
        <w:t xml:space="preserve"> 20</w:t>
      </w:r>
      <w:r w:rsidR="00931BF0">
        <w:rPr>
          <w:sz w:val="22"/>
          <w:szCs w:val="20"/>
          <w:lang w:val="sv-FI"/>
        </w:rPr>
        <w:t>22</w:t>
      </w:r>
      <w:r w:rsidRPr="00726234">
        <w:rPr>
          <w:sz w:val="22"/>
          <w:szCs w:val="20"/>
          <w:lang w:val="sv-FI"/>
        </w:rPr>
        <w:t xml:space="preserve"> lämnat ett utlåtande till undervisnings- och kulturministeriet över </w:t>
      </w:r>
      <w:bookmarkStart w:id="0" w:name="_Hlk24716546"/>
      <w:r w:rsidR="00931BF0" w:rsidRPr="00931BF0">
        <w:rPr>
          <w:sz w:val="22"/>
          <w:szCs w:val="20"/>
          <w:lang w:val="sv-FI"/>
        </w:rPr>
        <w:t>utkastet till regeringens proposition till riksdagen om godkännande och sättande i kraft</w:t>
      </w:r>
      <w:r w:rsidR="00931BF0">
        <w:rPr>
          <w:sz w:val="22"/>
          <w:szCs w:val="20"/>
          <w:lang w:val="sv-FI"/>
        </w:rPr>
        <w:t xml:space="preserve"> </w:t>
      </w:r>
      <w:r w:rsidR="00931BF0" w:rsidRPr="00931BF0">
        <w:rPr>
          <w:sz w:val="22"/>
          <w:szCs w:val="20"/>
          <w:lang w:val="sv-FI"/>
        </w:rPr>
        <w:t>av den globala konventionen om erkännande av examina avseende högre utbildning.</w:t>
      </w:r>
    </w:p>
    <w:p w14:paraId="26CDB406" w14:textId="604BE613" w:rsidR="005D53C1" w:rsidRDefault="00C23A5E" w:rsidP="00931BF0">
      <w:pPr>
        <w:tabs>
          <w:tab w:val="left" w:pos="283"/>
          <w:tab w:val="left" w:pos="851"/>
        </w:tabs>
        <w:jc w:val="both"/>
        <w:rPr>
          <w:sz w:val="22"/>
          <w:szCs w:val="20"/>
        </w:rPr>
      </w:pPr>
      <w:r>
        <w:rPr>
          <w:sz w:val="22"/>
          <w:szCs w:val="20"/>
          <w:lang w:val="sv-FI"/>
        </w:rPr>
        <w:tab/>
      </w:r>
      <w:r w:rsidR="005D53C1">
        <w:rPr>
          <w:sz w:val="22"/>
          <w:szCs w:val="20"/>
          <w:lang w:val="sv-FI"/>
        </w:rPr>
        <w:t xml:space="preserve">I utlåtandet har landskapsregeringen anfört att </w:t>
      </w:r>
      <w:r w:rsidR="005D53C1" w:rsidRPr="005D53C1">
        <w:rPr>
          <w:sz w:val="22"/>
          <w:szCs w:val="20"/>
        </w:rPr>
        <w:t>lagstiftningsbehörigheten gällande högre utbildning är delad mellan riket och landskapet</w:t>
      </w:r>
      <w:r w:rsidR="005D53C1">
        <w:rPr>
          <w:sz w:val="22"/>
          <w:szCs w:val="20"/>
        </w:rPr>
        <w:t xml:space="preserve"> och då </w:t>
      </w:r>
      <w:r w:rsidR="005D53C1" w:rsidRPr="005D53C1">
        <w:rPr>
          <w:sz w:val="22"/>
          <w:szCs w:val="20"/>
        </w:rPr>
        <w:t>konventionen i flera avseenden faller inom ramen för landskapets lagstiftningsbehörighet</w:t>
      </w:r>
      <w:r w:rsidR="0089121E">
        <w:rPr>
          <w:sz w:val="22"/>
          <w:szCs w:val="20"/>
        </w:rPr>
        <w:t xml:space="preserve"> bör lagtingets bifall inhämtas</w:t>
      </w:r>
      <w:r w:rsidR="005D53C1" w:rsidRPr="005D53C1">
        <w:rPr>
          <w:sz w:val="22"/>
          <w:szCs w:val="20"/>
        </w:rPr>
        <w:t>.</w:t>
      </w:r>
    </w:p>
    <w:p w14:paraId="184EBB0E" w14:textId="3F3312B1" w:rsidR="005D53C1" w:rsidRDefault="00C23A5E" w:rsidP="00931BF0">
      <w:pPr>
        <w:tabs>
          <w:tab w:val="left" w:pos="283"/>
          <w:tab w:val="left" w:pos="851"/>
        </w:tabs>
        <w:jc w:val="both"/>
        <w:rPr>
          <w:sz w:val="22"/>
          <w:szCs w:val="20"/>
        </w:rPr>
      </w:pPr>
      <w:r>
        <w:rPr>
          <w:sz w:val="22"/>
          <w:szCs w:val="20"/>
        </w:rPr>
        <w:tab/>
      </w:r>
      <w:r w:rsidR="005D53C1" w:rsidRPr="005D53C1">
        <w:rPr>
          <w:sz w:val="22"/>
          <w:szCs w:val="20"/>
        </w:rPr>
        <w:t xml:space="preserve">Enligt 18 § 1 och 14 punkten i självstyrelselagen (1991:71) för Åland har landskapet lagstiftningsbehörighet i fråga om landskapets myndigheter och undervisning. Högskoleutbildning ordnas av Högskolan på Åland med stöd av landskapslagen (2002:81) om Högskolan på Åland. De högskoleexamina som kan avläggas vid högskolan framgår </w:t>
      </w:r>
      <w:r w:rsidR="00DB438C">
        <w:rPr>
          <w:sz w:val="22"/>
          <w:szCs w:val="20"/>
        </w:rPr>
        <w:t xml:space="preserve">i </w:t>
      </w:r>
      <w:r w:rsidR="005D53C1" w:rsidRPr="005D53C1">
        <w:rPr>
          <w:sz w:val="22"/>
          <w:szCs w:val="20"/>
        </w:rPr>
        <w:t>2</w:t>
      </w:r>
      <w:r w:rsidR="00DB438C">
        <w:rPr>
          <w:sz w:val="22"/>
          <w:szCs w:val="20"/>
        </w:rPr>
        <w:t xml:space="preserve"> §</w:t>
      </w:r>
      <w:r w:rsidR="005D53C1" w:rsidRPr="005D53C1">
        <w:rPr>
          <w:sz w:val="22"/>
          <w:szCs w:val="20"/>
        </w:rPr>
        <w:t xml:space="preserve"> av landskapsförordning (2002:87) om Högskolan på Åland. För närvarande kan endast yrkeshögskoleexamen (YH) avläggas. </w:t>
      </w:r>
    </w:p>
    <w:p w14:paraId="54187E9C" w14:textId="4F5B58E0" w:rsidR="005D53C1" w:rsidRDefault="00C23A5E" w:rsidP="00931BF0">
      <w:pPr>
        <w:tabs>
          <w:tab w:val="left" w:pos="283"/>
          <w:tab w:val="left" w:pos="851"/>
        </w:tabs>
        <w:jc w:val="both"/>
        <w:rPr>
          <w:sz w:val="22"/>
          <w:szCs w:val="20"/>
        </w:rPr>
      </w:pPr>
      <w:r>
        <w:rPr>
          <w:sz w:val="22"/>
          <w:szCs w:val="20"/>
        </w:rPr>
        <w:tab/>
      </w:r>
      <w:r w:rsidR="005D53C1" w:rsidRPr="005D53C1">
        <w:rPr>
          <w:sz w:val="22"/>
          <w:szCs w:val="20"/>
        </w:rPr>
        <w:t xml:space="preserve">Till rikets lagstiftningsbehörighet hör enligt 27 § 3 punkten i självstyrelselagen statsmyndigheternas organisation och verksamhet. Enligt motiven </w:t>
      </w:r>
      <w:r w:rsidR="005D53C1" w:rsidRPr="005D53C1">
        <w:rPr>
          <w:sz w:val="22"/>
          <w:szCs w:val="20"/>
        </w:rPr>
        <w:lastRenderedPageBreak/>
        <w:t xml:space="preserve">till självstyrelselagen (RP 73/1990 </w:t>
      </w:r>
      <w:proofErr w:type="spellStart"/>
      <w:r w:rsidR="005D53C1" w:rsidRPr="005D53C1">
        <w:rPr>
          <w:sz w:val="22"/>
          <w:szCs w:val="20"/>
        </w:rPr>
        <w:t>rd</w:t>
      </w:r>
      <w:proofErr w:type="spellEnd"/>
      <w:r w:rsidR="005D53C1" w:rsidRPr="005D53C1">
        <w:rPr>
          <w:sz w:val="22"/>
          <w:szCs w:val="20"/>
        </w:rPr>
        <w:t xml:space="preserve">.) omfattar den åländska lagstiftningsbehörigheten således inte behörighet att bestämma över de fordringar som en läroinrättning ska fylla för att ha dimissionsrätt till statens universitet. Därmed regleras den behörighet som en yrkeshögskoleexamen avlagd vid Högskolan på Åland medför i riket i 3 § i Republikens Presidents förordning (2021:167) om yrkeshögskoleexamina avlagda på Åland. I enlighet med 1 § i förordningen handhar Nationella centret för utbildningsutvärdering (NCU) utvärderingen av kvalitetssystem vid Högskolan på Åland. </w:t>
      </w:r>
    </w:p>
    <w:p w14:paraId="0EADD99D" w14:textId="3244D525" w:rsidR="005D53C1" w:rsidRDefault="00C23A5E" w:rsidP="00931BF0">
      <w:pPr>
        <w:tabs>
          <w:tab w:val="left" w:pos="283"/>
          <w:tab w:val="left" w:pos="851"/>
        </w:tabs>
        <w:jc w:val="both"/>
        <w:rPr>
          <w:sz w:val="22"/>
          <w:szCs w:val="20"/>
        </w:rPr>
      </w:pPr>
      <w:r>
        <w:rPr>
          <w:sz w:val="22"/>
          <w:szCs w:val="20"/>
        </w:rPr>
        <w:tab/>
      </w:r>
      <w:r w:rsidR="005D53C1" w:rsidRPr="005D53C1">
        <w:rPr>
          <w:sz w:val="22"/>
          <w:szCs w:val="20"/>
        </w:rPr>
        <w:t xml:space="preserve">Till rikets lagstiftningsbehörighet hör med stöd av 27 § 3 punkten i självstyrelselagen även rätten att bestämma över den kunskap och skicklighet som fordras för att vinna kompetens som godkänns av staten. Med detta avses sådana kunskapskrav som hänför sig till rikets lagstiftningsbehörighet. Rättsområdena internationella fördrag och handelssjöfart hör enligt 27 § 4 och 13 punkten i självstyrelselagen till rikets lagstiftningsbehörighet. Rikets behörighet omfattar den offentliga sjörätten inklusive de bestämmelser om sjösäkerhet som ska tillämpas enligt av Finland godkända internationella konventioner på området samt certifiering av sjöfolk. Vidare ingår det i rikets lagstiftningsbehörighet enligt 27 § 30 punkten i självstyrelselagen behörigheten att vara verksam inom hälso- och sjukvården vilket innebär att innehållet i utbildningen inom hälso- och sjukvården är en riksangelägenhet (RP 73/1990 </w:t>
      </w:r>
      <w:proofErr w:type="spellStart"/>
      <w:r w:rsidR="005D53C1" w:rsidRPr="005D53C1">
        <w:rPr>
          <w:sz w:val="22"/>
          <w:szCs w:val="20"/>
        </w:rPr>
        <w:t>rd</w:t>
      </w:r>
      <w:proofErr w:type="spellEnd"/>
      <w:r w:rsidR="005D53C1" w:rsidRPr="005D53C1">
        <w:rPr>
          <w:sz w:val="22"/>
          <w:szCs w:val="20"/>
        </w:rPr>
        <w:t xml:space="preserve">.). Därmed ska rikets grunder för antagning till utbildning, läroplaner och bedömningskriterier följas vid ordnande av sådan utbildning vars yrkeskrav hör till rikets lagstiftningsbehörighet. </w:t>
      </w:r>
    </w:p>
    <w:p w14:paraId="2097DDE6" w14:textId="15B1BB6B" w:rsidR="005D53C1" w:rsidRPr="00726234" w:rsidRDefault="00C23A5E" w:rsidP="00931BF0">
      <w:pPr>
        <w:tabs>
          <w:tab w:val="left" w:pos="283"/>
          <w:tab w:val="left" w:pos="851"/>
        </w:tabs>
        <w:jc w:val="both"/>
        <w:rPr>
          <w:sz w:val="22"/>
          <w:szCs w:val="20"/>
          <w:lang w:val="sv-FI"/>
        </w:rPr>
      </w:pPr>
      <w:r>
        <w:rPr>
          <w:sz w:val="22"/>
          <w:szCs w:val="20"/>
        </w:rPr>
        <w:tab/>
      </w:r>
      <w:r w:rsidR="005D53C1" w:rsidRPr="005D53C1">
        <w:rPr>
          <w:sz w:val="22"/>
          <w:szCs w:val="20"/>
        </w:rPr>
        <w:t>Enligt 2 § i landskapsförordningen (2002:87) om Högskolan på Åland kan yrkeshögskoleexamen i social- och hälsovård (sjukskötare YH) samt yrkeshögskoleexamen i sjöfart (sjökapten YH) avläggas vid högskolan. Med anledning av behörighetsfördelningen regleras sjukskötarutbildningen i 2 § i Republikens Presidents förordning (2021:167) om yrkeshögskoleexamina avlagda på Åland och sjöfartsutbildningen i Republikens presidents förordning (2018:37) om utvärdering och godkännande av sjöfartsutbildning som ges på Åland.</w:t>
      </w:r>
    </w:p>
    <w:bookmarkEnd w:id="0"/>
    <w:p w14:paraId="0EBAAACB" w14:textId="77777777" w:rsidR="00726234" w:rsidRPr="00726234" w:rsidRDefault="00726234" w:rsidP="00726234">
      <w:pPr>
        <w:tabs>
          <w:tab w:val="left" w:pos="283"/>
          <w:tab w:val="left" w:pos="851"/>
        </w:tabs>
        <w:jc w:val="both"/>
        <w:rPr>
          <w:sz w:val="23"/>
          <w:szCs w:val="23"/>
          <w:u w:val="single"/>
          <w:lang w:val="sv-FI"/>
        </w:rPr>
      </w:pPr>
    </w:p>
    <w:p w14:paraId="2A36F7C7" w14:textId="77777777" w:rsidR="00726234" w:rsidRPr="00726234" w:rsidRDefault="00726234" w:rsidP="00726234">
      <w:pPr>
        <w:keepNext/>
        <w:keepLines/>
        <w:suppressAutoHyphens/>
        <w:outlineLvl w:val="0"/>
        <w:rPr>
          <w:sz w:val="30"/>
          <w:szCs w:val="20"/>
        </w:rPr>
      </w:pPr>
      <w:r w:rsidRPr="00726234">
        <w:rPr>
          <w:sz w:val="30"/>
          <w:szCs w:val="20"/>
        </w:rPr>
        <w:t>Ställningstagande</w:t>
      </w:r>
    </w:p>
    <w:p w14:paraId="19CC6975" w14:textId="77777777" w:rsidR="00726234" w:rsidRPr="00726234" w:rsidRDefault="00726234" w:rsidP="00726234">
      <w:pPr>
        <w:tabs>
          <w:tab w:val="left" w:pos="283"/>
          <w:tab w:val="left" w:pos="851"/>
        </w:tabs>
        <w:jc w:val="both"/>
        <w:rPr>
          <w:sz w:val="22"/>
          <w:szCs w:val="20"/>
          <w:lang w:val="sv-FI"/>
        </w:rPr>
      </w:pPr>
    </w:p>
    <w:p w14:paraId="1F692264" w14:textId="71A97376" w:rsidR="003074B7" w:rsidRDefault="00726234" w:rsidP="00726234">
      <w:pPr>
        <w:tabs>
          <w:tab w:val="left" w:pos="283"/>
          <w:tab w:val="left" w:pos="851"/>
        </w:tabs>
        <w:jc w:val="both"/>
        <w:rPr>
          <w:sz w:val="22"/>
          <w:szCs w:val="20"/>
        </w:rPr>
      </w:pPr>
      <w:r w:rsidRPr="00726234">
        <w:rPr>
          <w:sz w:val="22"/>
          <w:szCs w:val="20"/>
        </w:rPr>
        <w:t xml:space="preserve">Landskapsregeringen konstaterar att </w:t>
      </w:r>
      <w:r w:rsidR="003074B7">
        <w:rPr>
          <w:sz w:val="22"/>
          <w:szCs w:val="20"/>
        </w:rPr>
        <w:t>konventionens</w:t>
      </w:r>
      <w:r w:rsidRPr="00726234">
        <w:rPr>
          <w:sz w:val="22"/>
          <w:szCs w:val="20"/>
        </w:rPr>
        <w:t xml:space="preserve"> syfte är att </w:t>
      </w:r>
      <w:r w:rsidR="003074B7" w:rsidRPr="003074B7">
        <w:rPr>
          <w:sz w:val="22"/>
          <w:szCs w:val="20"/>
        </w:rPr>
        <w:t>främja den internationella akademiska rörligheten, kommunikationen och samarbetet beträffande en rättvis och transparent erkännandepraxis samt kvalitetssäkringen av den högre utbildningen och den akademiska hederligheten på en global nivå</w:t>
      </w:r>
      <w:r w:rsidR="003074B7">
        <w:rPr>
          <w:sz w:val="22"/>
          <w:szCs w:val="20"/>
        </w:rPr>
        <w:t xml:space="preserve">. </w:t>
      </w:r>
    </w:p>
    <w:p w14:paraId="0CBF7BC4" w14:textId="14BD864C" w:rsidR="00C23A5E" w:rsidRDefault="00C0169C" w:rsidP="00C23A5E">
      <w:pPr>
        <w:tabs>
          <w:tab w:val="left" w:pos="283"/>
          <w:tab w:val="left" w:pos="851"/>
        </w:tabs>
        <w:jc w:val="both"/>
        <w:rPr>
          <w:sz w:val="22"/>
          <w:szCs w:val="20"/>
        </w:rPr>
      </w:pPr>
      <w:r>
        <w:rPr>
          <w:sz w:val="22"/>
          <w:szCs w:val="20"/>
        </w:rPr>
        <w:tab/>
      </w:r>
      <w:r w:rsidR="00C23A5E">
        <w:rPr>
          <w:sz w:val="22"/>
          <w:szCs w:val="20"/>
        </w:rPr>
        <w:t xml:space="preserve">Den åländska lagstiftningen omfattar bestämmelser i konventionen och inga lagstiftningsåtgärder är </w:t>
      </w:r>
      <w:r>
        <w:rPr>
          <w:sz w:val="22"/>
          <w:szCs w:val="20"/>
        </w:rPr>
        <w:t xml:space="preserve">i nuläget </w:t>
      </w:r>
      <w:r w:rsidR="00C23A5E">
        <w:rPr>
          <w:sz w:val="22"/>
          <w:szCs w:val="20"/>
        </w:rPr>
        <w:t xml:space="preserve">nödvändiga. </w:t>
      </w:r>
      <w:r>
        <w:rPr>
          <w:sz w:val="22"/>
          <w:szCs w:val="20"/>
        </w:rPr>
        <w:t xml:space="preserve">För närmare information se genomförandetabell som biläggs detta yttrande. </w:t>
      </w:r>
    </w:p>
    <w:p w14:paraId="51F67103" w14:textId="45D5DC63" w:rsidR="00726234" w:rsidRPr="00726234" w:rsidRDefault="00C0169C" w:rsidP="00726234">
      <w:pPr>
        <w:tabs>
          <w:tab w:val="left" w:pos="283"/>
          <w:tab w:val="left" w:pos="851"/>
        </w:tabs>
        <w:jc w:val="both"/>
        <w:rPr>
          <w:sz w:val="22"/>
          <w:szCs w:val="20"/>
          <w:lang w:val="sv-FI"/>
        </w:rPr>
      </w:pPr>
      <w:r>
        <w:rPr>
          <w:sz w:val="22"/>
          <w:szCs w:val="20"/>
        </w:rPr>
        <w:tab/>
        <w:t xml:space="preserve">Konventionen </w:t>
      </w:r>
      <w:r w:rsidR="00726234" w:rsidRPr="00726234">
        <w:rPr>
          <w:sz w:val="22"/>
          <w:szCs w:val="20"/>
        </w:rPr>
        <w:t xml:space="preserve">står inte i strid med självstyrelselagen eller annan landskapslagstiftning. Landskapsregeringen ser därför inga hinder för att lagtinget ger sitt bifall till </w:t>
      </w:r>
      <w:r>
        <w:rPr>
          <w:sz w:val="22"/>
          <w:szCs w:val="20"/>
        </w:rPr>
        <w:t xml:space="preserve">konventionens </w:t>
      </w:r>
      <w:r w:rsidR="00726234" w:rsidRPr="00726234">
        <w:rPr>
          <w:sz w:val="22"/>
          <w:szCs w:val="20"/>
        </w:rPr>
        <w:t>ikraftträdande</w:t>
      </w:r>
      <w:r>
        <w:rPr>
          <w:sz w:val="22"/>
          <w:szCs w:val="20"/>
        </w:rPr>
        <w:t>lag</w:t>
      </w:r>
      <w:r w:rsidR="00726234" w:rsidRPr="00726234">
        <w:rPr>
          <w:sz w:val="22"/>
          <w:szCs w:val="20"/>
        </w:rPr>
        <w:t xml:space="preserve">.  </w:t>
      </w:r>
    </w:p>
    <w:p w14:paraId="5AD56173" w14:textId="77777777" w:rsidR="00726234" w:rsidRPr="00726234" w:rsidRDefault="00726234" w:rsidP="00726234">
      <w:pPr>
        <w:tabs>
          <w:tab w:val="left" w:pos="283"/>
          <w:tab w:val="left" w:pos="851"/>
        </w:tabs>
        <w:jc w:val="both"/>
        <w:rPr>
          <w:sz w:val="22"/>
          <w:szCs w:val="20"/>
        </w:rPr>
      </w:pPr>
    </w:p>
    <w:tbl>
      <w:tblPr>
        <w:tblW w:w="7931" w:type="dxa"/>
        <w:tblCellMar>
          <w:left w:w="0" w:type="dxa"/>
          <w:right w:w="0" w:type="dxa"/>
        </w:tblCellMar>
        <w:tblLook w:val="0000" w:firstRow="0" w:lastRow="0" w:firstColumn="0" w:lastColumn="0" w:noHBand="0" w:noVBand="0"/>
      </w:tblPr>
      <w:tblGrid>
        <w:gridCol w:w="4454"/>
        <w:gridCol w:w="3477"/>
      </w:tblGrid>
      <w:tr w:rsidR="00726234" w:rsidRPr="00726234" w14:paraId="114EFBE9" w14:textId="77777777" w:rsidTr="00B86BA7">
        <w:trPr>
          <w:cantSplit/>
        </w:trPr>
        <w:tc>
          <w:tcPr>
            <w:tcW w:w="7931" w:type="dxa"/>
            <w:gridSpan w:val="2"/>
          </w:tcPr>
          <w:p w14:paraId="4708693F" w14:textId="1E7A37E9" w:rsidR="00726234" w:rsidRPr="00726234" w:rsidRDefault="00726234" w:rsidP="00726234">
            <w:pPr>
              <w:keepNext/>
              <w:tabs>
                <w:tab w:val="left" w:pos="283"/>
                <w:tab w:val="left" w:pos="851"/>
              </w:tabs>
              <w:jc w:val="both"/>
              <w:rPr>
                <w:sz w:val="22"/>
                <w:szCs w:val="20"/>
              </w:rPr>
            </w:pPr>
            <w:r w:rsidRPr="00726234">
              <w:rPr>
                <w:sz w:val="22"/>
                <w:szCs w:val="20"/>
              </w:rPr>
              <w:t xml:space="preserve">Mariehamn den </w:t>
            </w:r>
            <w:r w:rsidR="00495771">
              <w:rPr>
                <w:sz w:val="22"/>
                <w:szCs w:val="20"/>
              </w:rPr>
              <w:t>23</w:t>
            </w:r>
            <w:r w:rsidR="005A7D8C">
              <w:rPr>
                <w:sz w:val="22"/>
                <w:szCs w:val="20"/>
              </w:rPr>
              <w:t xml:space="preserve"> mars 2023</w:t>
            </w:r>
          </w:p>
          <w:p w14:paraId="28BA6204" w14:textId="77777777" w:rsidR="00726234" w:rsidRPr="00726234" w:rsidRDefault="00726234" w:rsidP="00726234">
            <w:pPr>
              <w:keepNext/>
              <w:tabs>
                <w:tab w:val="left" w:pos="283"/>
                <w:tab w:val="left" w:pos="851"/>
              </w:tabs>
              <w:jc w:val="both"/>
              <w:rPr>
                <w:sz w:val="22"/>
                <w:szCs w:val="20"/>
              </w:rPr>
            </w:pPr>
          </w:p>
        </w:tc>
      </w:tr>
      <w:tr w:rsidR="00726234" w:rsidRPr="00726234" w14:paraId="4CD1B366" w14:textId="77777777" w:rsidTr="00B86BA7">
        <w:tc>
          <w:tcPr>
            <w:tcW w:w="4454" w:type="dxa"/>
            <w:vAlign w:val="bottom"/>
          </w:tcPr>
          <w:p w14:paraId="1E22E5ED" w14:textId="77777777" w:rsidR="00726234" w:rsidRPr="00726234" w:rsidRDefault="00726234" w:rsidP="00726234">
            <w:pPr>
              <w:keepNext/>
              <w:tabs>
                <w:tab w:val="left" w:pos="283"/>
                <w:tab w:val="left" w:pos="851"/>
              </w:tabs>
              <w:jc w:val="both"/>
              <w:rPr>
                <w:sz w:val="22"/>
                <w:szCs w:val="20"/>
              </w:rPr>
            </w:pPr>
          </w:p>
          <w:p w14:paraId="3BDB6521" w14:textId="77777777" w:rsidR="00726234" w:rsidRPr="00726234" w:rsidRDefault="00726234" w:rsidP="00726234">
            <w:pPr>
              <w:keepNext/>
              <w:tabs>
                <w:tab w:val="left" w:pos="283"/>
                <w:tab w:val="left" w:pos="851"/>
              </w:tabs>
              <w:jc w:val="both"/>
              <w:rPr>
                <w:sz w:val="22"/>
                <w:szCs w:val="20"/>
              </w:rPr>
            </w:pPr>
          </w:p>
          <w:p w14:paraId="6AC36705" w14:textId="77777777" w:rsidR="00726234" w:rsidRPr="00726234" w:rsidRDefault="00726234" w:rsidP="00726234">
            <w:pPr>
              <w:keepNext/>
              <w:tabs>
                <w:tab w:val="left" w:pos="283"/>
                <w:tab w:val="left" w:pos="851"/>
              </w:tabs>
              <w:jc w:val="both"/>
              <w:rPr>
                <w:sz w:val="22"/>
                <w:szCs w:val="20"/>
              </w:rPr>
            </w:pPr>
            <w:proofErr w:type="spellStart"/>
            <w:r w:rsidRPr="00726234">
              <w:rPr>
                <w:sz w:val="22"/>
                <w:szCs w:val="20"/>
              </w:rPr>
              <w:t>Lantråd</w:t>
            </w:r>
            <w:proofErr w:type="spellEnd"/>
          </w:p>
        </w:tc>
        <w:tc>
          <w:tcPr>
            <w:tcW w:w="3477" w:type="dxa"/>
            <w:vAlign w:val="bottom"/>
          </w:tcPr>
          <w:p w14:paraId="65542852" w14:textId="77777777" w:rsidR="00726234" w:rsidRPr="00726234" w:rsidRDefault="00726234" w:rsidP="00726234">
            <w:pPr>
              <w:keepNext/>
              <w:tabs>
                <w:tab w:val="left" w:pos="283"/>
                <w:tab w:val="left" w:pos="851"/>
              </w:tabs>
              <w:jc w:val="both"/>
              <w:rPr>
                <w:sz w:val="22"/>
                <w:szCs w:val="20"/>
              </w:rPr>
            </w:pPr>
          </w:p>
          <w:p w14:paraId="689BB524" w14:textId="77777777" w:rsidR="00726234" w:rsidRPr="00726234" w:rsidRDefault="00726234" w:rsidP="00726234">
            <w:pPr>
              <w:keepNext/>
              <w:tabs>
                <w:tab w:val="left" w:pos="283"/>
                <w:tab w:val="left" w:pos="851"/>
              </w:tabs>
              <w:jc w:val="both"/>
              <w:rPr>
                <w:sz w:val="22"/>
                <w:szCs w:val="20"/>
              </w:rPr>
            </w:pPr>
          </w:p>
          <w:p w14:paraId="388120BD" w14:textId="1214FCF6" w:rsidR="00726234" w:rsidRPr="00726234" w:rsidRDefault="00C0169C" w:rsidP="00726234">
            <w:pPr>
              <w:keepNext/>
              <w:tabs>
                <w:tab w:val="left" w:pos="283"/>
                <w:tab w:val="left" w:pos="851"/>
              </w:tabs>
              <w:jc w:val="both"/>
              <w:rPr>
                <w:sz w:val="22"/>
                <w:szCs w:val="20"/>
              </w:rPr>
            </w:pPr>
            <w:r>
              <w:rPr>
                <w:sz w:val="22"/>
                <w:szCs w:val="20"/>
              </w:rPr>
              <w:t>Veronica Thörnroos</w:t>
            </w:r>
          </w:p>
        </w:tc>
      </w:tr>
      <w:tr w:rsidR="00726234" w:rsidRPr="00726234" w14:paraId="7977AAA6" w14:textId="77777777" w:rsidTr="00B86BA7">
        <w:tc>
          <w:tcPr>
            <w:tcW w:w="4454" w:type="dxa"/>
            <w:vAlign w:val="bottom"/>
          </w:tcPr>
          <w:p w14:paraId="23DC2780" w14:textId="77777777" w:rsidR="00726234" w:rsidRPr="00726234" w:rsidRDefault="00726234" w:rsidP="00726234">
            <w:pPr>
              <w:keepNext/>
              <w:tabs>
                <w:tab w:val="left" w:pos="283"/>
                <w:tab w:val="left" w:pos="851"/>
              </w:tabs>
              <w:jc w:val="both"/>
              <w:rPr>
                <w:sz w:val="22"/>
                <w:szCs w:val="20"/>
              </w:rPr>
            </w:pPr>
          </w:p>
          <w:p w14:paraId="4FE40C00" w14:textId="77777777" w:rsidR="00726234" w:rsidRPr="00726234" w:rsidRDefault="00726234" w:rsidP="00726234">
            <w:pPr>
              <w:keepNext/>
              <w:tabs>
                <w:tab w:val="left" w:pos="283"/>
                <w:tab w:val="left" w:pos="851"/>
              </w:tabs>
              <w:jc w:val="both"/>
              <w:rPr>
                <w:sz w:val="22"/>
                <w:szCs w:val="20"/>
              </w:rPr>
            </w:pPr>
          </w:p>
          <w:p w14:paraId="7AAD462C" w14:textId="77777777" w:rsidR="00726234" w:rsidRPr="00726234" w:rsidRDefault="00726234" w:rsidP="00726234">
            <w:pPr>
              <w:keepNext/>
              <w:tabs>
                <w:tab w:val="left" w:pos="283"/>
                <w:tab w:val="left" w:pos="851"/>
              </w:tabs>
              <w:jc w:val="both"/>
              <w:rPr>
                <w:sz w:val="22"/>
                <w:szCs w:val="20"/>
              </w:rPr>
            </w:pPr>
          </w:p>
          <w:p w14:paraId="6469EE95" w14:textId="77777777" w:rsidR="00726234" w:rsidRPr="00726234" w:rsidRDefault="00726234" w:rsidP="00726234">
            <w:pPr>
              <w:keepNext/>
              <w:tabs>
                <w:tab w:val="left" w:pos="283"/>
                <w:tab w:val="left" w:pos="851"/>
              </w:tabs>
              <w:jc w:val="both"/>
              <w:rPr>
                <w:sz w:val="22"/>
                <w:szCs w:val="20"/>
              </w:rPr>
            </w:pPr>
            <w:r w:rsidRPr="00726234">
              <w:rPr>
                <w:sz w:val="22"/>
                <w:szCs w:val="20"/>
              </w:rPr>
              <w:t>Minister</w:t>
            </w:r>
          </w:p>
        </w:tc>
        <w:tc>
          <w:tcPr>
            <w:tcW w:w="3477" w:type="dxa"/>
            <w:vAlign w:val="bottom"/>
          </w:tcPr>
          <w:p w14:paraId="4EF2B9D9" w14:textId="77777777" w:rsidR="00726234" w:rsidRPr="00726234" w:rsidRDefault="00726234" w:rsidP="00726234">
            <w:pPr>
              <w:keepNext/>
              <w:tabs>
                <w:tab w:val="left" w:pos="283"/>
                <w:tab w:val="left" w:pos="851"/>
              </w:tabs>
              <w:jc w:val="both"/>
              <w:rPr>
                <w:sz w:val="22"/>
                <w:szCs w:val="20"/>
              </w:rPr>
            </w:pPr>
          </w:p>
          <w:p w14:paraId="50D08D00" w14:textId="77777777" w:rsidR="00726234" w:rsidRPr="00726234" w:rsidRDefault="00726234" w:rsidP="00726234">
            <w:pPr>
              <w:keepNext/>
              <w:tabs>
                <w:tab w:val="left" w:pos="283"/>
                <w:tab w:val="left" w:pos="851"/>
              </w:tabs>
              <w:jc w:val="both"/>
              <w:rPr>
                <w:sz w:val="22"/>
                <w:szCs w:val="20"/>
              </w:rPr>
            </w:pPr>
          </w:p>
          <w:p w14:paraId="6BBE2AAA" w14:textId="52F5E81F" w:rsidR="00726234" w:rsidRPr="00726234" w:rsidRDefault="00C0169C" w:rsidP="00726234">
            <w:pPr>
              <w:keepNext/>
              <w:tabs>
                <w:tab w:val="left" w:pos="283"/>
                <w:tab w:val="left" w:pos="851"/>
              </w:tabs>
              <w:jc w:val="both"/>
              <w:rPr>
                <w:sz w:val="22"/>
                <w:szCs w:val="20"/>
              </w:rPr>
            </w:pPr>
            <w:r>
              <w:rPr>
                <w:sz w:val="22"/>
                <w:szCs w:val="20"/>
              </w:rPr>
              <w:t>Annika Hambrudd</w:t>
            </w:r>
          </w:p>
        </w:tc>
      </w:tr>
    </w:tbl>
    <w:p w14:paraId="59B3D220" w14:textId="1E88D24E" w:rsidR="0063414D" w:rsidRDefault="0063414D">
      <w:pPr>
        <w:pStyle w:val="ANormal"/>
      </w:pPr>
    </w:p>
    <w:p w14:paraId="01F8B95B" w14:textId="3DEB8252" w:rsidR="006B6EF4" w:rsidRDefault="006B6EF4">
      <w:pPr>
        <w:pStyle w:val="ANormal"/>
      </w:pPr>
    </w:p>
    <w:p w14:paraId="0EF3485B" w14:textId="262B76E5" w:rsidR="006B6EF4" w:rsidRDefault="006B6EF4">
      <w:pPr>
        <w:pStyle w:val="ANormal"/>
      </w:pPr>
    </w:p>
    <w:p w14:paraId="6C7CECA1" w14:textId="77777777" w:rsidR="006B6EF4" w:rsidRDefault="006B6EF4">
      <w:pPr>
        <w:pStyle w:val="ANormal"/>
      </w:pPr>
    </w:p>
    <w:p w14:paraId="70D75084" w14:textId="7F116AFE" w:rsidR="0063414D" w:rsidRDefault="0063414D">
      <w:pPr>
        <w:pStyle w:val="ANormal"/>
      </w:pPr>
      <w:r>
        <w:t xml:space="preserve">BILAGA </w:t>
      </w:r>
      <w:r>
        <w:tab/>
        <w:t>Jämförelsetabell, UNESCO-konvention om högre utbildning</w:t>
      </w:r>
    </w:p>
    <w:sectPr w:rsidR="0063414D">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F099" w14:textId="77777777" w:rsidR="00E23B24" w:rsidRDefault="00E23B24">
      <w:r>
        <w:separator/>
      </w:r>
    </w:p>
  </w:endnote>
  <w:endnote w:type="continuationSeparator" w:id="0">
    <w:p w14:paraId="1D4D2DF1" w14:textId="77777777" w:rsidR="00E23B24" w:rsidRDefault="00E2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469C" w14:textId="195626B5"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8DE2" w14:textId="0FA45570" w:rsidR="000E14E2" w:rsidRDefault="00AC4E64">
    <w:pPr>
      <w:pStyle w:val="Sidfot"/>
      <w:rPr>
        <w:lang w:val="fi-FI"/>
      </w:rPr>
    </w:pPr>
    <w:r>
      <w:t>RP0520222023-s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87F5" w14:textId="77777777" w:rsidR="00BB1E01" w:rsidRDefault="00BB1E01">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03ED"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25AB" w14:textId="77777777" w:rsidR="00E23B24" w:rsidRDefault="00E23B24">
      <w:r>
        <w:separator/>
      </w:r>
    </w:p>
  </w:footnote>
  <w:footnote w:type="continuationSeparator" w:id="0">
    <w:p w14:paraId="2876E7FD" w14:textId="77777777" w:rsidR="00E23B24" w:rsidRDefault="00E23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4429" w14:textId="77777777" w:rsidR="00BB1E01" w:rsidRDefault="00BB1E0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7E5B" w14:textId="77777777" w:rsidR="00BB1E01" w:rsidRDefault="00BB1E0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1190" w14:textId="77777777" w:rsidR="00BB1E01" w:rsidRDefault="00BB1E01">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C0F6"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11FC2">
      <w:rPr>
        <w:rStyle w:val="Sidnummer"/>
        <w:noProof/>
      </w:rPr>
      <w:t>2</w:t>
    </w:r>
    <w:r>
      <w:rPr>
        <w:rStyle w:val="Sidnummer"/>
      </w:rPr>
      <w:fldChar w:fldCharType="end"/>
    </w:r>
  </w:p>
  <w:p w14:paraId="14547184" w14:textId="77777777" w:rsidR="000E14E2" w:rsidRDefault="000E14E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D6CB"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338656253">
    <w:abstractNumId w:val="2"/>
  </w:num>
  <w:num w:numId="2" w16cid:durableId="1653748829">
    <w:abstractNumId w:val="3"/>
  </w:num>
  <w:num w:numId="3" w16cid:durableId="65804153">
    <w:abstractNumId w:val="4"/>
  </w:num>
  <w:num w:numId="4" w16cid:durableId="1026519770">
    <w:abstractNumId w:val="0"/>
  </w:num>
  <w:num w:numId="5" w16cid:durableId="1506361492">
    <w:abstractNumId w:val="1"/>
  </w:num>
  <w:num w:numId="6" w16cid:durableId="969556312">
    <w:abstractNumId w:val="1"/>
  </w:num>
  <w:num w:numId="7" w16cid:durableId="536551161">
    <w:abstractNumId w:val="1"/>
  </w:num>
  <w:num w:numId="8" w16cid:durableId="1863593127">
    <w:abstractNumId w:val="1"/>
  </w:num>
  <w:num w:numId="9" w16cid:durableId="1208907224">
    <w:abstractNumId w:val="1"/>
  </w:num>
  <w:num w:numId="10" w16cid:durableId="1110780973">
    <w:abstractNumId w:val="1"/>
  </w:num>
  <w:num w:numId="11" w16cid:durableId="2039697274">
    <w:abstractNumId w:val="1"/>
  </w:num>
  <w:num w:numId="12" w16cid:durableId="1195578469">
    <w:abstractNumId w:val="1"/>
  </w:num>
  <w:num w:numId="13" w16cid:durableId="4704434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24"/>
    <w:rsid w:val="000E14E2"/>
    <w:rsid w:val="000E7032"/>
    <w:rsid w:val="00106F79"/>
    <w:rsid w:val="002850BC"/>
    <w:rsid w:val="00304390"/>
    <w:rsid w:val="003074B7"/>
    <w:rsid w:val="00363052"/>
    <w:rsid w:val="004925F4"/>
    <w:rsid w:val="00495771"/>
    <w:rsid w:val="005338FD"/>
    <w:rsid w:val="005A7D8C"/>
    <w:rsid w:val="005D53C1"/>
    <w:rsid w:val="0063414D"/>
    <w:rsid w:val="00682C4B"/>
    <w:rsid w:val="006B6EF4"/>
    <w:rsid w:val="006F4626"/>
    <w:rsid w:val="00711FC2"/>
    <w:rsid w:val="00726234"/>
    <w:rsid w:val="007F3701"/>
    <w:rsid w:val="00850D2A"/>
    <w:rsid w:val="0089121E"/>
    <w:rsid w:val="009069E2"/>
    <w:rsid w:val="00931BF0"/>
    <w:rsid w:val="00953CFD"/>
    <w:rsid w:val="0095647F"/>
    <w:rsid w:val="009578CA"/>
    <w:rsid w:val="009B366B"/>
    <w:rsid w:val="00A77928"/>
    <w:rsid w:val="00AC4E64"/>
    <w:rsid w:val="00B56E8A"/>
    <w:rsid w:val="00BB1E01"/>
    <w:rsid w:val="00C0169C"/>
    <w:rsid w:val="00C23A5E"/>
    <w:rsid w:val="00C53715"/>
    <w:rsid w:val="00CB6FBA"/>
    <w:rsid w:val="00DB438C"/>
    <w:rsid w:val="00E210C4"/>
    <w:rsid w:val="00E23B24"/>
    <w:rsid w:val="00F16C8A"/>
    <w:rsid w:val="00F305D6"/>
    <w:rsid w:val="00F6393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38C54"/>
  <w15:chartTrackingRefBased/>
  <w15:docId w15:val="{4324EEEC-0235-4998-9B35-D270A97D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tinget\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LR-yttrande.dot</Template>
  <TotalTime>1</TotalTime>
  <Pages>3</Pages>
  <Words>715</Words>
  <Characters>4984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Landskapsregeringens yttrande nr x/201x-201x</vt:lpstr>
    </vt:vector>
  </TitlesOfParts>
  <Company/>
  <LinksUpToDate>false</LinksUpToDate>
  <CharactersWithSpaces>5688</CharactersWithSpaces>
  <SharedDoc>false</SharedDoc>
  <HLinks>
    <vt:vector size="12" baseType="variant">
      <vt:variant>
        <vt:i4>8257584</vt:i4>
      </vt:variant>
      <vt:variant>
        <vt:i4>9</vt:i4>
      </vt:variant>
      <vt:variant>
        <vt:i4>0</vt:i4>
      </vt:variant>
      <vt:variant>
        <vt:i4>5</vt:i4>
      </vt:variant>
      <vt:variant>
        <vt:lpwstr>http://www.pedago.fi/lagtinget/assistans/start.htm</vt:lpwstr>
      </vt:variant>
      <vt:variant>
        <vt:lpwstr/>
      </vt:variant>
      <vt:variant>
        <vt:i4>1179708</vt:i4>
      </vt:variant>
      <vt:variant>
        <vt:i4>2</vt:i4>
      </vt:variant>
      <vt:variant>
        <vt:i4>0</vt:i4>
      </vt:variant>
      <vt:variant>
        <vt:i4>5</vt:i4>
      </vt:variant>
      <vt:variant>
        <vt:lpwstr/>
      </vt:variant>
      <vt:variant>
        <vt:lpwstr>_Toc322693427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5/2022-2023-s</dc:title>
  <dc:subject/>
  <dc:creator>Laura Korpi</dc:creator>
  <cp:keywords/>
  <cp:lastModifiedBy>Jessica Laaksonen</cp:lastModifiedBy>
  <cp:revision>2</cp:revision>
  <dcterms:created xsi:type="dcterms:W3CDTF">2023-03-23T11:32:00Z</dcterms:created>
  <dcterms:modified xsi:type="dcterms:W3CDTF">2023-03-23T11:32:00Z</dcterms:modified>
</cp:coreProperties>
</file>